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DE1" w:rsidRPr="00677134" w:rsidRDefault="00266DE1" w:rsidP="00266DE1">
      <w:pPr>
        <w:pStyle w:val="Heading3"/>
        <w:ind w:firstLine="567"/>
        <w:jc w:val="center"/>
        <w:rPr>
          <w:rFonts w:ascii="Book Antiqua" w:hAnsi="Book Antiqua"/>
          <w:i/>
          <w:sz w:val="28"/>
        </w:rPr>
      </w:pPr>
      <w:r w:rsidRPr="00677134">
        <w:rPr>
          <w:rFonts w:ascii="Book Antiqua" w:hAnsi="Book Antiqua"/>
          <w:i/>
          <w:sz w:val="28"/>
        </w:rPr>
        <w:t xml:space="preserve">Assessment of the Impact of APEX1 (rs2307486) and URAT1 (rs11231825) Gene Polymorphisms on the </w:t>
      </w:r>
      <w:r w:rsidRPr="00677134">
        <w:rPr>
          <w:i/>
        </w:rPr>
        <w:t>Response</w:t>
      </w:r>
      <w:r w:rsidRPr="00677134">
        <w:rPr>
          <w:rFonts w:ascii="Book Antiqua" w:hAnsi="Book Antiqua"/>
          <w:i/>
          <w:sz w:val="28"/>
        </w:rPr>
        <w:t xml:space="preserve"> of Hypouricemic Therapy in Women with Gout</w:t>
      </w:r>
    </w:p>
    <w:p w:rsidR="002C1A5F" w:rsidRDefault="002C1A5F" w:rsidP="000D6CB8">
      <w:pPr>
        <w:spacing w:after="0" w:line="276" w:lineRule="auto"/>
        <w:ind w:firstLine="567"/>
        <w:jc w:val="both"/>
        <w:rPr>
          <w:rStyle w:val="Strong"/>
          <w:rFonts w:ascii="Book Antiqua" w:eastAsia="Times New Roman" w:hAnsi="Book Antiqua" w:cs="Times New Roman"/>
          <w:i/>
          <w:sz w:val="24"/>
          <w:szCs w:val="24"/>
          <w:lang w:val="uz-Cyrl-UZ"/>
        </w:rPr>
      </w:pPr>
    </w:p>
    <w:p w:rsidR="002C1A5F" w:rsidRDefault="002C1A5F" w:rsidP="000D6CB8">
      <w:pPr>
        <w:spacing w:after="0" w:line="276" w:lineRule="auto"/>
        <w:ind w:firstLine="567"/>
        <w:jc w:val="both"/>
        <w:rPr>
          <w:rStyle w:val="Strong"/>
          <w:rFonts w:ascii="Book Antiqua" w:eastAsia="Times New Roman" w:hAnsi="Book Antiqua" w:cs="Times New Roman"/>
          <w:i/>
          <w:sz w:val="24"/>
          <w:szCs w:val="24"/>
          <w:lang w:val="uz-Cyrl-UZ"/>
        </w:rPr>
      </w:pPr>
    </w:p>
    <w:p w:rsidR="004063D8" w:rsidRDefault="004063D8" w:rsidP="000D6CB8">
      <w:pPr>
        <w:spacing w:after="0" w:line="276" w:lineRule="auto"/>
        <w:ind w:firstLine="567"/>
        <w:jc w:val="both"/>
        <w:rPr>
          <w:rStyle w:val="Strong"/>
          <w:rFonts w:ascii="Book Antiqua" w:eastAsia="Times New Roman" w:hAnsi="Book Antiqua" w:cs="Times New Roman"/>
          <w:i/>
          <w:sz w:val="24"/>
          <w:szCs w:val="24"/>
          <w:lang w:val="uz-Cyrl-UZ"/>
        </w:rPr>
      </w:pPr>
      <w:r w:rsidRPr="004063D8">
        <w:rPr>
          <w:rStyle w:val="Strong"/>
          <w:rFonts w:ascii="Book Antiqua" w:eastAsia="Times New Roman" w:hAnsi="Book Antiqua" w:cs="Times New Roman"/>
          <w:i/>
          <w:sz w:val="24"/>
          <w:szCs w:val="24"/>
          <w:lang w:val="uz-Cyrl-UZ"/>
        </w:rPr>
        <w:t xml:space="preserve">Abstract: </w:t>
      </w:r>
      <w:r w:rsidRPr="004063D8">
        <w:rPr>
          <w:rStyle w:val="Strong"/>
          <w:rFonts w:ascii="Book Antiqua" w:eastAsia="Times New Roman" w:hAnsi="Book Antiqua" w:cs="Times New Roman"/>
          <w:b w:val="0"/>
          <w:i/>
          <w:sz w:val="24"/>
          <w:szCs w:val="24"/>
          <w:lang w:val="uz-Cyrl-UZ"/>
        </w:rPr>
        <w:t xml:space="preserve">This scientific study aimed to evaluate the effect of polymorphisms in the APEX1 (rs2307486) and URAT1 (rs11231825) genes on the effectiveness of hypouricemic therapy in women with gout. </w:t>
      </w:r>
      <w:r w:rsidR="00AD1F2C" w:rsidRPr="00AD1F2C">
        <w:rPr>
          <w:rFonts w:ascii="Book Antiqua" w:hAnsi="Book Antiqua"/>
          <w:i/>
          <w:sz w:val="24"/>
          <w:szCs w:val="24"/>
          <w:lang w:val="en-US"/>
        </w:rPr>
        <w:t xml:space="preserve">The study included 102 female patients as the primary analysis group and 100 male patients with gout as a secondary comparative cohort </w:t>
      </w:r>
      <w:r w:rsidRPr="00AD1F2C">
        <w:rPr>
          <w:rStyle w:val="Strong"/>
          <w:rFonts w:ascii="Book Antiqua" w:eastAsia="Times New Roman" w:hAnsi="Book Antiqua" w:cs="Times New Roman"/>
          <w:b w:val="0"/>
          <w:i/>
          <w:sz w:val="24"/>
          <w:szCs w:val="24"/>
          <w:lang w:val="uz-Cyrl-UZ"/>
        </w:rPr>
        <w:t>in 2021–2025.</w:t>
      </w:r>
      <w:r w:rsidRPr="00AD1F2C">
        <w:rPr>
          <w:rStyle w:val="Strong"/>
          <w:rFonts w:ascii="Book Antiqua" w:eastAsia="Times New Roman" w:hAnsi="Book Antiqua" w:cs="Times New Roman"/>
          <w:b w:val="0"/>
          <w:i/>
          <w:sz w:val="28"/>
          <w:szCs w:val="24"/>
          <w:lang w:val="uz-Cyrl-UZ"/>
        </w:rPr>
        <w:t xml:space="preserve"> </w:t>
      </w:r>
      <w:r w:rsidRPr="004063D8">
        <w:rPr>
          <w:rStyle w:val="Strong"/>
          <w:rFonts w:ascii="Book Antiqua" w:eastAsia="Times New Roman" w:hAnsi="Book Antiqua" w:cs="Times New Roman"/>
          <w:b w:val="0"/>
          <w:i/>
          <w:sz w:val="24"/>
          <w:szCs w:val="24"/>
          <w:lang w:val="uz-Cyrl-UZ"/>
        </w:rPr>
        <w:t>The patients were prescribed allopurinol and febuxostat, and their effectiveness was assessed across different genotypes of the above genes. According to the results of the study, patients with the G/G genotype of the APEX1 gene had a low response to allopurinol, and only febuxostat was effective. In patients with the T/T genotype, both drugs were almost equally effective. In patients with the T/T genotype of the URAT1 (rs11231825) gene, resistance to allopurinol and a requirement for a higher dose were found, and febuxostat was noted to be more effective. In patients with the A/A genotype, the standard dose was sufficiently effective. These results indicate that polymorphisms of the APEX1 and URAT1 genes are important pharmacogenetic biomarkers in determining the individual effectiveness of hypouricemic therapy. The selection of drugs and their doses based on a personalized approach increases therapeutic efficacy, eliminates resistance, and improves quality of life.</w:t>
      </w:r>
      <w:r w:rsidRPr="004063D8">
        <w:rPr>
          <w:rStyle w:val="Strong"/>
          <w:rFonts w:ascii="Book Antiqua" w:eastAsia="Times New Roman" w:hAnsi="Book Antiqua" w:cs="Times New Roman"/>
          <w:i/>
          <w:sz w:val="24"/>
          <w:szCs w:val="24"/>
          <w:lang w:val="uz-Cyrl-UZ"/>
        </w:rPr>
        <w:t xml:space="preserve"> </w:t>
      </w:r>
    </w:p>
    <w:p w:rsidR="004063D8" w:rsidRDefault="004063D8" w:rsidP="000D6CB8">
      <w:pPr>
        <w:spacing w:after="0" w:line="276" w:lineRule="auto"/>
        <w:ind w:firstLine="567"/>
        <w:jc w:val="both"/>
        <w:rPr>
          <w:rStyle w:val="Strong"/>
          <w:rFonts w:ascii="Book Antiqua" w:eastAsia="Times New Roman" w:hAnsi="Book Antiqua" w:cs="Times New Roman"/>
          <w:i/>
          <w:sz w:val="24"/>
          <w:szCs w:val="24"/>
          <w:lang w:val="uz-Cyrl-UZ"/>
        </w:rPr>
      </w:pPr>
    </w:p>
    <w:p w:rsidR="00133154" w:rsidRPr="004063D8" w:rsidRDefault="004063D8" w:rsidP="000D6CB8">
      <w:pPr>
        <w:spacing w:after="0" w:line="276" w:lineRule="auto"/>
        <w:ind w:firstLine="567"/>
        <w:jc w:val="both"/>
        <w:rPr>
          <w:rStyle w:val="Strong"/>
          <w:rFonts w:ascii="Book Antiqua" w:eastAsia="Times New Roman" w:hAnsi="Book Antiqua" w:cs="Times New Roman"/>
          <w:b w:val="0"/>
          <w:i/>
          <w:sz w:val="24"/>
          <w:szCs w:val="24"/>
          <w:lang w:val="uz-Cyrl-UZ"/>
        </w:rPr>
      </w:pPr>
      <w:r w:rsidRPr="004063D8">
        <w:rPr>
          <w:rStyle w:val="Strong"/>
          <w:rFonts w:ascii="Book Antiqua" w:eastAsia="Times New Roman" w:hAnsi="Book Antiqua" w:cs="Times New Roman"/>
          <w:i/>
          <w:sz w:val="24"/>
          <w:szCs w:val="24"/>
          <w:lang w:val="uz-Cyrl-UZ"/>
        </w:rPr>
        <w:t xml:space="preserve">Keywords: </w:t>
      </w:r>
      <w:r w:rsidRPr="004063D8">
        <w:rPr>
          <w:rStyle w:val="Strong"/>
          <w:rFonts w:ascii="Book Antiqua" w:eastAsia="Times New Roman" w:hAnsi="Book Antiqua" w:cs="Times New Roman"/>
          <w:b w:val="0"/>
          <w:i/>
          <w:sz w:val="24"/>
          <w:szCs w:val="24"/>
          <w:lang w:val="uz-Cyrl-UZ"/>
        </w:rPr>
        <w:t>gout, women, hypouricemic therapy, APEX1, URAT1, gene polymorphism, pharmacogenetics, febuxostat, allopurinol, genotype, personalized medicine, quality of life.</w:t>
      </w:r>
    </w:p>
    <w:p w:rsidR="004063D8" w:rsidRPr="007D7204" w:rsidRDefault="004063D8" w:rsidP="000D6CB8">
      <w:pPr>
        <w:spacing w:after="0" w:line="276" w:lineRule="auto"/>
        <w:ind w:firstLine="567"/>
        <w:jc w:val="both"/>
        <w:rPr>
          <w:rFonts w:ascii="Book Antiqua" w:eastAsia="Times New Roman" w:hAnsi="Book Antiqua" w:cs="Times New Roman"/>
          <w:b/>
          <w:bCs/>
          <w:sz w:val="24"/>
          <w:szCs w:val="24"/>
          <w:lang w:val="en-US"/>
        </w:rPr>
      </w:pPr>
    </w:p>
    <w:p w:rsidR="00A87171" w:rsidRPr="00A87171" w:rsidRDefault="00A87171" w:rsidP="00A87171">
      <w:pPr>
        <w:spacing w:after="0" w:line="276" w:lineRule="auto"/>
        <w:ind w:firstLine="567"/>
        <w:jc w:val="both"/>
        <w:rPr>
          <w:rFonts w:ascii="Book Antiqua" w:eastAsia="Times New Roman" w:hAnsi="Book Antiqua" w:cs="Times New Roman"/>
          <w:bCs/>
          <w:sz w:val="24"/>
          <w:szCs w:val="24"/>
          <w:lang w:val="uz-Cyrl-UZ"/>
        </w:rPr>
      </w:pPr>
      <w:r>
        <w:rPr>
          <w:rFonts w:ascii="Book Antiqua" w:eastAsia="Times New Roman" w:hAnsi="Book Antiqua" w:cs="Times New Roman"/>
          <w:b/>
          <w:bCs/>
          <w:sz w:val="24"/>
          <w:szCs w:val="24"/>
          <w:lang w:val="en-US"/>
        </w:rPr>
        <w:t>Introduction</w:t>
      </w:r>
      <w:r w:rsidRPr="00A87171">
        <w:rPr>
          <w:rFonts w:ascii="Book Antiqua" w:eastAsia="Times New Roman" w:hAnsi="Book Antiqua" w:cs="Times New Roman"/>
          <w:b/>
          <w:bCs/>
          <w:sz w:val="24"/>
          <w:szCs w:val="24"/>
          <w:lang w:val="uz-Cyrl-UZ"/>
        </w:rPr>
        <w:t xml:space="preserve">. </w:t>
      </w:r>
      <w:r w:rsidRPr="00A87171">
        <w:rPr>
          <w:rFonts w:ascii="Book Antiqua" w:eastAsia="Times New Roman" w:hAnsi="Book Antiqua" w:cs="Times New Roman"/>
          <w:bCs/>
          <w:sz w:val="24"/>
          <w:szCs w:val="24"/>
          <w:lang w:val="uz-Cyrl-UZ"/>
        </w:rPr>
        <w:t>The effectiveness of gout treatment is influenced by various individual factors, including genetic factors</w:t>
      </w:r>
      <w:r w:rsidR="00FE4187">
        <w:rPr>
          <w:rFonts w:ascii="Book Antiqua" w:eastAsia="Times New Roman" w:hAnsi="Book Antiqua" w:cs="Times New Roman"/>
          <w:bCs/>
          <w:sz w:val="24"/>
          <w:szCs w:val="24"/>
          <w:lang w:val="uz-Cyrl-UZ"/>
        </w:rPr>
        <w:t xml:space="preserve"> [7,11]</w:t>
      </w:r>
      <w:r w:rsidRPr="00A87171">
        <w:rPr>
          <w:rFonts w:ascii="Book Antiqua" w:eastAsia="Times New Roman" w:hAnsi="Book Antiqua" w:cs="Times New Roman"/>
          <w:bCs/>
          <w:sz w:val="24"/>
          <w:szCs w:val="24"/>
          <w:lang w:val="uz-Cyrl-UZ"/>
        </w:rPr>
        <w:t xml:space="preserve">. Polymorphisms of the </w:t>
      </w:r>
      <w:r w:rsidRPr="00677134">
        <w:rPr>
          <w:rFonts w:ascii="Book Antiqua" w:eastAsia="Times New Roman" w:hAnsi="Book Antiqua" w:cs="Times New Roman"/>
          <w:bCs/>
          <w:i/>
          <w:sz w:val="24"/>
          <w:szCs w:val="24"/>
          <w:lang w:val="uz-Cyrl-UZ"/>
        </w:rPr>
        <w:t>APEX1 (rs2307486)</w:t>
      </w:r>
      <w:r w:rsidRPr="00A87171">
        <w:rPr>
          <w:rFonts w:ascii="Book Antiqua" w:eastAsia="Times New Roman" w:hAnsi="Book Antiqua" w:cs="Times New Roman"/>
          <w:bCs/>
          <w:sz w:val="24"/>
          <w:szCs w:val="24"/>
          <w:lang w:val="uz-Cyrl-UZ"/>
        </w:rPr>
        <w:t xml:space="preserve"> and </w:t>
      </w:r>
      <w:r w:rsidRPr="00677134">
        <w:rPr>
          <w:rFonts w:ascii="Book Antiqua" w:eastAsia="Times New Roman" w:hAnsi="Book Antiqua" w:cs="Times New Roman"/>
          <w:bCs/>
          <w:i/>
          <w:sz w:val="24"/>
          <w:szCs w:val="24"/>
          <w:lang w:val="uz-Cyrl-UZ"/>
        </w:rPr>
        <w:t>URAT1 (rs11231825)</w:t>
      </w:r>
      <w:r w:rsidRPr="00A87171">
        <w:rPr>
          <w:rFonts w:ascii="Book Antiqua" w:eastAsia="Times New Roman" w:hAnsi="Book Antiqua" w:cs="Times New Roman"/>
          <w:bCs/>
          <w:sz w:val="24"/>
          <w:szCs w:val="24"/>
          <w:lang w:val="uz-Cyrl-UZ"/>
        </w:rPr>
        <w:t xml:space="preserve"> genes have been found to be important in assessing the effectiveness of hypouricemic therapy (allopurinol and febuxostat) in women</w:t>
      </w:r>
      <w:r w:rsidR="00FE4187">
        <w:rPr>
          <w:rFonts w:ascii="Book Antiqua" w:eastAsia="Times New Roman" w:hAnsi="Book Antiqua" w:cs="Times New Roman"/>
          <w:bCs/>
          <w:sz w:val="24"/>
          <w:szCs w:val="24"/>
          <w:lang w:val="uz-Cyrl-UZ"/>
        </w:rPr>
        <w:t xml:space="preserve"> [2,9]</w:t>
      </w:r>
      <w:r w:rsidRPr="00A87171">
        <w:rPr>
          <w:rFonts w:ascii="Book Antiqua" w:eastAsia="Times New Roman" w:hAnsi="Book Antiqua" w:cs="Times New Roman"/>
          <w:bCs/>
          <w:sz w:val="24"/>
          <w:szCs w:val="24"/>
          <w:lang w:val="uz-Cyrl-UZ"/>
        </w:rPr>
        <w:t xml:space="preserve">. Patients with certain genotypic forms of </w:t>
      </w:r>
      <w:r w:rsidRPr="00677134">
        <w:rPr>
          <w:rFonts w:ascii="Book Antiqua" w:eastAsia="Times New Roman" w:hAnsi="Book Antiqua" w:cs="Times New Roman"/>
          <w:bCs/>
          <w:i/>
          <w:sz w:val="24"/>
          <w:szCs w:val="24"/>
          <w:lang w:val="uz-Cyrl-UZ"/>
        </w:rPr>
        <w:t xml:space="preserve">APEX1 </w:t>
      </w:r>
      <w:r w:rsidRPr="00A87171">
        <w:rPr>
          <w:rFonts w:ascii="Book Antiqua" w:eastAsia="Times New Roman" w:hAnsi="Book Antiqua" w:cs="Times New Roman"/>
          <w:bCs/>
          <w:sz w:val="24"/>
          <w:szCs w:val="24"/>
          <w:lang w:val="uz-Cyrl-UZ"/>
        </w:rPr>
        <w:t>may have a poor response to hypouricemic therapy, may have high uric acid titers, and may have a longer duration of inflammation</w:t>
      </w:r>
      <w:r w:rsidR="00FE4187">
        <w:rPr>
          <w:rFonts w:ascii="Book Antiqua" w:eastAsia="Times New Roman" w:hAnsi="Book Antiqua" w:cs="Times New Roman"/>
          <w:bCs/>
          <w:sz w:val="24"/>
          <w:szCs w:val="24"/>
          <w:lang w:val="uz-Cyrl-UZ"/>
        </w:rPr>
        <w:t xml:space="preserve"> [8]</w:t>
      </w:r>
      <w:r w:rsidRPr="00A87171">
        <w:rPr>
          <w:rFonts w:ascii="Book Antiqua" w:eastAsia="Times New Roman" w:hAnsi="Book Antiqua" w:cs="Times New Roman"/>
          <w:bCs/>
          <w:sz w:val="24"/>
          <w:szCs w:val="24"/>
          <w:lang w:val="uz-Cyrl-UZ"/>
        </w:rPr>
        <w:t>. In such situations, increasing the dose or using alternative drugs such as febuxostat may be effective</w:t>
      </w:r>
      <w:r w:rsidR="00FE4187">
        <w:rPr>
          <w:rFonts w:ascii="Book Antiqua" w:eastAsia="Times New Roman" w:hAnsi="Book Antiqua" w:cs="Times New Roman"/>
          <w:bCs/>
          <w:sz w:val="24"/>
          <w:szCs w:val="24"/>
          <w:lang w:val="uz-Cyrl-UZ"/>
        </w:rPr>
        <w:t xml:space="preserve"> [5</w:t>
      </w:r>
      <w:r w:rsidR="004B7051">
        <w:rPr>
          <w:rFonts w:ascii="Book Antiqua" w:eastAsia="Times New Roman" w:hAnsi="Book Antiqua" w:cs="Times New Roman"/>
          <w:bCs/>
          <w:sz w:val="24"/>
          <w:szCs w:val="24"/>
          <w:lang w:val="uz-Cyrl-UZ"/>
        </w:rPr>
        <w:t>,18-22</w:t>
      </w:r>
      <w:r w:rsidR="00FE4187">
        <w:rPr>
          <w:rFonts w:ascii="Book Antiqua" w:eastAsia="Times New Roman" w:hAnsi="Book Antiqua" w:cs="Times New Roman"/>
          <w:bCs/>
          <w:sz w:val="24"/>
          <w:szCs w:val="24"/>
          <w:lang w:val="uz-Cyrl-UZ"/>
        </w:rPr>
        <w:t>]</w:t>
      </w:r>
      <w:r w:rsidRPr="00A87171">
        <w:rPr>
          <w:rFonts w:ascii="Book Antiqua" w:eastAsia="Times New Roman" w:hAnsi="Book Antiqua" w:cs="Times New Roman"/>
          <w:bCs/>
          <w:sz w:val="24"/>
          <w:szCs w:val="24"/>
          <w:lang w:val="uz-Cyrl-UZ"/>
        </w:rPr>
        <w:t xml:space="preserve">. Some of the studied genotypes of the </w:t>
      </w:r>
      <w:r w:rsidRPr="00677134">
        <w:rPr>
          <w:rFonts w:ascii="Book Antiqua" w:eastAsia="Times New Roman" w:hAnsi="Book Antiqua" w:cs="Times New Roman"/>
          <w:bCs/>
          <w:i/>
          <w:sz w:val="24"/>
          <w:szCs w:val="24"/>
          <w:lang w:val="uz-Cyrl-UZ"/>
        </w:rPr>
        <w:t>URAT1 (rs11231825)</w:t>
      </w:r>
      <w:r w:rsidRPr="00A87171">
        <w:rPr>
          <w:rFonts w:ascii="Book Antiqua" w:eastAsia="Times New Roman" w:hAnsi="Book Antiqua" w:cs="Times New Roman"/>
          <w:bCs/>
          <w:sz w:val="24"/>
          <w:szCs w:val="24"/>
          <w:lang w:val="uz-Cyrl-UZ"/>
        </w:rPr>
        <w:t xml:space="preserve"> gene are associated with reduced urate excretion, and monotherapy with allopurinol may not always be sufficiently effective</w:t>
      </w:r>
      <w:r w:rsidR="00FE4187">
        <w:rPr>
          <w:rFonts w:ascii="Book Antiqua" w:eastAsia="Times New Roman" w:hAnsi="Book Antiqua" w:cs="Times New Roman"/>
          <w:bCs/>
          <w:sz w:val="24"/>
          <w:szCs w:val="24"/>
          <w:lang w:val="uz-Cyrl-UZ"/>
        </w:rPr>
        <w:t xml:space="preserve"> [10</w:t>
      </w:r>
      <w:r w:rsidR="004B7051">
        <w:rPr>
          <w:rFonts w:ascii="Book Antiqua" w:eastAsia="Times New Roman" w:hAnsi="Book Antiqua" w:cs="Times New Roman"/>
          <w:bCs/>
          <w:sz w:val="24"/>
          <w:szCs w:val="24"/>
          <w:lang w:val="uz-Cyrl-UZ"/>
        </w:rPr>
        <w:t>,23-25</w:t>
      </w:r>
      <w:r w:rsidR="00FE4187">
        <w:rPr>
          <w:rFonts w:ascii="Book Antiqua" w:eastAsia="Times New Roman" w:hAnsi="Book Antiqua" w:cs="Times New Roman"/>
          <w:bCs/>
          <w:sz w:val="24"/>
          <w:szCs w:val="24"/>
          <w:lang w:val="uz-Cyrl-UZ"/>
        </w:rPr>
        <w:t>]</w:t>
      </w:r>
      <w:r w:rsidR="00FE4187" w:rsidRPr="00A87171">
        <w:rPr>
          <w:rFonts w:ascii="Book Antiqua" w:eastAsia="Times New Roman" w:hAnsi="Book Antiqua" w:cs="Times New Roman"/>
          <w:bCs/>
          <w:sz w:val="24"/>
          <w:szCs w:val="24"/>
          <w:lang w:val="uz-Cyrl-UZ"/>
        </w:rPr>
        <w:t>.</w:t>
      </w:r>
      <w:r w:rsidRPr="00A87171">
        <w:rPr>
          <w:rFonts w:ascii="Book Antiqua" w:eastAsia="Times New Roman" w:hAnsi="Book Antiqua" w:cs="Times New Roman"/>
          <w:bCs/>
          <w:sz w:val="24"/>
          <w:szCs w:val="24"/>
          <w:lang w:val="uz-Cyrl-UZ"/>
        </w:rPr>
        <w:t xml:space="preserve"> In such cases, combined or high-dose hypouricemic therapy may be necessary</w:t>
      </w:r>
      <w:r w:rsidR="00FE4187">
        <w:rPr>
          <w:rFonts w:ascii="Book Antiqua" w:eastAsia="Times New Roman" w:hAnsi="Book Antiqua" w:cs="Times New Roman"/>
          <w:bCs/>
          <w:sz w:val="24"/>
          <w:szCs w:val="24"/>
          <w:lang w:val="uz-Cyrl-UZ"/>
        </w:rPr>
        <w:t xml:space="preserve"> [6,12]</w:t>
      </w:r>
      <w:r w:rsidRPr="00A87171">
        <w:rPr>
          <w:rFonts w:ascii="Book Antiqua" w:eastAsia="Times New Roman" w:hAnsi="Book Antiqua" w:cs="Times New Roman"/>
          <w:bCs/>
          <w:sz w:val="24"/>
          <w:szCs w:val="24"/>
          <w:lang w:val="uz-Cyrl-UZ"/>
        </w:rPr>
        <w:t>. By developing personalized hypouricemic therapy regimens taking into account the genotypic composition, it is possible to increase the effectiveness of treatment, reduce the development of drug resistance, and reduce the risk of complications</w:t>
      </w:r>
      <w:r w:rsidR="00FE4187">
        <w:rPr>
          <w:rFonts w:ascii="Book Antiqua" w:eastAsia="Times New Roman" w:hAnsi="Book Antiqua" w:cs="Times New Roman"/>
          <w:bCs/>
          <w:sz w:val="24"/>
          <w:szCs w:val="24"/>
          <w:lang w:val="uz-Cyrl-UZ"/>
        </w:rPr>
        <w:t xml:space="preserve"> [3</w:t>
      </w:r>
      <w:r w:rsidR="004B7051">
        <w:rPr>
          <w:rFonts w:ascii="Book Antiqua" w:eastAsia="Times New Roman" w:hAnsi="Book Antiqua" w:cs="Times New Roman"/>
          <w:bCs/>
          <w:sz w:val="24"/>
          <w:szCs w:val="24"/>
          <w:lang w:val="uz-Cyrl-UZ"/>
        </w:rPr>
        <w:t>,13-17</w:t>
      </w:r>
      <w:r w:rsidR="00FE4187">
        <w:rPr>
          <w:rFonts w:ascii="Book Antiqua" w:eastAsia="Times New Roman" w:hAnsi="Book Antiqua" w:cs="Times New Roman"/>
          <w:bCs/>
          <w:sz w:val="24"/>
          <w:szCs w:val="24"/>
          <w:lang w:val="uz-Cyrl-UZ"/>
        </w:rPr>
        <w:t>]</w:t>
      </w:r>
      <w:r w:rsidRPr="00A87171">
        <w:rPr>
          <w:rFonts w:ascii="Book Antiqua" w:eastAsia="Times New Roman" w:hAnsi="Book Antiqua" w:cs="Times New Roman"/>
          <w:bCs/>
          <w:sz w:val="24"/>
          <w:szCs w:val="24"/>
          <w:lang w:val="uz-Cyrl-UZ"/>
        </w:rPr>
        <w:t>.</w:t>
      </w:r>
    </w:p>
    <w:p w:rsidR="00A87171" w:rsidRPr="00A87171" w:rsidRDefault="00A87171" w:rsidP="00A87171">
      <w:pPr>
        <w:spacing w:after="0" w:line="276" w:lineRule="auto"/>
        <w:ind w:firstLine="567"/>
        <w:jc w:val="both"/>
        <w:rPr>
          <w:rFonts w:ascii="Book Antiqua" w:eastAsia="Times New Roman" w:hAnsi="Book Antiqua" w:cs="Times New Roman"/>
          <w:bCs/>
          <w:sz w:val="24"/>
          <w:szCs w:val="24"/>
          <w:lang w:val="uz-Cyrl-UZ"/>
        </w:rPr>
      </w:pPr>
      <w:r w:rsidRPr="00A87171">
        <w:rPr>
          <w:rFonts w:ascii="Book Antiqua" w:eastAsia="Times New Roman" w:hAnsi="Book Antiqua" w:cs="Times New Roman"/>
          <w:bCs/>
          <w:sz w:val="24"/>
          <w:szCs w:val="24"/>
          <w:lang w:val="uz-Cyrl-UZ"/>
        </w:rPr>
        <w:t>In conclusion, an individual approach based on gene polymorphisms in the hypouricemic treatment of gout in women plays an important role in altering the effectiveness of therapy</w:t>
      </w:r>
      <w:r w:rsidR="00FE4187">
        <w:rPr>
          <w:rFonts w:ascii="Book Antiqua" w:eastAsia="Times New Roman" w:hAnsi="Book Antiqua" w:cs="Times New Roman"/>
          <w:bCs/>
          <w:sz w:val="24"/>
          <w:szCs w:val="24"/>
          <w:lang w:val="uz-Cyrl-UZ"/>
        </w:rPr>
        <w:t xml:space="preserve"> [1,4]</w:t>
      </w:r>
      <w:r w:rsidR="00FE4187" w:rsidRPr="00A87171">
        <w:rPr>
          <w:rFonts w:ascii="Book Antiqua" w:eastAsia="Times New Roman" w:hAnsi="Book Antiqua" w:cs="Times New Roman"/>
          <w:bCs/>
          <w:sz w:val="24"/>
          <w:szCs w:val="24"/>
          <w:lang w:val="uz-Cyrl-UZ"/>
        </w:rPr>
        <w:t>.</w:t>
      </w:r>
    </w:p>
    <w:p w:rsidR="00A87171" w:rsidRPr="00A87171" w:rsidRDefault="00A87171" w:rsidP="00A87171">
      <w:pPr>
        <w:spacing w:after="0" w:line="276" w:lineRule="auto"/>
        <w:ind w:firstLine="567"/>
        <w:jc w:val="both"/>
        <w:rPr>
          <w:rFonts w:ascii="Book Antiqua" w:eastAsia="Times New Roman" w:hAnsi="Book Antiqua" w:cs="Times New Roman"/>
          <w:bCs/>
          <w:sz w:val="24"/>
          <w:szCs w:val="24"/>
          <w:lang w:val="uz-Cyrl-UZ"/>
        </w:rPr>
      </w:pPr>
      <w:r w:rsidRPr="00A87171">
        <w:rPr>
          <w:rFonts w:ascii="Book Antiqua" w:eastAsia="Times New Roman" w:hAnsi="Book Antiqua" w:cs="Times New Roman"/>
          <w:b/>
          <w:bCs/>
          <w:sz w:val="24"/>
          <w:szCs w:val="24"/>
          <w:lang w:val="uz-Cyrl-UZ"/>
        </w:rPr>
        <w:lastRenderedPageBreak/>
        <w:t xml:space="preserve">Objective: </w:t>
      </w:r>
      <w:r w:rsidRPr="00A87171">
        <w:rPr>
          <w:rFonts w:ascii="Book Antiqua" w:eastAsia="Times New Roman" w:hAnsi="Book Antiqua" w:cs="Times New Roman"/>
          <w:bCs/>
          <w:sz w:val="24"/>
          <w:szCs w:val="24"/>
          <w:lang w:val="uz-Cyrl-UZ"/>
        </w:rPr>
        <w:t xml:space="preserve">to assess the significance of the </w:t>
      </w:r>
      <w:r w:rsidR="00291B83" w:rsidRPr="00291B83">
        <w:rPr>
          <w:rFonts w:ascii="Book Antiqua" w:eastAsia="Times New Roman" w:hAnsi="Book Antiqua" w:cs="Times New Roman"/>
          <w:bCs/>
          <w:i/>
          <w:sz w:val="24"/>
          <w:szCs w:val="24"/>
          <w:lang w:val="uz-Cyrl-UZ"/>
        </w:rPr>
        <w:t xml:space="preserve">APEX1 </w:t>
      </w:r>
      <w:r w:rsidRPr="00291B83">
        <w:rPr>
          <w:rFonts w:ascii="Book Antiqua" w:eastAsia="Times New Roman" w:hAnsi="Book Antiqua" w:cs="Times New Roman"/>
          <w:bCs/>
          <w:i/>
          <w:sz w:val="24"/>
          <w:szCs w:val="24"/>
          <w:lang w:val="uz-Cyrl-UZ"/>
        </w:rPr>
        <w:t xml:space="preserve">(rs2307486) </w:t>
      </w:r>
      <w:r w:rsidRPr="00291B83">
        <w:rPr>
          <w:rFonts w:ascii="Book Antiqua" w:eastAsia="Times New Roman" w:hAnsi="Book Antiqua" w:cs="Times New Roman"/>
          <w:bCs/>
          <w:sz w:val="24"/>
          <w:szCs w:val="24"/>
          <w:lang w:val="uz-Cyrl-UZ"/>
        </w:rPr>
        <w:t>and</w:t>
      </w:r>
      <w:r w:rsidRPr="00291B83">
        <w:rPr>
          <w:rFonts w:ascii="Book Antiqua" w:eastAsia="Times New Roman" w:hAnsi="Book Antiqua" w:cs="Times New Roman"/>
          <w:bCs/>
          <w:i/>
          <w:sz w:val="24"/>
          <w:szCs w:val="24"/>
          <w:lang w:val="uz-Cyrl-UZ"/>
        </w:rPr>
        <w:t xml:space="preserve"> </w:t>
      </w:r>
      <w:r w:rsidR="00291B83" w:rsidRPr="00291B83">
        <w:rPr>
          <w:rFonts w:ascii="Book Antiqua" w:eastAsia="Times New Roman" w:hAnsi="Book Antiqua" w:cs="Times New Roman"/>
          <w:bCs/>
          <w:i/>
          <w:sz w:val="24"/>
          <w:szCs w:val="24"/>
          <w:lang w:val="uz-Cyrl-UZ"/>
        </w:rPr>
        <w:t>URAT1</w:t>
      </w:r>
      <w:r w:rsidRPr="00291B83">
        <w:rPr>
          <w:rFonts w:ascii="Book Antiqua" w:eastAsia="Times New Roman" w:hAnsi="Book Antiqua" w:cs="Times New Roman"/>
          <w:bCs/>
          <w:i/>
          <w:sz w:val="24"/>
          <w:szCs w:val="24"/>
          <w:lang w:val="uz-Cyrl-UZ"/>
        </w:rPr>
        <w:t xml:space="preserve"> (rs11231825)</w:t>
      </w:r>
      <w:r w:rsidRPr="00A87171">
        <w:rPr>
          <w:rFonts w:ascii="Book Antiqua" w:eastAsia="Times New Roman" w:hAnsi="Book Antiqua" w:cs="Times New Roman"/>
          <w:bCs/>
          <w:sz w:val="24"/>
          <w:szCs w:val="24"/>
          <w:lang w:val="uz-Cyrl-UZ"/>
        </w:rPr>
        <w:t xml:space="preserve"> gene polymorphisms in the effectiveness of hypouricemic treatment of gout in women.</w:t>
      </w:r>
    </w:p>
    <w:p w:rsidR="00A87171" w:rsidRPr="00016187" w:rsidRDefault="00A87171" w:rsidP="00A87171">
      <w:pPr>
        <w:spacing w:after="0" w:line="276" w:lineRule="auto"/>
        <w:ind w:firstLine="567"/>
        <w:jc w:val="both"/>
        <w:rPr>
          <w:rFonts w:ascii="Book Antiqua" w:eastAsia="Calibri" w:hAnsi="Book Antiqua" w:cs="Times New Roman"/>
          <w:b/>
          <w:sz w:val="24"/>
          <w:szCs w:val="24"/>
          <w:lang w:val="en-US" w:eastAsia="ru-RU"/>
        </w:rPr>
      </w:pPr>
      <w:r w:rsidRPr="00A87171">
        <w:rPr>
          <w:rFonts w:ascii="Book Antiqua" w:eastAsia="Calibri" w:hAnsi="Book Antiqua" w:cs="Times New Roman"/>
          <w:b/>
          <w:sz w:val="24"/>
          <w:szCs w:val="24"/>
          <w:lang w:val="uz-Cyrl-UZ" w:eastAsia="ru-RU"/>
        </w:rPr>
        <w:t xml:space="preserve">Material and methods. </w:t>
      </w:r>
      <w:r w:rsidRPr="00A87171">
        <w:rPr>
          <w:rFonts w:ascii="Book Antiqua" w:eastAsia="Calibri" w:hAnsi="Book Antiqua" w:cs="Times New Roman"/>
          <w:sz w:val="24"/>
          <w:szCs w:val="24"/>
          <w:lang w:val="uz-Cyrl-UZ" w:eastAsia="ru-RU"/>
        </w:rPr>
        <w:t xml:space="preserve">The scientific research study (meeting the </w:t>
      </w:r>
      <w:r w:rsidRPr="00291B83">
        <w:rPr>
          <w:rFonts w:ascii="Book Antiqua" w:eastAsia="Calibri" w:hAnsi="Book Antiqua" w:cs="Times New Roman"/>
          <w:i/>
          <w:sz w:val="24"/>
          <w:szCs w:val="24"/>
          <w:lang w:val="uz-Cyrl-UZ" w:eastAsia="ru-RU"/>
        </w:rPr>
        <w:t>EULAR/ACR</w:t>
      </w:r>
      <w:r w:rsidRPr="00A87171">
        <w:rPr>
          <w:rFonts w:ascii="Book Antiqua" w:eastAsia="Calibri" w:hAnsi="Book Antiqua" w:cs="Times New Roman"/>
          <w:sz w:val="24"/>
          <w:szCs w:val="24"/>
          <w:lang w:val="uz-Cyrl-UZ" w:eastAsia="ru-RU"/>
        </w:rPr>
        <w:t xml:space="preserve"> criteria, 2015) included 102 women and 100 men aged 18 to 75 years (mean age 46.5±1.4 years), who had applied for outpatient treatment to the Arthrological Intensive Outpatient Diagnostic Consultative (IADC) Department of the Multidisciplinary Clinic of the Tashkent Medical Academy (TMA) during 2021-2025 and were receiving inpatient treatment in the departments of cardiorheumatology, rheumatology, general therapy, and traumatology-orthopedics. Women with gout formed group I, and men formed group II. </w:t>
      </w:r>
      <w:r w:rsidR="00016187" w:rsidRPr="00016187">
        <w:rPr>
          <w:rFonts w:ascii="Book Antiqua" w:hAnsi="Book Antiqua"/>
          <w:sz w:val="24"/>
          <w:lang w:val="en-US"/>
        </w:rPr>
        <w:t>Male patients were included as a secondary comparative cohort to strengthen genetic association analysis and evaluate possible sex-specific differences.</w:t>
      </w:r>
      <w:r w:rsidR="00016187">
        <w:rPr>
          <w:rFonts w:ascii="Book Antiqua" w:eastAsia="Calibri" w:hAnsi="Book Antiqua" w:cs="Times New Roman"/>
          <w:sz w:val="24"/>
          <w:szCs w:val="24"/>
          <w:lang w:val="en-US" w:eastAsia="ru-RU"/>
        </w:rPr>
        <w:t xml:space="preserve"> </w:t>
      </w:r>
      <w:r w:rsidRPr="00A87171">
        <w:rPr>
          <w:rFonts w:ascii="Book Antiqua" w:eastAsia="Calibri" w:hAnsi="Book Antiqua" w:cs="Times New Roman"/>
          <w:sz w:val="24"/>
          <w:szCs w:val="24"/>
          <w:lang w:val="uz-Cyrl-UZ" w:eastAsia="ru-RU"/>
        </w:rPr>
        <w:t xml:space="preserve">The control group included 20 practically healthy women who were age-matched to the patients in the main group and did not reveal pathological changes in clinical, laboratory, and instrumental examinations. The efficacy of hypouricemic drugs such as allopurinol and febuxostat in patients with gout was assessed depending on various genotypic variants of the </w:t>
      </w:r>
      <w:r w:rsidRPr="00291B83">
        <w:rPr>
          <w:rFonts w:ascii="Book Antiqua" w:eastAsia="Calibri" w:hAnsi="Book Antiqua" w:cs="Times New Roman"/>
          <w:i/>
          <w:sz w:val="24"/>
          <w:szCs w:val="24"/>
          <w:lang w:val="uz-Cyrl-UZ" w:eastAsia="ru-RU"/>
        </w:rPr>
        <w:t>APEX1</w:t>
      </w:r>
      <w:r w:rsidRPr="00A87171">
        <w:rPr>
          <w:rFonts w:ascii="Book Antiqua" w:eastAsia="Calibri" w:hAnsi="Book Antiqua" w:cs="Times New Roman"/>
          <w:sz w:val="24"/>
          <w:szCs w:val="24"/>
          <w:lang w:val="uz-Cyrl-UZ" w:eastAsia="ru-RU"/>
        </w:rPr>
        <w:t xml:space="preserve"> and </w:t>
      </w:r>
      <w:r w:rsidRPr="00291B83">
        <w:rPr>
          <w:rFonts w:ascii="Book Antiqua" w:eastAsia="Calibri" w:hAnsi="Book Antiqua" w:cs="Times New Roman"/>
          <w:i/>
          <w:sz w:val="24"/>
          <w:szCs w:val="24"/>
          <w:lang w:val="uz-Cyrl-UZ" w:eastAsia="ru-RU"/>
        </w:rPr>
        <w:t xml:space="preserve">URAT1 </w:t>
      </w:r>
      <w:r w:rsidRPr="00A87171">
        <w:rPr>
          <w:rFonts w:ascii="Book Antiqua" w:eastAsia="Calibri" w:hAnsi="Book Antiqua" w:cs="Times New Roman"/>
          <w:sz w:val="24"/>
          <w:szCs w:val="24"/>
          <w:lang w:val="uz-Cyrl-UZ" w:eastAsia="ru-RU"/>
        </w:rPr>
        <w:t xml:space="preserve">gene polymorphisms. Pharmacogenetic analyses were conducted to determine the relationship between genetic factors and response to treatment. Molecular genetic studies were conducted at the Inter-Institutional Research Laboratory (IRL) of the Tashkent Medical Academy. Venous blood for genetic analysis was taken on an empty stomach in the morning under sterile conditions. DNA isolated from peripheral blood leukocytes served as the research material. The DNA-Express Blood (LLC NPF Litekh, Russia) reagent kit was used to perform genetic tests. The </w:t>
      </w:r>
      <w:r w:rsidRPr="00291B83">
        <w:rPr>
          <w:rFonts w:ascii="Book Antiqua" w:eastAsia="Calibri" w:hAnsi="Book Antiqua" w:cs="Times New Roman"/>
          <w:i/>
          <w:sz w:val="24"/>
          <w:szCs w:val="24"/>
          <w:lang w:val="uz-Cyrl-UZ" w:eastAsia="ru-RU"/>
        </w:rPr>
        <w:t xml:space="preserve">APEX1 </w:t>
      </w:r>
      <w:r w:rsidRPr="00A87171">
        <w:rPr>
          <w:rFonts w:ascii="Book Antiqua" w:eastAsia="Calibri" w:hAnsi="Book Antiqua" w:cs="Times New Roman"/>
          <w:sz w:val="24"/>
          <w:szCs w:val="24"/>
          <w:lang w:val="uz-Cyrl-UZ" w:eastAsia="ru-RU"/>
        </w:rPr>
        <w:t xml:space="preserve">and </w:t>
      </w:r>
      <w:r w:rsidRPr="00291B83">
        <w:rPr>
          <w:rFonts w:ascii="Book Antiqua" w:eastAsia="Calibri" w:hAnsi="Book Antiqua" w:cs="Times New Roman"/>
          <w:i/>
          <w:sz w:val="24"/>
          <w:szCs w:val="24"/>
          <w:lang w:val="uz-Cyrl-UZ" w:eastAsia="ru-RU"/>
        </w:rPr>
        <w:t>URAT1</w:t>
      </w:r>
      <w:r w:rsidRPr="00A87171">
        <w:rPr>
          <w:rFonts w:ascii="Book Antiqua" w:eastAsia="Calibri" w:hAnsi="Book Antiqua" w:cs="Times New Roman"/>
          <w:sz w:val="24"/>
          <w:szCs w:val="24"/>
          <w:lang w:val="uz-Cyrl-UZ" w:eastAsia="ru-RU"/>
        </w:rPr>
        <w:t xml:space="preserve"> genes were tested by polymerase chain reaction (PCR) using a reagent kit provided by the Russian scientific and manufacturing company Litekh. DNA PCR was performed on a DT-96 PCR amplifier (LLC NPO "DNA-Technology", Russia). DNA amplification was performed by initial denaturation at 95 °C for 3 minutes, followed by 40 cycles of denaturation at 95 °C for 15 seconds, followed by annealing and elongation at 63 °C for 40 seconds.</w:t>
      </w:r>
      <w:r w:rsidRPr="00A87171">
        <w:rPr>
          <w:rFonts w:ascii="Book Antiqua" w:eastAsia="Calibri" w:hAnsi="Book Antiqua" w:cs="Times New Roman"/>
          <w:b/>
          <w:sz w:val="24"/>
          <w:szCs w:val="24"/>
          <w:lang w:val="uz-Cyrl-UZ" w:eastAsia="ru-RU"/>
        </w:rPr>
        <w:t xml:space="preserve"> </w:t>
      </w:r>
      <w:r w:rsidR="00016187" w:rsidRPr="00016187">
        <w:rPr>
          <w:rFonts w:ascii="Book Antiqua" w:hAnsi="Book Antiqua"/>
          <w:sz w:val="24"/>
          <w:lang w:val="en-US"/>
        </w:rPr>
        <w:t>Multivariate analyses were performed, adjusting for potential confounders including age, BMI, comorbidities (hypertension, CKD, diabetes), and concomitant medications.</w:t>
      </w:r>
    </w:p>
    <w:p w:rsidR="00A87171" w:rsidRDefault="00A87171" w:rsidP="00A87171">
      <w:pPr>
        <w:spacing w:after="0" w:line="276" w:lineRule="auto"/>
        <w:ind w:firstLine="567"/>
        <w:jc w:val="both"/>
        <w:rPr>
          <w:rFonts w:ascii="Book Antiqua" w:eastAsia="Calibri" w:hAnsi="Book Antiqua" w:cs="Times New Roman"/>
          <w:sz w:val="24"/>
          <w:szCs w:val="24"/>
          <w:lang w:val="uz-Cyrl-UZ" w:eastAsia="ru-RU"/>
        </w:rPr>
      </w:pPr>
      <w:r w:rsidRPr="00A87171">
        <w:rPr>
          <w:rFonts w:ascii="Book Antiqua" w:eastAsia="Calibri" w:hAnsi="Book Antiqua" w:cs="Times New Roman"/>
          <w:b/>
          <w:sz w:val="24"/>
          <w:szCs w:val="24"/>
          <w:lang w:val="uz-Cyrl-UZ" w:eastAsia="ru-RU"/>
        </w:rPr>
        <w:t xml:space="preserve">Results: </w:t>
      </w:r>
      <w:r w:rsidRPr="00A87171">
        <w:rPr>
          <w:rFonts w:ascii="Book Antiqua" w:eastAsia="Calibri" w:hAnsi="Book Antiqua" w:cs="Times New Roman"/>
          <w:sz w:val="24"/>
          <w:szCs w:val="24"/>
          <w:lang w:val="uz-Cyrl-UZ" w:eastAsia="ru-RU"/>
        </w:rPr>
        <w:t xml:space="preserve">The diagram in </w:t>
      </w:r>
      <w:r w:rsidR="002016A1" w:rsidRPr="00A87171">
        <w:rPr>
          <w:rFonts w:ascii="Book Antiqua" w:eastAsia="Calibri" w:hAnsi="Book Antiqua" w:cs="Times New Roman"/>
          <w:sz w:val="24"/>
          <w:szCs w:val="24"/>
          <w:lang w:val="uz-Cyrl-UZ" w:eastAsia="ru-RU"/>
        </w:rPr>
        <w:t>f</w:t>
      </w:r>
      <w:r w:rsidRPr="00A87171">
        <w:rPr>
          <w:rFonts w:ascii="Book Antiqua" w:eastAsia="Calibri" w:hAnsi="Book Antiqua" w:cs="Times New Roman"/>
          <w:sz w:val="24"/>
          <w:szCs w:val="24"/>
          <w:lang w:val="uz-Cyrl-UZ" w:eastAsia="ru-RU"/>
        </w:rPr>
        <w:t xml:space="preserve">igure 1 below compares the efficacy of hypouricemic therapy with allopurinol and febuxostat in gout patients with the APEX1 (rs2307486) polymorphism in four clinical parameters across genotypes </w:t>
      </w:r>
      <w:r w:rsidRPr="00291B83">
        <w:rPr>
          <w:rFonts w:ascii="Book Antiqua" w:eastAsia="Calibri" w:hAnsi="Book Antiqua" w:cs="Times New Roman"/>
          <w:i/>
          <w:sz w:val="24"/>
          <w:szCs w:val="24"/>
          <w:lang w:val="uz-Cyrl-UZ" w:eastAsia="ru-RU"/>
        </w:rPr>
        <w:t>(T/T</w:t>
      </w:r>
      <w:r w:rsidR="00606CB3" w:rsidRPr="00291B83">
        <w:rPr>
          <w:rFonts w:ascii="Book Antiqua" w:eastAsia="Calibri" w:hAnsi="Book Antiqua" w:cs="Times New Roman"/>
          <w:i/>
          <w:sz w:val="24"/>
          <w:szCs w:val="24"/>
          <w:lang w:val="en-US" w:eastAsia="ru-RU"/>
        </w:rPr>
        <w:t xml:space="preserve"> (</w:t>
      </w:r>
      <w:r w:rsidR="00606CB3" w:rsidRPr="00291B83">
        <w:rPr>
          <w:rFonts w:ascii="Book Antiqua" w:hAnsi="Book Antiqua"/>
          <w:i/>
          <w:sz w:val="24"/>
          <w:szCs w:val="24"/>
          <w:lang w:val="en-US"/>
        </w:rPr>
        <w:t>n=32</w:t>
      </w:r>
      <w:r w:rsidR="00606CB3" w:rsidRPr="00291B83">
        <w:rPr>
          <w:rFonts w:ascii="Book Antiqua" w:eastAsia="Calibri" w:hAnsi="Book Antiqua" w:cs="Times New Roman"/>
          <w:i/>
          <w:sz w:val="24"/>
          <w:szCs w:val="24"/>
          <w:lang w:val="en-US" w:eastAsia="ru-RU"/>
        </w:rPr>
        <w:t>)</w:t>
      </w:r>
      <w:r w:rsidRPr="00291B83">
        <w:rPr>
          <w:rFonts w:ascii="Book Antiqua" w:eastAsia="Calibri" w:hAnsi="Book Antiqua" w:cs="Times New Roman"/>
          <w:i/>
          <w:sz w:val="24"/>
          <w:szCs w:val="24"/>
          <w:lang w:val="uz-Cyrl-UZ" w:eastAsia="ru-RU"/>
        </w:rPr>
        <w:t>, T/G</w:t>
      </w:r>
      <w:r w:rsidR="00606CB3" w:rsidRPr="00291B83">
        <w:rPr>
          <w:rFonts w:ascii="Book Antiqua" w:eastAsia="Calibri" w:hAnsi="Book Antiqua" w:cs="Times New Roman"/>
          <w:i/>
          <w:sz w:val="24"/>
          <w:szCs w:val="24"/>
          <w:lang w:val="en-US" w:eastAsia="ru-RU"/>
        </w:rPr>
        <w:t xml:space="preserve"> (</w:t>
      </w:r>
      <w:r w:rsidR="00606CB3" w:rsidRPr="00291B83">
        <w:rPr>
          <w:rFonts w:ascii="Book Antiqua" w:hAnsi="Book Antiqua"/>
          <w:i/>
          <w:sz w:val="24"/>
          <w:szCs w:val="24"/>
          <w:lang w:val="en-US"/>
        </w:rPr>
        <w:t>n=45)</w:t>
      </w:r>
      <w:r w:rsidRPr="00291B83">
        <w:rPr>
          <w:rFonts w:ascii="Book Antiqua" w:eastAsia="Calibri" w:hAnsi="Book Antiqua" w:cs="Times New Roman"/>
          <w:i/>
          <w:sz w:val="24"/>
          <w:szCs w:val="24"/>
          <w:lang w:val="uz-Cyrl-UZ" w:eastAsia="ru-RU"/>
        </w:rPr>
        <w:t>, G/G</w:t>
      </w:r>
      <w:r w:rsidR="00606CB3" w:rsidRPr="00291B83">
        <w:rPr>
          <w:rFonts w:ascii="Book Antiqua" w:eastAsia="Calibri" w:hAnsi="Book Antiqua" w:cs="Times New Roman"/>
          <w:i/>
          <w:sz w:val="24"/>
          <w:szCs w:val="24"/>
          <w:lang w:val="en-US" w:eastAsia="ru-RU"/>
        </w:rPr>
        <w:t xml:space="preserve"> (</w:t>
      </w:r>
      <w:r w:rsidR="00606CB3" w:rsidRPr="00291B83">
        <w:rPr>
          <w:rFonts w:ascii="Book Antiqua" w:hAnsi="Book Antiqua"/>
          <w:i/>
          <w:sz w:val="24"/>
          <w:szCs w:val="24"/>
          <w:lang w:val="en-US"/>
        </w:rPr>
        <w:t>n=25)</w:t>
      </w:r>
      <w:r w:rsidRPr="00606CB3">
        <w:rPr>
          <w:rFonts w:ascii="Book Antiqua" w:eastAsia="Calibri" w:hAnsi="Book Antiqua" w:cs="Times New Roman"/>
          <w:sz w:val="24"/>
          <w:szCs w:val="24"/>
          <w:lang w:val="uz-Cyrl-UZ" w:eastAsia="ru-RU"/>
        </w:rPr>
        <w:t>).</w:t>
      </w:r>
      <w:r w:rsidRPr="00606CB3">
        <w:rPr>
          <w:rFonts w:ascii="Book Antiqua" w:eastAsia="Calibri" w:hAnsi="Book Antiqua" w:cs="Times New Roman"/>
          <w:sz w:val="32"/>
          <w:szCs w:val="24"/>
          <w:lang w:val="uz-Cyrl-UZ" w:eastAsia="ru-RU"/>
        </w:rPr>
        <w:t xml:space="preserve"> </w:t>
      </w:r>
      <w:r w:rsidRPr="00A87171">
        <w:rPr>
          <w:rFonts w:ascii="Book Antiqua" w:eastAsia="Calibri" w:hAnsi="Book Antiqua" w:cs="Times New Roman"/>
          <w:sz w:val="24"/>
          <w:szCs w:val="24"/>
          <w:lang w:val="uz-Cyrl-UZ" w:eastAsia="ru-RU"/>
        </w:rPr>
        <w:t xml:space="preserve">In this study, the level of uric acid in the blood, the reduction/disappearance of tophi volume, the gout severity index, and the reduction in the number of annual attacks were studied against the background of hypouremic therapy recommended for patients with these genotypes. The effectiveness of allopurinol and febuxostat prescribed to patients with the homozygous </w:t>
      </w:r>
      <w:r w:rsidRPr="00291B83">
        <w:rPr>
          <w:rFonts w:ascii="Book Antiqua" w:eastAsia="Calibri" w:hAnsi="Book Antiqua" w:cs="Times New Roman"/>
          <w:i/>
          <w:sz w:val="24"/>
          <w:szCs w:val="24"/>
          <w:lang w:val="uz-Cyrl-UZ" w:eastAsia="ru-RU"/>
        </w:rPr>
        <w:t>T/T</w:t>
      </w:r>
      <w:r w:rsidRPr="00A87171">
        <w:rPr>
          <w:rFonts w:ascii="Book Antiqua" w:eastAsia="Calibri" w:hAnsi="Book Antiqua" w:cs="Times New Roman"/>
          <w:sz w:val="24"/>
          <w:szCs w:val="24"/>
          <w:lang w:val="uz-Cyrl-UZ" w:eastAsia="ru-RU"/>
        </w:rPr>
        <w:t xml:space="preserve"> </w:t>
      </w:r>
      <w:r w:rsidR="00606CB3" w:rsidRPr="00606CB3">
        <w:rPr>
          <w:rFonts w:ascii="Book Antiqua" w:eastAsia="Calibri" w:hAnsi="Book Antiqua" w:cs="Times New Roman"/>
          <w:sz w:val="24"/>
          <w:szCs w:val="24"/>
          <w:lang w:val="en-US" w:eastAsia="ru-RU"/>
        </w:rPr>
        <w:t>(</w:t>
      </w:r>
      <w:r w:rsidR="00606CB3" w:rsidRPr="00606CB3">
        <w:rPr>
          <w:rFonts w:ascii="Book Antiqua" w:hAnsi="Book Antiqua"/>
          <w:sz w:val="24"/>
          <w:szCs w:val="24"/>
          <w:lang w:val="en-US"/>
        </w:rPr>
        <w:t>n=32</w:t>
      </w:r>
      <w:r w:rsidR="00606CB3" w:rsidRPr="00606CB3">
        <w:rPr>
          <w:rFonts w:ascii="Book Antiqua" w:eastAsia="Calibri" w:hAnsi="Book Antiqua" w:cs="Times New Roman"/>
          <w:sz w:val="24"/>
          <w:szCs w:val="24"/>
          <w:lang w:val="en-US" w:eastAsia="ru-RU"/>
        </w:rPr>
        <w:t>)</w:t>
      </w:r>
      <w:r w:rsidR="00606CB3">
        <w:rPr>
          <w:rFonts w:ascii="Book Antiqua" w:eastAsia="Calibri" w:hAnsi="Book Antiqua" w:cs="Times New Roman"/>
          <w:sz w:val="24"/>
          <w:szCs w:val="24"/>
          <w:lang w:val="en-US" w:eastAsia="ru-RU"/>
        </w:rPr>
        <w:t xml:space="preserve"> </w:t>
      </w:r>
      <w:r w:rsidRPr="00A87171">
        <w:rPr>
          <w:rFonts w:ascii="Book Antiqua" w:eastAsia="Calibri" w:hAnsi="Book Antiqua" w:cs="Times New Roman"/>
          <w:sz w:val="24"/>
          <w:szCs w:val="24"/>
          <w:lang w:val="uz-Cyrl-UZ" w:eastAsia="ru-RU"/>
        </w:rPr>
        <w:t xml:space="preserve">genotype of the </w:t>
      </w:r>
      <w:r w:rsidRPr="00291B83">
        <w:rPr>
          <w:rFonts w:ascii="Book Antiqua" w:eastAsia="Calibri" w:hAnsi="Book Antiqua" w:cs="Times New Roman"/>
          <w:i/>
          <w:sz w:val="24"/>
          <w:szCs w:val="24"/>
          <w:lang w:val="uz-Cyrl-UZ" w:eastAsia="ru-RU"/>
        </w:rPr>
        <w:t>APEX1 (rs2307486)</w:t>
      </w:r>
      <w:r w:rsidRPr="00A87171">
        <w:rPr>
          <w:rFonts w:ascii="Book Antiqua" w:eastAsia="Calibri" w:hAnsi="Book Antiqua" w:cs="Times New Roman"/>
          <w:sz w:val="24"/>
          <w:szCs w:val="24"/>
          <w:lang w:val="uz-Cyrl-UZ" w:eastAsia="ru-RU"/>
        </w:rPr>
        <w:t xml:space="preserve"> gene was similar, with all indicators improving by ~70–80%. However, it was noted that p = 0.5, which did not have statistical significance. In this case, both drugs provided the same benefit in patients with the </w:t>
      </w:r>
      <w:r w:rsidRPr="00291B83">
        <w:rPr>
          <w:rFonts w:ascii="Book Antiqua" w:eastAsia="Calibri" w:hAnsi="Book Antiqua" w:cs="Times New Roman"/>
          <w:i/>
          <w:sz w:val="24"/>
          <w:szCs w:val="24"/>
          <w:lang w:val="uz-Cyrl-UZ" w:eastAsia="ru-RU"/>
        </w:rPr>
        <w:t xml:space="preserve">T/T </w:t>
      </w:r>
      <w:r w:rsidRPr="00A87171">
        <w:rPr>
          <w:rFonts w:ascii="Book Antiqua" w:eastAsia="Calibri" w:hAnsi="Book Antiqua" w:cs="Times New Roman"/>
          <w:sz w:val="24"/>
          <w:szCs w:val="24"/>
          <w:lang w:val="uz-Cyrl-UZ" w:eastAsia="ru-RU"/>
        </w:rPr>
        <w:lastRenderedPageBreak/>
        <w:t xml:space="preserve">genotype. Patients with the </w:t>
      </w:r>
      <w:r w:rsidRPr="00291B83">
        <w:rPr>
          <w:rFonts w:ascii="Book Antiqua" w:eastAsia="Calibri" w:hAnsi="Book Antiqua" w:cs="Times New Roman"/>
          <w:i/>
          <w:sz w:val="24"/>
          <w:szCs w:val="24"/>
          <w:lang w:val="uz-Cyrl-UZ" w:eastAsia="ru-RU"/>
        </w:rPr>
        <w:t>T/G</w:t>
      </w:r>
      <w:r w:rsidRPr="00A87171">
        <w:rPr>
          <w:rFonts w:ascii="Book Antiqua" w:eastAsia="Calibri" w:hAnsi="Book Antiqua" w:cs="Times New Roman"/>
          <w:sz w:val="24"/>
          <w:szCs w:val="24"/>
          <w:lang w:val="uz-Cyrl-UZ" w:eastAsia="ru-RU"/>
        </w:rPr>
        <w:t xml:space="preserve"> </w:t>
      </w:r>
      <w:r w:rsidR="00606CB3" w:rsidRPr="00606CB3">
        <w:rPr>
          <w:rFonts w:ascii="Book Antiqua" w:eastAsia="Calibri" w:hAnsi="Book Antiqua" w:cs="Times New Roman"/>
          <w:sz w:val="24"/>
          <w:szCs w:val="24"/>
          <w:lang w:val="en-US" w:eastAsia="ru-RU"/>
        </w:rPr>
        <w:t>(</w:t>
      </w:r>
      <w:r w:rsidR="00606CB3" w:rsidRPr="00606CB3">
        <w:rPr>
          <w:rFonts w:ascii="Book Antiqua" w:hAnsi="Book Antiqua"/>
          <w:sz w:val="24"/>
          <w:szCs w:val="24"/>
          <w:lang w:val="en-US"/>
        </w:rPr>
        <w:t>n=45)</w:t>
      </w:r>
      <w:r w:rsidR="00606CB3">
        <w:rPr>
          <w:rFonts w:ascii="Book Antiqua" w:hAnsi="Book Antiqua"/>
          <w:sz w:val="24"/>
          <w:szCs w:val="24"/>
          <w:lang w:val="en-US"/>
        </w:rPr>
        <w:t xml:space="preserve"> </w:t>
      </w:r>
      <w:r w:rsidRPr="00A87171">
        <w:rPr>
          <w:rFonts w:ascii="Book Antiqua" w:eastAsia="Calibri" w:hAnsi="Book Antiqua" w:cs="Times New Roman"/>
          <w:sz w:val="24"/>
          <w:szCs w:val="24"/>
          <w:lang w:val="uz-Cyrl-UZ" w:eastAsia="ru-RU"/>
        </w:rPr>
        <w:t xml:space="preserve">genotype had significantly higher reductions in uric acid, disappearance of tophi, and reduction in the number of annual attacks against the background of febuxostat treatment. In contrast, the efficacy of allopurinol treatment was significantly lower than that of febuxostat (p&lt;0.01). In the heterozygous state, febuxostat was superior to allopurinol. In the </w:t>
      </w:r>
      <w:r w:rsidRPr="00291B83">
        <w:rPr>
          <w:rFonts w:ascii="Book Antiqua" w:eastAsia="Calibri" w:hAnsi="Book Antiqua" w:cs="Times New Roman"/>
          <w:i/>
          <w:sz w:val="24"/>
          <w:szCs w:val="24"/>
          <w:lang w:val="uz-Cyrl-UZ" w:eastAsia="ru-RU"/>
        </w:rPr>
        <w:t>G/G</w:t>
      </w:r>
      <w:r w:rsidRPr="00A87171">
        <w:rPr>
          <w:rFonts w:ascii="Book Antiqua" w:eastAsia="Calibri" w:hAnsi="Book Antiqua" w:cs="Times New Roman"/>
          <w:sz w:val="24"/>
          <w:szCs w:val="24"/>
          <w:lang w:val="uz-Cyrl-UZ" w:eastAsia="ru-RU"/>
        </w:rPr>
        <w:t xml:space="preserve"> </w:t>
      </w:r>
      <w:r w:rsidR="00606CB3" w:rsidRPr="00606CB3">
        <w:rPr>
          <w:rFonts w:ascii="Book Antiqua" w:eastAsia="Calibri" w:hAnsi="Book Antiqua" w:cs="Times New Roman"/>
          <w:sz w:val="24"/>
          <w:szCs w:val="24"/>
          <w:lang w:val="en-US" w:eastAsia="ru-RU"/>
        </w:rPr>
        <w:t>(</w:t>
      </w:r>
      <w:r w:rsidR="00606CB3" w:rsidRPr="00606CB3">
        <w:rPr>
          <w:rFonts w:ascii="Book Antiqua" w:hAnsi="Book Antiqua"/>
          <w:sz w:val="24"/>
          <w:szCs w:val="24"/>
          <w:lang w:val="en-US"/>
        </w:rPr>
        <w:t>n=25)</w:t>
      </w:r>
      <w:r w:rsidR="00606CB3">
        <w:rPr>
          <w:rFonts w:ascii="Book Antiqua" w:hAnsi="Book Antiqua"/>
          <w:sz w:val="24"/>
          <w:szCs w:val="24"/>
          <w:lang w:val="en-US"/>
        </w:rPr>
        <w:t xml:space="preserve"> </w:t>
      </w:r>
      <w:r w:rsidRPr="00A87171">
        <w:rPr>
          <w:rFonts w:ascii="Book Antiqua" w:eastAsia="Calibri" w:hAnsi="Book Antiqua" w:cs="Times New Roman"/>
          <w:sz w:val="24"/>
          <w:szCs w:val="24"/>
          <w:lang w:val="uz-Cyrl-UZ" w:eastAsia="ru-RU"/>
        </w:rPr>
        <w:t xml:space="preserve">genotype, the efficacy of allopurinol treatment was very low, especially in terms of uric acid levels and the number of annual attacks. When febuxostat was used instead, all parameters improved significantly (~80–90%; (p&lt;0.01)). In the </w:t>
      </w:r>
      <w:r w:rsidRPr="00291B83">
        <w:rPr>
          <w:rFonts w:ascii="Book Antiqua" w:eastAsia="Calibri" w:hAnsi="Book Antiqua" w:cs="Times New Roman"/>
          <w:i/>
          <w:sz w:val="24"/>
          <w:szCs w:val="24"/>
          <w:lang w:val="uz-Cyrl-UZ" w:eastAsia="ru-RU"/>
        </w:rPr>
        <w:t>G/G</w:t>
      </w:r>
      <w:r w:rsidRPr="00A87171">
        <w:rPr>
          <w:rFonts w:ascii="Book Antiqua" w:eastAsia="Calibri" w:hAnsi="Book Antiqua" w:cs="Times New Roman"/>
          <w:sz w:val="24"/>
          <w:szCs w:val="24"/>
          <w:lang w:val="uz-Cyrl-UZ" w:eastAsia="ru-RU"/>
        </w:rPr>
        <w:t xml:space="preserve"> homozygous mutation, only febuxostat was effective, and allopurinol was almost useless.</w:t>
      </w:r>
    </w:p>
    <w:p w:rsidR="00816161" w:rsidRPr="000D6CB8" w:rsidRDefault="00A319CF" w:rsidP="000D6CB8">
      <w:pPr>
        <w:spacing w:after="0" w:line="276" w:lineRule="auto"/>
        <w:jc w:val="both"/>
        <w:rPr>
          <w:rFonts w:ascii="Book Antiqua" w:eastAsia="Times New Roman" w:hAnsi="Book Antiqua" w:cs="Times New Roman"/>
          <w:sz w:val="24"/>
          <w:szCs w:val="24"/>
          <w:lang w:val="uz-Cyrl-UZ"/>
        </w:rPr>
      </w:pPr>
      <w:r w:rsidRPr="00A319CF">
        <w:rPr>
          <w:noProof/>
          <w:lang w:val="en-US"/>
        </w:rPr>
        <w:t xml:space="preserve"> </w:t>
      </w:r>
      <w:r w:rsidRPr="00A319CF">
        <w:rPr>
          <w:rFonts w:ascii="Book Antiqua" w:eastAsia="Times New Roman" w:hAnsi="Book Antiqua" w:cs="Times New Roman"/>
          <w:noProof/>
          <w:sz w:val="24"/>
          <w:szCs w:val="24"/>
          <w:lang w:val="en-US"/>
        </w:rPr>
        <w:drawing>
          <wp:inline distT="0" distB="0" distL="0" distR="0" wp14:anchorId="52BA1C37" wp14:editId="77FCFD2C">
            <wp:extent cx="5995670" cy="3406140"/>
            <wp:effectExtent l="0" t="0" r="508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16907" cy="3418205"/>
                    </a:xfrm>
                    <a:prstGeom prst="rect">
                      <a:avLst/>
                    </a:prstGeom>
                  </pic:spPr>
                </pic:pic>
              </a:graphicData>
            </a:graphic>
          </wp:inline>
        </w:drawing>
      </w:r>
      <w:r w:rsidRPr="00A319CF">
        <w:rPr>
          <w:noProof/>
          <w:lang w:val="en-US"/>
        </w:rPr>
        <w:t xml:space="preserve"> </w:t>
      </w:r>
    </w:p>
    <w:p w:rsidR="00C23FCE" w:rsidRDefault="00C23FCE" w:rsidP="00C23FCE">
      <w:pPr>
        <w:spacing w:after="0" w:line="276" w:lineRule="auto"/>
        <w:jc w:val="center"/>
        <w:rPr>
          <w:rFonts w:ascii="Book Antiqua" w:hAnsi="Book Antiqua" w:cs="Times New Roman"/>
          <w:b/>
          <w:bCs/>
          <w:noProof/>
          <w:sz w:val="24"/>
          <w:szCs w:val="24"/>
          <w:lang w:val="uz-Cyrl-UZ"/>
        </w:rPr>
      </w:pPr>
      <w:r w:rsidRPr="00C23FCE">
        <w:rPr>
          <w:rFonts w:ascii="Book Antiqua" w:hAnsi="Book Antiqua" w:cs="Times New Roman"/>
          <w:b/>
          <w:bCs/>
          <w:noProof/>
          <w:sz w:val="24"/>
          <w:szCs w:val="24"/>
          <w:lang w:val="uz-Cyrl-UZ"/>
        </w:rPr>
        <w:t xml:space="preserve">Figure 1. Dynamics of the main clinical indicators against the background of hypouremic therapy in different variants of the </w:t>
      </w:r>
      <w:r w:rsidRPr="00291B83">
        <w:rPr>
          <w:rFonts w:ascii="Book Antiqua" w:hAnsi="Book Antiqua" w:cs="Times New Roman"/>
          <w:b/>
          <w:bCs/>
          <w:i/>
          <w:noProof/>
          <w:sz w:val="24"/>
          <w:szCs w:val="24"/>
          <w:lang w:val="uz-Cyrl-UZ"/>
        </w:rPr>
        <w:t>APEX1 (rs2307486)</w:t>
      </w:r>
      <w:r w:rsidRPr="00C23FCE">
        <w:rPr>
          <w:rFonts w:ascii="Book Antiqua" w:hAnsi="Book Antiqua" w:cs="Times New Roman"/>
          <w:b/>
          <w:bCs/>
          <w:noProof/>
          <w:sz w:val="24"/>
          <w:szCs w:val="24"/>
          <w:lang w:val="uz-Cyrl-UZ"/>
        </w:rPr>
        <w:t xml:space="preserve"> genotype</w:t>
      </w:r>
    </w:p>
    <w:p w:rsidR="009C025C" w:rsidRPr="00C23FCE" w:rsidRDefault="009C025C" w:rsidP="00C23FCE">
      <w:pPr>
        <w:spacing w:after="0" w:line="276" w:lineRule="auto"/>
        <w:jc w:val="center"/>
        <w:rPr>
          <w:rFonts w:ascii="Book Antiqua" w:hAnsi="Book Antiqua" w:cs="Times New Roman"/>
          <w:b/>
          <w:bCs/>
          <w:noProof/>
          <w:sz w:val="24"/>
          <w:szCs w:val="24"/>
          <w:lang w:val="uz-Cyrl-UZ"/>
        </w:rPr>
      </w:pPr>
    </w:p>
    <w:p w:rsidR="00C23FCE" w:rsidRPr="00C23FCE" w:rsidRDefault="00C23FCE" w:rsidP="00C23FCE">
      <w:pPr>
        <w:spacing w:after="0" w:line="276" w:lineRule="auto"/>
        <w:ind w:firstLine="567"/>
        <w:jc w:val="both"/>
        <w:rPr>
          <w:rFonts w:ascii="Book Antiqua" w:hAnsi="Book Antiqua" w:cs="Times New Roman"/>
          <w:bCs/>
          <w:noProof/>
          <w:sz w:val="24"/>
          <w:szCs w:val="24"/>
          <w:lang w:val="uz-Cyrl-UZ"/>
        </w:rPr>
      </w:pPr>
      <w:r w:rsidRPr="00C23FCE">
        <w:rPr>
          <w:rFonts w:ascii="Book Antiqua" w:hAnsi="Book Antiqua" w:cs="Times New Roman"/>
          <w:bCs/>
          <w:noProof/>
          <w:sz w:val="24"/>
          <w:szCs w:val="24"/>
          <w:lang w:val="uz-Cyrl-UZ"/>
        </w:rPr>
        <w:t xml:space="preserve">Indeed, it was found that the response to hypouricemic therapy in gout patients with the </w:t>
      </w:r>
      <w:r w:rsidRPr="00291B83">
        <w:rPr>
          <w:rFonts w:ascii="Book Antiqua" w:hAnsi="Book Antiqua" w:cs="Times New Roman"/>
          <w:bCs/>
          <w:i/>
          <w:noProof/>
          <w:sz w:val="24"/>
          <w:szCs w:val="24"/>
          <w:lang w:val="uz-Cyrl-UZ"/>
        </w:rPr>
        <w:t>APEX1 (rs2307486)</w:t>
      </w:r>
      <w:r w:rsidRPr="00C23FCE">
        <w:rPr>
          <w:rFonts w:ascii="Book Antiqua" w:hAnsi="Book Antiqua" w:cs="Times New Roman"/>
          <w:bCs/>
          <w:noProof/>
          <w:sz w:val="24"/>
          <w:szCs w:val="24"/>
          <w:lang w:val="uz-Cyrl-UZ"/>
        </w:rPr>
        <w:t xml:space="preserve"> polymorphism depends on the genotype. In patients with the </w:t>
      </w:r>
      <w:r w:rsidRPr="00291B83">
        <w:rPr>
          <w:rFonts w:ascii="Book Antiqua" w:hAnsi="Book Antiqua" w:cs="Times New Roman"/>
          <w:bCs/>
          <w:i/>
          <w:noProof/>
          <w:sz w:val="24"/>
          <w:szCs w:val="24"/>
          <w:lang w:val="uz-Cyrl-UZ"/>
        </w:rPr>
        <w:t>T/T</w:t>
      </w:r>
      <w:r w:rsidRPr="00C23FCE">
        <w:rPr>
          <w:rFonts w:ascii="Book Antiqua" w:hAnsi="Book Antiqua" w:cs="Times New Roman"/>
          <w:bCs/>
          <w:noProof/>
          <w:sz w:val="24"/>
          <w:szCs w:val="24"/>
          <w:lang w:val="uz-Cyrl-UZ"/>
        </w:rPr>
        <w:t xml:space="preserve"> genotype, the efficacy of allopurinol and febuxostat is similar, in the </w:t>
      </w:r>
      <w:r w:rsidRPr="00291B83">
        <w:rPr>
          <w:rFonts w:ascii="Book Antiqua" w:hAnsi="Book Antiqua" w:cs="Times New Roman"/>
          <w:bCs/>
          <w:i/>
          <w:noProof/>
          <w:sz w:val="24"/>
          <w:szCs w:val="24"/>
          <w:lang w:val="uz-Cyrl-UZ"/>
        </w:rPr>
        <w:t>T/G</w:t>
      </w:r>
      <w:r w:rsidRPr="00C23FCE">
        <w:rPr>
          <w:rFonts w:ascii="Book Antiqua" w:hAnsi="Book Antiqua" w:cs="Times New Roman"/>
          <w:bCs/>
          <w:noProof/>
          <w:sz w:val="24"/>
          <w:szCs w:val="24"/>
          <w:lang w:val="uz-Cyrl-UZ"/>
        </w:rPr>
        <w:t xml:space="preserve"> heterozygote state, febuxostat is more effective, and in the </w:t>
      </w:r>
      <w:r w:rsidRPr="00291B83">
        <w:rPr>
          <w:rFonts w:ascii="Book Antiqua" w:hAnsi="Book Antiqua" w:cs="Times New Roman"/>
          <w:bCs/>
          <w:i/>
          <w:noProof/>
          <w:sz w:val="24"/>
          <w:szCs w:val="24"/>
          <w:lang w:val="uz-Cyrl-UZ"/>
        </w:rPr>
        <w:t>G/G</w:t>
      </w:r>
      <w:r w:rsidRPr="00C23FCE">
        <w:rPr>
          <w:rFonts w:ascii="Book Antiqua" w:hAnsi="Book Antiqua" w:cs="Times New Roman"/>
          <w:bCs/>
          <w:noProof/>
          <w:sz w:val="24"/>
          <w:szCs w:val="24"/>
          <w:lang w:val="uz-Cyrl-UZ"/>
        </w:rPr>
        <w:t xml:space="preserve"> mutated homozygote, allopurinol is ineffective, only febuxostat showed a high efficacy. These results provide an important basis for a pharmacogenetically adequate approach to personalized treatment and indicate the need to take into account the </w:t>
      </w:r>
      <w:r w:rsidRPr="00291B83">
        <w:rPr>
          <w:rFonts w:ascii="Book Antiqua" w:hAnsi="Book Antiqua" w:cs="Times New Roman"/>
          <w:bCs/>
          <w:i/>
          <w:noProof/>
          <w:sz w:val="24"/>
          <w:szCs w:val="24"/>
          <w:lang w:val="uz-Cyrl-UZ"/>
        </w:rPr>
        <w:t>APEX1 (rs2307486)</w:t>
      </w:r>
      <w:r w:rsidRPr="00C23FCE">
        <w:rPr>
          <w:rFonts w:ascii="Book Antiqua" w:hAnsi="Book Antiqua" w:cs="Times New Roman"/>
          <w:bCs/>
          <w:noProof/>
          <w:sz w:val="24"/>
          <w:szCs w:val="24"/>
          <w:lang w:val="uz-Cyrl-UZ"/>
        </w:rPr>
        <w:t xml:space="preserve"> genotype when planning successful therapy.</w:t>
      </w:r>
    </w:p>
    <w:p w:rsidR="00C23FCE" w:rsidRPr="007D7204" w:rsidRDefault="00C23FCE" w:rsidP="00C23FCE">
      <w:pPr>
        <w:spacing w:after="0" w:line="276" w:lineRule="auto"/>
        <w:jc w:val="center"/>
        <w:rPr>
          <w:rFonts w:ascii="Book Antiqua" w:hAnsi="Book Antiqua" w:cs="Times New Roman"/>
          <w:b/>
          <w:bCs/>
          <w:noProof/>
          <w:szCs w:val="24"/>
          <w:lang w:val="en-US"/>
        </w:rPr>
      </w:pPr>
    </w:p>
    <w:p w:rsidR="00145E5E" w:rsidRPr="00A319CF" w:rsidRDefault="00A319CF" w:rsidP="00A319CF">
      <w:pPr>
        <w:spacing w:after="0" w:line="276" w:lineRule="auto"/>
        <w:jc w:val="center"/>
        <w:rPr>
          <w:rFonts w:ascii="Book Antiqua" w:hAnsi="Book Antiqua" w:cs="Times New Roman"/>
          <w:noProof/>
          <w:sz w:val="24"/>
          <w:szCs w:val="24"/>
          <w:lang w:val="uz-Cyrl-UZ"/>
        </w:rPr>
      </w:pPr>
      <w:r w:rsidRPr="00A319CF">
        <w:rPr>
          <w:rFonts w:ascii="Book Antiqua" w:hAnsi="Book Antiqua" w:cs="Times New Roman"/>
          <w:noProof/>
          <w:sz w:val="24"/>
          <w:szCs w:val="24"/>
          <w:lang w:val="en-US"/>
        </w:rPr>
        <w:lastRenderedPageBreak/>
        <w:drawing>
          <wp:inline distT="0" distB="0" distL="0" distR="0" wp14:anchorId="15DD27A1" wp14:editId="34FCAB94">
            <wp:extent cx="6073666" cy="4473328"/>
            <wp:effectExtent l="0" t="0" r="3810" b="381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73666" cy="4473328"/>
                    </a:xfrm>
                    <a:prstGeom prst="rect">
                      <a:avLst/>
                    </a:prstGeom>
                  </pic:spPr>
                </pic:pic>
              </a:graphicData>
            </a:graphic>
          </wp:inline>
        </w:drawing>
      </w:r>
      <w:r w:rsidR="00816161" w:rsidRPr="000D6CB8">
        <w:rPr>
          <w:rFonts w:ascii="Book Antiqua" w:hAnsi="Book Antiqua" w:cs="Times New Roman"/>
          <w:noProof/>
          <w:sz w:val="24"/>
          <w:szCs w:val="24"/>
          <w:lang w:val="uz-Cyrl-UZ"/>
        </w:rPr>
        <w:t xml:space="preserve"> </w:t>
      </w:r>
    </w:p>
    <w:p w:rsidR="00C23FCE" w:rsidRDefault="00C23FCE" w:rsidP="00C23FCE">
      <w:pPr>
        <w:spacing w:after="0" w:line="276" w:lineRule="auto"/>
        <w:jc w:val="center"/>
        <w:rPr>
          <w:rFonts w:ascii="Book Antiqua" w:hAnsi="Book Antiqua" w:cs="Times New Roman"/>
          <w:b/>
          <w:bCs/>
          <w:iCs/>
          <w:noProof/>
          <w:sz w:val="24"/>
          <w:szCs w:val="24"/>
          <w:lang w:val="uz-Cyrl-UZ"/>
        </w:rPr>
      </w:pPr>
      <w:r w:rsidRPr="00C23FCE">
        <w:rPr>
          <w:rFonts w:ascii="Book Antiqua" w:hAnsi="Book Antiqua" w:cs="Times New Roman"/>
          <w:b/>
          <w:bCs/>
          <w:iCs/>
          <w:noProof/>
          <w:sz w:val="24"/>
          <w:szCs w:val="24"/>
          <w:lang w:val="uz-Cyrl-UZ"/>
        </w:rPr>
        <w:t xml:space="preserve">Figure 2. Dynamics of SF-36 quality of life indicators against the background of hypouremic therapy in different variants of the </w:t>
      </w:r>
      <w:r w:rsidRPr="00291B83">
        <w:rPr>
          <w:rFonts w:ascii="Book Antiqua" w:hAnsi="Book Antiqua" w:cs="Times New Roman"/>
          <w:b/>
          <w:bCs/>
          <w:i/>
          <w:iCs/>
          <w:noProof/>
          <w:sz w:val="24"/>
          <w:szCs w:val="24"/>
          <w:lang w:val="uz-Cyrl-UZ"/>
        </w:rPr>
        <w:t>APEX1 (rs2307486)</w:t>
      </w:r>
      <w:r w:rsidRPr="00C23FCE">
        <w:rPr>
          <w:rFonts w:ascii="Book Antiqua" w:hAnsi="Book Antiqua" w:cs="Times New Roman"/>
          <w:b/>
          <w:bCs/>
          <w:iCs/>
          <w:noProof/>
          <w:sz w:val="24"/>
          <w:szCs w:val="24"/>
          <w:lang w:val="uz-Cyrl-UZ"/>
        </w:rPr>
        <w:t xml:space="preserve"> genotype</w:t>
      </w:r>
    </w:p>
    <w:p w:rsidR="00145E5E" w:rsidRPr="00C23FCE" w:rsidRDefault="00145E5E" w:rsidP="00C23FCE">
      <w:pPr>
        <w:spacing w:after="0" w:line="276" w:lineRule="auto"/>
        <w:jc w:val="center"/>
        <w:rPr>
          <w:rFonts w:ascii="Book Antiqua" w:hAnsi="Book Antiqua" w:cs="Times New Roman"/>
          <w:b/>
          <w:bCs/>
          <w:iCs/>
          <w:noProof/>
          <w:sz w:val="24"/>
          <w:szCs w:val="24"/>
          <w:lang w:val="uz-Cyrl-UZ"/>
        </w:rPr>
      </w:pPr>
    </w:p>
    <w:p w:rsidR="00C23FCE" w:rsidRPr="00C23FCE" w:rsidRDefault="00C23FCE" w:rsidP="00C23FCE">
      <w:pPr>
        <w:spacing w:after="0" w:line="276" w:lineRule="auto"/>
        <w:ind w:firstLine="567"/>
        <w:jc w:val="both"/>
        <w:rPr>
          <w:rFonts w:ascii="Book Antiqua" w:hAnsi="Book Antiqua" w:cs="Times New Roman"/>
          <w:bCs/>
          <w:iCs/>
          <w:noProof/>
          <w:sz w:val="24"/>
          <w:szCs w:val="24"/>
          <w:lang w:val="uz-Cyrl-UZ"/>
        </w:rPr>
      </w:pPr>
      <w:r w:rsidRPr="00C23FCE">
        <w:rPr>
          <w:rFonts w:ascii="Book Antiqua" w:hAnsi="Book Antiqua" w:cs="Times New Roman"/>
          <w:bCs/>
          <w:iCs/>
          <w:noProof/>
          <w:sz w:val="24"/>
          <w:szCs w:val="24"/>
          <w:lang w:val="uz-Cyrl-UZ"/>
        </w:rPr>
        <w:t xml:space="preserve">The bar graph in </w:t>
      </w:r>
      <w:r w:rsidR="002016A1" w:rsidRPr="00A87171">
        <w:rPr>
          <w:rFonts w:ascii="Book Antiqua" w:eastAsia="Calibri" w:hAnsi="Book Antiqua" w:cs="Times New Roman"/>
          <w:sz w:val="24"/>
          <w:szCs w:val="24"/>
          <w:lang w:val="uz-Cyrl-UZ" w:eastAsia="ru-RU"/>
        </w:rPr>
        <w:t>f</w:t>
      </w:r>
      <w:r w:rsidRPr="00C23FCE">
        <w:rPr>
          <w:rFonts w:ascii="Book Antiqua" w:hAnsi="Book Antiqua" w:cs="Times New Roman"/>
          <w:bCs/>
          <w:iCs/>
          <w:noProof/>
          <w:sz w:val="24"/>
          <w:szCs w:val="24"/>
          <w:lang w:val="uz-Cyrl-UZ"/>
        </w:rPr>
        <w:t xml:space="preserve">igure 2 above presents a comparative analysis of the indicators of the overall quality of life on the SF-36 scale before and after treatment for different genotypes of the </w:t>
      </w:r>
      <w:r w:rsidRPr="00291B83">
        <w:rPr>
          <w:rFonts w:ascii="Book Antiqua" w:hAnsi="Book Antiqua" w:cs="Times New Roman"/>
          <w:bCs/>
          <w:i/>
          <w:iCs/>
          <w:noProof/>
          <w:sz w:val="24"/>
          <w:szCs w:val="24"/>
          <w:lang w:val="uz-Cyrl-UZ"/>
        </w:rPr>
        <w:t>APEX1 (rs2307486)</w:t>
      </w:r>
      <w:r w:rsidRPr="00C23FCE">
        <w:rPr>
          <w:rFonts w:ascii="Book Antiqua" w:hAnsi="Book Antiqua" w:cs="Times New Roman"/>
          <w:bCs/>
          <w:iCs/>
          <w:noProof/>
          <w:sz w:val="24"/>
          <w:szCs w:val="24"/>
          <w:lang w:val="uz-Cyrl-UZ"/>
        </w:rPr>
        <w:t xml:space="preserve"> gene </w:t>
      </w:r>
      <w:r w:rsidRPr="00291B83">
        <w:rPr>
          <w:rFonts w:ascii="Book Antiqua" w:hAnsi="Book Antiqua" w:cs="Times New Roman"/>
          <w:bCs/>
          <w:i/>
          <w:iCs/>
          <w:noProof/>
          <w:sz w:val="24"/>
          <w:szCs w:val="24"/>
          <w:lang w:val="uz-Cyrl-UZ"/>
        </w:rPr>
        <w:t>(T/T, T/G, G/G)</w:t>
      </w:r>
      <w:r w:rsidRPr="00C23FCE">
        <w:rPr>
          <w:rFonts w:ascii="Book Antiqua" w:hAnsi="Book Antiqua" w:cs="Times New Roman"/>
          <w:bCs/>
          <w:iCs/>
          <w:noProof/>
          <w:sz w:val="24"/>
          <w:szCs w:val="24"/>
          <w:lang w:val="uz-Cyrl-UZ"/>
        </w:rPr>
        <w:t xml:space="preserve"> detected in gout patients. In the graph, in the </w:t>
      </w:r>
      <w:r w:rsidRPr="00291B83">
        <w:rPr>
          <w:rFonts w:ascii="Book Antiqua" w:hAnsi="Book Antiqua" w:cs="Times New Roman"/>
          <w:bCs/>
          <w:i/>
          <w:iCs/>
          <w:noProof/>
          <w:sz w:val="24"/>
          <w:szCs w:val="24"/>
          <w:lang w:val="uz-Cyrl-UZ"/>
        </w:rPr>
        <w:t>T/T</w:t>
      </w:r>
      <w:r w:rsidRPr="00C23FCE">
        <w:rPr>
          <w:rFonts w:ascii="Book Antiqua" w:hAnsi="Book Antiqua" w:cs="Times New Roman"/>
          <w:bCs/>
          <w:iCs/>
          <w:noProof/>
          <w:sz w:val="24"/>
          <w:szCs w:val="24"/>
          <w:lang w:val="uz-Cyrl-UZ"/>
        </w:rPr>
        <w:t xml:space="preserve"> genotype (green line), a significant improvement was observed in all SF-36 domains after treatment. Some indicators (VT, SF, PF) approached 90 points, which indicates a very high quality of life (p&lt;0.001). In the </w:t>
      </w:r>
      <w:r w:rsidRPr="00291B83">
        <w:rPr>
          <w:rFonts w:ascii="Book Antiqua" w:hAnsi="Book Antiqua" w:cs="Times New Roman"/>
          <w:bCs/>
          <w:i/>
          <w:iCs/>
          <w:noProof/>
          <w:sz w:val="24"/>
          <w:szCs w:val="24"/>
          <w:lang w:val="uz-Cyrl-UZ"/>
        </w:rPr>
        <w:t>T/G</w:t>
      </w:r>
      <w:r w:rsidRPr="00C23FCE">
        <w:rPr>
          <w:rFonts w:ascii="Book Antiqua" w:hAnsi="Book Antiqua" w:cs="Times New Roman"/>
          <w:bCs/>
          <w:iCs/>
          <w:noProof/>
          <w:sz w:val="24"/>
          <w:szCs w:val="24"/>
          <w:lang w:val="uz-Cyrl-UZ"/>
        </w:rPr>
        <w:t xml:space="preserve"> genotype (yellow line), moderate positive dynamics were observed in all indicators. Statistically significant differences were noted in some indicators (p&lt;0.01). Thus, patients with the </w:t>
      </w:r>
      <w:r w:rsidRPr="00291B83">
        <w:rPr>
          <w:rFonts w:ascii="Book Antiqua" w:hAnsi="Book Antiqua" w:cs="Times New Roman"/>
          <w:bCs/>
          <w:i/>
          <w:iCs/>
          <w:noProof/>
          <w:sz w:val="24"/>
          <w:szCs w:val="24"/>
          <w:lang w:val="uz-Cyrl-UZ"/>
        </w:rPr>
        <w:t>T/G</w:t>
      </w:r>
      <w:r w:rsidRPr="00C23FCE">
        <w:rPr>
          <w:rFonts w:ascii="Book Antiqua" w:hAnsi="Book Antiqua" w:cs="Times New Roman"/>
          <w:bCs/>
          <w:iCs/>
          <w:noProof/>
          <w:sz w:val="24"/>
          <w:szCs w:val="24"/>
          <w:lang w:val="uz-Cyrl-UZ"/>
        </w:rPr>
        <w:t xml:space="preserve"> heterozygous mutant genotype also respond positively to hypouremic therapy, but the effectiveness of treatment is lower than that of the </w:t>
      </w:r>
      <w:r w:rsidRPr="00291B83">
        <w:rPr>
          <w:rFonts w:ascii="Book Antiqua" w:hAnsi="Book Antiqua" w:cs="Times New Roman"/>
          <w:bCs/>
          <w:i/>
          <w:iCs/>
          <w:noProof/>
          <w:sz w:val="24"/>
          <w:szCs w:val="24"/>
          <w:lang w:val="uz-Cyrl-UZ"/>
        </w:rPr>
        <w:t>T/T</w:t>
      </w:r>
      <w:r w:rsidRPr="00C23FCE">
        <w:rPr>
          <w:rFonts w:ascii="Book Antiqua" w:hAnsi="Book Antiqua" w:cs="Times New Roman"/>
          <w:bCs/>
          <w:iCs/>
          <w:noProof/>
          <w:sz w:val="24"/>
          <w:szCs w:val="24"/>
          <w:lang w:val="uz-Cyrl-UZ"/>
        </w:rPr>
        <w:t xml:space="preserve"> genotype. Patients with the </w:t>
      </w:r>
      <w:r w:rsidRPr="00291B83">
        <w:rPr>
          <w:rFonts w:ascii="Book Antiqua" w:hAnsi="Book Antiqua" w:cs="Times New Roman"/>
          <w:bCs/>
          <w:i/>
          <w:iCs/>
          <w:noProof/>
          <w:sz w:val="24"/>
          <w:szCs w:val="24"/>
          <w:lang w:val="uz-Cyrl-UZ"/>
        </w:rPr>
        <w:t>G/G</w:t>
      </w:r>
      <w:r w:rsidRPr="00C23FCE">
        <w:rPr>
          <w:rFonts w:ascii="Book Antiqua" w:hAnsi="Book Antiqua" w:cs="Times New Roman"/>
          <w:bCs/>
          <w:iCs/>
          <w:noProof/>
          <w:sz w:val="24"/>
          <w:szCs w:val="24"/>
          <w:lang w:val="uz-Cyrl-UZ"/>
        </w:rPr>
        <w:t xml:space="preserve"> genotype (red line) retained significantly lower levels of quality of life indicators after treatment. No clinically or statistically significant improvement was observed in all domains. Thus, the effectiveness of treatment in the </w:t>
      </w:r>
      <w:r w:rsidRPr="00291B83">
        <w:rPr>
          <w:rFonts w:ascii="Book Antiqua" w:hAnsi="Book Antiqua" w:cs="Times New Roman"/>
          <w:bCs/>
          <w:i/>
          <w:iCs/>
          <w:noProof/>
          <w:sz w:val="24"/>
          <w:szCs w:val="24"/>
          <w:lang w:val="uz-Cyrl-UZ"/>
        </w:rPr>
        <w:t>G/G</w:t>
      </w:r>
      <w:r w:rsidRPr="00C23FCE">
        <w:rPr>
          <w:rFonts w:ascii="Book Antiqua" w:hAnsi="Book Antiqua" w:cs="Times New Roman"/>
          <w:bCs/>
          <w:iCs/>
          <w:noProof/>
          <w:sz w:val="24"/>
          <w:szCs w:val="24"/>
          <w:lang w:val="uz-Cyrl-UZ"/>
        </w:rPr>
        <w:t xml:space="preserve"> genotype is lower than in patients with other genotypes, which indicates the presence of this genetic resistance in them.</w:t>
      </w:r>
    </w:p>
    <w:p w:rsidR="00C23FCE" w:rsidRDefault="00C23FCE" w:rsidP="00C23FCE">
      <w:pPr>
        <w:spacing w:after="0" w:line="276" w:lineRule="auto"/>
        <w:jc w:val="center"/>
        <w:rPr>
          <w:rFonts w:ascii="Book Antiqua" w:hAnsi="Book Antiqua" w:cs="Times New Roman"/>
          <w:b/>
          <w:bCs/>
          <w:i/>
          <w:iCs/>
          <w:noProof/>
          <w:sz w:val="18"/>
          <w:szCs w:val="24"/>
          <w:lang w:val="uz-Cyrl-UZ"/>
        </w:rPr>
      </w:pPr>
    </w:p>
    <w:p w:rsidR="00816161" w:rsidRPr="00A319CF" w:rsidRDefault="00145E5E" w:rsidP="00C23FCE">
      <w:pPr>
        <w:spacing w:after="0" w:line="276" w:lineRule="auto"/>
        <w:jc w:val="center"/>
        <w:rPr>
          <w:rFonts w:ascii="Book Antiqua" w:hAnsi="Book Antiqua" w:cs="Times New Roman"/>
          <w:noProof/>
          <w:sz w:val="24"/>
          <w:szCs w:val="24"/>
          <w:lang w:val="en-US"/>
        </w:rPr>
      </w:pPr>
      <w:r w:rsidRPr="00145E5E">
        <w:rPr>
          <w:rFonts w:ascii="Book Antiqua" w:hAnsi="Book Antiqua" w:cs="Times New Roman"/>
          <w:bCs/>
          <w:noProof/>
          <w:sz w:val="24"/>
          <w:szCs w:val="24"/>
          <w:lang w:val="uz-Cyrl-UZ"/>
        </w:rPr>
        <w:lastRenderedPageBreak/>
        <w:t xml:space="preserve"> </w:t>
      </w:r>
      <w:r w:rsidR="00A319CF">
        <w:rPr>
          <w:rFonts w:ascii="Book Antiqua" w:hAnsi="Book Antiqua" w:cs="Times New Roman"/>
          <w:bCs/>
          <w:noProof/>
          <w:sz w:val="24"/>
          <w:szCs w:val="24"/>
          <w:lang w:val="en-US"/>
        </w:rPr>
        <w:drawing>
          <wp:inline distT="0" distB="0" distL="0" distR="0">
            <wp:extent cx="5905500" cy="348996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00" cy="3489960"/>
                    </a:xfrm>
                    <a:prstGeom prst="rect">
                      <a:avLst/>
                    </a:prstGeom>
                    <a:noFill/>
                    <a:ln>
                      <a:noFill/>
                    </a:ln>
                  </pic:spPr>
                </pic:pic>
              </a:graphicData>
            </a:graphic>
          </wp:inline>
        </w:drawing>
      </w:r>
    </w:p>
    <w:p w:rsidR="00622061" w:rsidRPr="00622061" w:rsidRDefault="00622061" w:rsidP="00622061">
      <w:pPr>
        <w:spacing w:after="0" w:line="276" w:lineRule="auto"/>
        <w:jc w:val="center"/>
        <w:rPr>
          <w:rFonts w:ascii="Book Antiqua" w:hAnsi="Book Antiqua" w:cs="Times New Roman"/>
          <w:b/>
          <w:bCs/>
          <w:noProof/>
          <w:sz w:val="24"/>
          <w:szCs w:val="24"/>
          <w:lang w:val="uz-Cyrl-UZ"/>
        </w:rPr>
      </w:pPr>
      <w:r w:rsidRPr="00622061">
        <w:rPr>
          <w:rFonts w:ascii="Book Antiqua" w:hAnsi="Book Antiqua" w:cs="Times New Roman"/>
          <w:b/>
          <w:bCs/>
          <w:noProof/>
          <w:sz w:val="18"/>
          <w:szCs w:val="24"/>
          <w:lang w:val="uz-Cyrl-UZ"/>
        </w:rPr>
        <w:t xml:space="preserve">Note: </w:t>
      </w:r>
      <w:r w:rsidRPr="00622061">
        <w:rPr>
          <w:rFonts w:ascii="Book Antiqua" w:hAnsi="Book Antiqua" w:cs="Times New Roman"/>
          <w:bCs/>
          <w:noProof/>
          <w:sz w:val="18"/>
          <w:szCs w:val="24"/>
          <w:lang w:val="uz-Cyrl-UZ"/>
        </w:rPr>
        <w:t>*-р&lt;0.05; **-р&lt;0.02; ***-р&lt;0.01 – significance of differences compared to pre-treatment indicators;</w:t>
      </w:r>
    </w:p>
    <w:p w:rsidR="00622061" w:rsidRDefault="00622061" w:rsidP="00622061">
      <w:pPr>
        <w:spacing w:after="0" w:line="276" w:lineRule="auto"/>
        <w:jc w:val="center"/>
        <w:rPr>
          <w:rFonts w:ascii="Book Antiqua" w:hAnsi="Book Antiqua" w:cs="Times New Roman"/>
          <w:b/>
          <w:bCs/>
          <w:noProof/>
          <w:sz w:val="24"/>
          <w:szCs w:val="24"/>
          <w:lang w:val="uz-Cyrl-UZ"/>
        </w:rPr>
      </w:pPr>
      <w:r w:rsidRPr="00622061">
        <w:rPr>
          <w:rFonts w:ascii="Book Antiqua" w:hAnsi="Book Antiqua" w:cs="Times New Roman"/>
          <w:b/>
          <w:bCs/>
          <w:noProof/>
          <w:sz w:val="24"/>
          <w:szCs w:val="24"/>
          <w:lang w:val="uz-Cyrl-UZ"/>
        </w:rPr>
        <w:t xml:space="preserve">Figure 3. Dynamics of quality of life indicators according to the EQ-5D scale in different variants of the </w:t>
      </w:r>
      <w:r w:rsidRPr="00291B83">
        <w:rPr>
          <w:rFonts w:ascii="Book Antiqua" w:hAnsi="Book Antiqua" w:cs="Times New Roman"/>
          <w:b/>
          <w:bCs/>
          <w:i/>
          <w:noProof/>
          <w:sz w:val="24"/>
          <w:szCs w:val="24"/>
          <w:lang w:val="uz-Cyrl-UZ"/>
        </w:rPr>
        <w:t>APEX1 (rs2307486)</w:t>
      </w:r>
      <w:r w:rsidRPr="00622061">
        <w:rPr>
          <w:rFonts w:ascii="Book Antiqua" w:hAnsi="Book Antiqua" w:cs="Times New Roman"/>
          <w:b/>
          <w:bCs/>
          <w:noProof/>
          <w:sz w:val="24"/>
          <w:szCs w:val="24"/>
          <w:lang w:val="uz-Cyrl-UZ"/>
        </w:rPr>
        <w:t xml:space="preserve"> genotype against the background of hypouremic therapy</w:t>
      </w:r>
    </w:p>
    <w:p w:rsidR="00145E5E" w:rsidRPr="00622061" w:rsidRDefault="00145E5E" w:rsidP="00622061">
      <w:pPr>
        <w:spacing w:after="0" w:line="276" w:lineRule="auto"/>
        <w:jc w:val="center"/>
        <w:rPr>
          <w:rFonts w:ascii="Book Antiqua" w:hAnsi="Book Antiqua" w:cs="Times New Roman"/>
          <w:b/>
          <w:bCs/>
          <w:noProof/>
          <w:sz w:val="24"/>
          <w:szCs w:val="24"/>
          <w:lang w:val="uz-Cyrl-UZ"/>
        </w:rPr>
      </w:pPr>
    </w:p>
    <w:p w:rsidR="00622061" w:rsidRPr="00622061" w:rsidRDefault="00622061" w:rsidP="00622061">
      <w:pPr>
        <w:spacing w:after="0" w:line="276" w:lineRule="auto"/>
        <w:ind w:firstLine="567"/>
        <w:jc w:val="both"/>
        <w:rPr>
          <w:rFonts w:ascii="Book Antiqua" w:hAnsi="Book Antiqua" w:cs="Times New Roman"/>
          <w:bCs/>
          <w:noProof/>
          <w:sz w:val="24"/>
          <w:szCs w:val="24"/>
          <w:lang w:val="uz-Cyrl-UZ"/>
        </w:rPr>
      </w:pPr>
      <w:r w:rsidRPr="00622061">
        <w:rPr>
          <w:rFonts w:ascii="Book Antiqua" w:hAnsi="Book Antiqua" w:cs="Times New Roman"/>
          <w:bCs/>
          <w:noProof/>
          <w:sz w:val="24"/>
          <w:szCs w:val="24"/>
          <w:lang w:val="uz-Cyrl-UZ"/>
        </w:rPr>
        <w:t xml:space="preserve">The graph in </w:t>
      </w:r>
      <w:r w:rsidR="002016A1" w:rsidRPr="00A87171">
        <w:rPr>
          <w:rFonts w:ascii="Book Antiqua" w:eastAsia="Calibri" w:hAnsi="Book Antiqua" w:cs="Times New Roman"/>
          <w:sz w:val="24"/>
          <w:szCs w:val="24"/>
          <w:lang w:val="uz-Cyrl-UZ" w:eastAsia="ru-RU"/>
        </w:rPr>
        <w:t>f</w:t>
      </w:r>
      <w:r w:rsidRPr="00622061">
        <w:rPr>
          <w:rFonts w:ascii="Book Antiqua" w:hAnsi="Book Antiqua" w:cs="Times New Roman"/>
          <w:bCs/>
          <w:noProof/>
          <w:sz w:val="24"/>
          <w:szCs w:val="24"/>
          <w:lang w:val="uz-Cyrl-UZ"/>
        </w:rPr>
        <w:t xml:space="preserve">igure 3 shows changes in the 5 main components of the quality of life index (EQ-5D scale, range 0–1) before and after treatment in patients with gout according to different genotypes of the </w:t>
      </w:r>
      <w:r w:rsidRPr="00291B83">
        <w:rPr>
          <w:rFonts w:ascii="Book Antiqua" w:hAnsi="Book Antiqua" w:cs="Times New Roman"/>
          <w:bCs/>
          <w:i/>
          <w:noProof/>
          <w:sz w:val="24"/>
          <w:szCs w:val="24"/>
          <w:lang w:val="uz-Cyrl-UZ"/>
        </w:rPr>
        <w:t xml:space="preserve">APEX1 (rs2307486) </w:t>
      </w:r>
      <w:r w:rsidRPr="00291B83">
        <w:rPr>
          <w:rFonts w:ascii="Book Antiqua" w:hAnsi="Book Antiqua" w:cs="Times New Roman"/>
          <w:bCs/>
          <w:noProof/>
          <w:sz w:val="24"/>
          <w:szCs w:val="24"/>
          <w:lang w:val="uz-Cyrl-UZ"/>
        </w:rPr>
        <w:t>gene</w:t>
      </w:r>
      <w:r w:rsidRPr="00291B83">
        <w:rPr>
          <w:rFonts w:ascii="Book Antiqua" w:hAnsi="Book Antiqua" w:cs="Times New Roman"/>
          <w:bCs/>
          <w:i/>
          <w:noProof/>
          <w:sz w:val="24"/>
          <w:szCs w:val="24"/>
          <w:lang w:val="uz-Cyrl-UZ"/>
        </w:rPr>
        <w:t xml:space="preserve"> (T/T, T/G, G/G).</w:t>
      </w:r>
      <w:r w:rsidRPr="00622061">
        <w:rPr>
          <w:rFonts w:ascii="Book Antiqua" w:hAnsi="Book Antiqua" w:cs="Times New Roman"/>
          <w:bCs/>
          <w:noProof/>
          <w:sz w:val="24"/>
          <w:szCs w:val="24"/>
          <w:lang w:val="uz-Cyrl-UZ"/>
        </w:rPr>
        <w:t xml:space="preserve"> Against the background of hypouremic therapy, statistically positive dynamics were noted in physical activity, self-care, daily activities, pain/discomfort, and mental state (р&lt;0.05</w:t>
      </w:r>
      <w:r>
        <w:rPr>
          <w:rFonts w:ascii="Book Antiqua" w:hAnsi="Book Antiqua" w:cs="Times New Roman"/>
          <w:bCs/>
          <w:noProof/>
          <w:sz w:val="24"/>
          <w:szCs w:val="24"/>
          <w:lang w:val="uz-Cyrl-UZ"/>
        </w:rPr>
        <w:t xml:space="preserve">; </w:t>
      </w:r>
      <w:r w:rsidRPr="00622061">
        <w:rPr>
          <w:rFonts w:ascii="Book Antiqua" w:hAnsi="Book Antiqua" w:cs="Times New Roman"/>
          <w:bCs/>
          <w:noProof/>
          <w:sz w:val="24"/>
          <w:szCs w:val="24"/>
          <w:lang w:val="uz-Cyrl-UZ"/>
        </w:rPr>
        <w:t xml:space="preserve">р&lt;0.02;р&lt;0.01). In patients with the </w:t>
      </w:r>
      <w:r w:rsidRPr="00291B83">
        <w:rPr>
          <w:rFonts w:ascii="Book Antiqua" w:hAnsi="Book Antiqua" w:cs="Times New Roman"/>
          <w:bCs/>
          <w:i/>
          <w:noProof/>
          <w:sz w:val="24"/>
          <w:szCs w:val="24"/>
          <w:lang w:val="uz-Cyrl-UZ"/>
        </w:rPr>
        <w:t>T/T</w:t>
      </w:r>
      <w:r w:rsidRPr="00622061">
        <w:rPr>
          <w:rFonts w:ascii="Book Antiqua" w:hAnsi="Book Antiqua" w:cs="Times New Roman"/>
          <w:bCs/>
          <w:noProof/>
          <w:sz w:val="24"/>
          <w:szCs w:val="24"/>
          <w:lang w:val="uz-Cyrl-UZ"/>
        </w:rPr>
        <w:t xml:space="preserve"> genotype (green), the differences in efficacy before and after treatment were very significant, all indicators approached ~0.9. After treatment, the quality of life almost approached the norm. Highly reliable differences (p&lt;0.05) were observed in all components. Hypouricemic therapy significantly improved the quality of life in patients with the </w:t>
      </w:r>
      <w:r w:rsidRPr="00291B83">
        <w:rPr>
          <w:rFonts w:ascii="Book Antiqua" w:hAnsi="Book Antiqua" w:cs="Times New Roman"/>
          <w:bCs/>
          <w:i/>
          <w:noProof/>
          <w:sz w:val="24"/>
          <w:szCs w:val="24"/>
          <w:lang w:val="uz-Cyrl-UZ"/>
        </w:rPr>
        <w:t>T/T</w:t>
      </w:r>
      <w:r w:rsidRPr="00622061">
        <w:rPr>
          <w:rFonts w:ascii="Book Antiqua" w:hAnsi="Book Antiqua" w:cs="Times New Roman"/>
          <w:bCs/>
          <w:noProof/>
          <w:sz w:val="24"/>
          <w:szCs w:val="24"/>
          <w:lang w:val="uz-Cyrl-UZ"/>
        </w:rPr>
        <w:t xml:space="preserve"> genotype. As a result of treatment, moderate positive dynamics were noted in patients with the </w:t>
      </w:r>
      <w:r w:rsidRPr="00291B83">
        <w:rPr>
          <w:rFonts w:ascii="Book Antiqua" w:hAnsi="Book Antiqua" w:cs="Times New Roman"/>
          <w:bCs/>
          <w:i/>
          <w:noProof/>
          <w:sz w:val="24"/>
          <w:szCs w:val="24"/>
          <w:lang w:val="uz-Cyrl-UZ"/>
        </w:rPr>
        <w:t>T/G</w:t>
      </w:r>
      <w:r w:rsidRPr="00622061">
        <w:rPr>
          <w:rFonts w:ascii="Book Antiqua" w:hAnsi="Book Antiqua" w:cs="Times New Roman"/>
          <w:bCs/>
          <w:noProof/>
          <w:sz w:val="24"/>
          <w:szCs w:val="24"/>
          <w:lang w:val="uz-Cyrl-UZ"/>
        </w:rPr>
        <w:t xml:space="preserve"> genotype (yellow), the indicators were around ~0.75–0.8. Improvement in mental state and daily activities was obvious, but relatively less positive dynamics were observed in physical activity and pain. In the heterozygous state </w:t>
      </w:r>
      <w:r w:rsidRPr="00291B83">
        <w:rPr>
          <w:rFonts w:ascii="Book Antiqua" w:hAnsi="Book Antiqua" w:cs="Times New Roman"/>
          <w:bCs/>
          <w:i/>
          <w:noProof/>
          <w:sz w:val="24"/>
          <w:szCs w:val="24"/>
          <w:lang w:val="uz-Cyrl-UZ"/>
        </w:rPr>
        <w:t>(T/G),</w:t>
      </w:r>
      <w:r w:rsidRPr="00622061">
        <w:rPr>
          <w:rFonts w:ascii="Book Antiqua" w:hAnsi="Book Antiqua" w:cs="Times New Roman"/>
          <w:bCs/>
          <w:noProof/>
          <w:sz w:val="24"/>
          <w:szCs w:val="24"/>
          <w:lang w:val="uz-Cyrl-UZ"/>
        </w:rPr>
        <w:t xml:space="preserve"> it can be concluded that the treatment effect was moderate, but stable. In patients with the </w:t>
      </w:r>
      <w:r w:rsidRPr="00291B83">
        <w:rPr>
          <w:rFonts w:ascii="Book Antiqua" w:hAnsi="Book Antiqua" w:cs="Times New Roman"/>
          <w:bCs/>
          <w:i/>
          <w:noProof/>
          <w:sz w:val="24"/>
          <w:szCs w:val="24"/>
          <w:lang w:val="uz-Cyrl-UZ"/>
        </w:rPr>
        <w:t>G/G</w:t>
      </w:r>
      <w:r w:rsidRPr="00622061">
        <w:rPr>
          <w:rFonts w:ascii="Book Antiqua" w:hAnsi="Book Antiqua" w:cs="Times New Roman"/>
          <w:bCs/>
          <w:noProof/>
          <w:sz w:val="24"/>
          <w:szCs w:val="24"/>
          <w:lang w:val="uz-Cyrl-UZ"/>
        </w:rPr>
        <w:t xml:space="preserve"> genotype (red), the indicators remained around 0.5–0.6, that is, the clinical improvement was slightly lower than in patients with the previous two genotypes. No significant improvement was observed in all components. Thus, in patients with the </w:t>
      </w:r>
      <w:r w:rsidRPr="00291B83">
        <w:rPr>
          <w:rFonts w:ascii="Book Antiqua" w:hAnsi="Book Antiqua" w:cs="Times New Roman"/>
          <w:bCs/>
          <w:i/>
          <w:noProof/>
          <w:sz w:val="24"/>
          <w:szCs w:val="24"/>
          <w:lang w:val="uz-Cyrl-UZ"/>
        </w:rPr>
        <w:t>G/G</w:t>
      </w:r>
      <w:r w:rsidRPr="00622061">
        <w:rPr>
          <w:rFonts w:ascii="Book Antiqua" w:hAnsi="Book Antiqua" w:cs="Times New Roman"/>
          <w:bCs/>
          <w:noProof/>
          <w:sz w:val="24"/>
          <w:szCs w:val="24"/>
          <w:lang w:val="uz-Cyrl-UZ"/>
        </w:rPr>
        <w:t xml:space="preserve"> genotype, resistance to treatment and no significant positive shift in quality of life were noted.</w:t>
      </w:r>
    </w:p>
    <w:p w:rsidR="00622061" w:rsidRPr="00622061" w:rsidRDefault="00622061" w:rsidP="00622061">
      <w:pPr>
        <w:spacing w:after="0" w:line="276" w:lineRule="auto"/>
        <w:ind w:firstLine="567"/>
        <w:jc w:val="both"/>
        <w:rPr>
          <w:rFonts w:ascii="Book Antiqua" w:hAnsi="Book Antiqua" w:cs="Times New Roman"/>
          <w:bCs/>
          <w:noProof/>
          <w:sz w:val="24"/>
          <w:szCs w:val="24"/>
          <w:lang w:val="uz-Cyrl-UZ"/>
        </w:rPr>
      </w:pPr>
      <w:r w:rsidRPr="00622061">
        <w:rPr>
          <w:rFonts w:ascii="Book Antiqua" w:hAnsi="Book Antiqua" w:cs="Times New Roman"/>
          <w:bCs/>
          <w:noProof/>
          <w:sz w:val="24"/>
          <w:szCs w:val="24"/>
          <w:lang w:val="uz-Cyrl-UZ"/>
        </w:rPr>
        <w:lastRenderedPageBreak/>
        <w:t xml:space="preserve">In conclusion, it can be said that the analysis of quality of life indicators assessed by the EQ-5D scale shows that the </w:t>
      </w:r>
      <w:r w:rsidRPr="00291B83">
        <w:rPr>
          <w:rFonts w:ascii="Book Antiqua" w:hAnsi="Book Antiqua" w:cs="Times New Roman"/>
          <w:bCs/>
          <w:i/>
          <w:noProof/>
          <w:sz w:val="24"/>
          <w:szCs w:val="24"/>
          <w:lang w:val="uz-Cyrl-UZ"/>
        </w:rPr>
        <w:t>APEX1 (rs2307486)</w:t>
      </w:r>
      <w:r w:rsidRPr="00622061">
        <w:rPr>
          <w:rFonts w:ascii="Book Antiqua" w:hAnsi="Book Antiqua" w:cs="Times New Roman"/>
          <w:bCs/>
          <w:noProof/>
          <w:sz w:val="24"/>
          <w:szCs w:val="24"/>
          <w:lang w:val="uz-Cyrl-UZ"/>
        </w:rPr>
        <w:t xml:space="preserve"> polymorphism accurately determines the effectiveness of treatment and functional status in patients with gout. In the </w:t>
      </w:r>
      <w:r w:rsidRPr="00291B83">
        <w:rPr>
          <w:rFonts w:ascii="Book Antiqua" w:hAnsi="Book Antiqua" w:cs="Times New Roman"/>
          <w:bCs/>
          <w:i/>
          <w:noProof/>
          <w:sz w:val="24"/>
          <w:szCs w:val="24"/>
          <w:lang w:val="uz-Cyrl-UZ"/>
        </w:rPr>
        <w:t>T/T</w:t>
      </w:r>
      <w:r w:rsidRPr="00622061">
        <w:rPr>
          <w:rFonts w:ascii="Book Antiqua" w:hAnsi="Book Antiqua" w:cs="Times New Roman"/>
          <w:bCs/>
          <w:noProof/>
          <w:sz w:val="24"/>
          <w:szCs w:val="24"/>
          <w:lang w:val="uz-Cyrl-UZ"/>
        </w:rPr>
        <w:t xml:space="preserve"> genotype, a significant difference in the quality of life index was noted for all components, and almost complete rehabilitation was achieved after hypouricemic therapy. In patients with the </w:t>
      </w:r>
      <w:r w:rsidRPr="00291B83">
        <w:rPr>
          <w:rFonts w:ascii="Book Antiqua" w:hAnsi="Book Antiqua" w:cs="Times New Roman"/>
          <w:bCs/>
          <w:i/>
          <w:noProof/>
          <w:sz w:val="24"/>
          <w:szCs w:val="24"/>
          <w:lang w:val="uz-Cyrl-UZ"/>
        </w:rPr>
        <w:t>T/G</w:t>
      </w:r>
      <w:r w:rsidRPr="00622061">
        <w:rPr>
          <w:rFonts w:ascii="Book Antiqua" w:hAnsi="Book Antiqua" w:cs="Times New Roman"/>
          <w:bCs/>
          <w:noProof/>
          <w:sz w:val="24"/>
          <w:szCs w:val="24"/>
          <w:lang w:val="uz-Cyrl-UZ"/>
        </w:rPr>
        <w:t xml:space="preserve"> genotype, the improvement was moderate, while in patients with the </w:t>
      </w:r>
      <w:r w:rsidRPr="00291B83">
        <w:rPr>
          <w:rFonts w:ascii="Book Antiqua" w:hAnsi="Book Antiqua" w:cs="Times New Roman"/>
          <w:bCs/>
          <w:i/>
          <w:noProof/>
          <w:sz w:val="24"/>
          <w:szCs w:val="24"/>
          <w:lang w:val="uz-Cyrl-UZ"/>
        </w:rPr>
        <w:t>G/G</w:t>
      </w:r>
      <w:r w:rsidRPr="00622061">
        <w:rPr>
          <w:rFonts w:ascii="Book Antiqua" w:hAnsi="Book Antiqua" w:cs="Times New Roman"/>
          <w:bCs/>
          <w:noProof/>
          <w:sz w:val="24"/>
          <w:szCs w:val="24"/>
          <w:lang w:val="uz-Cyrl-UZ"/>
        </w:rPr>
        <w:t xml:space="preserve"> genotype, the therapeutic effect was low, and quality of life indicators were less close to clinical norms.</w:t>
      </w:r>
    </w:p>
    <w:p w:rsidR="00622061" w:rsidRPr="00622061" w:rsidRDefault="00622061" w:rsidP="00622061">
      <w:pPr>
        <w:spacing w:after="0" w:line="276" w:lineRule="auto"/>
        <w:ind w:firstLine="567"/>
        <w:jc w:val="both"/>
        <w:rPr>
          <w:rFonts w:ascii="Book Antiqua" w:hAnsi="Book Antiqua" w:cs="Times New Roman"/>
          <w:bCs/>
          <w:noProof/>
          <w:sz w:val="24"/>
          <w:szCs w:val="24"/>
          <w:lang w:val="uz-Cyrl-UZ"/>
        </w:rPr>
      </w:pPr>
      <w:r w:rsidRPr="00622061">
        <w:rPr>
          <w:rFonts w:ascii="Book Antiqua" w:hAnsi="Book Antiqua" w:cs="Times New Roman"/>
          <w:bCs/>
          <w:noProof/>
          <w:sz w:val="24"/>
          <w:szCs w:val="24"/>
          <w:lang w:val="uz-Cyrl-UZ"/>
        </w:rPr>
        <w:t xml:space="preserve">The diagram in </w:t>
      </w:r>
      <w:r w:rsidR="002016A1" w:rsidRPr="00A87171">
        <w:rPr>
          <w:rFonts w:ascii="Book Antiqua" w:eastAsia="Calibri" w:hAnsi="Book Antiqua" w:cs="Times New Roman"/>
          <w:sz w:val="24"/>
          <w:szCs w:val="24"/>
          <w:lang w:val="uz-Cyrl-UZ" w:eastAsia="ru-RU"/>
        </w:rPr>
        <w:t>f</w:t>
      </w:r>
      <w:r w:rsidRPr="00622061">
        <w:rPr>
          <w:rFonts w:ascii="Book Antiqua" w:hAnsi="Book Antiqua" w:cs="Times New Roman"/>
          <w:bCs/>
          <w:noProof/>
          <w:sz w:val="24"/>
          <w:szCs w:val="24"/>
          <w:lang w:val="uz-Cyrl-UZ"/>
        </w:rPr>
        <w:t xml:space="preserve">igure 4 below compares the average daily dose of allopurinol (mg) for different genotypes </w:t>
      </w:r>
      <w:r w:rsidRPr="00291B83">
        <w:rPr>
          <w:rFonts w:ascii="Book Antiqua" w:hAnsi="Book Antiqua" w:cs="Times New Roman"/>
          <w:bCs/>
          <w:i/>
          <w:noProof/>
          <w:sz w:val="24"/>
          <w:szCs w:val="24"/>
          <w:lang w:val="uz-Cyrl-UZ"/>
        </w:rPr>
        <w:t>(A/A, T/A, T/T)</w:t>
      </w:r>
      <w:r w:rsidRPr="00622061">
        <w:rPr>
          <w:rFonts w:ascii="Book Antiqua" w:hAnsi="Book Antiqua" w:cs="Times New Roman"/>
          <w:bCs/>
          <w:noProof/>
          <w:sz w:val="24"/>
          <w:szCs w:val="24"/>
          <w:lang w:val="uz-Cyrl-UZ"/>
        </w:rPr>
        <w:t xml:space="preserve"> of the </w:t>
      </w:r>
      <w:r w:rsidRPr="00291B83">
        <w:rPr>
          <w:rFonts w:ascii="Book Antiqua" w:hAnsi="Book Antiqua" w:cs="Times New Roman"/>
          <w:bCs/>
          <w:i/>
          <w:noProof/>
          <w:sz w:val="24"/>
          <w:szCs w:val="24"/>
          <w:lang w:val="uz-Cyrl-UZ"/>
        </w:rPr>
        <w:t>URAT1 (rs11231825)</w:t>
      </w:r>
      <w:r w:rsidRPr="00622061">
        <w:rPr>
          <w:rFonts w:ascii="Book Antiqua" w:hAnsi="Book Antiqua" w:cs="Times New Roman"/>
          <w:bCs/>
          <w:noProof/>
          <w:sz w:val="24"/>
          <w:szCs w:val="24"/>
          <w:lang w:val="uz-Cyrl-UZ"/>
        </w:rPr>
        <w:t xml:space="preserve"> gene. This analysis was aimed at identifying the most appropriate dose for patients based on a pharmacogenetic approach. Patients with the A/A genotype responded effectively with a low dose of allopurinol (300 mg) - since this genotype does not have any mutations, the standard dose was sufficient. In the </w:t>
      </w:r>
      <w:r w:rsidRPr="00291B83">
        <w:rPr>
          <w:rFonts w:ascii="Book Antiqua" w:hAnsi="Book Antiqua" w:cs="Times New Roman"/>
          <w:bCs/>
          <w:i/>
          <w:noProof/>
          <w:sz w:val="24"/>
          <w:szCs w:val="24"/>
          <w:lang w:val="uz-Cyrl-UZ"/>
        </w:rPr>
        <w:t>T/A</w:t>
      </w:r>
      <w:r w:rsidRPr="00622061">
        <w:rPr>
          <w:rFonts w:ascii="Book Antiqua" w:hAnsi="Book Antiqua" w:cs="Times New Roman"/>
          <w:bCs/>
          <w:noProof/>
          <w:sz w:val="24"/>
          <w:szCs w:val="24"/>
          <w:lang w:val="uz-Cyrl-UZ"/>
        </w:rPr>
        <w:t xml:space="preserve"> genotype, the average dose was 420 mg. This is a heterozygous mutation, requiring a higher dose to achieve full effect (p &lt; 0.01). Patients with the </w:t>
      </w:r>
      <w:r w:rsidRPr="00291B83">
        <w:rPr>
          <w:rFonts w:ascii="Book Antiqua" w:hAnsi="Book Antiqua" w:cs="Times New Roman"/>
          <w:bCs/>
          <w:i/>
          <w:noProof/>
          <w:sz w:val="24"/>
          <w:szCs w:val="24"/>
          <w:lang w:val="uz-Cyrl-UZ"/>
        </w:rPr>
        <w:t>T/T</w:t>
      </w:r>
      <w:r w:rsidRPr="00622061">
        <w:rPr>
          <w:rFonts w:ascii="Book Antiqua" w:hAnsi="Book Antiqua" w:cs="Times New Roman"/>
          <w:bCs/>
          <w:noProof/>
          <w:sz w:val="24"/>
          <w:szCs w:val="24"/>
          <w:lang w:val="uz-Cyrl-UZ"/>
        </w:rPr>
        <w:t xml:space="preserve"> genotype received up to 580 mg of allopurinol, indicating resistance to allopurinol in the homozygous mutation state (p &lt; 0.001).</w:t>
      </w:r>
    </w:p>
    <w:p w:rsidR="00816161" w:rsidRDefault="00FA1D19" w:rsidP="00622061">
      <w:pPr>
        <w:spacing w:after="0" w:line="276" w:lineRule="auto"/>
        <w:jc w:val="center"/>
        <w:rPr>
          <w:rFonts w:ascii="Book Antiqua" w:hAnsi="Book Antiqua" w:cs="Times New Roman"/>
          <w:noProof/>
          <w:sz w:val="24"/>
          <w:szCs w:val="24"/>
          <w:lang w:val="uz-Cyrl-UZ"/>
        </w:rPr>
      </w:pPr>
      <w:r w:rsidRPr="00FA1D19">
        <w:rPr>
          <w:noProof/>
          <w:lang w:val="en-US"/>
        </w:rPr>
        <w:drawing>
          <wp:inline distT="0" distB="0" distL="0" distR="0" wp14:anchorId="0D998267" wp14:editId="7E908B47">
            <wp:extent cx="5685013" cy="2949196"/>
            <wp:effectExtent l="0" t="0" r="0" b="381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85013" cy="2949196"/>
                    </a:xfrm>
                    <a:prstGeom prst="rect">
                      <a:avLst/>
                    </a:prstGeom>
                  </pic:spPr>
                </pic:pic>
              </a:graphicData>
            </a:graphic>
          </wp:inline>
        </w:drawing>
      </w:r>
      <w:r w:rsidRPr="007D7204">
        <w:rPr>
          <w:lang w:val="en-US"/>
        </w:rPr>
        <w:t xml:space="preserve"> </w:t>
      </w:r>
      <w:r w:rsidR="00816161" w:rsidRPr="000D6CB8">
        <w:rPr>
          <w:rFonts w:ascii="Book Antiqua" w:hAnsi="Book Antiqua" w:cs="Times New Roman"/>
          <w:noProof/>
          <w:sz w:val="24"/>
          <w:szCs w:val="24"/>
          <w:lang w:val="uz-Cyrl-UZ"/>
        </w:rPr>
        <w:t xml:space="preserve"> </w:t>
      </w:r>
    </w:p>
    <w:p w:rsidR="00FA1D19" w:rsidRPr="00FA1D19" w:rsidRDefault="00FA1D19" w:rsidP="00FA1D19">
      <w:pPr>
        <w:spacing w:after="0" w:line="0" w:lineRule="atLeast"/>
        <w:jc w:val="center"/>
        <w:rPr>
          <w:rFonts w:ascii="Book Antiqua" w:hAnsi="Book Antiqua" w:cs="Times New Roman"/>
          <w:noProof/>
          <w:sz w:val="18"/>
          <w:szCs w:val="24"/>
          <w:lang w:val="uz-Cyrl-UZ"/>
        </w:rPr>
      </w:pPr>
      <w:r w:rsidRPr="00FA1D19">
        <w:rPr>
          <w:rFonts w:ascii="Book Antiqua" w:hAnsi="Book Antiqua" w:cs="Times New Roman"/>
          <w:noProof/>
          <w:sz w:val="18"/>
          <w:szCs w:val="24"/>
          <w:lang w:val="uz-Cyrl-UZ"/>
        </w:rPr>
        <w:t>Note: *-р&lt;0.5 – significance of differences relative to AA genotype indicators;</w:t>
      </w:r>
    </w:p>
    <w:p w:rsidR="00FA1D19" w:rsidRPr="00FA1D19" w:rsidRDefault="00FA1D19" w:rsidP="00FA1D19">
      <w:pPr>
        <w:spacing w:after="0" w:line="0" w:lineRule="atLeast"/>
        <w:jc w:val="center"/>
        <w:rPr>
          <w:rFonts w:ascii="Book Antiqua" w:hAnsi="Book Antiqua" w:cs="Times New Roman"/>
          <w:noProof/>
          <w:sz w:val="18"/>
          <w:szCs w:val="24"/>
          <w:lang w:val="uz-Cyrl-UZ"/>
        </w:rPr>
      </w:pPr>
      <w:r w:rsidRPr="00FA1D19">
        <w:rPr>
          <w:rFonts w:ascii="Book Antiqua" w:hAnsi="Book Antiqua" w:cs="Times New Roman"/>
          <w:noProof/>
          <w:sz w:val="18"/>
          <w:szCs w:val="24"/>
          <w:lang w:val="uz-Cyrl-UZ"/>
        </w:rPr>
        <w:t>**-р&lt;0.01 – significance of differences relative to TA genotype indicators;</w:t>
      </w:r>
    </w:p>
    <w:p w:rsidR="00FA1D19" w:rsidRPr="00FA1D19" w:rsidRDefault="00FA1D19" w:rsidP="00FA1D19">
      <w:pPr>
        <w:spacing w:after="0" w:line="0" w:lineRule="atLeast"/>
        <w:jc w:val="center"/>
        <w:rPr>
          <w:rFonts w:ascii="Book Antiqua" w:hAnsi="Book Antiqua" w:cs="Times New Roman"/>
          <w:noProof/>
          <w:sz w:val="18"/>
          <w:szCs w:val="24"/>
          <w:lang w:val="uz-Cyrl-UZ"/>
        </w:rPr>
      </w:pPr>
      <w:r w:rsidRPr="00FA1D19">
        <w:rPr>
          <w:rFonts w:ascii="Book Antiqua" w:hAnsi="Book Antiqua" w:cs="Times New Roman"/>
          <w:noProof/>
          <w:sz w:val="18"/>
          <w:szCs w:val="24"/>
          <w:lang w:val="uz-Cyrl-UZ"/>
        </w:rPr>
        <w:t>$-р&lt;0.001 – significance of differences relative to AA genotype indicators;</w:t>
      </w:r>
    </w:p>
    <w:p w:rsidR="00616EB4" w:rsidRPr="00616EB4" w:rsidRDefault="00616EB4" w:rsidP="00616EB4">
      <w:pPr>
        <w:spacing w:after="0" w:line="276" w:lineRule="auto"/>
        <w:jc w:val="center"/>
        <w:rPr>
          <w:rFonts w:ascii="Book Antiqua" w:hAnsi="Book Antiqua" w:cs="Times New Roman"/>
          <w:b/>
          <w:bCs/>
          <w:noProof/>
          <w:sz w:val="24"/>
          <w:szCs w:val="24"/>
          <w:lang w:val="uz-Cyrl-UZ"/>
        </w:rPr>
      </w:pPr>
      <w:r w:rsidRPr="00616EB4">
        <w:rPr>
          <w:rFonts w:ascii="Book Antiqua" w:hAnsi="Book Antiqua" w:cs="Times New Roman"/>
          <w:b/>
          <w:bCs/>
          <w:noProof/>
          <w:sz w:val="24"/>
          <w:szCs w:val="24"/>
          <w:lang w:val="uz-Cyrl-UZ"/>
        </w:rPr>
        <w:t xml:space="preserve">Figure 4. Average Clinically Used Doses of Allopurinol (mg) by </w:t>
      </w:r>
      <w:r w:rsidRPr="00291B83">
        <w:rPr>
          <w:rFonts w:ascii="Book Antiqua" w:hAnsi="Book Antiqua" w:cs="Times New Roman"/>
          <w:b/>
          <w:bCs/>
          <w:i/>
          <w:noProof/>
          <w:sz w:val="24"/>
          <w:szCs w:val="24"/>
          <w:lang w:val="uz-Cyrl-UZ"/>
        </w:rPr>
        <w:t>URAT1 (rs11231825)</w:t>
      </w:r>
      <w:r w:rsidRPr="00616EB4">
        <w:rPr>
          <w:rFonts w:ascii="Book Antiqua" w:hAnsi="Book Antiqua" w:cs="Times New Roman"/>
          <w:b/>
          <w:bCs/>
          <w:noProof/>
          <w:sz w:val="24"/>
          <w:szCs w:val="24"/>
          <w:lang w:val="uz-Cyrl-UZ"/>
        </w:rPr>
        <w:t xml:space="preserve"> Genotypic Variants</w:t>
      </w:r>
    </w:p>
    <w:p w:rsidR="00616EB4" w:rsidRPr="00616EB4" w:rsidRDefault="00616EB4" w:rsidP="00616EB4">
      <w:pPr>
        <w:spacing w:after="0" w:line="276" w:lineRule="auto"/>
        <w:ind w:firstLine="567"/>
        <w:jc w:val="both"/>
        <w:rPr>
          <w:rFonts w:ascii="Book Antiqua" w:hAnsi="Book Antiqua" w:cs="Times New Roman"/>
          <w:bCs/>
          <w:noProof/>
          <w:sz w:val="24"/>
          <w:szCs w:val="24"/>
          <w:lang w:val="uz-Cyrl-UZ"/>
        </w:rPr>
      </w:pPr>
      <w:r w:rsidRPr="00616EB4">
        <w:rPr>
          <w:rFonts w:ascii="Book Antiqua" w:hAnsi="Book Antiqua" w:cs="Times New Roman"/>
          <w:bCs/>
          <w:noProof/>
          <w:sz w:val="24"/>
          <w:szCs w:val="24"/>
          <w:lang w:val="uz-Cyrl-UZ"/>
        </w:rPr>
        <w:t xml:space="preserve">The </w:t>
      </w:r>
      <w:r w:rsidRPr="00291B83">
        <w:rPr>
          <w:rFonts w:ascii="Book Antiqua" w:hAnsi="Book Antiqua" w:cs="Times New Roman"/>
          <w:bCs/>
          <w:i/>
          <w:noProof/>
          <w:sz w:val="24"/>
          <w:szCs w:val="24"/>
          <w:lang w:val="uz-Cyrl-UZ"/>
        </w:rPr>
        <w:t>URAT1 (rs11231825)</w:t>
      </w:r>
      <w:r w:rsidRPr="00616EB4">
        <w:rPr>
          <w:rFonts w:ascii="Book Antiqua" w:hAnsi="Book Antiqua" w:cs="Times New Roman"/>
          <w:bCs/>
          <w:noProof/>
          <w:sz w:val="24"/>
          <w:szCs w:val="24"/>
          <w:lang w:val="uz-Cyrl-UZ"/>
        </w:rPr>
        <w:t xml:space="preserve"> polymorphism is an important pharmacogenetic marker that shapes the dose required for allopurinol therapy. While the standard dose is sufficient in the </w:t>
      </w:r>
      <w:r w:rsidRPr="00291B83">
        <w:rPr>
          <w:rFonts w:ascii="Book Antiqua" w:hAnsi="Book Antiqua" w:cs="Times New Roman"/>
          <w:bCs/>
          <w:i/>
          <w:noProof/>
          <w:sz w:val="24"/>
          <w:szCs w:val="24"/>
          <w:lang w:val="uz-Cyrl-UZ"/>
        </w:rPr>
        <w:t>A/A</w:t>
      </w:r>
      <w:r w:rsidRPr="00616EB4">
        <w:rPr>
          <w:rFonts w:ascii="Book Antiqua" w:hAnsi="Book Antiqua" w:cs="Times New Roman"/>
          <w:bCs/>
          <w:noProof/>
          <w:sz w:val="24"/>
          <w:szCs w:val="24"/>
          <w:lang w:val="uz-Cyrl-UZ"/>
        </w:rPr>
        <w:t xml:space="preserve"> genotype, the dose should be significantly increased in the </w:t>
      </w:r>
      <w:r w:rsidRPr="00291B83">
        <w:rPr>
          <w:rFonts w:ascii="Book Antiqua" w:hAnsi="Book Antiqua" w:cs="Times New Roman"/>
          <w:bCs/>
          <w:i/>
          <w:noProof/>
          <w:sz w:val="24"/>
          <w:szCs w:val="24"/>
          <w:lang w:val="uz-Cyrl-UZ"/>
        </w:rPr>
        <w:t>T/A</w:t>
      </w:r>
      <w:r w:rsidRPr="00616EB4">
        <w:rPr>
          <w:rFonts w:ascii="Book Antiqua" w:hAnsi="Book Antiqua" w:cs="Times New Roman"/>
          <w:bCs/>
          <w:noProof/>
          <w:sz w:val="24"/>
          <w:szCs w:val="24"/>
          <w:lang w:val="uz-Cyrl-UZ"/>
        </w:rPr>
        <w:t xml:space="preserve"> and especially </w:t>
      </w:r>
      <w:r w:rsidRPr="00291B83">
        <w:rPr>
          <w:rFonts w:ascii="Book Antiqua" w:hAnsi="Book Antiqua" w:cs="Times New Roman"/>
          <w:bCs/>
          <w:i/>
          <w:noProof/>
          <w:sz w:val="24"/>
          <w:szCs w:val="24"/>
          <w:lang w:val="uz-Cyrl-UZ"/>
        </w:rPr>
        <w:t>T/T</w:t>
      </w:r>
      <w:r w:rsidRPr="00616EB4">
        <w:rPr>
          <w:rFonts w:ascii="Book Antiqua" w:hAnsi="Book Antiqua" w:cs="Times New Roman"/>
          <w:bCs/>
          <w:noProof/>
          <w:sz w:val="24"/>
          <w:szCs w:val="24"/>
          <w:lang w:val="uz-Cyrl-UZ"/>
        </w:rPr>
        <w:t xml:space="preserve"> genotypes. These results indicate the need to recommend </w:t>
      </w:r>
      <w:r w:rsidRPr="00291B83">
        <w:rPr>
          <w:rFonts w:ascii="Book Antiqua" w:hAnsi="Book Antiqua" w:cs="Times New Roman"/>
          <w:bCs/>
          <w:i/>
          <w:noProof/>
          <w:sz w:val="24"/>
          <w:szCs w:val="24"/>
          <w:lang w:val="uz-Cyrl-UZ"/>
        </w:rPr>
        <w:t>URAT1 (rs11231825)</w:t>
      </w:r>
      <w:r w:rsidRPr="00616EB4">
        <w:rPr>
          <w:rFonts w:ascii="Book Antiqua" w:hAnsi="Book Antiqua" w:cs="Times New Roman"/>
          <w:bCs/>
          <w:noProof/>
          <w:sz w:val="24"/>
          <w:szCs w:val="24"/>
          <w:lang w:val="uz-Cyrl-UZ"/>
        </w:rPr>
        <w:t xml:space="preserve"> genotyping in the development of a personalized treatment plan.</w:t>
      </w:r>
    </w:p>
    <w:p w:rsidR="00A2513E" w:rsidRDefault="00724D8E" w:rsidP="00616EB4">
      <w:pPr>
        <w:spacing w:after="0" w:line="276" w:lineRule="auto"/>
        <w:jc w:val="center"/>
        <w:rPr>
          <w:rFonts w:ascii="Book Antiqua" w:hAnsi="Book Antiqua" w:cs="Times New Roman"/>
          <w:noProof/>
          <w:sz w:val="24"/>
          <w:szCs w:val="24"/>
          <w:lang w:val="uz-Cyrl-UZ"/>
        </w:rPr>
      </w:pPr>
      <w:r w:rsidRPr="00724D8E">
        <w:rPr>
          <w:rFonts w:ascii="Book Antiqua" w:hAnsi="Book Antiqua" w:cs="Times New Roman"/>
          <w:noProof/>
          <w:sz w:val="24"/>
          <w:szCs w:val="24"/>
          <w:lang w:val="en-US"/>
        </w:rPr>
        <w:lastRenderedPageBreak/>
        <w:drawing>
          <wp:inline distT="0" distB="0" distL="0" distR="0" wp14:anchorId="10888EF2" wp14:editId="01128AAF">
            <wp:extent cx="5570703" cy="3475021"/>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70703" cy="3475021"/>
                    </a:xfrm>
                    <a:prstGeom prst="rect">
                      <a:avLst/>
                    </a:prstGeom>
                  </pic:spPr>
                </pic:pic>
              </a:graphicData>
            </a:graphic>
          </wp:inline>
        </w:drawing>
      </w:r>
    </w:p>
    <w:p w:rsidR="00A2513E" w:rsidRPr="00A2513E" w:rsidRDefault="00A2513E" w:rsidP="00A2513E">
      <w:pPr>
        <w:spacing w:after="0" w:line="0" w:lineRule="atLeast"/>
        <w:jc w:val="center"/>
        <w:rPr>
          <w:rFonts w:ascii="Book Antiqua" w:hAnsi="Book Antiqua" w:cs="Times New Roman"/>
          <w:noProof/>
          <w:sz w:val="18"/>
          <w:szCs w:val="24"/>
          <w:lang w:val="uz-Cyrl-UZ"/>
        </w:rPr>
      </w:pPr>
      <w:r w:rsidRPr="00A2513E">
        <w:rPr>
          <w:rFonts w:ascii="Book Antiqua" w:hAnsi="Book Antiqua" w:cs="Times New Roman"/>
          <w:b/>
          <w:noProof/>
          <w:sz w:val="18"/>
          <w:szCs w:val="24"/>
          <w:lang w:val="uz-Cyrl-UZ"/>
        </w:rPr>
        <w:t>Note</w:t>
      </w:r>
      <w:r w:rsidRPr="00A2513E">
        <w:rPr>
          <w:rFonts w:ascii="Book Antiqua" w:hAnsi="Book Antiqua" w:cs="Times New Roman"/>
          <w:noProof/>
          <w:sz w:val="18"/>
          <w:szCs w:val="24"/>
          <w:lang w:val="uz-Cyrl-UZ"/>
        </w:rPr>
        <w:t>: *-р&lt;0.1; **-р&lt;0.05 – significance of differences relative to TT genotype indicators;</w:t>
      </w:r>
    </w:p>
    <w:p w:rsidR="00A2513E" w:rsidRPr="00A2513E" w:rsidRDefault="00A2513E" w:rsidP="00A2513E">
      <w:pPr>
        <w:spacing w:after="0" w:line="0" w:lineRule="atLeast"/>
        <w:jc w:val="center"/>
        <w:rPr>
          <w:rFonts w:ascii="Book Antiqua" w:hAnsi="Book Antiqua" w:cs="Times New Roman"/>
          <w:noProof/>
          <w:sz w:val="18"/>
          <w:szCs w:val="24"/>
          <w:lang w:val="uz-Cyrl-UZ"/>
        </w:rPr>
      </w:pPr>
      <w:r w:rsidRPr="00A2513E">
        <w:rPr>
          <w:rFonts w:ascii="Book Antiqua" w:hAnsi="Book Antiqua" w:cs="Times New Roman"/>
          <w:noProof/>
          <w:sz w:val="18"/>
          <w:szCs w:val="24"/>
          <w:lang w:val="uz-Cyrl-UZ"/>
        </w:rPr>
        <w:t>&amp;- р&lt;0.001 – significance of differences relative to AA genotype indicators;</w:t>
      </w:r>
    </w:p>
    <w:p w:rsidR="00816161" w:rsidRDefault="00A2513E" w:rsidP="00A2513E">
      <w:pPr>
        <w:spacing w:after="0" w:line="0" w:lineRule="atLeast"/>
        <w:jc w:val="center"/>
        <w:rPr>
          <w:rFonts w:ascii="Book Antiqua" w:hAnsi="Book Antiqua" w:cs="Times New Roman"/>
          <w:noProof/>
          <w:sz w:val="18"/>
          <w:szCs w:val="24"/>
          <w:lang w:val="uz-Cyrl-UZ"/>
        </w:rPr>
      </w:pPr>
      <w:r w:rsidRPr="00A2513E">
        <w:rPr>
          <w:rFonts w:ascii="Book Antiqua" w:hAnsi="Book Antiqua" w:cs="Times New Roman"/>
          <w:noProof/>
          <w:sz w:val="18"/>
          <w:szCs w:val="24"/>
          <w:lang w:val="uz-Cyrl-UZ"/>
        </w:rPr>
        <w:t>$-р&lt;0.05 – significance of differences relative to TA genotype indicators;</w:t>
      </w:r>
      <w:r w:rsidR="00816161" w:rsidRPr="00A2513E">
        <w:rPr>
          <w:rFonts w:ascii="Book Antiqua" w:hAnsi="Book Antiqua" w:cs="Times New Roman"/>
          <w:noProof/>
          <w:sz w:val="18"/>
          <w:szCs w:val="24"/>
          <w:lang w:val="uz-Cyrl-UZ"/>
        </w:rPr>
        <w:t xml:space="preserve"> </w:t>
      </w:r>
    </w:p>
    <w:p w:rsidR="00A2513E" w:rsidRPr="00A2513E" w:rsidRDefault="00A2513E" w:rsidP="00A2513E">
      <w:pPr>
        <w:spacing w:after="0" w:line="0" w:lineRule="atLeast"/>
        <w:jc w:val="center"/>
        <w:rPr>
          <w:rFonts w:ascii="Book Antiqua" w:hAnsi="Book Antiqua" w:cs="Times New Roman"/>
          <w:noProof/>
          <w:sz w:val="18"/>
          <w:szCs w:val="24"/>
          <w:lang w:val="uz-Cyrl-UZ"/>
        </w:rPr>
      </w:pPr>
    </w:p>
    <w:p w:rsidR="00616EB4" w:rsidRPr="00616EB4" w:rsidRDefault="00616EB4" w:rsidP="00616EB4">
      <w:pPr>
        <w:spacing w:after="0" w:line="276" w:lineRule="auto"/>
        <w:jc w:val="center"/>
        <w:rPr>
          <w:rFonts w:ascii="Book Antiqua" w:hAnsi="Book Antiqua" w:cs="Times New Roman"/>
          <w:b/>
          <w:bCs/>
          <w:noProof/>
          <w:sz w:val="24"/>
          <w:szCs w:val="24"/>
          <w:lang w:val="uz-Cyrl-UZ"/>
        </w:rPr>
      </w:pPr>
      <w:r w:rsidRPr="00616EB4">
        <w:rPr>
          <w:rFonts w:ascii="Book Antiqua" w:hAnsi="Book Antiqua" w:cs="Times New Roman"/>
          <w:b/>
          <w:bCs/>
          <w:noProof/>
          <w:sz w:val="24"/>
          <w:szCs w:val="24"/>
          <w:lang w:val="uz-Cyrl-UZ"/>
        </w:rPr>
        <w:t xml:space="preserve">Figure 5. Hypouricemic therapy efficacy according to </w:t>
      </w:r>
      <w:r w:rsidRPr="00291B83">
        <w:rPr>
          <w:rFonts w:ascii="Book Antiqua" w:hAnsi="Book Antiqua" w:cs="Times New Roman"/>
          <w:b/>
          <w:bCs/>
          <w:i/>
          <w:noProof/>
          <w:sz w:val="24"/>
          <w:szCs w:val="24"/>
          <w:lang w:val="uz-Cyrl-UZ"/>
        </w:rPr>
        <w:t>URAT1 (rs11231825)</w:t>
      </w:r>
      <w:r w:rsidRPr="00616EB4">
        <w:rPr>
          <w:rFonts w:ascii="Book Antiqua" w:hAnsi="Book Antiqua" w:cs="Times New Roman"/>
          <w:b/>
          <w:bCs/>
          <w:noProof/>
          <w:sz w:val="24"/>
          <w:szCs w:val="24"/>
          <w:lang w:val="uz-Cyrl-UZ"/>
        </w:rPr>
        <w:t xml:space="preserve"> genotypic variants (when using Allopurinol at doses of 300-600 mg)</w:t>
      </w:r>
    </w:p>
    <w:p w:rsidR="00616EB4" w:rsidRPr="00616EB4" w:rsidRDefault="00616EB4" w:rsidP="00616EB4">
      <w:pPr>
        <w:spacing w:after="0" w:line="276" w:lineRule="auto"/>
        <w:ind w:firstLine="567"/>
        <w:jc w:val="both"/>
        <w:rPr>
          <w:rFonts w:ascii="Book Antiqua" w:hAnsi="Book Antiqua" w:cs="Times New Roman"/>
          <w:bCs/>
          <w:noProof/>
          <w:sz w:val="24"/>
          <w:szCs w:val="24"/>
          <w:lang w:val="uz-Cyrl-UZ"/>
        </w:rPr>
      </w:pPr>
      <w:r w:rsidRPr="00616EB4">
        <w:rPr>
          <w:rFonts w:ascii="Book Antiqua" w:hAnsi="Book Antiqua" w:cs="Times New Roman"/>
          <w:bCs/>
          <w:noProof/>
          <w:sz w:val="24"/>
          <w:szCs w:val="24"/>
          <w:lang w:val="uz-Cyrl-UZ"/>
        </w:rPr>
        <w:t xml:space="preserve">The radial (spider-like) diagram above compares five main clinical indicators in patients with gout according to different genotypes of the </w:t>
      </w:r>
      <w:r w:rsidRPr="00291B83">
        <w:rPr>
          <w:rFonts w:ascii="Book Antiqua" w:hAnsi="Book Antiqua" w:cs="Times New Roman"/>
          <w:bCs/>
          <w:i/>
          <w:noProof/>
          <w:sz w:val="24"/>
          <w:szCs w:val="24"/>
          <w:lang w:val="uz-Cyrl-UZ"/>
        </w:rPr>
        <w:t>URAT1 (rs11231825)</w:t>
      </w:r>
      <w:r w:rsidRPr="00616EB4">
        <w:rPr>
          <w:rFonts w:ascii="Book Antiqua" w:hAnsi="Book Antiqua" w:cs="Times New Roman"/>
          <w:bCs/>
          <w:noProof/>
          <w:sz w:val="24"/>
          <w:szCs w:val="24"/>
          <w:lang w:val="uz-Cyrl-UZ"/>
        </w:rPr>
        <w:t xml:space="preserve"> gene </w:t>
      </w:r>
      <w:r w:rsidRPr="00291B83">
        <w:rPr>
          <w:rFonts w:ascii="Book Antiqua" w:hAnsi="Book Antiqua" w:cs="Times New Roman"/>
          <w:bCs/>
          <w:i/>
          <w:noProof/>
          <w:sz w:val="24"/>
          <w:szCs w:val="24"/>
          <w:lang w:val="uz-Cyrl-UZ"/>
        </w:rPr>
        <w:t>(A/A - blue, T/A - green, T/T - red)</w:t>
      </w:r>
      <w:r w:rsidRPr="00616EB4">
        <w:rPr>
          <w:rFonts w:ascii="Book Antiqua" w:hAnsi="Book Antiqua" w:cs="Times New Roman"/>
          <w:bCs/>
          <w:noProof/>
          <w:sz w:val="24"/>
          <w:szCs w:val="24"/>
          <w:lang w:val="uz-Cyrl-UZ"/>
        </w:rPr>
        <w:t xml:space="preserve">. For each indicator, higher values indicate deterioration, and lower values indicate improvement (exception: a higher degree of tophi reduction is better). According to the results of the study, there is a reliable relationship between the mutated </w:t>
      </w:r>
      <w:r w:rsidRPr="00291B83">
        <w:rPr>
          <w:rFonts w:ascii="Book Antiqua" w:hAnsi="Book Antiqua" w:cs="Times New Roman"/>
          <w:bCs/>
          <w:i/>
          <w:noProof/>
          <w:sz w:val="24"/>
          <w:szCs w:val="24"/>
          <w:lang w:val="uz-Cyrl-UZ"/>
        </w:rPr>
        <w:t>T/T</w:t>
      </w:r>
      <w:r w:rsidRPr="00616EB4">
        <w:rPr>
          <w:rFonts w:ascii="Book Antiqua" w:hAnsi="Book Antiqua" w:cs="Times New Roman"/>
          <w:bCs/>
          <w:noProof/>
          <w:sz w:val="24"/>
          <w:szCs w:val="24"/>
          <w:lang w:val="uz-Cyrl-UZ"/>
        </w:rPr>
        <w:t xml:space="preserve"> genotype of the </w:t>
      </w:r>
      <w:r w:rsidRPr="00291B83">
        <w:rPr>
          <w:rFonts w:ascii="Book Antiqua" w:hAnsi="Book Antiqua" w:cs="Times New Roman"/>
          <w:bCs/>
          <w:i/>
          <w:noProof/>
          <w:sz w:val="24"/>
          <w:szCs w:val="24"/>
          <w:lang w:val="uz-Cyrl-UZ"/>
        </w:rPr>
        <w:t>URAT1 (rs11231825)</w:t>
      </w:r>
      <w:r w:rsidRPr="00616EB4">
        <w:rPr>
          <w:rFonts w:ascii="Book Antiqua" w:hAnsi="Book Antiqua" w:cs="Times New Roman"/>
          <w:bCs/>
          <w:noProof/>
          <w:sz w:val="24"/>
          <w:szCs w:val="24"/>
          <w:lang w:val="uz-Cyrl-UZ"/>
        </w:rPr>
        <w:t xml:space="preserve"> gene and clinical symptoms of gout. Patients with this genotype had the worst blood uric acid levels, pain index (PAI), annual number of attacks, and gout severity index. At the same time, tophi resorption was low (activity was preserved), which indicates resistance to treatment. On the contrary, patients with the </w:t>
      </w:r>
      <w:r w:rsidRPr="00291B83">
        <w:rPr>
          <w:rFonts w:ascii="Book Antiqua" w:hAnsi="Book Antiqua" w:cs="Times New Roman"/>
          <w:bCs/>
          <w:i/>
          <w:noProof/>
          <w:sz w:val="24"/>
          <w:szCs w:val="24"/>
          <w:lang w:val="uz-Cyrl-UZ"/>
        </w:rPr>
        <w:t>A/A</w:t>
      </w:r>
      <w:r w:rsidRPr="00616EB4">
        <w:rPr>
          <w:rFonts w:ascii="Book Antiqua" w:hAnsi="Book Antiqua" w:cs="Times New Roman"/>
          <w:bCs/>
          <w:noProof/>
          <w:sz w:val="24"/>
          <w:szCs w:val="24"/>
          <w:lang w:val="uz-Cyrl-UZ"/>
        </w:rPr>
        <w:t xml:space="preserve"> genotype had the best results in all clinical parameters: low uric acid levels, low pain and annual number of attacks, and almost complete disappearance of tophi (</w:t>
      </w:r>
      <w:r w:rsidR="002016A1" w:rsidRPr="00A87171">
        <w:rPr>
          <w:rFonts w:ascii="Book Antiqua" w:eastAsia="Calibri" w:hAnsi="Book Antiqua" w:cs="Times New Roman"/>
          <w:sz w:val="24"/>
          <w:szCs w:val="24"/>
          <w:lang w:val="uz-Cyrl-UZ" w:eastAsia="ru-RU"/>
        </w:rPr>
        <w:t>f</w:t>
      </w:r>
      <w:r w:rsidRPr="00616EB4">
        <w:rPr>
          <w:rFonts w:ascii="Book Antiqua" w:hAnsi="Book Antiqua" w:cs="Times New Roman"/>
          <w:bCs/>
          <w:noProof/>
          <w:sz w:val="24"/>
          <w:szCs w:val="24"/>
          <w:lang w:val="uz-Cyrl-UZ"/>
        </w:rPr>
        <w:t xml:space="preserve">ig. 5). Indeed, the </w:t>
      </w:r>
      <w:r w:rsidRPr="00291B83">
        <w:rPr>
          <w:rFonts w:ascii="Book Antiqua" w:hAnsi="Book Antiqua" w:cs="Times New Roman"/>
          <w:bCs/>
          <w:i/>
          <w:noProof/>
          <w:sz w:val="24"/>
          <w:szCs w:val="24"/>
          <w:lang w:val="uz-Cyrl-UZ"/>
        </w:rPr>
        <w:t>T/T</w:t>
      </w:r>
      <w:r w:rsidRPr="00616EB4">
        <w:rPr>
          <w:rFonts w:ascii="Book Antiqua" w:hAnsi="Book Antiqua" w:cs="Times New Roman"/>
          <w:bCs/>
          <w:noProof/>
          <w:sz w:val="24"/>
          <w:szCs w:val="24"/>
          <w:lang w:val="uz-Cyrl-UZ"/>
        </w:rPr>
        <w:t xml:space="preserve"> genotype is associated with a severe, treatment-resistant, and chronic clinical phenotype of gout. The </w:t>
      </w:r>
      <w:r w:rsidRPr="00291B83">
        <w:rPr>
          <w:rFonts w:ascii="Book Antiqua" w:hAnsi="Book Antiqua" w:cs="Times New Roman"/>
          <w:bCs/>
          <w:i/>
          <w:noProof/>
          <w:sz w:val="24"/>
          <w:szCs w:val="24"/>
          <w:lang w:val="uz-Cyrl-UZ"/>
        </w:rPr>
        <w:t>A/A</w:t>
      </w:r>
      <w:r w:rsidRPr="00616EB4">
        <w:rPr>
          <w:rFonts w:ascii="Book Antiqua" w:hAnsi="Book Antiqua" w:cs="Times New Roman"/>
          <w:bCs/>
          <w:noProof/>
          <w:sz w:val="24"/>
          <w:szCs w:val="24"/>
          <w:lang w:val="uz-Cyrl-UZ"/>
        </w:rPr>
        <w:t xml:space="preserve"> genotype can be evaluated as a “protective” prognostic biomarker. The use of the </w:t>
      </w:r>
      <w:r w:rsidRPr="00291B83">
        <w:rPr>
          <w:rFonts w:ascii="Book Antiqua" w:hAnsi="Book Antiqua" w:cs="Times New Roman"/>
          <w:bCs/>
          <w:i/>
          <w:noProof/>
          <w:sz w:val="24"/>
          <w:szCs w:val="24"/>
          <w:lang w:val="uz-Cyrl-UZ"/>
        </w:rPr>
        <w:t>URAT1 (rs11231825)</w:t>
      </w:r>
      <w:r w:rsidRPr="00616EB4">
        <w:rPr>
          <w:rFonts w:ascii="Book Antiqua" w:hAnsi="Book Antiqua" w:cs="Times New Roman"/>
          <w:bCs/>
          <w:noProof/>
          <w:sz w:val="24"/>
          <w:szCs w:val="24"/>
          <w:lang w:val="uz-Cyrl-UZ"/>
        </w:rPr>
        <w:t xml:space="preserve"> polymorphism in genetic screening has important clinical significance in early gout prediction and selection of personalized treatment tactics.</w:t>
      </w:r>
    </w:p>
    <w:p w:rsidR="00BE7954" w:rsidRDefault="0048769A" w:rsidP="00616EB4">
      <w:pPr>
        <w:spacing w:after="0" w:line="276" w:lineRule="auto"/>
        <w:jc w:val="center"/>
        <w:rPr>
          <w:rFonts w:ascii="Book Antiqua" w:hAnsi="Book Antiqua" w:cs="Times New Roman"/>
          <w:noProof/>
          <w:sz w:val="24"/>
          <w:szCs w:val="24"/>
          <w:lang w:val="uz-Cyrl-UZ"/>
        </w:rPr>
      </w:pPr>
      <w:r w:rsidRPr="0048769A">
        <w:rPr>
          <w:rFonts w:ascii="Book Antiqua" w:hAnsi="Book Antiqua" w:cs="Times New Roman"/>
          <w:noProof/>
          <w:sz w:val="24"/>
          <w:szCs w:val="24"/>
          <w:lang w:val="en-US"/>
        </w:rPr>
        <w:lastRenderedPageBreak/>
        <w:drawing>
          <wp:inline distT="0" distB="0" distL="0" distR="0" wp14:anchorId="37EF3EC6" wp14:editId="01CD8D13">
            <wp:extent cx="5227773" cy="3254022"/>
            <wp:effectExtent l="0" t="0" r="0" b="381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27773" cy="3254022"/>
                    </a:xfrm>
                    <a:prstGeom prst="rect">
                      <a:avLst/>
                    </a:prstGeom>
                  </pic:spPr>
                </pic:pic>
              </a:graphicData>
            </a:graphic>
          </wp:inline>
        </w:drawing>
      </w:r>
    </w:p>
    <w:p w:rsidR="00816161" w:rsidRPr="00BE7954" w:rsidRDefault="00BE7954" w:rsidP="00616EB4">
      <w:pPr>
        <w:spacing w:after="0" w:line="276" w:lineRule="auto"/>
        <w:jc w:val="center"/>
        <w:rPr>
          <w:rFonts w:ascii="Book Antiqua" w:hAnsi="Book Antiqua" w:cs="Times New Roman"/>
          <w:noProof/>
          <w:sz w:val="18"/>
          <w:szCs w:val="24"/>
          <w:lang w:val="uz-Cyrl-UZ"/>
        </w:rPr>
      </w:pPr>
      <w:r w:rsidRPr="00BE7954">
        <w:rPr>
          <w:rFonts w:ascii="Book Antiqua" w:hAnsi="Book Antiqua" w:cs="Times New Roman"/>
          <w:b/>
          <w:noProof/>
          <w:sz w:val="18"/>
          <w:szCs w:val="24"/>
          <w:lang w:val="uz-Cyrl-UZ"/>
        </w:rPr>
        <w:t>Note:</w:t>
      </w:r>
      <w:r w:rsidRPr="00BE7954">
        <w:rPr>
          <w:rFonts w:ascii="Book Antiqua" w:hAnsi="Book Antiqua" w:cs="Times New Roman"/>
          <w:noProof/>
          <w:sz w:val="18"/>
          <w:szCs w:val="24"/>
          <w:lang w:val="uz-Cyrl-UZ"/>
        </w:rPr>
        <w:t xml:space="preserve"> </w:t>
      </w:r>
      <w:r w:rsidRPr="00BE7954">
        <w:rPr>
          <w:rFonts w:ascii="Book Antiqua" w:hAnsi="Book Antiqua" w:cs="Times New Roman"/>
          <w:noProof/>
          <w:sz w:val="18"/>
          <w:szCs w:val="24"/>
          <w:lang w:val="en-US"/>
        </w:rPr>
        <w:t>p</w:t>
      </w:r>
      <w:r w:rsidRPr="00BE7954">
        <w:rPr>
          <w:rFonts w:ascii="Book Antiqua" w:hAnsi="Book Antiqua" w:cs="Times New Roman"/>
          <w:noProof/>
          <w:sz w:val="18"/>
          <w:szCs w:val="24"/>
          <w:lang w:val="uz-Cyrl-UZ"/>
        </w:rPr>
        <w:t xml:space="preserve"> – Significance of differences with respect to allopurinol scores</w:t>
      </w:r>
    </w:p>
    <w:p w:rsidR="00616EB4" w:rsidRPr="00616EB4" w:rsidRDefault="00616EB4" w:rsidP="00616EB4">
      <w:pPr>
        <w:spacing w:after="0" w:line="276" w:lineRule="auto"/>
        <w:jc w:val="center"/>
        <w:rPr>
          <w:rFonts w:ascii="Book Antiqua" w:hAnsi="Book Antiqua" w:cs="Times New Roman"/>
          <w:b/>
          <w:bCs/>
          <w:noProof/>
          <w:sz w:val="24"/>
          <w:szCs w:val="24"/>
          <w:lang w:val="uz-Cyrl-UZ"/>
        </w:rPr>
      </w:pPr>
      <w:r w:rsidRPr="00616EB4">
        <w:rPr>
          <w:rFonts w:ascii="Book Antiqua" w:hAnsi="Book Antiqua" w:cs="Times New Roman"/>
          <w:b/>
          <w:bCs/>
          <w:noProof/>
          <w:sz w:val="24"/>
          <w:szCs w:val="24"/>
          <w:lang w:val="uz-Cyrl-UZ"/>
        </w:rPr>
        <w:t xml:space="preserve">Figure 6. Efficacy of allopurinol and febuxostat in patients with gout who have the </w:t>
      </w:r>
      <w:r w:rsidRPr="00291B83">
        <w:rPr>
          <w:rFonts w:ascii="Book Antiqua" w:hAnsi="Book Antiqua" w:cs="Times New Roman"/>
          <w:b/>
          <w:bCs/>
          <w:i/>
          <w:noProof/>
          <w:sz w:val="24"/>
          <w:szCs w:val="24"/>
          <w:lang w:val="uz-Cyrl-UZ"/>
        </w:rPr>
        <w:t>T/T</w:t>
      </w:r>
      <w:r w:rsidRPr="00616EB4">
        <w:rPr>
          <w:rFonts w:ascii="Book Antiqua" w:hAnsi="Book Antiqua" w:cs="Times New Roman"/>
          <w:b/>
          <w:bCs/>
          <w:noProof/>
          <w:sz w:val="24"/>
          <w:szCs w:val="24"/>
          <w:lang w:val="uz-Cyrl-UZ"/>
        </w:rPr>
        <w:t xml:space="preserve"> genotype of the </w:t>
      </w:r>
      <w:r w:rsidRPr="00291B83">
        <w:rPr>
          <w:rFonts w:ascii="Book Antiqua" w:hAnsi="Book Antiqua" w:cs="Times New Roman"/>
          <w:b/>
          <w:bCs/>
          <w:i/>
          <w:noProof/>
          <w:sz w:val="24"/>
          <w:szCs w:val="24"/>
          <w:lang w:val="uz-Cyrl-UZ"/>
        </w:rPr>
        <w:t>URAT1 (rs11231825)</w:t>
      </w:r>
      <w:r w:rsidRPr="00616EB4">
        <w:rPr>
          <w:rFonts w:ascii="Book Antiqua" w:hAnsi="Book Antiqua" w:cs="Times New Roman"/>
          <w:b/>
          <w:bCs/>
          <w:noProof/>
          <w:sz w:val="24"/>
          <w:szCs w:val="24"/>
          <w:lang w:val="uz-Cyrl-UZ"/>
        </w:rPr>
        <w:t xml:space="preserve"> gene</w:t>
      </w:r>
    </w:p>
    <w:p w:rsidR="00616EB4" w:rsidRPr="00616EB4" w:rsidRDefault="00616EB4" w:rsidP="00616EB4">
      <w:pPr>
        <w:spacing w:after="0" w:line="276" w:lineRule="auto"/>
        <w:ind w:firstLine="567"/>
        <w:jc w:val="both"/>
        <w:rPr>
          <w:rFonts w:ascii="Book Antiqua" w:hAnsi="Book Antiqua" w:cs="Times New Roman"/>
          <w:bCs/>
          <w:noProof/>
          <w:sz w:val="24"/>
          <w:szCs w:val="24"/>
          <w:lang w:val="uz-Cyrl-UZ"/>
        </w:rPr>
      </w:pPr>
      <w:r w:rsidRPr="00616EB4">
        <w:rPr>
          <w:rFonts w:ascii="Book Antiqua" w:hAnsi="Book Antiqua" w:cs="Times New Roman"/>
          <w:bCs/>
          <w:noProof/>
          <w:sz w:val="24"/>
          <w:szCs w:val="24"/>
          <w:lang w:val="uz-Cyrl-UZ"/>
        </w:rPr>
        <w:t>The radial diagram above compares the efficacy of two types of hypouricemic therapy in patients with gout - allopurinol (blue line) and febuxostat (yellow line) - on five key clinical parameters. Febuxostat showed different results compared to allopurinol in all parameters, in some cases statistically significant. Patients receiving febuxostat had higher efficacy in terms of uric acid levels, annual number of attacks, pain level, and disease severity index. Patients who were prescribed allopurinol had a relatively lower efficacy in reducing uric acid, pain, and attacks. However, it was noted that its effect on accumulated gouty tissue was stronger (</w:t>
      </w:r>
      <w:r w:rsidR="002016A1" w:rsidRPr="00A87171">
        <w:rPr>
          <w:rFonts w:ascii="Book Antiqua" w:eastAsia="Calibri" w:hAnsi="Book Antiqua" w:cs="Times New Roman"/>
          <w:sz w:val="24"/>
          <w:szCs w:val="24"/>
          <w:lang w:val="uz-Cyrl-UZ" w:eastAsia="ru-RU"/>
        </w:rPr>
        <w:t>f</w:t>
      </w:r>
      <w:r w:rsidRPr="00616EB4">
        <w:rPr>
          <w:rFonts w:ascii="Book Antiqua" w:hAnsi="Book Antiqua" w:cs="Times New Roman"/>
          <w:bCs/>
          <w:noProof/>
          <w:sz w:val="24"/>
          <w:szCs w:val="24"/>
          <w:lang w:val="uz-Cyrl-UZ"/>
        </w:rPr>
        <w:t>igure 6).</w:t>
      </w:r>
    </w:p>
    <w:p w:rsidR="00616EB4" w:rsidRDefault="00616EB4" w:rsidP="00616EB4">
      <w:pPr>
        <w:spacing w:after="0" w:line="276" w:lineRule="auto"/>
        <w:jc w:val="center"/>
        <w:rPr>
          <w:rFonts w:ascii="Book Antiqua" w:hAnsi="Book Antiqua" w:cs="Times New Roman"/>
          <w:b/>
          <w:bCs/>
          <w:noProof/>
          <w:sz w:val="24"/>
          <w:szCs w:val="24"/>
          <w:lang w:val="uz-Cyrl-UZ"/>
        </w:rPr>
      </w:pPr>
    </w:p>
    <w:p w:rsidR="00954F45" w:rsidRDefault="00954F45" w:rsidP="00616EB4">
      <w:pPr>
        <w:spacing w:after="0" w:line="276" w:lineRule="auto"/>
        <w:jc w:val="center"/>
        <w:rPr>
          <w:rFonts w:ascii="Book Antiqua" w:hAnsi="Book Antiqua" w:cs="Times New Roman"/>
          <w:noProof/>
          <w:sz w:val="24"/>
          <w:szCs w:val="24"/>
          <w:lang w:val="uz-Cyrl-UZ"/>
        </w:rPr>
      </w:pPr>
      <w:r>
        <w:rPr>
          <w:rFonts w:ascii="Book Antiqua" w:hAnsi="Book Antiqua" w:cs="Times New Roman"/>
          <w:noProof/>
          <w:sz w:val="24"/>
          <w:szCs w:val="24"/>
          <w:lang w:val="en-US"/>
        </w:rPr>
        <w:lastRenderedPageBreak/>
        <w:drawing>
          <wp:inline distT="0" distB="0" distL="0" distR="0">
            <wp:extent cx="5509260" cy="2872740"/>
            <wp:effectExtent l="0" t="0" r="0" b="381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09260" cy="2872740"/>
                    </a:xfrm>
                    <a:prstGeom prst="rect">
                      <a:avLst/>
                    </a:prstGeom>
                    <a:noFill/>
                    <a:ln>
                      <a:noFill/>
                    </a:ln>
                  </pic:spPr>
                </pic:pic>
              </a:graphicData>
            </a:graphic>
          </wp:inline>
        </w:drawing>
      </w:r>
    </w:p>
    <w:p w:rsidR="00816161" w:rsidRPr="00954F45" w:rsidRDefault="00954F45" w:rsidP="00616EB4">
      <w:pPr>
        <w:spacing w:after="0" w:line="276" w:lineRule="auto"/>
        <w:jc w:val="center"/>
        <w:rPr>
          <w:rFonts w:ascii="Book Antiqua" w:hAnsi="Book Antiqua" w:cs="Times New Roman"/>
          <w:noProof/>
          <w:sz w:val="18"/>
          <w:szCs w:val="24"/>
          <w:lang w:val="uz-Cyrl-UZ"/>
        </w:rPr>
      </w:pPr>
      <w:r w:rsidRPr="00954F45">
        <w:rPr>
          <w:rFonts w:ascii="Book Antiqua" w:hAnsi="Book Antiqua" w:cs="Times New Roman"/>
          <w:b/>
          <w:noProof/>
          <w:sz w:val="18"/>
          <w:szCs w:val="24"/>
          <w:lang w:val="uz-Cyrl-UZ"/>
        </w:rPr>
        <w:t>Note:</w:t>
      </w:r>
      <w:r w:rsidRPr="00954F45">
        <w:rPr>
          <w:rFonts w:ascii="Book Antiqua" w:hAnsi="Book Antiqua" w:cs="Times New Roman"/>
          <w:noProof/>
          <w:sz w:val="18"/>
          <w:szCs w:val="24"/>
          <w:lang w:val="uz-Cyrl-UZ"/>
        </w:rPr>
        <w:t xml:space="preserve"> </w:t>
      </w:r>
      <w:r w:rsidRPr="00954F45">
        <w:rPr>
          <w:rFonts w:ascii="Book Antiqua" w:hAnsi="Book Antiqua" w:cs="Times New Roman"/>
          <w:noProof/>
          <w:sz w:val="18"/>
          <w:szCs w:val="24"/>
          <w:lang w:val="en-US"/>
        </w:rPr>
        <w:t>p-</w:t>
      </w:r>
      <w:r w:rsidRPr="00954F45">
        <w:rPr>
          <w:rFonts w:ascii="Book Antiqua" w:hAnsi="Book Antiqua" w:cs="Times New Roman"/>
          <w:noProof/>
          <w:sz w:val="18"/>
          <w:szCs w:val="24"/>
          <w:lang w:val="uz-Cyrl-UZ"/>
        </w:rPr>
        <w:t xml:space="preserve"> the significance of differences compared to pre-treatment values;</w:t>
      </w:r>
      <w:r w:rsidR="00816161" w:rsidRPr="00954F45">
        <w:rPr>
          <w:rFonts w:ascii="Book Antiqua" w:hAnsi="Book Antiqua" w:cs="Times New Roman"/>
          <w:noProof/>
          <w:sz w:val="18"/>
          <w:szCs w:val="24"/>
          <w:lang w:val="uz-Cyrl-UZ"/>
        </w:rPr>
        <w:t xml:space="preserve"> </w:t>
      </w:r>
    </w:p>
    <w:p w:rsidR="00616EB4" w:rsidRDefault="00616EB4" w:rsidP="00616EB4">
      <w:pPr>
        <w:spacing w:after="0" w:line="276" w:lineRule="auto"/>
        <w:jc w:val="center"/>
        <w:rPr>
          <w:rFonts w:ascii="Book Antiqua" w:eastAsia="Times New Roman" w:hAnsi="Book Antiqua" w:cs="Times New Roman"/>
          <w:b/>
          <w:sz w:val="24"/>
          <w:szCs w:val="24"/>
          <w:lang w:val="uz-Cyrl-UZ"/>
        </w:rPr>
      </w:pPr>
      <w:r w:rsidRPr="00616EB4">
        <w:rPr>
          <w:rFonts w:ascii="Book Antiqua" w:eastAsia="Times New Roman" w:hAnsi="Book Antiqua" w:cs="Times New Roman"/>
          <w:b/>
          <w:sz w:val="24"/>
          <w:szCs w:val="24"/>
          <w:lang w:val="uz-Cyrl-UZ"/>
        </w:rPr>
        <w:t xml:space="preserve">Figure 7. Dynamics of SF-36 quality of life indicators against the background of hypouremic therapy in different variants of the </w:t>
      </w:r>
      <w:r w:rsidRPr="00291B83">
        <w:rPr>
          <w:rFonts w:ascii="Book Antiqua" w:eastAsia="Times New Roman" w:hAnsi="Book Antiqua" w:cs="Times New Roman"/>
          <w:b/>
          <w:i/>
          <w:sz w:val="24"/>
          <w:szCs w:val="24"/>
          <w:lang w:val="uz-Cyrl-UZ"/>
        </w:rPr>
        <w:t xml:space="preserve">URAT1 </w:t>
      </w:r>
      <w:r w:rsidRPr="00616EB4">
        <w:rPr>
          <w:rFonts w:ascii="Book Antiqua" w:eastAsia="Times New Roman" w:hAnsi="Book Antiqua" w:cs="Times New Roman"/>
          <w:b/>
          <w:sz w:val="24"/>
          <w:szCs w:val="24"/>
          <w:lang w:val="uz-Cyrl-UZ"/>
        </w:rPr>
        <w:t>genotype</w:t>
      </w:r>
    </w:p>
    <w:p w:rsidR="00954F45" w:rsidRPr="00616EB4" w:rsidRDefault="00954F45" w:rsidP="00616EB4">
      <w:pPr>
        <w:spacing w:after="0" w:line="276" w:lineRule="auto"/>
        <w:jc w:val="center"/>
        <w:rPr>
          <w:rFonts w:ascii="Book Antiqua" w:eastAsia="Times New Roman" w:hAnsi="Book Antiqua" w:cs="Times New Roman"/>
          <w:b/>
          <w:sz w:val="24"/>
          <w:szCs w:val="24"/>
          <w:lang w:val="uz-Cyrl-UZ"/>
        </w:rPr>
      </w:pPr>
    </w:p>
    <w:p w:rsidR="00616EB4" w:rsidRPr="00616EB4" w:rsidRDefault="00616EB4" w:rsidP="00616EB4">
      <w:pPr>
        <w:spacing w:after="0" w:line="276" w:lineRule="auto"/>
        <w:ind w:firstLine="567"/>
        <w:jc w:val="both"/>
        <w:rPr>
          <w:rFonts w:ascii="Book Antiqua" w:eastAsia="Times New Roman" w:hAnsi="Book Antiqua" w:cs="Times New Roman"/>
          <w:sz w:val="24"/>
          <w:szCs w:val="24"/>
          <w:lang w:val="uz-Cyrl-UZ"/>
        </w:rPr>
      </w:pPr>
      <w:r w:rsidRPr="00616EB4">
        <w:rPr>
          <w:rFonts w:ascii="Book Antiqua" w:eastAsia="Times New Roman" w:hAnsi="Book Antiqua" w:cs="Times New Roman"/>
          <w:sz w:val="24"/>
          <w:szCs w:val="24"/>
          <w:lang w:val="uz-Cyrl-UZ"/>
        </w:rPr>
        <w:t xml:space="preserve">The bar graph in </w:t>
      </w:r>
      <w:r w:rsidR="002016A1" w:rsidRPr="00A87171">
        <w:rPr>
          <w:rFonts w:ascii="Book Antiqua" w:eastAsia="Calibri" w:hAnsi="Book Antiqua" w:cs="Times New Roman"/>
          <w:sz w:val="24"/>
          <w:szCs w:val="24"/>
          <w:lang w:val="uz-Cyrl-UZ" w:eastAsia="ru-RU"/>
        </w:rPr>
        <w:t>f</w:t>
      </w:r>
      <w:r w:rsidRPr="00616EB4">
        <w:rPr>
          <w:rFonts w:ascii="Book Antiqua" w:eastAsia="Times New Roman" w:hAnsi="Book Antiqua" w:cs="Times New Roman"/>
          <w:sz w:val="24"/>
          <w:szCs w:val="24"/>
          <w:lang w:val="uz-Cyrl-UZ"/>
        </w:rPr>
        <w:t xml:space="preserve">igure 7 compares the quality of life indicators (SF-36 scale) before and after treatment in gout patients with different genotypes </w:t>
      </w:r>
      <w:r w:rsidRPr="00291B83">
        <w:rPr>
          <w:rFonts w:ascii="Book Antiqua" w:eastAsia="Times New Roman" w:hAnsi="Book Antiqua" w:cs="Times New Roman"/>
          <w:i/>
          <w:sz w:val="24"/>
          <w:szCs w:val="24"/>
          <w:lang w:val="uz-Cyrl-UZ"/>
        </w:rPr>
        <w:t>(A/A, T/A, T/T)</w:t>
      </w:r>
      <w:r w:rsidRPr="00616EB4">
        <w:rPr>
          <w:rFonts w:ascii="Book Antiqua" w:eastAsia="Times New Roman" w:hAnsi="Book Antiqua" w:cs="Times New Roman"/>
          <w:sz w:val="24"/>
          <w:szCs w:val="24"/>
          <w:lang w:val="uz-Cyrl-UZ"/>
        </w:rPr>
        <w:t xml:space="preserve"> of the </w:t>
      </w:r>
      <w:r w:rsidRPr="00291B83">
        <w:rPr>
          <w:rFonts w:ascii="Book Antiqua" w:eastAsia="Times New Roman" w:hAnsi="Book Antiqua" w:cs="Times New Roman"/>
          <w:i/>
          <w:sz w:val="24"/>
          <w:szCs w:val="24"/>
          <w:lang w:val="uz-Cyrl-UZ"/>
        </w:rPr>
        <w:t xml:space="preserve">URAT1 </w:t>
      </w:r>
      <w:r w:rsidRPr="00616EB4">
        <w:rPr>
          <w:rFonts w:ascii="Book Antiqua" w:eastAsia="Times New Roman" w:hAnsi="Book Antiqua" w:cs="Times New Roman"/>
          <w:sz w:val="24"/>
          <w:szCs w:val="24"/>
          <w:lang w:val="uz-Cyrl-UZ"/>
        </w:rPr>
        <w:t>gene. Statistically significant values (p-value) are shown for each domain, and therapeutic efficacy was observed in the sequence</w:t>
      </w:r>
      <w:r w:rsidRPr="00291B83">
        <w:rPr>
          <w:rFonts w:ascii="Book Antiqua" w:eastAsia="Times New Roman" w:hAnsi="Book Antiqua" w:cs="Times New Roman"/>
          <w:i/>
          <w:sz w:val="24"/>
          <w:szCs w:val="24"/>
          <w:lang w:val="uz-Cyrl-UZ"/>
        </w:rPr>
        <w:t xml:space="preserve"> A/A &gt; T/A &gt; T/T.</w:t>
      </w:r>
      <w:r w:rsidRPr="00616EB4">
        <w:rPr>
          <w:rFonts w:ascii="Book Antiqua" w:eastAsia="Times New Roman" w:hAnsi="Book Antiqua" w:cs="Times New Roman"/>
          <w:sz w:val="24"/>
          <w:szCs w:val="24"/>
          <w:lang w:val="uz-Cyrl-UZ"/>
        </w:rPr>
        <w:t xml:space="preserve"> In patients with the </w:t>
      </w:r>
      <w:r w:rsidRPr="00291B83">
        <w:rPr>
          <w:rFonts w:ascii="Book Antiqua" w:eastAsia="Times New Roman" w:hAnsi="Book Antiqua" w:cs="Times New Roman"/>
          <w:i/>
          <w:sz w:val="24"/>
          <w:szCs w:val="24"/>
          <w:lang w:val="uz-Cyrl-UZ"/>
        </w:rPr>
        <w:t>A/A</w:t>
      </w:r>
      <w:r w:rsidRPr="00616EB4">
        <w:rPr>
          <w:rFonts w:ascii="Book Antiqua" w:eastAsia="Times New Roman" w:hAnsi="Book Antiqua" w:cs="Times New Roman"/>
          <w:sz w:val="24"/>
          <w:szCs w:val="24"/>
          <w:lang w:val="uz-Cyrl-UZ"/>
        </w:rPr>
        <w:t xml:space="preserve"> genotype (yellow line), the indicators in all domains after treatment were very high (70–85 points; p &lt; 0.001). It was noted that this genotype was the group that responded best to therapy. Patients with the </w:t>
      </w:r>
      <w:r w:rsidRPr="00291B83">
        <w:rPr>
          <w:rFonts w:ascii="Book Antiqua" w:eastAsia="Times New Roman" w:hAnsi="Book Antiqua" w:cs="Times New Roman"/>
          <w:i/>
          <w:sz w:val="24"/>
          <w:szCs w:val="24"/>
          <w:lang w:val="uz-Cyrl-UZ"/>
        </w:rPr>
        <w:t>T/A</w:t>
      </w:r>
      <w:r w:rsidRPr="00616EB4">
        <w:rPr>
          <w:rFonts w:ascii="Book Antiqua" w:eastAsia="Times New Roman" w:hAnsi="Book Antiqua" w:cs="Times New Roman"/>
          <w:sz w:val="24"/>
          <w:szCs w:val="24"/>
          <w:lang w:val="uz-Cyrl-UZ"/>
        </w:rPr>
        <w:t xml:space="preserve"> genotype (brown line) showed a moderate improvement in all domains (60–70 points; p &lt; 0.01 and p &lt; 0.05). The effect in the heterozygous state was lower than in </w:t>
      </w:r>
      <w:r w:rsidRPr="00291B83">
        <w:rPr>
          <w:rFonts w:ascii="Book Antiqua" w:eastAsia="Times New Roman" w:hAnsi="Book Antiqua" w:cs="Times New Roman"/>
          <w:i/>
          <w:sz w:val="24"/>
          <w:szCs w:val="24"/>
          <w:lang w:val="uz-Cyrl-UZ"/>
        </w:rPr>
        <w:t>A/A,</w:t>
      </w:r>
      <w:r w:rsidRPr="00616EB4">
        <w:rPr>
          <w:rFonts w:ascii="Book Antiqua" w:eastAsia="Times New Roman" w:hAnsi="Book Antiqua" w:cs="Times New Roman"/>
          <w:sz w:val="24"/>
          <w:szCs w:val="24"/>
          <w:lang w:val="uz-Cyrl-UZ"/>
        </w:rPr>
        <w:t xml:space="preserve"> but higher than in </w:t>
      </w:r>
      <w:r w:rsidRPr="00291B83">
        <w:rPr>
          <w:rFonts w:ascii="Book Antiqua" w:eastAsia="Times New Roman" w:hAnsi="Book Antiqua" w:cs="Times New Roman"/>
          <w:i/>
          <w:sz w:val="24"/>
          <w:szCs w:val="24"/>
          <w:lang w:val="uz-Cyrl-UZ"/>
        </w:rPr>
        <w:t>T/T</w:t>
      </w:r>
      <w:r w:rsidRPr="00616EB4">
        <w:rPr>
          <w:rFonts w:ascii="Book Antiqua" w:eastAsia="Times New Roman" w:hAnsi="Book Antiqua" w:cs="Times New Roman"/>
          <w:sz w:val="24"/>
          <w:szCs w:val="24"/>
          <w:lang w:val="uz-Cyrl-UZ"/>
        </w:rPr>
        <w:t xml:space="preserve">. In patients with the </w:t>
      </w:r>
      <w:r w:rsidRPr="00291B83">
        <w:rPr>
          <w:rFonts w:ascii="Book Antiqua" w:eastAsia="Times New Roman" w:hAnsi="Book Antiqua" w:cs="Times New Roman"/>
          <w:i/>
          <w:sz w:val="24"/>
          <w:szCs w:val="24"/>
          <w:lang w:val="uz-Cyrl-UZ"/>
        </w:rPr>
        <w:t>T/T</w:t>
      </w:r>
      <w:r w:rsidRPr="00616EB4">
        <w:rPr>
          <w:rFonts w:ascii="Book Antiqua" w:eastAsia="Times New Roman" w:hAnsi="Book Antiqua" w:cs="Times New Roman"/>
          <w:sz w:val="24"/>
          <w:szCs w:val="24"/>
          <w:lang w:val="uz-Cyrl-UZ"/>
        </w:rPr>
        <w:t xml:space="preserve"> genotype (red line), the positive dynamics of the indicators after hypouremic treatment was maintained to a lesser extent than in the other genotypes (~50–60 points; p &lt; 0.05). The pharmacological effect in this genotype was relatively lower, and resistance to hypouremic therapy was observed.</w:t>
      </w:r>
    </w:p>
    <w:p w:rsidR="00816161" w:rsidRPr="000D6CB8" w:rsidRDefault="002016A1" w:rsidP="00616EB4">
      <w:pPr>
        <w:spacing w:after="0" w:line="276" w:lineRule="auto"/>
        <w:jc w:val="center"/>
        <w:rPr>
          <w:rFonts w:ascii="Book Antiqua" w:hAnsi="Book Antiqua" w:cs="Times New Roman"/>
          <w:noProof/>
          <w:sz w:val="24"/>
          <w:szCs w:val="24"/>
          <w:lang w:val="uz-Cyrl-UZ"/>
        </w:rPr>
      </w:pPr>
      <w:r>
        <w:rPr>
          <w:rFonts w:ascii="Book Antiqua" w:hAnsi="Book Antiqua" w:cs="Times New Roman"/>
          <w:noProof/>
          <w:sz w:val="24"/>
          <w:szCs w:val="24"/>
          <w:lang w:val="en-US"/>
        </w:rPr>
        <w:lastRenderedPageBreak/>
        <w:drawing>
          <wp:inline distT="0" distB="0" distL="0" distR="0">
            <wp:extent cx="5829300" cy="2910840"/>
            <wp:effectExtent l="0" t="0" r="0" b="381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9300" cy="2910840"/>
                    </a:xfrm>
                    <a:prstGeom prst="rect">
                      <a:avLst/>
                    </a:prstGeom>
                    <a:noFill/>
                    <a:ln>
                      <a:noFill/>
                    </a:ln>
                  </pic:spPr>
                </pic:pic>
              </a:graphicData>
            </a:graphic>
          </wp:inline>
        </w:drawing>
      </w:r>
      <w:r w:rsidR="00816161" w:rsidRPr="000D6CB8">
        <w:rPr>
          <w:rFonts w:ascii="Book Antiqua" w:hAnsi="Book Antiqua" w:cs="Times New Roman"/>
          <w:noProof/>
          <w:sz w:val="24"/>
          <w:szCs w:val="24"/>
          <w:lang w:val="uz-Cyrl-UZ"/>
        </w:rPr>
        <w:t xml:space="preserve"> </w:t>
      </w:r>
      <w:r w:rsidR="00EC0B81" w:rsidRPr="00EC0B81">
        <w:rPr>
          <w:rFonts w:ascii="Book Antiqua" w:hAnsi="Book Antiqua" w:cs="Times New Roman"/>
          <w:noProof/>
          <w:sz w:val="24"/>
          <w:szCs w:val="24"/>
          <w:lang w:val="uz-Cyrl-UZ"/>
        </w:rPr>
        <w:t xml:space="preserve"> </w:t>
      </w:r>
    </w:p>
    <w:p w:rsidR="002016A1" w:rsidRDefault="002016A1" w:rsidP="00B06196">
      <w:pPr>
        <w:pStyle w:val="ListParagraph"/>
        <w:spacing w:after="0" w:line="276" w:lineRule="auto"/>
        <w:jc w:val="center"/>
        <w:rPr>
          <w:rFonts w:ascii="Book Antiqua" w:hAnsi="Book Antiqua" w:cs="Times New Roman"/>
          <w:noProof/>
          <w:sz w:val="18"/>
          <w:szCs w:val="24"/>
          <w:lang w:val="uz-Cyrl-UZ"/>
        </w:rPr>
      </w:pPr>
      <w:r w:rsidRPr="00954F45">
        <w:rPr>
          <w:rFonts w:ascii="Book Antiqua" w:hAnsi="Book Antiqua" w:cs="Times New Roman"/>
          <w:b/>
          <w:noProof/>
          <w:sz w:val="18"/>
          <w:szCs w:val="24"/>
          <w:lang w:val="uz-Cyrl-UZ"/>
        </w:rPr>
        <w:t>Note:</w:t>
      </w:r>
      <w:r w:rsidRPr="00954F45">
        <w:rPr>
          <w:rFonts w:ascii="Book Antiqua" w:hAnsi="Book Antiqua" w:cs="Times New Roman"/>
          <w:noProof/>
          <w:sz w:val="18"/>
          <w:szCs w:val="24"/>
          <w:lang w:val="uz-Cyrl-UZ"/>
        </w:rPr>
        <w:t xml:space="preserve"> </w:t>
      </w:r>
      <w:r w:rsidRPr="00954F45">
        <w:rPr>
          <w:rFonts w:ascii="Book Antiqua" w:hAnsi="Book Antiqua" w:cs="Times New Roman"/>
          <w:noProof/>
          <w:sz w:val="18"/>
          <w:szCs w:val="24"/>
          <w:lang w:val="en-US"/>
        </w:rPr>
        <w:t>p-</w:t>
      </w:r>
      <w:r w:rsidRPr="00954F45">
        <w:rPr>
          <w:rFonts w:ascii="Book Antiqua" w:hAnsi="Book Antiqua" w:cs="Times New Roman"/>
          <w:noProof/>
          <w:sz w:val="18"/>
          <w:szCs w:val="24"/>
          <w:lang w:val="uz-Cyrl-UZ"/>
        </w:rPr>
        <w:t xml:space="preserve"> the significance of differences compared to pre-treatment values; </w:t>
      </w:r>
    </w:p>
    <w:p w:rsidR="00B06196" w:rsidRPr="00B06196" w:rsidRDefault="00B06196" w:rsidP="00B06196">
      <w:pPr>
        <w:pStyle w:val="ListParagraph"/>
        <w:spacing w:after="0" w:line="276" w:lineRule="auto"/>
        <w:jc w:val="center"/>
        <w:rPr>
          <w:rFonts w:ascii="Book Antiqua" w:eastAsia="Times New Roman" w:hAnsi="Book Antiqua" w:cs="Times New Roman"/>
          <w:b/>
          <w:sz w:val="24"/>
          <w:szCs w:val="24"/>
          <w:lang w:val="uz-Cyrl-UZ"/>
        </w:rPr>
      </w:pPr>
      <w:r w:rsidRPr="00B06196">
        <w:rPr>
          <w:rFonts w:ascii="Book Antiqua" w:eastAsia="Times New Roman" w:hAnsi="Book Antiqua" w:cs="Times New Roman"/>
          <w:b/>
          <w:sz w:val="24"/>
          <w:szCs w:val="24"/>
          <w:lang w:val="uz-Cyrl-UZ"/>
        </w:rPr>
        <w:t xml:space="preserve">Figure 8. Dynamics of quality of life indicators according to the EQ-5D scale against the background of hypouremic therapy in different variants of the </w:t>
      </w:r>
      <w:r w:rsidRPr="00291B83">
        <w:rPr>
          <w:rFonts w:ascii="Book Antiqua" w:eastAsia="Times New Roman" w:hAnsi="Book Antiqua" w:cs="Times New Roman"/>
          <w:b/>
          <w:i/>
          <w:sz w:val="24"/>
          <w:szCs w:val="24"/>
          <w:lang w:val="uz-Cyrl-UZ"/>
        </w:rPr>
        <w:t>URAT1</w:t>
      </w:r>
      <w:r w:rsidRPr="00B06196">
        <w:rPr>
          <w:rFonts w:ascii="Book Antiqua" w:eastAsia="Times New Roman" w:hAnsi="Book Antiqua" w:cs="Times New Roman"/>
          <w:b/>
          <w:sz w:val="24"/>
          <w:szCs w:val="24"/>
          <w:lang w:val="uz-Cyrl-UZ"/>
        </w:rPr>
        <w:t xml:space="preserve"> genotype</w:t>
      </w:r>
    </w:p>
    <w:p w:rsidR="00B06196" w:rsidRDefault="00B06196" w:rsidP="00B06196">
      <w:pPr>
        <w:spacing w:after="0" w:line="276" w:lineRule="auto"/>
        <w:ind w:firstLine="567"/>
        <w:jc w:val="both"/>
        <w:rPr>
          <w:rFonts w:ascii="Book Antiqua" w:eastAsia="Times New Roman" w:hAnsi="Book Antiqua" w:cs="Times New Roman"/>
          <w:sz w:val="24"/>
          <w:szCs w:val="24"/>
          <w:lang w:val="uz-Cyrl-UZ"/>
        </w:rPr>
      </w:pPr>
      <w:r w:rsidRPr="00B06196">
        <w:rPr>
          <w:rFonts w:ascii="Book Antiqua" w:eastAsia="Times New Roman" w:hAnsi="Book Antiqua" w:cs="Times New Roman"/>
          <w:sz w:val="24"/>
          <w:szCs w:val="24"/>
          <w:lang w:val="uz-Cyrl-UZ"/>
        </w:rPr>
        <w:t xml:space="preserve">The comparison of changes in the 5 components of the EQ-5D (EuroQoL) quality of life scale according to different genotypes </w:t>
      </w:r>
      <w:r w:rsidRPr="00291B83">
        <w:rPr>
          <w:rFonts w:ascii="Book Antiqua" w:eastAsia="Times New Roman" w:hAnsi="Book Antiqua" w:cs="Times New Roman"/>
          <w:i/>
          <w:sz w:val="24"/>
          <w:szCs w:val="24"/>
          <w:lang w:val="uz-Cyrl-UZ"/>
        </w:rPr>
        <w:t xml:space="preserve">(A/A, T/A, T/T) </w:t>
      </w:r>
      <w:r w:rsidRPr="00B06196">
        <w:rPr>
          <w:rFonts w:ascii="Book Antiqua" w:eastAsia="Times New Roman" w:hAnsi="Book Antiqua" w:cs="Times New Roman"/>
          <w:sz w:val="24"/>
          <w:szCs w:val="24"/>
          <w:lang w:val="uz-Cyrl-UZ"/>
        </w:rPr>
        <w:t xml:space="preserve">of the </w:t>
      </w:r>
      <w:r w:rsidRPr="00291B83">
        <w:rPr>
          <w:rFonts w:ascii="Book Antiqua" w:eastAsia="Times New Roman" w:hAnsi="Book Antiqua" w:cs="Times New Roman"/>
          <w:i/>
          <w:sz w:val="24"/>
          <w:szCs w:val="24"/>
          <w:lang w:val="uz-Cyrl-UZ"/>
        </w:rPr>
        <w:t xml:space="preserve">URAT1 (rs2307486) </w:t>
      </w:r>
      <w:r w:rsidRPr="00B06196">
        <w:rPr>
          <w:rFonts w:ascii="Book Antiqua" w:eastAsia="Times New Roman" w:hAnsi="Book Antiqua" w:cs="Times New Roman"/>
          <w:sz w:val="24"/>
          <w:szCs w:val="24"/>
          <w:lang w:val="uz-Cyrl-UZ"/>
        </w:rPr>
        <w:t xml:space="preserve">gene in gout patients before and after treatment is presented in </w:t>
      </w:r>
      <w:r w:rsidR="002016A1" w:rsidRPr="00A87171">
        <w:rPr>
          <w:rFonts w:ascii="Book Antiqua" w:eastAsia="Calibri" w:hAnsi="Book Antiqua" w:cs="Times New Roman"/>
          <w:sz w:val="24"/>
          <w:szCs w:val="24"/>
          <w:lang w:val="uz-Cyrl-UZ" w:eastAsia="ru-RU"/>
        </w:rPr>
        <w:t>f</w:t>
      </w:r>
      <w:r w:rsidRPr="00B06196">
        <w:rPr>
          <w:rFonts w:ascii="Book Antiqua" w:eastAsia="Times New Roman" w:hAnsi="Book Antiqua" w:cs="Times New Roman"/>
          <w:sz w:val="24"/>
          <w:szCs w:val="24"/>
          <w:lang w:val="uz-Cyrl-UZ"/>
        </w:rPr>
        <w:t xml:space="preserve">igure </w:t>
      </w:r>
      <w:r w:rsidR="002016A1">
        <w:rPr>
          <w:rFonts w:ascii="Book Antiqua" w:eastAsia="Times New Roman" w:hAnsi="Book Antiqua" w:cs="Times New Roman"/>
          <w:sz w:val="24"/>
          <w:szCs w:val="24"/>
          <w:lang w:val="uz-Cyrl-UZ"/>
        </w:rPr>
        <w:t>8</w:t>
      </w:r>
      <w:r w:rsidRPr="00B06196">
        <w:rPr>
          <w:rFonts w:ascii="Book Antiqua" w:eastAsia="Times New Roman" w:hAnsi="Book Antiqua" w:cs="Times New Roman"/>
          <w:sz w:val="24"/>
          <w:szCs w:val="24"/>
          <w:lang w:val="uz-Cyrl-UZ"/>
        </w:rPr>
        <w:t xml:space="preserve"> above. According to it, the effectiveness of treatment for each indicator and its statistical significance are determined by p-value. Analysis of the quality of life components assessed by the EQ-5D index indicates that different genotypes of the </w:t>
      </w:r>
      <w:r w:rsidRPr="00291B83">
        <w:rPr>
          <w:rFonts w:ascii="Book Antiqua" w:eastAsia="Times New Roman" w:hAnsi="Book Antiqua" w:cs="Times New Roman"/>
          <w:i/>
          <w:sz w:val="24"/>
          <w:szCs w:val="24"/>
          <w:lang w:val="uz-Cyrl-UZ"/>
        </w:rPr>
        <w:t xml:space="preserve">URAT1 (rs11231825) </w:t>
      </w:r>
      <w:r w:rsidRPr="00B06196">
        <w:rPr>
          <w:rFonts w:ascii="Book Antiqua" w:eastAsia="Times New Roman" w:hAnsi="Book Antiqua" w:cs="Times New Roman"/>
          <w:sz w:val="24"/>
          <w:szCs w:val="24"/>
          <w:lang w:val="uz-Cyrl-UZ"/>
        </w:rPr>
        <w:t xml:space="preserve">gene have a direct impact on the effectiveness of treatment in gout patients. In patients with the </w:t>
      </w:r>
      <w:r w:rsidRPr="00291B83">
        <w:rPr>
          <w:rFonts w:ascii="Book Antiqua" w:eastAsia="Times New Roman" w:hAnsi="Book Antiqua" w:cs="Times New Roman"/>
          <w:i/>
          <w:sz w:val="24"/>
          <w:szCs w:val="24"/>
          <w:lang w:val="uz-Cyrl-UZ"/>
        </w:rPr>
        <w:t xml:space="preserve">A/A </w:t>
      </w:r>
      <w:r w:rsidRPr="00B06196">
        <w:rPr>
          <w:rFonts w:ascii="Book Antiqua" w:eastAsia="Times New Roman" w:hAnsi="Book Antiqua" w:cs="Times New Roman"/>
          <w:sz w:val="24"/>
          <w:szCs w:val="24"/>
          <w:lang w:val="uz-Cyrl-UZ"/>
        </w:rPr>
        <w:t xml:space="preserve">genotype, the indicators Mobility, Self-care, Usual activities, Pain/Discomfort and Anxiety/Depression improved with statistical significance at the level of p&lt;0.01–0.02. Significant positive changes were also noted in patients with the </w:t>
      </w:r>
      <w:r w:rsidRPr="00291B83">
        <w:rPr>
          <w:rFonts w:ascii="Book Antiqua" w:eastAsia="Times New Roman" w:hAnsi="Book Antiqua" w:cs="Times New Roman"/>
          <w:i/>
          <w:sz w:val="24"/>
          <w:szCs w:val="24"/>
          <w:lang w:val="uz-Cyrl-UZ"/>
        </w:rPr>
        <w:t xml:space="preserve">T/A </w:t>
      </w:r>
      <w:r w:rsidRPr="00B06196">
        <w:rPr>
          <w:rFonts w:ascii="Book Antiqua" w:eastAsia="Times New Roman" w:hAnsi="Book Antiqua" w:cs="Times New Roman"/>
          <w:sz w:val="24"/>
          <w:szCs w:val="24"/>
          <w:lang w:val="uz-Cyrl-UZ"/>
        </w:rPr>
        <w:t xml:space="preserve">genotype. On the contrary, in patients with the </w:t>
      </w:r>
      <w:r w:rsidRPr="00291B83">
        <w:rPr>
          <w:rFonts w:ascii="Book Antiqua" w:eastAsia="Times New Roman" w:hAnsi="Book Antiqua" w:cs="Times New Roman"/>
          <w:i/>
          <w:sz w:val="24"/>
          <w:szCs w:val="24"/>
          <w:lang w:val="uz-Cyrl-UZ"/>
        </w:rPr>
        <w:t xml:space="preserve">T/T </w:t>
      </w:r>
      <w:r w:rsidRPr="00B06196">
        <w:rPr>
          <w:rFonts w:ascii="Book Antiqua" w:eastAsia="Times New Roman" w:hAnsi="Book Antiqua" w:cs="Times New Roman"/>
          <w:sz w:val="24"/>
          <w:szCs w:val="24"/>
          <w:lang w:val="uz-Cyrl-UZ"/>
        </w:rPr>
        <w:t>genotype, insufficient treatment efficacy and minimal differences in the main indicators of quality of life were observed.</w:t>
      </w:r>
    </w:p>
    <w:p w:rsidR="00A557FB" w:rsidRDefault="00A557FB" w:rsidP="00B06196">
      <w:pPr>
        <w:spacing w:after="0" w:line="276" w:lineRule="auto"/>
        <w:ind w:firstLine="567"/>
        <w:jc w:val="both"/>
        <w:rPr>
          <w:rFonts w:ascii="Book Antiqua" w:eastAsia="Times New Roman" w:hAnsi="Book Antiqua" w:cs="Times New Roman"/>
          <w:sz w:val="24"/>
          <w:szCs w:val="24"/>
          <w:lang w:val="uz-Cyrl-UZ"/>
        </w:rPr>
      </w:pPr>
    </w:p>
    <w:p w:rsidR="00A557FB" w:rsidRPr="00291B83" w:rsidRDefault="00A557FB" w:rsidP="00A557FB">
      <w:pPr>
        <w:spacing w:after="0" w:line="276" w:lineRule="auto"/>
        <w:ind w:firstLine="709"/>
        <w:jc w:val="both"/>
        <w:rPr>
          <w:rFonts w:ascii="Book Antiqua" w:eastAsia="Times New Roman" w:hAnsi="Book Antiqua" w:cs="Times New Roman"/>
          <w:sz w:val="24"/>
          <w:szCs w:val="24"/>
          <w:lang w:val="en-US"/>
        </w:rPr>
      </w:pPr>
      <w:r w:rsidRPr="00291B83">
        <w:rPr>
          <w:rFonts w:ascii="Book Antiqua" w:hAnsi="Book Antiqua"/>
          <w:b/>
          <w:sz w:val="24"/>
          <w:lang w:val="en-US"/>
        </w:rPr>
        <w:t>Discussion</w:t>
      </w:r>
      <w:r>
        <w:rPr>
          <w:rFonts w:ascii="Book Antiqua" w:hAnsi="Book Antiqua"/>
          <w:b/>
          <w:sz w:val="24"/>
          <w:lang w:val="en-US"/>
        </w:rPr>
        <w:t xml:space="preserve">. </w:t>
      </w:r>
      <w:r w:rsidRPr="00291B83">
        <w:rPr>
          <w:rFonts w:ascii="Book Antiqua" w:hAnsi="Book Antiqua"/>
          <w:sz w:val="24"/>
          <w:szCs w:val="24"/>
          <w:lang w:val="en-US"/>
        </w:rPr>
        <w:t xml:space="preserve">These findings support the integration of </w:t>
      </w:r>
      <w:r w:rsidRPr="00291B83">
        <w:rPr>
          <w:rFonts w:ascii="Book Antiqua" w:hAnsi="Book Antiqua"/>
          <w:i/>
          <w:sz w:val="24"/>
          <w:szCs w:val="24"/>
          <w:lang w:val="en-US"/>
        </w:rPr>
        <w:t xml:space="preserve">APEX1 </w:t>
      </w:r>
      <w:r w:rsidRPr="00291B83">
        <w:rPr>
          <w:rFonts w:ascii="Book Antiqua" w:hAnsi="Book Antiqua"/>
          <w:sz w:val="24"/>
          <w:szCs w:val="24"/>
          <w:lang w:val="en-US"/>
        </w:rPr>
        <w:t xml:space="preserve">and </w:t>
      </w:r>
      <w:r w:rsidRPr="00291B83">
        <w:rPr>
          <w:rFonts w:ascii="Book Antiqua" w:hAnsi="Book Antiqua"/>
          <w:i/>
          <w:sz w:val="24"/>
          <w:szCs w:val="24"/>
          <w:lang w:val="en-US"/>
        </w:rPr>
        <w:t xml:space="preserve">URAT1 </w:t>
      </w:r>
      <w:r w:rsidRPr="00291B83">
        <w:rPr>
          <w:rFonts w:ascii="Book Antiqua" w:hAnsi="Book Antiqua"/>
          <w:sz w:val="24"/>
          <w:szCs w:val="24"/>
          <w:lang w:val="en-US"/>
        </w:rPr>
        <w:t xml:space="preserve">genotyping into routine gout management, allowing clinicians to personalize drug choice and dosing. Implementation could involve screening algorithms for women at high risk of treatment resistance, particularly those with </w:t>
      </w:r>
      <w:r w:rsidRPr="00291B83">
        <w:rPr>
          <w:rFonts w:ascii="Book Antiqua" w:hAnsi="Book Antiqua"/>
          <w:i/>
          <w:sz w:val="24"/>
          <w:szCs w:val="24"/>
          <w:lang w:val="en-US"/>
        </w:rPr>
        <w:t xml:space="preserve">G/G (APEX1) </w:t>
      </w:r>
      <w:r w:rsidRPr="00291B83">
        <w:rPr>
          <w:rFonts w:ascii="Book Antiqua" w:hAnsi="Book Antiqua"/>
          <w:sz w:val="24"/>
          <w:szCs w:val="24"/>
          <w:lang w:val="en-US"/>
        </w:rPr>
        <w:t xml:space="preserve">or </w:t>
      </w:r>
      <w:r w:rsidRPr="00291B83">
        <w:rPr>
          <w:rFonts w:ascii="Book Antiqua" w:hAnsi="Book Antiqua"/>
          <w:i/>
          <w:sz w:val="24"/>
          <w:szCs w:val="24"/>
          <w:lang w:val="en-US"/>
        </w:rPr>
        <w:t xml:space="preserve">T/T (URAT1) </w:t>
      </w:r>
      <w:r w:rsidRPr="00291B83">
        <w:rPr>
          <w:rFonts w:ascii="Book Antiqua" w:hAnsi="Book Antiqua"/>
          <w:sz w:val="24"/>
          <w:szCs w:val="24"/>
          <w:lang w:val="en-US"/>
        </w:rPr>
        <w:t>genotypes.</w:t>
      </w:r>
    </w:p>
    <w:p w:rsidR="00A557FB" w:rsidRPr="00B06196" w:rsidRDefault="00A557FB" w:rsidP="00B06196">
      <w:pPr>
        <w:spacing w:after="0" w:line="276" w:lineRule="auto"/>
        <w:ind w:firstLine="567"/>
        <w:jc w:val="both"/>
        <w:rPr>
          <w:rFonts w:ascii="Book Antiqua" w:eastAsia="Times New Roman" w:hAnsi="Book Antiqua" w:cs="Times New Roman"/>
          <w:sz w:val="24"/>
          <w:szCs w:val="24"/>
          <w:lang w:val="uz-Cyrl-UZ"/>
        </w:rPr>
      </w:pPr>
      <w:bookmarkStart w:id="0" w:name="_GoBack"/>
      <w:bookmarkEnd w:id="0"/>
    </w:p>
    <w:p w:rsidR="00B06196" w:rsidRPr="00B06196" w:rsidRDefault="00B06196" w:rsidP="00B06196">
      <w:pPr>
        <w:pStyle w:val="ListParagraph"/>
        <w:spacing w:after="0" w:line="276" w:lineRule="auto"/>
        <w:jc w:val="both"/>
        <w:rPr>
          <w:rFonts w:ascii="Book Antiqua" w:eastAsia="Times New Roman" w:hAnsi="Book Antiqua" w:cs="Times New Roman"/>
          <w:b/>
          <w:sz w:val="24"/>
          <w:szCs w:val="24"/>
          <w:lang w:val="uz-Cyrl-UZ"/>
        </w:rPr>
      </w:pPr>
      <w:r w:rsidRPr="00B06196">
        <w:rPr>
          <w:rFonts w:ascii="Book Antiqua" w:eastAsia="Times New Roman" w:hAnsi="Book Antiqua" w:cs="Times New Roman"/>
          <w:b/>
          <w:sz w:val="24"/>
          <w:szCs w:val="24"/>
          <w:lang w:val="uz-Cyrl-UZ"/>
        </w:rPr>
        <w:t>Conclusions</w:t>
      </w:r>
    </w:p>
    <w:p w:rsidR="00B06196" w:rsidRPr="00944F99" w:rsidRDefault="00B06196" w:rsidP="00B06196">
      <w:pPr>
        <w:pStyle w:val="ListParagraph"/>
        <w:numPr>
          <w:ilvl w:val="0"/>
          <w:numId w:val="1"/>
        </w:numPr>
        <w:spacing w:after="0" w:line="276" w:lineRule="auto"/>
        <w:jc w:val="both"/>
        <w:rPr>
          <w:rFonts w:ascii="Book Antiqua" w:eastAsia="Times New Roman" w:hAnsi="Book Antiqua" w:cs="Times New Roman"/>
          <w:sz w:val="24"/>
          <w:szCs w:val="24"/>
          <w:lang w:val="uz-Cyrl-UZ"/>
        </w:rPr>
      </w:pPr>
      <w:r w:rsidRPr="00944F99">
        <w:rPr>
          <w:rFonts w:ascii="Book Antiqua" w:eastAsia="Times New Roman" w:hAnsi="Book Antiqua" w:cs="Times New Roman"/>
          <w:sz w:val="24"/>
          <w:szCs w:val="24"/>
          <w:lang w:val="uz-Cyrl-UZ"/>
        </w:rPr>
        <w:t xml:space="preserve">The </w:t>
      </w:r>
      <w:r w:rsidRPr="00291B83">
        <w:rPr>
          <w:rFonts w:ascii="Book Antiqua" w:eastAsia="Times New Roman" w:hAnsi="Book Antiqua" w:cs="Times New Roman"/>
          <w:i/>
          <w:sz w:val="24"/>
          <w:szCs w:val="24"/>
          <w:lang w:val="uz-Cyrl-UZ"/>
        </w:rPr>
        <w:t>APEX1 (rs2307486)</w:t>
      </w:r>
      <w:r w:rsidRPr="00944F99">
        <w:rPr>
          <w:rFonts w:ascii="Book Antiqua" w:eastAsia="Times New Roman" w:hAnsi="Book Antiqua" w:cs="Times New Roman"/>
          <w:sz w:val="24"/>
          <w:szCs w:val="24"/>
          <w:lang w:val="uz-Cyrl-UZ"/>
        </w:rPr>
        <w:t xml:space="preserve"> gene polymorphism is an important pharmacogenetic marker affecting the effectiveness of hypouricemic therapy in women with gout. While </w:t>
      </w:r>
      <w:r w:rsidRPr="00944F99">
        <w:rPr>
          <w:rFonts w:ascii="Book Antiqua" w:eastAsia="Times New Roman" w:hAnsi="Book Antiqua" w:cs="Times New Roman"/>
          <w:sz w:val="24"/>
          <w:szCs w:val="24"/>
          <w:lang w:val="uz-Cyrl-UZ"/>
        </w:rPr>
        <w:lastRenderedPageBreak/>
        <w:t xml:space="preserve">patients with the </w:t>
      </w:r>
      <w:r w:rsidRPr="00291B83">
        <w:rPr>
          <w:rFonts w:ascii="Book Antiqua" w:eastAsia="Times New Roman" w:hAnsi="Book Antiqua" w:cs="Times New Roman"/>
          <w:i/>
          <w:sz w:val="24"/>
          <w:szCs w:val="24"/>
          <w:lang w:val="uz-Cyrl-UZ"/>
        </w:rPr>
        <w:t>T/T</w:t>
      </w:r>
      <w:r w:rsidRPr="00944F99">
        <w:rPr>
          <w:rFonts w:ascii="Book Antiqua" w:eastAsia="Times New Roman" w:hAnsi="Book Antiqua" w:cs="Times New Roman"/>
          <w:sz w:val="24"/>
          <w:szCs w:val="24"/>
          <w:lang w:val="uz-Cyrl-UZ"/>
        </w:rPr>
        <w:t xml:space="preserve"> genotype responded highly and almost equally to allopurinol and febuxostat, only febuxostat was effective in patients with the </w:t>
      </w:r>
      <w:r w:rsidRPr="00291B83">
        <w:rPr>
          <w:rFonts w:ascii="Book Antiqua" w:eastAsia="Times New Roman" w:hAnsi="Book Antiqua" w:cs="Times New Roman"/>
          <w:i/>
          <w:sz w:val="24"/>
          <w:szCs w:val="24"/>
          <w:lang w:val="uz-Cyrl-UZ"/>
        </w:rPr>
        <w:t>G/G</w:t>
      </w:r>
      <w:r w:rsidRPr="00944F99">
        <w:rPr>
          <w:rFonts w:ascii="Book Antiqua" w:eastAsia="Times New Roman" w:hAnsi="Book Antiqua" w:cs="Times New Roman"/>
          <w:sz w:val="24"/>
          <w:szCs w:val="24"/>
          <w:lang w:val="uz-Cyrl-UZ"/>
        </w:rPr>
        <w:t xml:space="preserve"> genotype.</w:t>
      </w:r>
    </w:p>
    <w:p w:rsidR="00B06196" w:rsidRPr="00944F99" w:rsidRDefault="00B06196" w:rsidP="00B06196">
      <w:pPr>
        <w:pStyle w:val="ListParagraph"/>
        <w:numPr>
          <w:ilvl w:val="0"/>
          <w:numId w:val="1"/>
        </w:numPr>
        <w:spacing w:after="0" w:line="276" w:lineRule="auto"/>
        <w:jc w:val="both"/>
        <w:rPr>
          <w:rFonts w:ascii="Book Antiqua" w:eastAsia="Times New Roman" w:hAnsi="Book Antiqua" w:cs="Times New Roman"/>
          <w:sz w:val="24"/>
          <w:szCs w:val="24"/>
          <w:lang w:val="uz-Cyrl-UZ"/>
        </w:rPr>
      </w:pPr>
      <w:r w:rsidRPr="00944F99">
        <w:rPr>
          <w:rFonts w:ascii="Book Antiqua" w:eastAsia="Times New Roman" w:hAnsi="Book Antiqua" w:cs="Times New Roman"/>
          <w:sz w:val="24"/>
          <w:szCs w:val="24"/>
          <w:lang w:val="uz-Cyrl-UZ"/>
        </w:rPr>
        <w:t xml:space="preserve">Genotypic variants of the </w:t>
      </w:r>
      <w:r w:rsidRPr="00291B83">
        <w:rPr>
          <w:rFonts w:ascii="Book Antiqua" w:eastAsia="Times New Roman" w:hAnsi="Book Antiqua" w:cs="Times New Roman"/>
          <w:i/>
          <w:sz w:val="24"/>
          <w:szCs w:val="24"/>
          <w:lang w:val="uz-Cyrl-UZ"/>
        </w:rPr>
        <w:t>URAT1 (rs11231825)</w:t>
      </w:r>
      <w:r w:rsidRPr="00944F99">
        <w:rPr>
          <w:rFonts w:ascii="Book Antiqua" w:eastAsia="Times New Roman" w:hAnsi="Book Antiqua" w:cs="Times New Roman"/>
          <w:sz w:val="24"/>
          <w:szCs w:val="24"/>
          <w:lang w:val="uz-Cyrl-UZ"/>
        </w:rPr>
        <w:t xml:space="preserve"> gene play an important role in determining the clinical efficacy and dosage of allopurinol in the treatment of gout. While the standard dose was sufficient in patients with the </w:t>
      </w:r>
      <w:r w:rsidRPr="00291B83">
        <w:rPr>
          <w:rFonts w:ascii="Book Antiqua" w:eastAsia="Times New Roman" w:hAnsi="Book Antiqua" w:cs="Times New Roman"/>
          <w:i/>
          <w:sz w:val="24"/>
          <w:szCs w:val="24"/>
          <w:lang w:val="uz-Cyrl-UZ"/>
        </w:rPr>
        <w:t>A/A</w:t>
      </w:r>
      <w:r w:rsidRPr="00944F99">
        <w:rPr>
          <w:rFonts w:ascii="Book Antiqua" w:eastAsia="Times New Roman" w:hAnsi="Book Antiqua" w:cs="Times New Roman"/>
          <w:sz w:val="24"/>
          <w:szCs w:val="24"/>
          <w:lang w:val="uz-Cyrl-UZ"/>
        </w:rPr>
        <w:t xml:space="preserve"> genotype, higher doses were required in patients with the </w:t>
      </w:r>
      <w:r w:rsidRPr="00291B83">
        <w:rPr>
          <w:rFonts w:ascii="Book Antiqua" w:eastAsia="Times New Roman" w:hAnsi="Book Antiqua" w:cs="Times New Roman"/>
          <w:i/>
          <w:sz w:val="24"/>
          <w:szCs w:val="24"/>
          <w:lang w:val="uz-Cyrl-UZ"/>
        </w:rPr>
        <w:t>T/T</w:t>
      </w:r>
      <w:r w:rsidRPr="00944F99">
        <w:rPr>
          <w:rFonts w:ascii="Book Antiqua" w:eastAsia="Times New Roman" w:hAnsi="Book Antiqua" w:cs="Times New Roman"/>
          <w:sz w:val="24"/>
          <w:szCs w:val="24"/>
          <w:lang w:val="uz-Cyrl-UZ"/>
        </w:rPr>
        <w:t xml:space="preserve"> genotype, but the response remained low.</w:t>
      </w:r>
    </w:p>
    <w:p w:rsidR="00B06196" w:rsidRPr="00944F99" w:rsidRDefault="00B06196" w:rsidP="00B06196">
      <w:pPr>
        <w:pStyle w:val="ListParagraph"/>
        <w:numPr>
          <w:ilvl w:val="0"/>
          <w:numId w:val="1"/>
        </w:numPr>
        <w:spacing w:after="0" w:line="276" w:lineRule="auto"/>
        <w:jc w:val="both"/>
        <w:rPr>
          <w:rFonts w:ascii="Book Antiqua" w:eastAsia="Times New Roman" w:hAnsi="Book Antiqua" w:cs="Times New Roman"/>
          <w:sz w:val="24"/>
          <w:szCs w:val="24"/>
          <w:lang w:val="uz-Cyrl-UZ"/>
        </w:rPr>
      </w:pPr>
      <w:r w:rsidRPr="00944F99">
        <w:rPr>
          <w:rFonts w:ascii="Book Antiqua" w:eastAsia="Times New Roman" w:hAnsi="Book Antiqua" w:cs="Times New Roman"/>
          <w:sz w:val="24"/>
          <w:szCs w:val="24"/>
          <w:lang w:val="uz-Cyrl-UZ"/>
        </w:rPr>
        <w:t xml:space="preserve">The </w:t>
      </w:r>
      <w:r w:rsidRPr="00291B83">
        <w:rPr>
          <w:rFonts w:ascii="Book Antiqua" w:eastAsia="Times New Roman" w:hAnsi="Book Antiqua" w:cs="Times New Roman"/>
          <w:i/>
          <w:sz w:val="24"/>
          <w:szCs w:val="24"/>
          <w:lang w:val="uz-Cyrl-UZ"/>
        </w:rPr>
        <w:t xml:space="preserve">T/T </w:t>
      </w:r>
      <w:r w:rsidRPr="00944F99">
        <w:rPr>
          <w:rFonts w:ascii="Book Antiqua" w:eastAsia="Times New Roman" w:hAnsi="Book Antiqua" w:cs="Times New Roman"/>
          <w:sz w:val="24"/>
          <w:szCs w:val="24"/>
          <w:lang w:val="uz-Cyrl-UZ"/>
        </w:rPr>
        <w:t xml:space="preserve">genotype showed a high response to febuxostat in both </w:t>
      </w:r>
      <w:r w:rsidRPr="00291B83">
        <w:rPr>
          <w:rFonts w:ascii="Book Antiqua" w:eastAsia="Times New Roman" w:hAnsi="Book Antiqua" w:cs="Times New Roman"/>
          <w:i/>
          <w:sz w:val="24"/>
          <w:szCs w:val="24"/>
          <w:lang w:val="uz-Cyrl-UZ"/>
        </w:rPr>
        <w:t>APEX1</w:t>
      </w:r>
      <w:r w:rsidRPr="00944F99">
        <w:rPr>
          <w:rFonts w:ascii="Book Antiqua" w:eastAsia="Times New Roman" w:hAnsi="Book Antiqua" w:cs="Times New Roman"/>
          <w:sz w:val="24"/>
          <w:szCs w:val="24"/>
          <w:lang w:val="uz-Cyrl-UZ"/>
        </w:rPr>
        <w:t xml:space="preserve"> and </w:t>
      </w:r>
      <w:r w:rsidRPr="00291B83">
        <w:rPr>
          <w:rFonts w:ascii="Book Antiqua" w:eastAsia="Times New Roman" w:hAnsi="Book Antiqua" w:cs="Times New Roman"/>
          <w:i/>
          <w:sz w:val="24"/>
          <w:szCs w:val="24"/>
          <w:lang w:val="uz-Cyrl-UZ"/>
        </w:rPr>
        <w:t xml:space="preserve">URAT1 </w:t>
      </w:r>
      <w:r w:rsidRPr="00944F99">
        <w:rPr>
          <w:rFonts w:ascii="Book Antiqua" w:eastAsia="Times New Roman" w:hAnsi="Book Antiqua" w:cs="Times New Roman"/>
          <w:sz w:val="24"/>
          <w:szCs w:val="24"/>
          <w:lang w:val="uz-Cyrl-UZ"/>
        </w:rPr>
        <w:t>genes, therefore, febuxostat can be recommended as a first-line drug for patients with this genotype.</w:t>
      </w:r>
    </w:p>
    <w:p w:rsidR="00B06196" w:rsidRPr="00944F99" w:rsidRDefault="00B06196" w:rsidP="00B06196">
      <w:pPr>
        <w:pStyle w:val="ListParagraph"/>
        <w:numPr>
          <w:ilvl w:val="0"/>
          <w:numId w:val="1"/>
        </w:numPr>
        <w:spacing w:after="0" w:line="276" w:lineRule="auto"/>
        <w:jc w:val="both"/>
        <w:rPr>
          <w:rFonts w:ascii="Book Antiqua" w:eastAsia="Times New Roman" w:hAnsi="Book Antiqua" w:cs="Times New Roman"/>
          <w:sz w:val="24"/>
          <w:szCs w:val="24"/>
          <w:lang w:val="uz-Cyrl-UZ"/>
        </w:rPr>
      </w:pPr>
      <w:r w:rsidRPr="00944F99">
        <w:rPr>
          <w:rFonts w:ascii="Book Antiqua" w:eastAsia="Times New Roman" w:hAnsi="Book Antiqua" w:cs="Times New Roman"/>
          <w:sz w:val="24"/>
          <w:szCs w:val="24"/>
          <w:lang w:val="uz-Cyrl-UZ"/>
        </w:rPr>
        <w:t xml:space="preserve">Assessments using the SF-36 and EQ-5D quality of life scales showed that the effectiveness of treatment was different depending on the </w:t>
      </w:r>
      <w:r w:rsidRPr="00291B83">
        <w:rPr>
          <w:rFonts w:ascii="Book Antiqua" w:eastAsia="Times New Roman" w:hAnsi="Book Antiqua" w:cs="Times New Roman"/>
          <w:i/>
          <w:sz w:val="24"/>
          <w:szCs w:val="24"/>
          <w:lang w:val="uz-Cyrl-UZ"/>
        </w:rPr>
        <w:t>APEX1</w:t>
      </w:r>
      <w:r w:rsidRPr="00944F99">
        <w:rPr>
          <w:rFonts w:ascii="Book Antiqua" w:eastAsia="Times New Roman" w:hAnsi="Book Antiqua" w:cs="Times New Roman"/>
          <w:sz w:val="24"/>
          <w:szCs w:val="24"/>
          <w:lang w:val="uz-Cyrl-UZ"/>
        </w:rPr>
        <w:t xml:space="preserve"> and </w:t>
      </w:r>
      <w:r w:rsidRPr="00291B83">
        <w:rPr>
          <w:rFonts w:ascii="Book Antiqua" w:eastAsia="Times New Roman" w:hAnsi="Book Antiqua" w:cs="Times New Roman"/>
          <w:i/>
          <w:sz w:val="24"/>
          <w:szCs w:val="24"/>
          <w:lang w:val="uz-Cyrl-UZ"/>
        </w:rPr>
        <w:t xml:space="preserve">URAT1 </w:t>
      </w:r>
      <w:r w:rsidRPr="00944F99">
        <w:rPr>
          <w:rFonts w:ascii="Book Antiqua" w:eastAsia="Times New Roman" w:hAnsi="Book Antiqua" w:cs="Times New Roman"/>
          <w:sz w:val="24"/>
          <w:szCs w:val="24"/>
          <w:lang w:val="uz-Cyrl-UZ"/>
        </w:rPr>
        <w:t xml:space="preserve">genotypes. While quality of life indicators were consistently increased in patients with the </w:t>
      </w:r>
      <w:r w:rsidRPr="00291B83">
        <w:rPr>
          <w:rFonts w:ascii="Book Antiqua" w:eastAsia="Times New Roman" w:hAnsi="Book Antiqua" w:cs="Times New Roman"/>
          <w:i/>
          <w:sz w:val="24"/>
          <w:szCs w:val="24"/>
          <w:lang w:val="uz-Cyrl-UZ"/>
        </w:rPr>
        <w:t xml:space="preserve">T/T </w:t>
      </w:r>
      <w:r w:rsidRPr="00944F99">
        <w:rPr>
          <w:rFonts w:ascii="Book Antiqua" w:eastAsia="Times New Roman" w:hAnsi="Book Antiqua" w:cs="Times New Roman"/>
          <w:sz w:val="24"/>
          <w:szCs w:val="24"/>
          <w:lang w:val="uz-Cyrl-UZ"/>
        </w:rPr>
        <w:t xml:space="preserve">genotype, they remained lower in patients with the </w:t>
      </w:r>
      <w:r w:rsidRPr="00291B83">
        <w:rPr>
          <w:rFonts w:ascii="Book Antiqua" w:eastAsia="Times New Roman" w:hAnsi="Book Antiqua" w:cs="Times New Roman"/>
          <w:i/>
          <w:sz w:val="24"/>
          <w:szCs w:val="24"/>
          <w:lang w:val="uz-Cyrl-UZ"/>
        </w:rPr>
        <w:t xml:space="preserve">G/G </w:t>
      </w:r>
      <w:r w:rsidRPr="00944F99">
        <w:rPr>
          <w:rFonts w:ascii="Book Antiqua" w:eastAsia="Times New Roman" w:hAnsi="Book Antiqua" w:cs="Times New Roman"/>
          <w:sz w:val="24"/>
          <w:szCs w:val="24"/>
          <w:lang w:val="uz-Cyrl-UZ"/>
        </w:rPr>
        <w:t xml:space="preserve">and </w:t>
      </w:r>
      <w:r w:rsidRPr="00291B83">
        <w:rPr>
          <w:rFonts w:ascii="Book Antiqua" w:eastAsia="Times New Roman" w:hAnsi="Book Antiqua" w:cs="Times New Roman"/>
          <w:i/>
          <w:sz w:val="24"/>
          <w:szCs w:val="24"/>
          <w:lang w:val="uz-Cyrl-UZ"/>
        </w:rPr>
        <w:t xml:space="preserve">T/T </w:t>
      </w:r>
      <w:r w:rsidRPr="00944F99">
        <w:rPr>
          <w:rFonts w:ascii="Book Antiqua" w:eastAsia="Times New Roman" w:hAnsi="Book Antiqua" w:cs="Times New Roman"/>
          <w:sz w:val="24"/>
          <w:szCs w:val="24"/>
          <w:lang w:val="uz-Cyrl-UZ"/>
        </w:rPr>
        <w:t>genotypes.</w:t>
      </w:r>
    </w:p>
    <w:p w:rsidR="00B06196" w:rsidRPr="00944F99" w:rsidRDefault="00B06196" w:rsidP="00B06196">
      <w:pPr>
        <w:pStyle w:val="ListParagraph"/>
        <w:numPr>
          <w:ilvl w:val="0"/>
          <w:numId w:val="1"/>
        </w:numPr>
        <w:spacing w:after="0" w:line="276" w:lineRule="auto"/>
        <w:jc w:val="both"/>
        <w:rPr>
          <w:rFonts w:ascii="Book Antiqua" w:eastAsia="Times New Roman" w:hAnsi="Book Antiqua" w:cs="Times New Roman"/>
          <w:sz w:val="24"/>
          <w:szCs w:val="24"/>
          <w:lang w:val="uz-Cyrl-UZ"/>
        </w:rPr>
      </w:pPr>
      <w:r w:rsidRPr="00944F99">
        <w:rPr>
          <w:rFonts w:ascii="Book Antiqua" w:eastAsia="Times New Roman" w:hAnsi="Book Antiqua" w:cs="Times New Roman"/>
          <w:sz w:val="24"/>
          <w:szCs w:val="24"/>
          <w:lang w:val="uz-Cyrl-UZ"/>
        </w:rPr>
        <w:t>The development of personalized hypouricemic therapy regimens taking into account genetic polymorphisms allows optimizing treatment effectiveness, reducing drug resistance and improving the quality of life of patients.</w:t>
      </w:r>
    </w:p>
    <w:p w:rsidR="00B06196" w:rsidRDefault="00B06196" w:rsidP="00B06196">
      <w:pPr>
        <w:pStyle w:val="ListParagraph"/>
        <w:numPr>
          <w:ilvl w:val="0"/>
          <w:numId w:val="1"/>
        </w:numPr>
        <w:spacing w:after="0" w:line="276" w:lineRule="auto"/>
        <w:jc w:val="both"/>
        <w:rPr>
          <w:rFonts w:ascii="Book Antiqua" w:eastAsia="Times New Roman" w:hAnsi="Book Antiqua" w:cs="Times New Roman"/>
          <w:sz w:val="24"/>
          <w:szCs w:val="24"/>
          <w:lang w:val="uz-Cyrl-UZ"/>
        </w:rPr>
      </w:pPr>
      <w:r w:rsidRPr="00944F99">
        <w:rPr>
          <w:rFonts w:ascii="Book Antiqua" w:eastAsia="Times New Roman" w:hAnsi="Book Antiqua" w:cs="Times New Roman"/>
          <w:sz w:val="24"/>
          <w:szCs w:val="24"/>
          <w:lang w:val="uz-Cyrl-UZ"/>
        </w:rPr>
        <w:t xml:space="preserve">The introduction of pharmacogenetic screening into clinical practice for women with gout, especially the analysis of the </w:t>
      </w:r>
      <w:r w:rsidRPr="00291B83">
        <w:rPr>
          <w:rFonts w:ascii="Book Antiqua" w:eastAsia="Times New Roman" w:hAnsi="Book Antiqua" w:cs="Times New Roman"/>
          <w:i/>
          <w:sz w:val="24"/>
          <w:szCs w:val="24"/>
          <w:lang w:val="uz-Cyrl-UZ"/>
        </w:rPr>
        <w:t>APEX1</w:t>
      </w:r>
      <w:r w:rsidRPr="00944F99">
        <w:rPr>
          <w:rFonts w:ascii="Book Antiqua" w:eastAsia="Times New Roman" w:hAnsi="Book Antiqua" w:cs="Times New Roman"/>
          <w:sz w:val="24"/>
          <w:szCs w:val="24"/>
          <w:lang w:val="uz-Cyrl-UZ"/>
        </w:rPr>
        <w:t xml:space="preserve"> and </w:t>
      </w:r>
      <w:r w:rsidRPr="00291B83">
        <w:rPr>
          <w:rFonts w:ascii="Book Antiqua" w:eastAsia="Times New Roman" w:hAnsi="Book Antiqua" w:cs="Times New Roman"/>
          <w:i/>
          <w:sz w:val="24"/>
          <w:szCs w:val="24"/>
          <w:lang w:val="uz-Cyrl-UZ"/>
        </w:rPr>
        <w:t>URAT1</w:t>
      </w:r>
      <w:r w:rsidRPr="00944F99">
        <w:rPr>
          <w:rFonts w:ascii="Book Antiqua" w:eastAsia="Times New Roman" w:hAnsi="Book Antiqua" w:cs="Times New Roman"/>
          <w:sz w:val="24"/>
          <w:szCs w:val="24"/>
          <w:lang w:val="uz-Cyrl-UZ"/>
        </w:rPr>
        <w:t xml:space="preserve"> genes, has important clinical and practical significance in determining individual therapy tactics and prognosis.</w:t>
      </w:r>
    </w:p>
    <w:p w:rsidR="00291B83" w:rsidRDefault="00291B83" w:rsidP="00291B83">
      <w:pPr>
        <w:spacing w:after="0" w:line="276" w:lineRule="auto"/>
        <w:ind w:firstLine="709"/>
        <w:jc w:val="both"/>
        <w:rPr>
          <w:rFonts w:ascii="Book Antiqua" w:hAnsi="Book Antiqua"/>
          <w:sz w:val="24"/>
          <w:szCs w:val="24"/>
          <w:lang w:val="en-US"/>
        </w:rPr>
      </w:pPr>
    </w:p>
    <w:p w:rsidR="00DE2B60" w:rsidRDefault="00DE2B60" w:rsidP="00DE2B60">
      <w:pPr>
        <w:spacing w:after="0" w:line="276" w:lineRule="auto"/>
        <w:jc w:val="both"/>
        <w:rPr>
          <w:rFonts w:ascii="Book Antiqua" w:eastAsia="Times New Roman" w:hAnsi="Book Antiqua" w:cs="Times New Roman"/>
          <w:sz w:val="24"/>
          <w:szCs w:val="24"/>
          <w:lang w:val="uz-Cyrl-UZ"/>
        </w:rPr>
      </w:pPr>
    </w:p>
    <w:p w:rsidR="00DE2B60" w:rsidRPr="009C5487" w:rsidRDefault="00DE2B60" w:rsidP="00DE2B60">
      <w:pPr>
        <w:rPr>
          <w:rFonts w:ascii="Calibri" w:eastAsia="Calibri" w:hAnsi="Calibri" w:cs="Times New Roman"/>
          <w:kern w:val="2"/>
          <w:highlight w:val="yellow"/>
          <w:lang w:val="en-US"/>
        </w:rPr>
      </w:pPr>
      <w:bookmarkStart w:id="1" w:name="_Hlk197682619"/>
      <w:bookmarkStart w:id="2" w:name="_Hlk180402183"/>
      <w:bookmarkStart w:id="3" w:name="_Hlk183680988"/>
      <w:r w:rsidRPr="009C5487">
        <w:rPr>
          <w:rFonts w:ascii="Calibri" w:eastAsia="Calibri" w:hAnsi="Calibri" w:cs="Times New Roman"/>
          <w:kern w:val="2"/>
          <w:highlight w:val="yellow"/>
          <w:lang w:val="en-US"/>
        </w:rPr>
        <w:t>Disclaimer (Artificial intelligence)</w:t>
      </w:r>
    </w:p>
    <w:p w:rsidR="00DE2B60" w:rsidRPr="009C5487" w:rsidRDefault="00DE2B60" w:rsidP="00DE2B60">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
    <w:bookmarkEnd w:id="2"/>
    <w:bookmarkEnd w:id="3"/>
    <w:p w:rsidR="00DE2B60" w:rsidRPr="00DE2B60" w:rsidRDefault="00DE2B60" w:rsidP="00DE2B60">
      <w:pPr>
        <w:spacing w:after="0" w:line="276" w:lineRule="auto"/>
        <w:jc w:val="both"/>
        <w:rPr>
          <w:rFonts w:ascii="Book Antiqua" w:eastAsia="Times New Roman" w:hAnsi="Book Antiqua" w:cs="Times New Roman"/>
          <w:sz w:val="24"/>
          <w:szCs w:val="24"/>
          <w:lang w:val="uz-Cyrl-UZ"/>
        </w:rPr>
      </w:pPr>
    </w:p>
    <w:p w:rsidR="00B06196" w:rsidRDefault="00B06196" w:rsidP="00B06196">
      <w:pPr>
        <w:pStyle w:val="ListParagraph"/>
        <w:spacing w:after="0" w:line="276" w:lineRule="auto"/>
        <w:jc w:val="both"/>
        <w:rPr>
          <w:rFonts w:ascii="Book Antiqua" w:eastAsia="Times New Roman" w:hAnsi="Book Antiqua" w:cs="Times New Roman"/>
          <w:b/>
          <w:sz w:val="24"/>
          <w:szCs w:val="24"/>
          <w:lang w:val="uz-Cyrl-UZ"/>
        </w:rPr>
      </w:pPr>
    </w:p>
    <w:p w:rsidR="00FE4187" w:rsidRPr="00FE4187" w:rsidRDefault="00B06196" w:rsidP="00FE4187">
      <w:pPr>
        <w:pStyle w:val="ListParagraph"/>
        <w:spacing w:after="0" w:line="276" w:lineRule="auto"/>
        <w:jc w:val="both"/>
        <w:rPr>
          <w:rFonts w:ascii="Book Antiqua" w:eastAsia="Times New Roman" w:hAnsi="Book Antiqua" w:cs="Times New Roman"/>
          <w:b/>
          <w:sz w:val="24"/>
          <w:szCs w:val="24"/>
          <w:lang w:val="uz-Cyrl-UZ"/>
        </w:rPr>
      </w:pPr>
      <w:r w:rsidRPr="00B06196">
        <w:rPr>
          <w:rFonts w:ascii="Book Antiqua" w:eastAsia="Times New Roman" w:hAnsi="Book Antiqua" w:cs="Times New Roman"/>
          <w:b/>
          <w:sz w:val="24"/>
          <w:szCs w:val="24"/>
          <w:lang w:val="uz-Cyrl-UZ"/>
        </w:rPr>
        <w:t>References:</w:t>
      </w:r>
    </w:p>
    <w:p w:rsidR="00FE4187" w:rsidRPr="00CE1895" w:rsidRDefault="00FE4187" w:rsidP="00FE4187">
      <w:pPr>
        <w:pStyle w:val="ListParagraph"/>
        <w:numPr>
          <w:ilvl w:val="0"/>
          <w:numId w:val="6"/>
        </w:numPr>
        <w:spacing w:after="200" w:line="276" w:lineRule="auto"/>
        <w:jc w:val="both"/>
        <w:rPr>
          <w:rFonts w:ascii="Book Antiqua" w:hAnsi="Book Antiqua"/>
          <w:i/>
          <w:sz w:val="24"/>
          <w:lang w:val="en-US"/>
        </w:rPr>
      </w:pPr>
      <w:proofErr w:type="spellStart"/>
      <w:r w:rsidRPr="00CE1895">
        <w:rPr>
          <w:rFonts w:ascii="Book Antiqua" w:hAnsi="Book Antiqua" w:cs="Segoe UI"/>
          <w:i/>
          <w:color w:val="212121"/>
          <w:sz w:val="24"/>
          <w:shd w:val="clear" w:color="auto" w:fill="FFFFFF"/>
          <w:lang w:val="en-US"/>
        </w:rPr>
        <w:t>Bobulescu</w:t>
      </w:r>
      <w:proofErr w:type="spellEnd"/>
      <w:r w:rsidRPr="00CE1895">
        <w:rPr>
          <w:rFonts w:ascii="Book Antiqua" w:hAnsi="Book Antiqua" w:cs="Segoe UI"/>
          <w:i/>
          <w:color w:val="212121"/>
          <w:sz w:val="24"/>
          <w:shd w:val="clear" w:color="auto" w:fill="FFFFFF"/>
          <w:lang w:val="en-US"/>
        </w:rPr>
        <w:t xml:space="preserve"> IA, Moe OW. Renal transport of uric acid: evolving concepts and uncertainties. Adv Chronic Kidney Dis. 2012 Nov;19(6):358-71. </w:t>
      </w:r>
      <w:proofErr w:type="spellStart"/>
      <w:r w:rsidRPr="00CE1895">
        <w:rPr>
          <w:rFonts w:ascii="Book Antiqua" w:hAnsi="Book Antiqua" w:cs="Segoe UI"/>
          <w:i/>
          <w:color w:val="212121"/>
          <w:sz w:val="24"/>
          <w:shd w:val="clear" w:color="auto" w:fill="FFFFFF"/>
          <w:lang w:val="en-US"/>
        </w:rPr>
        <w:t>doi</w:t>
      </w:r>
      <w:proofErr w:type="spellEnd"/>
      <w:r w:rsidRPr="00CE1895">
        <w:rPr>
          <w:rFonts w:ascii="Book Antiqua" w:hAnsi="Book Antiqua" w:cs="Segoe UI"/>
          <w:i/>
          <w:color w:val="212121"/>
          <w:sz w:val="24"/>
          <w:shd w:val="clear" w:color="auto" w:fill="FFFFFF"/>
          <w:lang w:val="en-US"/>
        </w:rPr>
        <w:t>: 10.1053/j.ackd.2012.07.009. PMID: 23089270; PMCID: PMC3619397.</w:t>
      </w:r>
    </w:p>
    <w:p w:rsidR="00FE4187" w:rsidRPr="00CE1895" w:rsidRDefault="00FE4187" w:rsidP="00FE4187">
      <w:pPr>
        <w:pStyle w:val="ListParagraph"/>
        <w:numPr>
          <w:ilvl w:val="0"/>
          <w:numId w:val="6"/>
        </w:numPr>
        <w:spacing w:after="200" w:line="276" w:lineRule="auto"/>
        <w:jc w:val="both"/>
        <w:rPr>
          <w:rFonts w:ascii="Book Antiqua" w:hAnsi="Book Antiqua" w:cs="Segoe UI"/>
          <w:i/>
          <w:color w:val="212121"/>
          <w:sz w:val="24"/>
          <w:shd w:val="clear" w:color="auto" w:fill="FFFFFF"/>
        </w:rPr>
      </w:pPr>
      <w:r w:rsidRPr="00CE1895">
        <w:rPr>
          <w:rFonts w:ascii="Book Antiqua" w:hAnsi="Book Antiqua" w:cs="Segoe UI"/>
          <w:i/>
          <w:color w:val="212121"/>
          <w:sz w:val="24"/>
          <w:shd w:val="clear" w:color="auto" w:fill="FFFFFF"/>
          <w:lang w:val="en-US"/>
        </w:rPr>
        <w:t xml:space="preserve">Burns CM, Wortmann RL. Gout therapeutics: new drugs for an old disease. </w:t>
      </w:r>
      <w:r w:rsidRPr="00CE1895">
        <w:rPr>
          <w:rFonts w:ascii="Book Antiqua" w:hAnsi="Book Antiqua" w:cs="Segoe UI"/>
          <w:i/>
          <w:color w:val="212121"/>
          <w:sz w:val="24"/>
          <w:shd w:val="clear" w:color="auto" w:fill="FFFFFF"/>
        </w:rPr>
        <w:t>Lancet. 2011 Jan 8;377(9760):165-77. doi: 10.1016/S0140-6736(10)60665-4. Epub 2010 Aug 16. PMID: 20719377.</w:t>
      </w:r>
    </w:p>
    <w:p w:rsidR="00FE4187" w:rsidRPr="00CE1895" w:rsidRDefault="00FE4187" w:rsidP="00FE4187">
      <w:pPr>
        <w:pStyle w:val="ListParagraph"/>
        <w:numPr>
          <w:ilvl w:val="0"/>
          <w:numId w:val="6"/>
        </w:numPr>
        <w:spacing w:after="200" w:line="276" w:lineRule="auto"/>
        <w:jc w:val="both"/>
        <w:rPr>
          <w:rFonts w:ascii="Book Antiqua" w:hAnsi="Book Antiqua"/>
          <w:i/>
          <w:sz w:val="24"/>
        </w:rPr>
      </w:pPr>
      <w:r w:rsidRPr="00CE1895">
        <w:rPr>
          <w:rFonts w:ascii="Book Antiqua" w:hAnsi="Book Antiqua" w:cs="Segoe UI"/>
          <w:i/>
          <w:color w:val="212121"/>
          <w:sz w:val="24"/>
          <w:shd w:val="clear" w:color="auto" w:fill="FFFFFF"/>
          <w:lang w:val="en-US"/>
        </w:rPr>
        <w:t xml:space="preserve">Dong Y, Zhao T, Ai W, </w:t>
      </w:r>
      <w:proofErr w:type="spellStart"/>
      <w:r w:rsidRPr="00CE1895">
        <w:rPr>
          <w:rFonts w:ascii="Book Antiqua" w:hAnsi="Book Antiqua" w:cs="Segoe UI"/>
          <w:i/>
          <w:color w:val="212121"/>
          <w:sz w:val="24"/>
          <w:shd w:val="clear" w:color="auto" w:fill="FFFFFF"/>
          <w:lang w:val="en-US"/>
        </w:rPr>
        <w:t>Zalloum</w:t>
      </w:r>
      <w:proofErr w:type="spellEnd"/>
      <w:r w:rsidRPr="00CE1895">
        <w:rPr>
          <w:rFonts w:ascii="Book Antiqua" w:hAnsi="Book Antiqua" w:cs="Segoe UI"/>
          <w:i/>
          <w:color w:val="212121"/>
          <w:sz w:val="24"/>
          <w:shd w:val="clear" w:color="auto" w:fill="FFFFFF"/>
          <w:lang w:val="en-US"/>
        </w:rPr>
        <w:t xml:space="preserve"> WA, Kang D, Wu T, Liu X, Zhan P. Novel urate transporter 1 (URAT1) inhibitors: a review of recent patent literature (2016-2019). </w:t>
      </w:r>
      <w:r w:rsidRPr="00CE1895">
        <w:rPr>
          <w:rFonts w:ascii="Book Antiqua" w:hAnsi="Book Antiqua" w:cs="Segoe UI"/>
          <w:i/>
          <w:color w:val="212121"/>
          <w:sz w:val="24"/>
          <w:shd w:val="clear" w:color="auto" w:fill="FFFFFF"/>
        </w:rPr>
        <w:t>Expert Opin Ther Pat. 2019 Nov;29(11):871-879. doi: 10.1080/13543776.2019.1676727. Epub 2019 Oct 14. PMID: 31593642.</w:t>
      </w:r>
    </w:p>
    <w:p w:rsidR="00FE4187" w:rsidRPr="00CE1895" w:rsidRDefault="00FE4187" w:rsidP="00FE4187">
      <w:pPr>
        <w:pStyle w:val="ListParagraph"/>
        <w:numPr>
          <w:ilvl w:val="0"/>
          <w:numId w:val="6"/>
        </w:numPr>
        <w:spacing w:after="200" w:line="276" w:lineRule="auto"/>
        <w:jc w:val="both"/>
        <w:rPr>
          <w:rFonts w:ascii="Book Antiqua" w:hAnsi="Book Antiqua"/>
          <w:i/>
          <w:sz w:val="24"/>
        </w:rPr>
      </w:pPr>
      <w:proofErr w:type="spellStart"/>
      <w:r w:rsidRPr="00CE1895">
        <w:rPr>
          <w:rFonts w:ascii="Book Antiqua" w:hAnsi="Book Antiqua" w:cs="Segoe UI"/>
          <w:i/>
          <w:color w:val="212121"/>
          <w:sz w:val="24"/>
          <w:shd w:val="clear" w:color="auto" w:fill="FFFFFF"/>
          <w:lang w:val="en-US"/>
        </w:rPr>
        <w:lastRenderedPageBreak/>
        <w:t>Enomoto</w:t>
      </w:r>
      <w:proofErr w:type="spellEnd"/>
      <w:r w:rsidRPr="00CE1895">
        <w:rPr>
          <w:rFonts w:ascii="Book Antiqua" w:hAnsi="Book Antiqua" w:cs="Segoe UI"/>
          <w:i/>
          <w:color w:val="212121"/>
          <w:sz w:val="24"/>
          <w:shd w:val="clear" w:color="auto" w:fill="FFFFFF"/>
          <w:lang w:val="en-US"/>
        </w:rPr>
        <w:t xml:space="preserve"> A, Kimura H, </w:t>
      </w:r>
      <w:proofErr w:type="spellStart"/>
      <w:r w:rsidRPr="00CE1895">
        <w:rPr>
          <w:rFonts w:ascii="Book Antiqua" w:hAnsi="Book Antiqua" w:cs="Segoe UI"/>
          <w:i/>
          <w:color w:val="212121"/>
          <w:sz w:val="24"/>
          <w:shd w:val="clear" w:color="auto" w:fill="FFFFFF"/>
          <w:lang w:val="en-US"/>
        </w:rPr>
        <w:t>Chairoungdua</w:t>
      </w:r>
      <w:proofErr w:type="spellEnd"/>
      <w:r w:rsidRPr="00CE1895">
        <w:rPr>
          <w:rFonts w:ascii="Book Antiqua" w:hAnsi="Book Antiqua" w:cs="Segoe UI"/>
          <w:i/>
          <w:color w:val="212121"/>
          <w:sz w:val="24"/>
          <w:shd w:val="clear" w:color="auto" w:fill="FFFFFF"/>
          <w:lang w:val="en-US"/>
        </w:rPr>
        <w:t xml:space="preserve"> A, Shigeta Y, </w:t>
      </w:r>
      <w:proofErr w:type="spellStart"/>
      <w:r w:rsidRPr="00CE1895">
        <w:rPr>
          <w:rFonts w:ascii="Book Antiqua" w:hAnsi="Book Antiqua" w:cs="Segoe UI"/>
          <w:i/>
          <w:color w:val="212121"/>
          <w:sz w:val="24"/>
          <w:shd w:val="clear" w:color="auto" w:fill="FFFFFF"/>
          <w:lang w:val="en-US"/>
        </w:rPr>
        <w:t>Jutabha</w:t>
      </w:r>
      <w:proofErr w:type="spellEnd"/>
      <w:r w:rsidRPr="00CE1895">
        <w:rPr>
          <w:rFonts w:ascii="Book Antiqua" w:hAnsi="Book Antiqua" w:cs="Segoe UI"/>
          <w:i/>
          <w:color w:val="212121"/>
          <w:sz w:val="24"/>
          <w:shd w:val="clear" w:color="auto" w:fill="FFFFFF"/>
          <w:lang w:val="en-US"/>
        </w:rPr>
        <w:t xml:space="preserve"> P, Cha SH, </w:t>
      </w:r>
      <w:proofErr w:type="spellStart"/>
      <w:r w:rsidRPr="00CE1895">
        <w:rPr>
          <w:rFonts w:ascii="Book Antiqua" w:hAnsi="Book Antiqua" w:cs="Segoe UI"/>
          <w:i/>
          <w:color w:val="212121"/>
          <w:sz w:val="24"/>
          <w:shd w:val="clear" w:color="auto" w:fill="FFFFFF"/>
          <w:lang w:val="en-US"/>
        </w:rPr>
        <w:t>Hosoyamada</w:t>
      </w:r>
      <w:proofErr w:type="spellEnd"/>
      <w:r w:rsidRPr="00CE1895">
        <w:rPr>
          <w:rFonts w:ascii="Book Antiqua" w:hAnsi="Book Antiqua" w:cs="Segoe UI"/>
          <w:i/>
          <w:color w:val="212121"/>
          <w:sz w:val="24"/>
          <w:shd w:val="clear" w:color="auto" w:fill="FFFFFF"/>
          <w:lang w:val="en-US"/>
        </w:rPr>
        <w:t xml:space="preserve"> M, Takeda M, </w:t>
      </w:r>
      <w:proofErr w:type="spellStart"/>
      <w:r w:rsidRPr="00CE1895">
        <w:rPr>
          <w:rFonts w:ascii="Book Antiqua" w:hAnsi="Book Antiqua" w:cs="Segoe UI"/>
          <w:i/>
          <w:color w:val="212121"/>
          <w:sz w:val="24"/>
          <w:shd w:val="clear" w:color="auto" w:fill="FFFFFF"/>
          <w:lang w:val="en-US"/>
        </w:rPr>
        <w:t>Sekine</w:t>
      </w:r>
      <w:proofErr w:type="spellEnd"/>
      <w:r w:rsidRPr="00CE1895">
        <w:rPr>
          <w:rFonts w:ascii="Book Antiqua" w:hAnsi="Book Antiqua" w:cs="Segoe UI"/>
          <w:i/>
          <w:color w:val="212121"/>
          <w:sz w:val="24"/>
          <w:shd w:val="clear" w:color="auto" w:fill="FFFFFF"/>
          <w:lang w:val="en-US"/>
        </w:rPr>
        <w:t xml:space="preserve"> T, Igarashi T, Matsuo H, Kikuchi Y, Oda T, Ichida K, </w:t>
      </w:r>
      <w:proofErr w:type="spellStart"/>
      <w:r w:rsidRPr="00CE1895">
        <w:rPr>
          <w:rFonts w:ascii="Book Antiqua" w:hAnsi="Book Antiqua" w:cs="Segoe UI"/>
          <w:i/>
          <w:color w:val="212121"/>
          <w:sz w:val="24"/>
          <w:shd w:val="clear" w:color="auto" w:fill="FFFFFF"/>
          <w:lang w:val="en-US"/>
        </w:rPr>
        <w:t>Hosoya</w:t>
      </w:r>
      <w:proofErr w:type="spellEnd"/>
      <w:r w:rsidRPr="00CE1895">
        <w:rPr>
          <w:rFonts w:ascii="Book Antiqua" w:hAnsi="Book Antiqua" w:cs="Segoe UI"/>
          <w:i/>
          <w:color w:val="212121"/>
          <w:sz w:val="24"/>
          <w:shd w:val="clear" w:color="auto" w:fill="FFFFFF"/>
          <w:lang w:val="en-US"/>
        </w:rPr>
        <w:t xml:space="preserve"> T, </w:t>
      </w:r>
      <w:proofErr w:type="spellStart"/>
      <w:r w:rsidRPr="00CE1895">
        <w:rPr>
          <w:rFonts w:ascii="Book Antiqua" w:hAnsi="Book Antiqua" w:cs="Segoe UI"/>
          <w:i/>
          <w:color w:val="212121"/>
          <w:sz w:val="24"/>
          <w:shd w:val="clear" w:color="auto" w:fill="FFFFFF"/>
          <w:lang w:val="en-US"/>
        </w:rPr>
        <w:t>Shimokata</w:t>
      </w:r>
      <w:proofErr w:type="spellEnd"/>
      <w:r w:rsidRPr="00CE1895">
        <w:rPr>
          <w:rFonts w:ascii="Book Antiqua" w:hAnsi="Book Antiqua" w:cs="Segoe UI"/>
          <w:i/>
          <w:color w:val="212121"/>
          <w:sz w:val="24"/>
          <w:shd w:val="clear" w:color="auto" w:fill="FFFFFF"/>
          <w:lang w:val="en-US"/>
        </w:rPr>
        <w:t xml:space="preserve"> K, </w:t>
      </w:r>
      <w:proofErr w:type="spellStart"/>
      <w:r w:rsidRPr="00CE1895">
        <w:rPr>
          <w:rFonts w:ascii="Book Antiqua" w:hAnsi="Book Antiqua" w:cs="Segoe UI"/>
          <w:i/>
          <w:color w:val="212121"/>
          <w:sz w:val="24"/>
          <w:shd w:val="clear" w:color="auto" w:fill="FFFFFF"/>
          <w:lang w:val="en-US"/>
        </w:rPr>
        <w:t>Niwa</w:t>
      </w:r>
      <w:proofErr w:type="spellEnd"/>
      <w:r w:rsidRPr="00CE1895">
        <w:rPr>
          <w:rFonts w:ascii="Book Antiqua" w:hAnsi="Book Antiqua" w:cs="Segoe UI"/>
          <w:i/>
          <w:color w:val="212121"/>
          <w:sz w:val="24"/>
          <w:shd w:val="clear" w:color="auto" w:fill="FFFFFF"/>
          <w:lang w:val="en-US"/>
        </w:rPr>
        <w:t xml:space="preserve"> T, Kanai Y, </w:t>
      </w:r>
      <w:proofErr w:type="spellStart"/>
      <w:r w:rsidRPr="00CE1895">
        <w:rPr>
          <w:rFonts w:ascii="Book Antiqua" w:hAnsi="Book Antiqua" w:cs="Segoe UI"/>
          <w:i/>
          <w:color w:val="212121"/>
          <w:sz w:val="24"/>
          <w:shd w:val="clear" w:color="auto" w:fill="FFFFFF"/>
          <w:lang w:val="en-US"/>
        </w:rPr>
        <w:t>Endou</w:t>
      </w:r>
      <w:proofErr w:type="spellEnd"/>
      <w:r w:rsidRPr="00CE1895">
        <w:rPr>
          <w:rFonts w:ascii="Book Antiqua" w:hAnsi="Book Antiqua" w:cs="Segoe UI"/>
          <w:i/>
          <w:color w:val="212121"/>
          <w:sz w:val="24"/>
          <w:shd w:val="clear" w:color="auto" w:fill="FFFFFF"/>
          <w:lang w:val="en-US"/>
        </w:rPr>
        <w:t xml:space="preserve"> H. Molecular identification of a renal urate anion exchanger that regulates blood urate levels. </w:t>
      </w:r>
      <w:r w:rsidRPr="00CE1895">
        <w:rPr>
          <w:rFonts w:ascii="Book Antiqua" w:hAnsi="Book Antiqua" w:cs="Segoe UI"/>
          <w:i/>
          <w:color w:val="212121"/>
          <w:sz w:val="24"/>
          <w:shd w:val="clear" w:color="auto" w:fill="FFFFFF"/>
        </w:rPr>
        <w:t>Nature. 2002 May 23;417(6887):447-52. doi: 10.1038/nature742. Epub 2002 Apr 14. PMID: 12024214.</w:t>
      </w:r>
    </w:p>
    <w:p w:rsidR="00FE4187" w:rsidRPr="00CE1895" w:rsidRDefault="00FE4187" w:rsidP="00FE4187">
      <w:pPr>
        <w:pStyle w:val="ListParagraph"/>
        <w:numPr>
          <w:ilvl w:val="0"/>
          <w:numId w:val="6"/>
        </w:numPr>
        <w:spacing w:after="200" w:line="276" w:lineRule="auto"/>
        <w:jc w:val="both"/>
        <w:rPr>
          <w:rFonts w:ascii="Book Antiqua" w:hAnsi="Book Antiqua" w:cs="Segoe UI"/>
          <w:i/>
          <w:color w:val="212121"/>
          <w:sz w:val="24"/>
          <w:shd w:val="clear" w:color="auto" w:fill="FFFFFF"/>
        </w:rPr>
      </w:pPr>
      <w:r w:rsidRPr="00CE1895">
        <w:rPr>
          <w:rFonts w:ascii="Book Antiqua" w:hAnsi="Book Antiqua" w:cs="Segoe UI"/>
          <w:i/>
          <w:color w:val="212121"/>
          <w:sz w:val="24"/>
          <w:shd w:val="clear" w:color="auto" w:fill="FFFFFF"/>
          <w:lang w:val="en-US"/>
        </w:rPr>
        <w:t xml:space="preserve">Ernst ME, </w:t>
      </w:r>
      <w:proofErr w:type="spellStart"/>
      <w:r w:rsidRPr="00CE1895">
        <w:rPr>
          <w:rFonts w:ascii="Book Antiqua" w:hAnsi="Book Antiqua" w:cs="Segoe UI"/>
          <w:i/>
          <w:color w:val="212121"/>
          <w:sz w:val="24"/>
          <w:shd w:val="clear" w:color="auto" w:fill="FFFFFF"/>
          <w:lang w:val="en-US"/>
        </w:rPr>
        <w:t>Fravel</w:t>
      </w:r>
      <w:proofErr w:type="spellEnd"/>
      <w:r w:rsidRPr="00CE1895">
        <w:rPr>
          <w:rFonts w:ascii="Book Antiqua" w:hAnsi="Book Antiqua" w:cs="Segoe UI"/>
          <w:i/>
          <w:color w:val="212121"/>
          <w:sz w:val="24"/>
          <w:shd w:val="clear" w:color="auto" w:fill="FFFFFF"/>
          <w:lang w:val="en-US"/>
        </w:rPr>
        <w:t xml:space="preserve"> MA. Febuxostat: a selective xanthine-oxidase/xanthine-dehydrogenase inhibitor for the management of hyperuricemia in adults with gout. </w:t>
      </w:r>
      <w:r w:rsidRPr="00CE1895">
        <w:rPr>
          <w:rFonts w:ascii="Book Antiqua" w:hAnsi="Book Antiqua" w:cs="Segoe UI"/>
          <w:i/>
          <w:color w:val="212121"/>
          <w:sz w:val="24"/>
          <w:shd w:val="clear" w:color="auto" w:fill="FFFFFF"/>
        </w:rPr>
        <w:t>Clin Ther. 2009 Nov;31(11):2503-18. doi: 10.1016/j.clinthera.2009.11.033. PMID: 20109996.</w:t>
      </w:r>
    </w:p>
    <w:p w:rsidR="00FE4187" w:rsidRPr="00CE1895" w:rsidRDefault="00FE4187" w:rsidP="00FE4187">
      <w:pPr>
        <w:pStyle w:val="ListParagraph"/>
        <w:numPr>
          <w:ilvl w:val="0"/>
          <w:numId w:val="6"/>
        </w:numPr>
        <w:spacing w:after="200" w:line="276" w:lineRule="auto"/>
        <w:jc w:val="both"/>
        <w:rPr>
          <w:rFonts w:ascii="Book Antiqua" w:hAnsi="Book Antiqua"/>
          <w:i/>
          <w:sz w:val="24"/>
          <w:lang w:val="en-US"/>
        </w:rPr>
      </w:pPr>
      <w:proofErr w:type="spellStart"/>
      <w:r w:rsidRPr="00CE1895">
        <w:rPr>
          <w:rFonts w:ascii="Book Antiqua" w:hAnsi="Book Antiqua" w:cs="Segoe UI"/>
          <w:i/>
          <w:color w:val="212121"/>
          <w:sz w:val="24"/>
          <w:shd w:val="clear" w:color="auto" w:fill="FFFFFF"/>
          <w:lang w:val="en-US"/>
        </w:rPr>
        <w:t>Ghaderi-Zefrehi</w:t>
      </w:r>
      <w:proofErr w:type="spellEnd"/>
      <w:r w:rsidRPr="00CE1895">
        <w:rPr>
          <w:rFonts w:ascii="Book Antiqua" w:hAnsi="Book Antiqua" w:cs="Segoe UI"/>
          <w:i/>
          <w:color w:val="212121"/>
          <w:sz w:val="24"/>
          <w:shd w:val="clear" w:color="auto" w:fill="FFFFFF"/>
          <w:lang w:val="en-US"/>
        </w:rPr>
        <w:t xml:space="preserve"> H, Rezaei M, Sadeghi F, </w:t>
      </w:r>
      <w:proofErr w:type="spellStart"/>
      <w:r w:rsidRPr="00CE1895">
        <w:rPr>
          <w:rFonts w:ascii="Book Antiqua" w:hAnsi="Book Antiqua" w:cs="Segoe UI"/>
          <w:i/>
          <w:color w:val="212121"/>
          <w:sz w:val="24"/>
          <w:shd w:val="clear" w:color="auto" w:fill="FFFFFF"/>
          <w:lang w:val="en-US"/>
        </w:rPr>
        <w:t>Heiat</w:t>
      </w:r>
      <w:proofErr w:type="spellEnd"/>
      <w:r w:rsidRPr="00CE1895">
        <w:rPr>
          <w:rFonts w:ascii="Book Antiqua" w:hAnsi="Book Antiqua" w:cs="Segoe UI"/>
          <w:i/>
          <w:color w:val="212121"/>
          <w:sz w:val="24"/>
          <w:shd w:val="clear" w:color="auto" w:fill="FFFFFF"/>
          <w:lang w:val="en-US"/>
        </w:rPr>
        <w:t xml:space="preserve"> M. Genetic polymorphisms in DNA repair genes and hepatocellular carcinoma risk. DNA Repair (</w:t>
      </w:r>
      <w:proofErr w:type="spellStart"/>
      <w:r w:rsidRPr="00CE1895">
        <w:rPr>
          <w:rFonts w:ascii="Book Antiqua" w:hAnsi="Book Antiqua" w:cs="Segoe UI"/>
          <w:i/>
          <w:color w:val="212121"/>
          <w:sz w:val="24"/>
          <w:shd w:val="clear" w:color="auto" w:fill="FFFFFF"/>
          <w:lang w:val="en-US"/>
        </w:rPr>
        <w:t>Amst</w:t>
      </w:r>
      <w:proofErr w:type="spellEnd"/>
      <w:r w:rsidRPr="00CE1895">
        <w:rPr>
          <w:rFonts w:ascii="Book Antiqua" w:hAnsi="Book Antiqua" w:cs="Segoe UI"/>
          <w:i/>
          <w:color w:val="212121"/>
          <w:sz w:val="24"/>
          <w:shd w:val="clear" w:color="auto" w:fill="FFFFFF"/>
          <w:lang w:val="en-US"/>
        </w:rPr>
        <w:t xml:space="preserve">). 2021 </w:t>
      </w:r>
      <w:proofErr w:type="gramStart"/>
      <w:r w:rsidRPr="00CE1895">
        <w:rPr>
          <w:rFonts w:ascii="Book Antiqua" w:hAnsi="Book Antiqua" w:cs="Segoe UI"/>
          <w:i/>
          <w:color w:val="212121"/>
          <w:sz w:val="24"/>
          <w:shd w:val="clear" w:color="auto" w:fill="FFFFFF"/>
          <w:lang w:val="en-US"/>
        </w:rPr>
        <w:t>Nov;107:103196</w:t>
      </w:r>
      <w:proofErr w:type="gramEnd"/>
      <w:r w:rsidRPr="00CE1895">
        <w:rPr>
          <w:rFonts w:ascii="Book Antiqua" w:hAnsi="Book Antiqua" w:cs="Segoe UI"/>
          <w:i/>
          <w:color w:val="212121"/>
          <w:sz w:val="24"/>
          <w:shd w:val="clear" w:color="auto" w:fill="FFFFFF"/>
          <w:lang w:val="en-US"/>
        </w:rPr>
        <w:t xml:space="preserve">. </w:t>
      </w:r>
      <w:proofErr w:type="spellStart"/>
      <w:r w:rsidRPr="00CE1895">
        <w:rPr>
          <w:rFonts w:ascii="Book Antiqua" w:hAnsi="Book Antiqua" w:cs="Segoe UI"/>
          <w:i/>
          <w:color w:val="212121"/>
          <w:sz w:val="24"/>
          <w:shd w:val="clear" w:color="auto" w:fill="FFFFFF"/>
          <w:lang w:val="en-US"/>
        </w:rPr>
        <w:t>doi</w:t>
      </w:r>
      <w:proofErr w:type="spellEnd"/>
      <w:r w:rsidRPr="00CE1895">
        <w:rPr>
          <w:rFonts w:ascii="Book Antiqua" w:hAnsi="Book Antiqua" w:cs="Segoe UI"/>
          <w:i/>
          <w:color w:val="212121"/>
          <w:sz w:val="24"/>
          <w:shd w:val="clear" w:color="auto" w:fill="FFFFFF"/>
          <w:lang w:val="en-US"/>
        </w:rPr>
        <w:t xml:space="preserve">: 10.1016/j.dnarep.2021.103196. </w:t>
      </w:r>
      <w:proofErr w:type="spellStart"/>
      <w:r w:rsidRPr="00CE1895">
        <w:rPr>
          <w:rFonts w:ascii="Book Antiqua" w:hAnsi="Book Antiqua" w:cs="Segoe UI"/>
          <w:i/>
          <w:color w:val="212121"/>
          <w:sz w:val="24"/>
          <w:shd w:val="clear" w:color="auto" w:fill="FFFFFF"/>
          <w:lang w:val="en-US"/>
        </w:rPr>
        <w:t>Epub</w:t>
      </w:r>
      <w:proofErr w:type="spellEnd"/>
      <w:r w:rsidRPr="00CE1895">
        <w:rPr>
          <w:rFonts w:ascii="Book Antiqua" w:hAnsi="Book Antiqua" w:cs="Segoe UI"/>
          <w:i/>
          <w:color w:val="212121"/>
          <w:sz w:val="24"/>
          <w:shd w:val="clear" w:color="auto" w:fill="FFFFFF"/>
          <w:lang w:val="en-US"/>
        </w:rPr>
        <w:t xml:space="preserve"> 2021 Jul 29. PMID: 34416543.</w:t>
      </w:r>
    </w:p>
    <w:p w:rsidR="00FE4187" w:rsidRPr="00CE1895" w:rsidRDefault="00FE4187" w:rsidP="00FE4187">
      <w:pPr>
        <w:pStyle w:val="ListParagraph"/>
        <w:numPr>
          <w:ilvl w:val="0"/>
          <w:numId w:val="6"/>
        </w:numPr>
        <w:spacing w:after="200" w:line="276" w:lineRule="auto"/>
        <w:jc w:val="both"/>
        <w:rPr>
          <w:rFonts w:ascii="Book Antiqua" w:hAnsi="Book Antiqua"/>
          <w:i/>
          <w:sz w:val="24"/>
          <w:lang w:val="en-US"/>
        </w:rPr>
      </w:pPr>
      <w:proofErr w:type="spellStart"/>
      <w:r w:rsidRPr="00CE1895">
        <w:rPr>
          <w:rFonts w:ascii="Book Antiqua" w:hAnsi="Book Antiqua" w:cs="Segoe UI"/>
          <w:i/>
          <w:color w:val="212121"/>
          <w:sz w:val="24"/>
          <w:shd w:val="clear" w:color="auto" w:fill="FFFFFF"/>
          <w:lang w:val="en-US"/>
        </w:rPr>
        <w:t>Gherghina</w:t>
      </w:r>
      <w:proofErr w:type="spellEnd"/>
      <w:r w:rsidRPr="00CE1895">
        <w:rPr>
          <w:rFonts w:ascii="Book Antiqua" w:hAnsi="Book Antiqua" w:cs="Segoe UI"/>
          <w:i/>
          <w:color w:val="212121"/>
          <w:sz w:val="24"/>
          <w:shd w:val="clear" w:color="auto" w:fill="FFFFFF"/>
          <w:lang w:val="en-US"/>
        </w:rPr>
        <w:t xml:space="preserve"> ME, </w:t>
      </w:r>
      <w:proofErr w:type="spellStart"/>
      <w:r w:rsidRPr="00CE1895">
        <w:rPr>
          <w:rFonts w:ascii="Book Antiqua" w:hAnsi="Book Antiqua" w:cs="Segoe UI"/>
          <w:i/>
          <w:color w:val="212121"/>
          <w:sz w:val="24"/>
          <w:shd w:val="clear" w:color="auto" w:fill="FFFFFF"/>
          <w:lang w:val="en-US"/>
        </w:rPr>
        <w:t>Peride</w:t>
      </w:r>
      <w:proofErr w:type="spellEnd"/>
      <w:r w:rsidRPr="00CE1895">
        <w:rPr>
          <w:rFonts w:ascii="Book Antiqua" w:hAnsi="Book Antiqua" w:cs="Segoe UI"/>
          <w:i/>
          <w:color w:val="212121"/>
          <w:sz w:val="24"/>
          <w:shd w:val="clear" w:color="auto" w:fill="FFFFFF"/>
          <w:lang w:val="en-US"/>
        </w:rPr>
        <w:t xml:space="preserve"> I, </w:t>
      </w:r>
      <w:proofErr w:type="spellStart"/>
      <w:r w:rsidRPr="00CE1895">
        <w:rPr>
          <w:rFonts w:ascii="Book Antiqua" w:hAnsi="Book Antiqua" w:cs="Segoe UI"/>
          <w:i/>
          <w:color w:val="212121"/>
          <w:sz w:val="24"/>
          <w:shd w:val="clear" w:color="auto" w:fill="FFFFFF"/>
          <w:lang w:val="en-US"/>
        </w:rPr>
        <w:t>Tiglis</w:t>
      </w:r>
      <w:proofErr w:type="spellEnd"/>
      <w:r w:rsidRPr="00CE1895">
        <w:rPr>
          <w:rFonts w:ascii="Book Antiqua" w:hAnsi="Book Antiqua" w:cs="Segoe UI"/>
          <w:i/>
          <w:color w:val="212121"/>
          <w:sz w:val="24"/>
          <w:shd w:val="clear" w:color="auto" w:fill="FFFFFF"/>
          <w:lang w:val="en-US"/>
        </w:rPr>
        <w:t xml:space="preserve"> M, </w:t>
      </w:r>
      <w:proofErr w:type="spellStart"/>
      <w:r w:rsidRPr="00CE1895">
        <w:rPr>
          <w:rFonts w:ascii="Book Antiqua" w:hAnsi="Book Antiqua" w:cs="Segoe UI"/>
          <w:i/>
          <w:color w:val="212121"/>
          <w:sz w:val="24"/>
          <w:shd w:val="clear" w:color="auto" w:fill="FFFFFF"/>
          <w:lang w:val="en-US"/>
        </w:rPr>
        <w:t>Neagu</w:t>
      </w:r>
      <w:proofErr w:type="spellEnd"/>
      <w:r w:rsidRPr="00CE1895">
        <w:rPr>
          <w:rFonts w:ascii="Book Antiqua" w:hAnsi="Book Antiqua" w:cs="Segoe UI"/>
          <w:i/>
          <w:color w:val="212121"/>
          <w:sz w:val="24"/>
          <w:shd w:val="clear" w:color="auto" w:fill="FFFFFF"/>
          <w:lang w:val="en-US"/>
        </w:rPr>
        <w:t xml:space="preserve"> TP, </w:t>
      </w:r>
      <w:proofErr w:type="spellStart"/>
      <w:r w:rsidRPr="00CE1895">
        <w:rPr>
          <w:rFonts w:ascii="Book Antiqua" w:hAnsi="Book Antiqua" w:cs="Segoe UI"/>
          <w:i/>
          <w:color w:val="212121"/>
          <w:sz w:val="24"/>
          <w:shd w:val="clear" w:color="auto" w:fill="FFFFFF"/>
          <w:lang w:val="en-US"/>
        </w:rPr>
        <w:t>Niculae</w:t>
      </w:r>
      <w:proofErr w:type="spellEnd"/>
      <w:r w:rsidRPr="00CE1895">
        <w:rPr>
          <w:rFonts w:ascii="Book Antiqua" w:hAnsi="Book Antiqua" w:cs="Segoe UI"/>
          <w:i/>
          <w:color w:val="212121"/>
          <w:sz w:val="24"/>
          <w:shd w:val="clear" w:color="auto" w:fill="FFFFFF"/>
          <w:lang w:val="en-US"/>
        </w:rPr>
        <w:t xml:space="preserve"> A, </w:t>
      </w:r>
      <w:proofErr w:type="spellStart"/>
      <w:r w:rsidRPr="00CE1895">
        <w:rPr>
          <w:rFonts w:ascii="Book Antiqua" w:hAnsi="Book Antiqua" w:cs="Segoe UI"/>
          <w:i/>
          <w:color w:val="212121"/>
          <w:sz w:val="24"/>
          <w:shd w:val="clear" w:color="auto" w:fill="FFFFFF"/>
          <w:lang w:val="en-US"/>
        </w:rPr>
        <w:t>Checherita</w:t>
      </w:r>
      <w:proofErr w:type="spellEnd"/>
      <w:r w:rsidRPr="00CE1895">
        <w:rPr>
          <w:rFonts w:ascii="Book Antiqua" w:hAnsi="Book Antiqua" w:cs="Segoe UI"/>
          <w:i/>
          <w:color w:val="212121"/>
          <w:sz w:val="24"/>
          <w:shd w:val="clear" w:color="auto" w:fill="FFFFFF"/>
          <w:lang w:val="en-US"/>
        </w:rPr>
        <w:t xml:space="preserve"> IA. Uric Acid and Oxidative Stress-Relationship with Cardiovascular, Metabolic, and Renal Impairment. Int J Mol Sci. 2022 Mar 16;23(6):3188. </w:t>
      </w:r>
      <w:proofErr w:type="spellStart"/>
      <w:r w:rsidRPr="00CE1895">
        <w:rPr>
          <w:rFonts w:ascii="Book Antiqua" w:hAnsi="Book Antiqua" w:cs="Segoe UI"/>
          <w:i/>
          <w:color w:val="212121"/>
          <w:sz w:val="24"/>
          <w:shd w:val="clear" w:color="auto" w:fill="FFFFFF"/>
          <w:lang w:val="en-US"/>
        </w:rPr>
        <w:t>doi</w:t>
      </w:r>
      <w:proofErr w:type="spellEnd"/>
      <w:r w:rsidRPr="00CE1895">
        <w:rPr>
          <w:rFonts w:ascii="Book Antiqua" w:hAnsi="Book Antiqua" w:cs="Segoe UI"/>
          <w:i/>
          <w:color w:val="212121"/>
          <w:sz w:val="24"/>
          <w:shd w:val="clear" w:color="auto" w:fill="FFFFFF"/>
          <w:lang w:val="en-US"/>
        </w:rPr>
        <w:t>: 10.3390/ijms23063188. PMID: 35328614; PMCID: PMC8949471.</w:t>
      </w:r>
    </w:p>
    <w:p w:rsidR="00FE4187" w:rsidRPr="00CE1895" w:rsidRDefault="00FE4187" w:rsidP="00FE4187">
      <w:pPr>
        <w:pStyle w:val="ListParagraph"/>
        <w:numPr>
          <w:ilvl w:val="0"/>
          <w:numId w:val="6"/>
        </w:numPr>
        <w:spacing w:after="200" w:line="276" w:lineRule="auto"/>
        <w:jc w:val="both"/>
        <w:rPr>
          <w:rFonts w:ascii="Book Antiqua" w:hAnsi="Book Antiqua"/>
          <w:i/>
          <w:sz w:val="24"/>
        </w:rPr>
      </w:pPr>
      <w:proofErr w:type="spellStart"/>
      <w:r w:rsidRPr="00CE1895">
        <w:rPr>
          <w:rFonts w:ascii="Book Antiqua" w:hAnsi="Book Antiqua" w:cs="Segoe UI"/>
          <w:i/>
          <w:color w:val="212121"/>
          <w:sz w:val="24"/>
          <w:shd w:val="clear" w:color="auto" w:fill="FFFFFF"/>
          <w:lang w:val="en-US"/>
        </w:rPr>
        <w:t>Glantzounis</w:t>
      </w:r>
      <w:proofErr w:type="spellEnd"/>
      <w:r w:rsidRPr="00CE1895">
        <w:rPr>
          <w:rFonts w:ascii="Book Antiqua" w:hAnsi="Book Antiqua" w:cs="Segoe UI"/>
          <w:i/>
          <w:color w:val="212121"/>
          <w:sz w:val="24"/>
          <w:shd w:val="clear" w:color="auto" w:fill="FFFFFF"/>
          <w:lang w:val="en-US"/>
        </w:rPr>
        <w:t xml:space="preserve"> GK, </w:t>
      </w:r>
      <w:proofErr w:type="spellStart"/>
      <w:r w:rsidRPr="00CE1895">
        <w:rPr>
          <w:rFonts w:ascii="Book Antiqua" w:hAnsi="Book Antiqua" w:cs="Segoe UI"/>
          <w:i/>
          <w:color w:val="212121"/>
          <w:sz w:val="24"/>
          <w:shd w:val="clear" w:color="auto" w:fill="FFFFFF"/>
          <w:lang w:val="en-US"/>
        </w:rPr>
        <w:t>Tsimoyiannis</w:t>
      </w:r>
      <w:proofErr w:type="spellEnd"/>
      <w:r w:rsidRPr="00CE1895">
        <w:rPr>
          <w:rFonts w:ascii="Book Antiqua" w:hAnsi="Book Antiqua" w:cs="Segoe UI"/>
          <w:i/>
          <w:color w:val="212121"/>
          <w:sz w:val="24"/>
          <w:shd w:val="clear" w:color="auto" w:fill="FFFFFF"/>
          <w:lang w:val="en-US"/>
        </w:rPr>
        <w:t xml:space="preserve"> EC, </w:t>
      </w:r>
      <w:proofErr w:type="spellStart"/>
      <w:r w:rsidRPr="00CE1895">
        <w:rPr>
          <w:rFonts w:ascii="Book Antiqua" w:hAnsi="Book Antiqua" w:cs="Segoe UI"/>
          <w:i/>
          <w:color w:val="212121"/>
          <w:sz w:val="24"/>
          <w:shd w:val="clear" w:color="auto" w:fill="FFFFFF"/>
          <w:lang w:val="en-US"/>
        </w:rPr>
        <w:t>Kappas</w:t>
      </w:r>
      <w:proofErr w:type="spellEnd"/>
      <w:r w:rsidRPr="00CE1895">
        <w:rPr>
          <w:rFonts w:ascii="Book Antiqua" w:hAnsi="Book Antiqua" w:cs="Segoe UI"/>
          <w:i/>
          <w:color w:val="212121"/>
          <w:sz w:val="24"/>
          <w:shd w:val="clear" w:color="auto" w:fill="FFFFFF"/>
          <w:lang w:val="en-US"/>
        </w:rPr>
        <w:t xml:space="preserve"> AM, </w:t>
      </w:r>
      <w:proofErr w:type="spellStart"/>
      <w:r w:rsidRPr="00CE1895">
        <w:rPr>
          <w:rFonts w:ascii="Book Antiqua" w:hAnsi="Book Antiqua" w:cs="Segoe UI"/>
          <w:i/>
          <w:color w:val="212121"/>
          <w:sz w:val="24"/>
          <w:shd w:val="clear" w:color="auto" w:fill="FFFFFF"/>
          <w:lang w:val="en-US"/>
        </w:rPr>
        <w:t>Galaris</w:t>
      </w:r>
      <w:proofErr w:type="spellEnd"/>
      <w:r w:rsidRPr="00CE1895">
        <w:rPr>
          <w:rFonts w:ascii="Book Antiqua" w:hAnsi="Book Antiqua" w:cs="Segoe UI"/>
          <w:i/>
          <w:color w:val="212121"/>
          <w:sz w:val="24"/>
          <w:shd w:val="clear" w:color="auto" w:fill="FFFFFF"/>
          <w:lang w:val="en-US"/>
        </w:rPr>
        <w:t xml:space="preserve"> DA. Uric acid and oxidative stress. </w:t>
      </w:r>
      <w:r w:rsidRPr="00CE1895">
        <w:rPr>
          <w:rFonts w:ascii="Book Antiqua" w:hAnsi="Book Antiqua" w:cs="Segoe UI"/>
          <w:i/>
          <w:color w:val="212121"/>
          <w:sz w:val="24"/>
          <w:shd w:val="clear" w:color="auto" w:fill="FFFFFF"/>
        </w:rPr>
        <w:t>Curr Pharm Des. 2005;11(32):4145-51. doi: 10.2174/138161205774913255. PMID: 16375736.</w:t>
      </w:r>
    </w:p>
    <w:p w:rsidR="00FE4187" w:rsidRPr="00CE1895" w:rsidRDefault="00FE4187" w:rsidP="00FE4187">
      <w:pPr>
        <w:pStyle w:val="ListParagraph"/>
        <w:numPr>
          <w:ilvl w:val="0"/>
          <w:numId w:val="6"/>
        </w:numPr>
        <w:spacing w:after="200" w:line="276" w:lineRule="auto"/>
        <w:jc w:val="both"/>
        <w:rPr>
          <w:rFonts w:ascii="Book Antiqua" w:hAnsi="Book Antiqua"/>
          <w:i/>
          <w:sz w:val="24"/>
          <w:lang w:val="en-US"/>
        </w:rPr>
      </w:pPr>
      <w:r w:rsidRPr="00CE1895">
        <w:rPr>
          <w:rFonts w:ascii="Book Antiqua" w:hAnsi="Book Antiqua" w:cs="Segoe UI"/>
          <w:i/>
          <w:color w:val="212121"/>
          <w:sz w:val="24"/>
          <w:shd w:val="clear" w:color="auto" w:fill="FFFFFF"/>
          <w:lang w:val="en-US"/>
        </w:rPr>
        <w:t xml:space="preserve">Hou Z, Ma A, Mao J, Song D, Zhao X. Overview of the pharmacokinetics and pharmacodynamics of URAT1 inhibitors for the treatment of hyperuricemia and gout. Expert </w:t>
      </w:r>
      <w:proofErr w:type="spellStart"/>
      <w:r w:rsidRPr="00CE1895">
        <w:rPr>
          <w:rFonts w:ascii="Book Antiqua" w:hAnsi="Book Antiqua" w:cs="Segoe UI"/>
          <w:i/>
          <w:color w:val="212121"/>
          <w:sz w:val="24"/>
          <w:shd w:val="clear" w:color="auto" w:fill="FFFFFF"/>
          <w:lang w:val="en-US"/>
        </w:rPr>
        <w:t>Opin</w:t>
      </w:r>
      <w:proofErr w:type="spellEnd"/>
      <w:r w:rsidRPr="00CE1895">
        <w:rPr>
          <w:rFonts w:ascii="Book Antiqua" w:hAnsi="Book Antiqua" w:cs="Segoe UI"/>
          <w:i/>
          <w:color w:val="212121"/>
          <w:sz w:val="24"/>
          <w:shd w:val="clear" w:color="auto" w:fill="FFFFFF"/>
          <w:lang w:val="en-US"/>
        </w:rPr>
        <w:t xml:space="preserve"> Drug </w:t>
      </w:r>
      <w:proofErr w:type="spellStart"/>
      <w:r w:rsidRPr="00CE1895">
        <w:rPr>
          <w:rFonts w:ascii="Book Antiqua" w:hAnsi="Book Antiqua" w:cs="Segoe UI"/>
          <w:i/>
          <w:color w:val="212121"/>
          <w:sz w:val="24"/>
          <w:shd w:val="clear" w:color="auto" w:fill="FFFFFF"/>
          <w:lang w:val="en-US"/>
        </w:rPr>
        <w:t>Metab</w:t>
      </w:r>
      <w:proofErr w:type="spellEnd"/>
      <w:r w:rsidRPr="00CE1895">
        <w:rPr>
          <w:rFonts w:ascii="Book Antiqua" w:hAnsi="Book Antiqua" w:cs="Segoe UI"/>
          <w:i/>
          <w:color w:val="212121"/>
          <w:sz w:val="24"/>
          <w:shd w:val="clear" w:color="auto" w:fill="FFFFFF"/>
          <w:lang w:val="en-US"/>
        </w:rPr>
        <w:t xml:space="preserve"> </w:t>
      </w:r>
      <w:proofErr w:type="spellStart"/>
      <w:r w:rsidRPr="00CE1895">
        <w:rPr>
          <w:rFonts w:ascii="Book Antiqua" w:hAnsi="Book Antiqua" w:cs="Segoe UI"/>
          <w:i/>
          <w:color w:val="212121"/>
          <w:sz w:val="24"/>
          <w:shd w:val="clear" w:color="auto" w:fill="FFFFFF"/>
          <w:lang w:val="en-US"/>
        </w:rPr>
        <w:t>Toxicol</w:t>
      </w:r>
      <w:proofErr w:type="spellEnd"/>
      <w:r w:rsidRPr="00CE1895">
        <w:rPr>
          <w:rFonts w:ascii="Book Antiqua" w:hAnsi="Book Antiqua" w:cs="Segoe UI"/>
          <w:i/>
          <w:color w:val="212121"/>
          <w:sz w:val="24"/>
          <w:shd w:val="clear" w:color="auto" w:fill="FFFFFF"/>
          <w:lang w:val="en-US"/>
        </w:rPr>
        <w:t xml:space="preserve">. 2023 Dec;19(12):895-909. </w:t>
      </w:r>
      <w:proofErr w:type="spellStart"/>
      <w:r w:rsidRPr="00CE1895">
        <w:rPr>
          <w:rFonts w:ascii="Book Antiqua" w:hAnsi="Book Antiqua" w:cs="Segoe UI"/>
          <w:i/>
          <w:color w:val="212121"/>
          <w:sz w:val="24"/>
          <w:shd w:val="clear" w:color="auto" w:fill="FFFFFF"/>
          <w:lang w:val="en-US"/>
        </w:rPr>
        <w:t>doi</w:t>
      </w:r>
      <w:proofErr w:type="spellEnd"/>
      <w:r w:rsidRPr="00CE1895">
        <w:rPr>
          <w:rFonts w:ascii="Book Antiqua" w:hAnsi="Book Antiqua" w:cs="Segoe UI"/>
          <w:i/>
          <w:color w:val="212121"/>
          <w:sz w:val="24"/>
          <w:shd w:val="clear" w:color="auto" w:fill="FFFFFF"/>
          <w:lang w:val="en-US"/>
        </w:rPr>
        <w:t xml:space="preserve">: 10.1080/17425255.2023.2287477. </w:t>
      </w:r>
      <w:proofErr w:type="spellStart"/>
      <w:r w:rsidRPr="00CE1895">
        <w:rPr>
          <w:rFonts w:ascii="Book Antiqua" w:hAnsi="Book Antiqua" w:cs="Segoe UI"/>
          <w:i/>
          <w:color w:val="212121"/>
          <w:sz w:val="24"/>
          <w:shd w:val="clear" w:color="auto" w:fill="FFFFFF"/>
          <w:lang w:val="en-US"/>
        </w:rPr>
        <w:t>Epub</w:t>
      </w:r>
      <w:proofErr w:type="spellEnd"/>
      <w:r w:rsidRPr="00CE1895">
        <w:rPr>
          <w:rFonts w:ascii="Book Antiqua" w:hAnsi="Book Antiqua" w:cs="Segoe UI"/>
          <w:i/>
          <w:color w:val="212121"/>
          <w:sz w:val="24"/>
          <w:shd w:val="clear" w:color="auto" w:fill="FFFFFF"/>
          <w:lang w:val="en-US"/>
        </w:rPr>
        <w:t xml:space="preserve"> 2024 Jan 12. PMID: 37994776.</w:t>
      </w:r>
    </w:p>
    <w:p w:rsidR="00FE4187" w:rsidRPr="00CE1895" w:rsidRDefault="00FE4187" w:rsidP="00FE4187">
      <w:pPr>
        <w:pStyle w:val="ListParagraph"/>
        <w:numPr>
          <w:ilvl w:val="0"/>
          <w:numId w:val="6"/>
        </w:numPr>
        <w:spacing w:after="200" w:line="276" w:lineRule="auto"/>
        <w:jc w:val="both"/>
        <w:rPr>
          <w:rFonts w:ascii="Book Antiqua" w:hAnsi="Book Antiqua" w:cs="Segoe UI"/>
          <w:i/>
          <w:color w:val="212121"/>
          <w:sz w:val="24"/>
          <w:shd w:val="clear" w:color="auto" w:fill="FFFFFF"/>
        </w:rPr>
      </w:pPr>
      <w:r w:rsidRPr="00CE1895">
        <w:rPr>
          <w:rFonts w:ascii="Book Antiqua" w:hAnsi="Book Antiqua" w:cs="Segoe UI"/>
          <w:i/>
          <w:color w:val="212121"/>
          <w:sz w:val="24"/>
          <w:shd w:val="clear" w:color="auto" w:fill="FFFFFF"/>
          <w:lang w:val="en-US"/>
        </w:rPr>
        <w:t xml:space="preserve">Ichida K, Matsuo H, Takada T, Nakayama A, Murakami K, Shimizu T, Yamanashi Y, </w:t>
      </w:r>
      <w:proofErr w:type="spellStart"/>
      <w:r w:rsidRPr="00CE1895">
        <w:rPr>
          <w:rFonts w:ascii="Book Antiqua" w:hAnsi="Book Antiqua" w:cs="Segoe UI"/>
          <w:i/>
          <w:color w:val="212121"/>
          <w:sz w:val="24"/>
          <w:shd w:val="clear" w:color="auto" w:fill="FFFFFF"/>
          <w:lang w:val="en-US"/>
        </w:rPr>
        <w:t>Kasuga</w:t>
      </w:r>
      <w:proofErr w:type="spellEnd"/>
      <w:r w:rsidRPr="00CE1895">
        <w:rPr>
          <w:rFonts w:ascii="Book Antiqua" w:hAnsi="Book Antiqua" w:cs="Segoe UI"/>
          <w:i/>
          <w:color w:val="212121"/>
          <w:sz w:val="24"/>
          <w:shd w:val="clear" w:color="auto" w:fill="FFFFFF"/>
          <w:lang w:val="en-US"/>
        </w:rPr>
        <w:t xml:space="preserve"> H, Nakashima H, Nakamura T, Takada Y, Kawamura Y, Inoue H, Okada C, </w:t>
      </w:r>
      <w:proofErr w:type="spellStart"/>
      <w:r w:rsidRPr="00CE1895">
        <w:rPr>
          <w:rFonts w:ascii="Book Antiqua" w:hAnsi="Book Antiqua" w:cs="Segoe UI"/>
          <w:i/>
          <w:color w:val="212121"/>
          <w:sz w:val="24"/>
          <w:shd w:val="clear" w:color="auto" w:fill="FFFFFF"/>
          <w:lang w:val="en-US"/>
        </w:rPr>
        <w:t>Utsumi</w:t>
      </w:r>
      <w:proofErr w:type="spellEnd"/>
      <w:r w:rsidRPr="00CE1895">
        <w:rPr>
          <w:rFonts w:ascii="Book Antiqua" w:hAnsi="Book Antiqua" w:cs="Segoe UI"/>
          <w:i/>
          <w:color w:val="212121"/>
          <w:sz w:val="24"/>
          <w:shd w:val="clear" w:color="auto" w:fill="FFFFFF"/>
          <w:lang w:val="en-US"/>
        </w:rPr>
        <w:t xml:space="preserve"> Y, </w:t>
      </w:r>
      <w:proofErr w:type="spellStart"/>
      <w:r w:rsidRPr="00CE1895">
        <w:rPr>
          <w:rFonts w:ascii="Book Antiqua" w:hAnsi="Book Antiqua" w:cs="Segoe UI"/>
          <w:i/>
          <w:color w:val="212121"/>
          <w:sz w:val="24"/>
          <w:shd w:val="clear" w:color="auto" w:fill="FFFFFF"/>
          <w:lang w:val="en-US"/>
        </w:rPr>
        <w:t>Ikebuchi</w:t>
      </w:r>
      <w:proofErr w:type="spellEnd"/>
      <w:r w:rsidRPr="00CE1895">
        <w:rPr>
          <w:rFonts w:ascii="Book Antiqua" w:hAnsi="Book Antiqua" w:cs="Segoe UI"/>
          <w:i/>
          <w:color w:val="212121"/>
          <w:sz w:val="24"/>
          <w:shd w:val="clear" w:color="auto" w:fill="FFFFFF"/>
          <w:lang w:val="en-US"/>
        </w:rPr>
        <w:t xml:space="preserve"> Y, Ito K, Nakamura M, Shinohara Y, </w:t>
      </w:r>
      <w:proofErr w:type="spellStart"/>
      <w:r w:rsidRPr="00CE1895">
        <w:rPr>
          <w:rFonts w:ascii="Book Antiqua" w:hAnsi="Book Antiqua" w:cs="Segoe UI"/>
          <w:i/>
          <w:color w:val="212121"/>
          <w:sz w:val="24"/>
          <w:shd w:val="clear" w:color="auto" w:fill="FFFFFF"/>
          <w:lang w:val="en-US"/>
        </w:rPr>
        <w:t>Hosoyamada</w:t>
      </w:r>
      <w:proofErr w:type="spellEnd"/>
      <w:r w:rsidRPr="00CE1895">
        <w:rPr>
          <w:rFonts w:ascii="Book Antiqua" w:hAnsi="Book Antiqua" w:cs="Segoe UI"/>
          <w:i/>
          <w:color w:val="212121"/>
          <w:sz w:val="24"/>
          <w:shd w:val="clear" w:color="auto" w:fill="FFFFFF"/>
          <w:lang w:val="en-US"/>
        </w:rPr>
        <w:t xml:space="preserve"> M, Sakurai Y, </w:t>
      </w:r>
      <w:proofErr w:type="spellStart"/>
      <w:r w:rsidRPr="00CE1895">
        <w:rPr>
          <w:rFonts w:ascii="Book Antiqua" w:hAnsi="Book Antiqua" w:cs="Segoe UI"/>
          <w:i/>
          <w:color w:val="212121"/>
          <w:sz w:val="24"/>
          <w:shd w:val="clear" w:color="auto" w:fill="FFFFFF"/>
          <w:lang w:val="en-US"/>
        </w:rPr>
        <w:t>Shinomiya</w:t>
      </w:r>
      <w:proofErr w:type="spellEnd"/>
      <w:r w:rsidRPr="00CE1895">
        <w:rPr>
          <w:rFonts w:ascii="Book Antiqua" w:hAnsi="Book Antiqua" w:cs="Segoe UI"/>
          <w:i/>
          <w:color w:val="212121"/>
          <w:sz w:val="24"/>
          <w:shd w:val="clear" w:color="auto" w:fill="FFFFFF"/>
          <w:lang w:val="en-US"/>
        </w:rPr>
        <w:t xml:space="preserve"> N, </w:t>
      </w:r>
      <w:proofErr w:type="spellStart"/>
      <w:r w:rsidRPr="00CE1895">
        <w:rPr>
          <w:rFonts w:ascii="Book Antiqua" w:hAnsi="Book Antiqua" w:cs="Segoe UI"/>
          <w:i/>
          <w:color w:val="212121"/>
          <w:sz w:val="24"/>
          <w:shd w:val="clear" w:color="auto" w:fill="FFFFFF"/>
          <w:lang w:val="en-US"/>
        </w:rPr>
        <w:t>Hosoya</w:t>
      </w:r>
      <w:proofErr w:type="spellEnd"/>
      <w:r w:rsidRPr="00CE1895">
        <w:rPr>
          <w:rFonts w:ascii="Book Antiqua" w:hAnsi="Book Antiqua" w:cs="Segoe UI"/>
          <w:i/>
          <w:color w:val="212121"/>
          <w:sz w:val="24"/>
          <w:shd w:val="clear" w:color="auto" w:fill="FFFFFF"/>
          <w:lang w:val="en-US"/>
        </w:rPr>
        <w:t xml:space="preserve"> T, Suzuki H. Decreased extra-renal urate excretion is a common cause of hyperuricemia. </w:t>
      </w:r>
      <w:r w:rsidRPr="00CE1895">
        <w:rPr>
          <w:rFonts w:ascii="Book Antiqua" w:hAnsi="Book Antiqua" w:cs="Segoe UI"/>
          <w:i/>
          <w:color w:val="212121"/>
          <w:sz w:val="24"/>
          <w:shd w:val="clear" w:color="auto" w:fill="FFFFFF"/>
        </w:rPr>
        <w:t>Nat Commun. 2012 Apr 3;3:764. doi: 10.1038/ncomms1756. PMID: 22473008; PMCID: PMC3337984.</w:t>
      </w:r>
    </w:p>
    <w:p w:rsidR="00FE4187" w:rsidRPr="00CE1895" w:rsidRDefault="00FE4187" w:rsidP="00FE4187">
      <w:pPr>
        <w:pStyle w:val="ListParagraph"/>
        <w:numPr>
          <w:ilvl w:val="0"/>
          <w:numId w:val="6"/>
        </w:numPr>
        <w:spacing w:after="200" w:line="276" w:lineRule="auto"/>
        <w:jc w:val="both"/>
        <w:rPr>
          <w:rFonts w:ascii="Book Antiqua" w:hAnsi="Book Antiqua" w:cs="Segoe UI"/>
          <w:i/>
          <w:color w:val="212121"/>
          <w:sz w:val="24"/>
          <w:shd w:val="clear" w:color="auto" w:fill="FFFFFF"/>
          <w:lang w:val="en-US"/>
        </w:rPr>
      </w:pPr>
      <w:proofErr w:type="spellStart"/>
      <w:r w:rsidRPr="00CE1895">
        <w:rPr>
          <w:rFonts w:ascii="Book Antiqua" w:hAnsi="Book Antiqua" w:cs="Segoe UI"/>
          <w:i/>
          <w:color w:val="212121"/>
          <w:sz w:val="24"/>
          <w:shd w:val="clear" w:color="auto" w:fill="FFFFFF"/>
          <w:lang w:val="en-US"/>
        </w:rPr>
        <w:t>Kamatani</w:t>
      </w:r>
      <w:proofErr w:type="spellEnd"/>
      <w:r w:rsidRPr="00CE1895">
        <w:rPr>
          <w:rFonts w:ascii="Book Antiqua" w:hAnsi="Book Antiqua" w:cs="Segoe UI"/>
          <w:i/>
          <w:color w:val="212121"/>
          <w:sz w:val="24"/>
          <w:shd w:val="clear" w:color="auto" w:fill="FFFFFF"/>
          <w:lang w:val="en-US"/>
        </w:rPr>
        <w:t xml:space="preserve"> N, Fujimori S, </w:t>
      </w:r>
      <w:proofErr w:type="spellStart"/>
      <w:r w:rsidRPr="00CE1895">
        <w:rPr>
          <w:rFonts w:ascii="Book Antiqua" w:hAnsi="Book Antiqua" w:cs="Segoe UI"/>
          <w:i/>
          <w:color w:val="212121"/>
          <w:sz w:val="24"/>
          <w:shd w:val="clear" w:color="auto" w:fill="FFFFFF"/>
          <w:lang w:val="en-US"/>
        </w:rPr>
        <w:t>Hada</w:t>
      </w:r>
      <w:proofErr w:type="spellEnd"/>
      <w:r w:rsidRPr="00CE1895">
        <w:rPr>
          <w:rFonts w:ascii="Book Antiqua" w:hAnsi="Book Antiqua" w:cs="Segoe UI"/>
          <w:i/>
          <w:color w:val="212121"/>
          <w:sz w:val="24"/>
          <w:shd w:val="clear" w:color="auto" w:fill="FFFFFF"/>
          <w:lang w:val="en-US"/>
        </w:rPr>
        <w:t xml:space="preserve"> T, </w:t>
      </w:r>
      <w:proofErr w:type="spellStart"/>
      <w:r w:rsidRPr="00CE1895">
        <w:rPr>
          <w:rFonts w:ascii="Book Antiqua" w:hAnsi="Book Antiqua" w:cs="Segoe UI"/>
          <w:i/>
          <w:color w:val="212121"/>
          <w:sz w:val="24"/>
          <w:shd w:val="clear" w:color="auto" w:fill="FFFFFF"/>
          <w:lang w:val="en-US"/>
        </w:rPr>
        <w:t>Hosoya</w:t>
      </w:r>
      <w:proofErr w:type="spellEnd"/>
      <w:r w:rsidRPr="00CE1895">
        <w:rPr>
          <w:rFonts w:ascii="Book Antiqua" w:hAnsi="Book Antiqua" w:cs="Segoe UI"/>
          <w:i/>
          <w:color w:val="212121"/>
          <w:sz w:val="24"/>
          <w:shd w:val="clear" w:color="auto" w:fill="FFFFFF"/>
          <w:lang w:val="en-US"/>
        </w:rPr>
        <w:t xml:space="preserve"> T, </w:t>
      </w:r>
      <w:proofErr w:type="spellStart"/>
      <w:r w:rsidRPr="00CE1895">
        <w:rPr>
          <w:rFonts w:ascii="Book Antiqua" w:hAnsi="Book Antiqua" w:cs="Segoe UI"/>
          <w:i/>
          <w:color w:val="212121"/>
          <w:sz w:val="24"/>
          <w:shd w:val="clear" w:color="auto" w:fill="FFFFFF"/>
          <w:lang w:val="en-US"/>
        </w:rPr>
        <w:t>Kohri</w:t>
      </w:r>
      <w:proofErr w:type="spellEnd"/>
      <w:r w:rsidRPr="00CE1895">
        <w:rPr>
          <w:rFonts w:ascii="Book Antiqua" w:hAnsi="Book Antiqua" w:cs="Segoe UI"/>
          <w:i/>
          <w:color w:val="212121"/>
          <w:sz w:val="24"/>
          <w:shd w:val="clear" w:color="auto" w:fill="FFFFFF"/>
          <w:lang w:val="en-US"/>
        </w:rPr>
        <w:t xml:space="preserve"> K, Nakamura T, Ueda T, Yamamoto T, Yamanaka H, Matsuzawa Y. An allopurinol-controlled, randomized, double-dummy, double-blind, parallel between-group, comparative study of febuxostat (TMX-67), a non-purine-selective inhibitor of xanthine oxidase, in patients with hyperuricemia including those with gout in Japan: phase 3 clinical study. J Clin </w:t>
      </w:r>
      <w:proofErr w:type="spellStart"/>
      <w:r w:rsidRPr="00CE1895">
        <w:rPr>
          <w:rFonts w:ascii="Book Antiqua" w:hAnsi="Book Antiqua" w:cs="Segoe UI"/>
          <w:i/>
          <w:color w:val="212121"/>
          <w:sz w:val="24"/>
          <w:shd w:val="clear" w:color="auto" w:fill="FFFFFF"/>
          <w:lang w:val="en-US"/>
        </w:rPr>
        <w:t>Rheumatol</w:t>
      </w:r>
      <w:proofErr w:type="spellEnd"/>
      <w:r w:rsidRPr="00CE1895">
        <w:rPr>
          <w:rFonts w:ascii="Book Antiqua" w:hAnsi="Book Antiqua" w:cs="Segoe UI"/>
          <w:i/>
          <w:color w:val="212121"/>
          <w:sz w:val="24"/>
          <w:shd w:val="clear" w:color="auto" w:fill="FFFFFF"/>
          <w:lang w:val="en-US"/>
        </w:rPr>
        <w:t>. 2011 Jun;17(4 Suppl 2</w:t>
      </w:r>
      <w:proofErr w:type="gramStart"/>
      <w:r w:rsidRPr="00CE1895">
        <w:rPr>
          <w:rFonts w:ascii="Book Antiqua" w:hAnsi="Book Antiqua" w:cs="Segoe UI"/>
          <w:i/>
          <w:color w:val="212121"/>
          <w:sz w:val="24"/>
          <w:shd w:val="clear" w:color="auto" w:fill="FFFFFF"/>
          <w:lang w:val="en-US"/>
        </w:rPr>
        <w:t>):S</w:t>
      </w:r>
      <w:proofErr w:type="gramEnd"/>
      <w:r w:rsidRPr="00CE1895">
        <w:rPr>
          <w:rFonts w:ascii="Book Antiqua" w:hAnsi="Book Antiqua" w:cs="Segoe UI"/>
          <w:i/>
          <w:color w:val="212121"/>
          <w:sz w:val="24"/>
          <w:shd w:val="clear" w:color="auto" w:fill="FFFFFF"/>
          <w:lang w:val="en-US"/>
        </w:rPr>
        <w:t xml:space="preserve">13-8. </w:t>
      </w:r>
      <w:proofErr w:type="spellStart"/>
      <w:r w:rsidRPr="00CE1895">
        <w:rPr>
          <w:rFonts w:ascii="Book Antiqua" w:hAnsi="Book Antiqua" w:cs="Segoe UI"/>
          <w:i/>
          <w:color w:val="212121"/>
          <w:sz w:val="24"/>
          <w:shd w:val="clear" w:color="auto" w:fill="FFFFFF"/>
          <w:lang w:val="en-US"/>
        </w:rPr>
        <w:t>doi</w:t>
      </w:r>
      <w:proofErr w:type="spellEnd"/>
      <w:r w:rsidRPr="00CE1895">
        <w:rPr>
          <w:rFonts w:ascii="Book Antiqua" w:hAnsi="Book Antiqua" w:cs="Segoe UI"/>
          <w:i/>
          <w:color w:val="212121"/>
          <w:sz w:val="24"/>
          <w:shd w:val="clear" w:color="auto" w:fill="FFFFFF"/>
          <w:lang w:val="en-US"/>
        </w:rPr>
        <w:t>: 10.1097/RHU.0b013e31821d36cc. PMID: 21654265.</w:t>
      </w:r>
    </w:p>
    <w:p w:rsidR="00FE4187" w:rsidRPr="00CE1895" w:rsidRDefault="00FE4187" w:rsidP="00FE4187">
      <w:pPr>
        <w:pStyle w:val="ListParagraph"/>
        <w:numPr>
          <w:ilvl w:val="0"/>
          <w:numId w:val="6"/>
        </w:numPr>
        <w:spacing w:after="200" w:line="276" w:lineRule="auto"/>
        <w:jc w:val="both"/>
        <w:rPr>
          <w:rFonts w:ascii="Book Antiqua" w:hAnsi="Book Antiqua"/>
          <w:i/>
          <w:sz w:val="24"/>
        </w:rPr>
      </w:pPr>
      <w:r w:rsidRPr="00CE1895">
        <w:rPr>
          <w:rFonts w:ascii="Book Antiqua" w:hAnsi="Book Antiqua"/>
          <w:i/>
          <w:sz w:val="24"/>
          <w:lang w:val="en-US"/>
        </w:rPr>
        <w:t xml:space="preserve">Keenan RT, Shen Z, Yan S, Yeh LT, </w:t>
      </w:r>
      <w:proofErr w:type="spellStart"/>
      <w:r w:rsidRPr="00CE1895">
        <w:rPr>
          <w:rFonts w:ascii="Book Antiqua" w:hAnsi="Book Antiqua"/>
          <w:i/>
          <w:sz w:val="24"/>
          <w:lang w:val="en-US"/>
        </w:rPr>
        <w:t>Pillinger</w:t>
      </w:r>
      <w:proofErr w:type="spellEnd"/>
      <w:r w:rsidRPr="00CE1895">
        <w:rPr>
          <w:rFonts w:ascii="Book Antiqua" w:hAnsi="Book Antiqua"/>
          <w:i/>
          <w:sz w:val="24"/>
          <w:lang w:val="en-US"/>
        </w:rPr>
        <w:t xml:space="preserve"> MH. How URAT1 inhibitors can shape the future of chronic gout treatment: a narrative review of uricosurics past and present. </w:t>
      </w:r>
      <w:r w:rsidRPr="00CE1895">
        <w:rPr>
          <w:rFonts w:ascii="Book Antiqua" w:hAnsi="Book Antiqua"/>
          <w:i/>
          <w:sz w:val="24"/>
        </w:rPr>
        <w:t>Explor Musculoskeletal Dis. 2024;2:529–54. https://doi.org/ 10.37349/emd.2024.00077</w:t>
      </w:r>
    </w:p>
    <w:p w:rsidR="00FE4187" w:rsidRPr="00CE1895" w:rsidRDefault="00FE4187" w:rsidP="00FE4187">
      <w:pPr>
        <w:pStyle w:val="ListParagraph"/>
        <w:numPr>
          <w:ilvl w:val="0"/>
          <w:numId w:val="6"/>
        </w:numPr>
        <w:spacing w:after="200" w:line="276" w:lineRule="auto"/>
        <w:jc w:val="both"/>
        <w:rPr>
          <w:rFonts w:ascii="Book Antiqua" w:hAnsi="Book Antiqua"/>
          <w:i/>
          <w:sz w:val="24"/>
        </w:rPr>
      </w:pPr>
      <w:r w:rsidRPr="00CE1895">
        <w:rPr>
          <w:rFonts w:ascii="Book Antiqua" w:hAnsi="Book Antiqua" w:cs="Segoe UI"/>
          <w:i/>
          <w:color w:val="212121"/>
          <w:sz w:val="24"/>
          <w:shd w:val="clear" w:color="auto" w:fill="FFFFFF"/>
          <w:lang w:val="en-US"/>
        </w:rPr>
        <w:t xml:space="preserve">Li R, Yu K, Li C. Dietary factors and risk of gout and hyperuricemia: a meta-analysis and systematic review. </w:t>
      </w:r>
      <w:r w:rsidRPr="00CE1895">
        <w:rPr>
          <w:rFonts w:ascii="Book Antiqua" w:hAnsi="Book Antiqua" w:cs="Segoe UI"/>
          <w:i/>
          <w:color w:val="212121"/>
          <w:sz w:val="24"/>
          <w:shd w:val="clear" w:color="auto" w:fill="FFFFFF"/>
        </w:rPr>
        <w:t>Asia Pac J Clin Nutr. 2018;27(6):1344-1356. doi: 10.6133/apjcn.201811_27(6).0022. PMID: 30485934.</w:t>
      </w:r>
    </w:p>
    <w:p w:rsidR="00FE4187" w:rsidRPr="00CE1895" w:rsidRDefault="00FE4187" w:rsidP="00FE4187">
      <w:pPr>
        <w:pStyle w:val="ListParagraph"/>
        <w:numPr>
          <w:ilvl w:val="0"/>
          <w:numId w:val="6"/>
        </w:numPr>
        <w:spacing w:after="200" w:line="276" w:lineRule="auto"/>
        <w:jc w:val="both"/>
        <w:rPr>
          <w:rFonts w:ascii="Book Antiqua" w:hAnsi="Book Antiqua"/>
          <w:i/>
          <w:sz w:val="24"/>
        </w:rPr>
      </w:pPr>
      <w:r w:rsidRPr="00CE1895">
        <w:rPr>
          <w:rFonts w:ascii="Book Antiqua" w:hAnsi="Book Antiqua"/>
          <w:i/>
          <w:color w:val="1B1B1B"/>
          <w:sz w:val="24"/>
          <w:shd w:val="clear" w:color="auto" w:fill="FFFFFF"/>
          <w:lang w:val="en-US"/>
        </w:rPr>
        <w:lastRenderedPageBreak/>
        <w:t xml:space="preserve">Lu Z, Li S, Ning S, Yao M, Zhou X, Wu Y, Zhong C, Yan K, Wei Z, </w:t>
      </w:r>
      <w:proofErr w:type="spellStart"/>
      <w:r w:rsidRPr="00CE1895">
        <w:rPr>
          <w:rFonts w:ascii="Book Antiqua" w:hAnsi="Book Antiqua"/>
          <w:i/>
          <w:color w:val="1B1B1B"/>
          <w:sz w:val="24"/>
          <w:shd w:val="clear" w:color="auto" w:fill="FFFFFF"/>
          <w:lang w:val="en-US"/>
        </w:rPr>
        <w:t>Xie</w:t>
      </w:r>
      <w:proofErr w:type="spellEnd"/>
      <w:r w:rsidRPr="00CE1895">
        <w:rPr>
          <w:rFonts w:ascii="Book Antiqua" w:hAnsi="Book Antiqua"/>
          <w:i/>
          <w:color w:val="1B1B1B"/>
          <w:sz w:val="24"/>
          <w:shd w:val="clear" w:color="auto" w:fill="FFFFFF"/>
          <w:lang w:val="en-US"/>
        </w:rPr>
        <w:t xml:space="preserve"> Y. Association of the rs1760944 polymorphism in the APEX1 base excision repair gene with risk of nasopharyngeal carcinoma in a population from an endemic area in South China. J Clin Lab Anal. 2018 Feb;32(2</w:t>
      </w:r>
      <w:proofErr w:type="gramStart"/>
      <w:r w:rsidRPr="00CE1895">
        <w:rPr>
          <w:rFonts w:ascii="Book Antiqua" w:hAnsi="Book Antiqua"/>
          <w:i/>
          <w:color w:val="1B1B1B"/>
          <w:sz w:val="24"/>
          <w:shd w:val="clear" w:color="auto" w:fill="FFFFFF"/>
          <w:lang w:val="en-US"/>
        </w:rPr>
        <w:t>):e</w:t>
      </w:r>
      <w:proofErr w:type="gramEnd"/>
      <w:r w:rsidRPr="00CE1895">
        <w:rPr>
          <w:rFonts w:ascii="Book Antiqua" w:hAnsi="Book Antiqua"/>
          <w:i/>
          <w:color w:val="1B1B1B"/>
          <w:sz w:val="24"/>
          <w:shd w:val="clear" w:color="auto" w:fill="FFFFFF"/>
          <w:lang w:val="en-US"/>
        </w:rPr>
        <w:t xml:space="preserve">22238. </w:t>
      </w:r>
      <w:proofErr w:type="spellStart"/>
      <w:r w:rsidRPr="00CE1895">
        <w:rPr>
          <w:rFonts w:ascii="Book Antiqua" w:hAnsi="Book Antiqua"/>
          <w:i/>
          <w:color w:val="1B1B1B"/>
          <w:sz w:val="24"/>
          <w:shd w:val="clear" w:color="auto" w:fill="FFFFFF"/>
          <w:lang w:val="en-US"/>
        </w:rPr>
        <w:t>doi</w:t>
      </w:r>
      <w:proofErr w:type="spellEnd"/>
      <w:r w:rsidRPr="00CE1895">
        <w:rPr>
          <w:rFonts w:ascii="Book Antiqua" w:hAnsi="Book Antiqua"/>
          <w:i/>
          <w:color w:val="1B1B1B"/>
          <w:sz w:val="24"/>
          <w:shd w:val="clear" w:color="auto" w:fill="FFFFFF"/>
          <w:lang w:val="en-US"/>
        </w:rPr>
        <w:t xml:space="preserve">: 10.1002/jcla.22238. </w:t>
      </w:r>
      <w:proofErr w:type="spellStart"/>
      <w:r w:rsidRPr="00CE1895">
        <w:rPr>
          <w:rFonts w:ascii="Book Antiqua" w:hAnsi="Book Antiqua"/>
          <w:i/>
          <w:color w:val="1B1B1B"/>
          <w:sz w:val="24"/>
          <w:shd w:val="clear" w:color="auto" w:fill="FFFFFF"/>
          <w:lang w:val="en-US"/>
        </w:rPr>
        <w:t>Epub</w:t>
      </w:r>
      <w:proofErr w:type="spellEnd"/>
      <w:r w:rsidRPr="00CE1895">
        <w:rPr>
          <w:rFonts w:ascii="Book Antiqua" w:hAnsi="Book Antiqua"/>
          <w:i/>
          <w:color w:val="1B1B1B"/>
          <w:sz w:val="24"/>
          <w:shd w:val="clear" w:color="auto" w:fill="FFFFFF"/>
          <w:lang w:val="en-US"/>
        </w:rPr>
        <w:t xml:space="preserve"> 2017 May 2. </w:t>
      </w:r>
      <w:r w:rsidRPr="00CE1895">
        <w:rPr>
          <w:rFonts w:ascii="Book Antiqua" w:hAnsi="Book Antiqua"/>
          <w:i/>
          <w:color w:val="1B1B1B"/>
          <w:sz w:val="24"/>
          <w:shd w:val="clear" w:color="auto" w:fill="FFFFFF"/>
        </w:rPr>
        <w:t>PMID: 28464393; PMCID: PMC6817270.</w:t>
      </w:r>
    </w:p>
    <w:p w:rsidR="00FE4187" w:rsidRPr="00CE1895" w:rsidRDefault="00FE4187" w:rsidP="00FE4187">
      <w:pPr>
        <w:pStyle w:val="ListParagraph"/>
        <w:numPr>
          <w:ilvl w:val="0"/>
          <w:numId w:val="6"/>
        </w:numPr>
        <w:spacing w:after="200" w:line="276" w:lineRule="auto"/>
        <w:jc w:val="both"/>
        <w:rPr>
          <w:rFonts w:ascii="Book Antiqua" w:hAnsi="Book Antiqua" w:cs="Segoe UI"/>
          <w:i/>
          <w:color w:val="212121"/>
          <w:sz w:val="24"/>
          <w:shd w:val="clear" w:color="auto" w:fill="FFFFFF"/>
        </w:rPr>
      </w:pPr>
      <w:proofErr w:type="spellStart"/>
      <w:r w:rsidRPr="00CE1895">
        <w:rPr>
          <w:rFonts w:ascii="Book Antiqua" w:hAnsi="Book Antiqua" w:cs="Segoe UI"/>
          <w:i/>
          <w:color w:val="212121"/>
          <w:sz w:val="24"/>
          <w:shd w:val="clear" w:color="auto" w:fill="FFFFFF"/>
          <w:lang w:val="en-US"/>
        </w:rPr>
        <w:t>Richette</w:t>
      </w:r>
      <w:proofErr w:type="spellEnd"/>
      <w:r w:rsidRPr="00CE1895">
        <w:rPr>
          <w:rFonts w:ascii="Book Antiqua" w:hAnsi="Book Antiqua" w:cs="Segoe UI"/>
          <w:i/>
          <w:color w:val="212121"/>
          <w:sz w:val="24"/>
          <w:shd w:val="clear" w:color="auto" w:fill="FFFFFF"/>
          <w:lang w:val="en-US"/>
        </w:rPr>
        <w:t xml:space="preserve"> P, Ottaviani S, Bardin T. Nouveaux </w:t>
      </w:r>
      <w:proofErr w:type="spellStart"/>
      <w:r w:rsidRPr="00CE1895">
        <w:rPr>
          <w:rFonts w:ascii="Book Antiqua" w:hAnsi="Book Antiqua" w:cs="Segoe UI"/>
          <w:i/>
          <w:color w:val="212121"/>
          <w:sz w:val="24"/>
          <w:shd w:val="clear" w:color="auto" w:fill="FFFFFF"/>
          <w:lang w:val="en-US"/>
        </w:rPr>
        <w:t>traitements</w:t>
      </w:r>
      <w:proofErr w:type="spellEnd"/>
      <w:r w:rsidRPr="00CE1895">
        <w:rPr>
          <w:rFonts w:ascii="Book Antiqua" w:hAnsi="Book Antiqua" w:cs="Segoe UI"/>
          <w:i/>
          <w:color w:val="212121"/>
          <w:sz w:val="24"/>
          <w:shd w:val="clear" w:color="auto" w:fill="FFFFFF"/>
          <w:lang w:val="en-US"/>
        </w:rPr>
        <w:t xml:space="preserve"> de la goutte [New therapeutic options for gout]. Presse Med. 2011 Sep;40(9 Pt 1):844-9. French. </w:t>
      </w:r>
      <w:proofErr w:type="spellStart"/>
      <w:r w:rsidRPr="00CE1895">
        <w:rPr>
          <w:rFonts w:ascii="Book Antiqua" w:hAnsi="Book Antiqua" w:cs="Segoe UI"/>
          <w:i/>
          <w:color w:val="212121"/>
          <w:sz w:val="24"/>
          <w:shd w:val="clear" w:color="auto" w:fill="FFFFFF"/>
          <w:lang w:val="en-US"/>
        </w:rPr>
        <w:t>doi</w:t>
      </w:r>
      <w:proofErr w:type="spellEnd"/>
      <w:r w:rsidRPr="00CE1895">
        <w:rPr>
          <w:rFonts w:ascii="Book Antiqua" w:hAnsi="Book Antiqua" w:cs="Segoe UI"/>
          <w:i/>
          <w:color w:val="212121"/>
          <w:sz w:val="24"/>
          <w:shd w:val="clear" w:color="auto" w:fill="FFFFFF"/>
          <w:lang w:val="en-US"/>
        </w:rPr>
        <w:t xml:space="preserve">: 10.1016/j.lpm.2011.02.043. </w:t>
      </w:r>
      <w:proofErr w:type="spellStart"/>
      <w:r w:rsidRPr="00CE1895">
        <w:rPr>
          <w:rFonts w:ascii="Book Antiqua" w:hAnsi="Book Antiqua" w:cs="Segoe UI"/>
          <w:i/>
          <w:color w:val="212121"/>
          <w:sz w:val="24"/>
          <w:shd w:val="clear" w:color="auto" w:fill="FFFFFF"/>
          <w:lang w:val="en-US"/>
        </w:rPr>
        <w:t>Epub</w:t>
      </w:r>
      <w:proofErr w:type="spellEnd"/>
      <w:r w:rsidRPr="00CE1895">
        <w:rPr>
          <w:rFonts w:ascii="Book Antiqua" w:hAnsi="Book Antiqua" w:cs="Segoe UI"/>
          <w:i/>
          <w:color w:val="212121"/>
          <w:sz w:val="24"/>
          <w:shd w:val="clear" w:color="auto" w:fill="FFFFFF"/>
          <w:lang w:val="en-US"/>
        </w:rPr>
        <w:t xml:space="preserve"> 2011 Jun 17. PMID: 21684104. </w:t>
      </w:r>
      <w:proofErr w:type="spellStart"/>
      <w:r w:rsidRPr="00CE1895">
        <w:rPr>
          <w:rFonts w:ascii="Book Antiqua" w:hAnsi="Book Antiqua" w:cs="Segoe UI"/>
          <w:i/>
          <w:color w:val="212121"/>
          <w:sz w:val="24"/>
          <w:shd w:val="clear" w:color="auto" w:fill="FFFFFF"/>
          <w:lang w:val="en-US"/>
        </w:rPr>
        <w:t>Richette</w:t>
      </w:r>
      <w:proofErr w:type="spellEnd"/>
      <w:r w:rsidRPr="00CE1895">
        <w:rPr>
          <w:rFonts w:ascii="Book Antiqua" w:hAnsi="Book Antiqua" w:cs="Segoe UI"/>
          <w:i/>
          <w:color w:val="212121"/>
          <w:sz w:val="24"/>
          <w:shd w:val="clear" w:color="auto" w:fill="FFFFFF"/>
          <w:lang w:val="en-US"/>
        </w:rPr>
        <w:t xml:space="preserve"> P, Ottaviani S, Bardin T. Nouveaux </w:t>
      </w:r>
      <w:proofErr w:type="spellStart"/>
      <w:r w:rsidRPr="00CE1895">
        <w:rPr>
          <w:rFonts w:ascii="Book Antiqua" w:hAnsi="Book Antiqua" w:cs="Segoe UI"/>
          <w:i/>
          <w:color w:val="212121"/>
          <w:sz w:val="24"/>
          <w:shd w:val="clear" w:color="auto" w:fill="FFFFFF"/>
          <w:lang w:val="en-US"/>
        </w:rPr>
        <w:t>traitements</w:t>
      </w:r>
      <w:proofErr w:type="spellEnd"/>
      <w:r w:rsidRPr="00CE1895">
        <w:rPr>
          <w:rFonts w:ascii="Book Antiqua" w:hAnsi="Book Antiqua" w:cs="Segoe UI"/>
          <w:i/>
          <w:color w:val="212121"/>
          <w:sz w:val="24"/>
          <w:shd w:val="clear" w:color="auto" w:fill="FFFFFF"/>
          <w:lang w:val="en-US"/>
        </w:rPr>
        <w:t xml:space="preserve"> de la goutte [New therapeutic options for gout]. Presse Med. 2011 Sep;40(9 Pt 1):844-9. French. </w:t>
      </w:r>
      <w:proofErr w:type="spellStart"/>
      <w:r w:rsidRPr="00CE1895">
        <w:rPr>
          <w:rFonts w:ascii="Book Antiqua" w:hAnsi="Book Antiqua" w:cs="Segoe UI"/>
          <w:i/>
          <w:color w:val="212121"/>
          <w:sz w:val="24"/>
          <w:shd w:val="clear" w:color="auto" w:fill="FFFFFF"/>
          <w:lang w:val="en-US"/>
        </w:rPr>
        <w:t>doi</w:t>
      </w:r>
      <w:proofErr w:type="spellEnd"/>
      <w:r w:rsidRPr="00CE1895">
        <w:rPr>
          <w:rFonts w:ascii="Book Antiqua" w:hAnsi="Book Antiqua" w:cs="Segoe UI"/>
          <w:i/>
          <w:color w:val="212121"/>
          <w:sz w:val="24"/>
          <w:shd w:val="clear" w:color="auto" w:fill="FFFFFF"/>
          <w:lang w:val="en-US"/>
        </w:rPr>
        <w:t xml:space="preserve">: 10.1016/j.lpm.2011.02.043. </w:t>
      </w:r>
      <w:proofErr w:type="spellStart"/>
      <w:r w:rsidRPr="00CE1895">
        <w:rPr>
          <w:rFonts w:ascii="Book Antiqua" w:hAnsi="Book Antiqua" w:cs="Segoe UI"/>
          <w:i/>
          <w:color w:val="212121"/>
          <w:sz w:val="24"/>
          <w:shd w:val="clear" w:color="auto" w:fill="FFFFFF"/>
          <w:lang w:val="en-US"/>
        </w:rPr>
        <w:t>Epub</w:t>
      </w:r>
      <w:proofErr w:type="spellEnd"/>
      <w:r w:rsidRPr="00CE1895">
        <w:rPr>
          <w:rFonts w:ascii="Book Antiqua" w:hAnsi="Book Antiqua" w:cs="Segoe UI"/>
          <w:i/>
          <w:color w:val="212121"/>
          <w:sz w:val="24"/>
          <w:shd w:val="clear" w:color="auto" w:fill="FFFFFF"/>
          <w:lang w:val="en-US"/>
        </w:rPr>
        <w:t xml:space="preserve"> 2011 Jun 17. </w:t>
      </w:r>
      <w:r w:rsidRPr="00CE1895">
        <w:rPr>
          <w:rFonts w:ascii="Book Antiqua" w:hAnsi="Book Antiqua" w:cs="Segoe UI"/>
          <w:i/>
          <w:color w:val="212121"/>
          <w:sz w:val="24"/>
          <w:shd w:val="clear" w:color="auto" w:fill="FFFFFF"/>
        </w:rPr>
        <w:t>PMID: 21684104.</w:t>
      </w:r>
    </w:p>
    <w:p w:rsidR="00FE4187" w:rsidRPr="00CE1895" w:rsidRDefault="00FE4187" w:rsidP="00FE4187">
      <w:pPr>
        <w:pStyle w:val="ListParagraph"/>
        <w:numPr>
          <w:ilvl w:val="0"/>
          <w:numId w:val="6"/>
        </w:numPr>
        <w:spacing w:after="200" w:line="276" w:lineRule="auto"/>
        <w:jc w:val="both"/>
        <w:rPr>
          <w:rFonts w:ascii="Book Antiqua" w:hAnsi="Book Antiqua" w:cs="Segoe UI"/>
          <w:i/>
          <w:color w:val="212121"/>
          <w:sz w:val="24"/>
          <w:shd w:val="clear" w:color="auto" w:fill="FFFFFF"/>
        </w:rPr>
      </w:pPr>
      <w:proofErr w:type="spellStart"/>
      <w:r w:rsidRPr="00CE1895">
        <w:rPr>
          <w:rFonts w:ascii="Book Antiqua" w:hAnsi="Book Antiqua" w:cs="Segoe UI"/>
          <w:i/>
          <w:color w:val="212121"/>
          <w:sz w:val="24"/>
          <w:shd w:val="clear" w:color="auto" w:fill="FFFFFF"/>
          <w:lang w:val="en-US"/>
        </w:rPr>
        <w:t>Saigal</w:t>
      </w:r>
      <w:proofErr w:type="spellEnd"/>
      <w:r w:rsidRPr="00CE1895">
        <w:rPr>
          <w:rFonts w:ascii="Book Antiqua" w:hAnsi="Book Antiqua" w:cs="Segoe UI"/>
          <w:i/>
          <w:color w:val="212121"/>
          <w:sz w:val="24"/>
          <w:shd w:val="clear" w:color="auto" w:fill="FFFFFF"/>
          <w:lang w:val="en-US"/>
        </w:rPr>
        <w:t xml:space="preserve"> R, Agrawal A. Pathogenesis and Clinical Management of Gouty Arthritis. </w:t>
      </w:r>
      <w:r w:rsidRPr="00CE1895">
        <w:rPr>
          <w:rFonts w:ascii="Book Antiqua" w:hAnsi="Book Antiqua" w:cs="Segoe UI"/>
          <w:i/>
          <w:color w:val="212121"/>
          <w:sz w:val="24"/>
          <w:shd w:val="clear" w:color="auto" w:fill="FFFFFF"/>
        </w:rPr>
        <w:t>J Assoc Physicians India. 2015 Dec;63(12):56-63. PMID: 27666904.</w:t>
      </w:r>
    </w:p>
    <w:p w:rsidR="00FE4187" w:rsidRPr="00CE1895" w:rsidRDefault="00FE4187" w:rsidP="00FE4187">
      <w:pPr>
        <w:pStyle w:val="ListParagraph"/>
        <w:numPr>
          <w:ilvl w:val="0"/>
          <w:numId w:val="6"/>
        </w:numPr>
        <w:spacing w:after="200" w:line="276" w:lineRule="auto"/>
        <w:jc w:val="both"/>
        <w:rPr>
          <w:rFonts w:ascii="Book Antiqua" w:hAnsi="Book Antiqua"/>
          <w:i/>
          <w:sz w:val="24"/>
          <w:lang w:val="en-US"/>
        </w:rPr>
      </w:pPr>
      <w:r w:rsidRPr="00CE1895">
        <w:rPr>
          <w:rFonts w:ascii="Book Antiqua" w:hAnsi="Book Antiqua" w:cs="Segoe UI"/>
          <w:i/>
          <w:color w:val="212121"/>
          <w:sz w:val="24"/>
          <w:shd w:val="clear" w:color="auto" w:fill="FFFFFF"/>
          <w:lang w:val="en-US"/>
        </w:rPr>
        <w:t xml:space="preserve">Song D, Zhao X, Wang F, Wang G. A brief review of urate transporter 1 (URAT1) inhibitors for the treatment of hyperuricemia and gout: Current therapeutic options and potential applications. Eur J </w:t>
      </w:r>
      <w:proofErr w:type="spellStart"/>
      <w:r w:rsidRPr="00CE1895">
        <w:rPr>
          <w:rFonts w:ascii="Book Antiqua" w:hAnsi="Book Antiqua" w:cs="Segoe UI"/>
          <w:i/>
          <w:color w:val="212121"/>
          <w:sz w:val="24"/>
          <w:shd w:val="clear" w:color="auto" w:fill="FFFFFF"/>
          <w:lang w:val="en-US"/>
        </w:rPr>
        <w:t>Pharmacol</w:t>
      </w:r>
      <w:proofErr w:type="spellEnd"/>
      <w:r w:rsidRPr="00CE1895">
        <w:rPr>
          <w:rFonts w:ascii="Book Antiqua" w:hAnsi="Book Antiqua" w:cs="Segoe UI"/>
          <w:i/>
          <w:color w:val="212121"/>
          <w:sz w:val="24"/>
          <w:shd w:val="clear" w:color="auto" w:fill="FFFFFF"/>
          <w:lang w:val="en-US"/>
        </w:rPr>
        <w:t xml:space="preserve">. 2021 Sep </w:t>
      </w:r>
      <w:proofErr w:type="gramStart"/>
      <w:r w:rsidRPr="00CE1895">
        <w:rPr>
          <w:rFonts w:ascii="Book Antiqua" w:hAnsi="Book Antiqua" w:cs="Segoe UI"/>
          <w:i/>
          <w:color w:val="212121"/>
          <w:sz w:val="24"/>
          <w:shd w:val="clear" w:color="auto" w:fill="FFFFFF"/>
          <w:lang w:val="en-US"/>
        </w:rPr>
        <w:t>15;907:174291</w:t>
      </w:r>
      <w:proofErr w:type="gramEnd"/>
      <w:r w:rsidRPr="00CE1895">
        <w:rPr>
          <w:rFonts w:ascii="Book Antiqua" w:hAnsi="Book Antiqua" w:cs="Segoe UI"/>
          <w:i/>
          <w:color w:val="212121"/>
          <w:sz w:val="24"/>
          <w:shd w:val="clear" w:color="auto" w:fill="FFFFFF"/>
          <w:lang w:val="en-US"/>
        </w:rPr>
        <w:t xml:space="preserve">. </w:t>
      </w:r>
      <w:proofErr w:type="spellStart"/>
      <w:r w:rsidRPr="00CE1895">
        <w:rPr>
          <w:rFonts w:ascii="Book Antiqua" w:hAnsi="Book Antiqua" w:cs="Segoe UI"/>
          <w:i/>
          <w:color w:val="212121"/>
          <w:sz w:val="24"/>
          <w:shd w:val="clear" w:color="auto" w:fill="FFFFFF"/>
          <w:lang w:val="en-US"/>
        </w:rPr>
        <w:t>doi</w:t>
      </w:r>
      <w:proofErr w:type="spellEnd"/>
      <w:r w:rsidRPr="00CE1895">
        <w:rPr>
          <w:rFonts w:ascii="Book Antiqua" w:hAnsi="Book Antiqua" w:cs="Segoe UI"/>
          <w:i/>
          <w:color w:val="212121"/>
          <w:sz w:val="24"/>
          <w:shd w:val="clear" w:color="auto" w:fill="FFFFFF"/>
          <w:lang w:val="en-US"/>
        </w:rPr>
        <w:t xml:space="preserve">: 10.1016/j.ejphar.2021.174291. </w:t>
      </w:r>
      <w:proofErr w:type="spellStart"/>
      <w:r w:rsidRPr="00CE1895">
        <w:rPr>
          <w:rFonts w:ascii="Book Antiqua" w:hAnsi="Book Antiqua" w:cs="Segoe UI"/>
          <w:i/>
          <w:color w:val="212121"/>
          <w:sz w:val="24"/>
          <w:shd w:val="clear" w:color="auto" w:fill="FFFFFF"/>
          <w:lang w:val="en-US"/>
        </w:rPr>
        <w:t>Epub</w:t>
      </w:r>
      <w:proofErr w:type="spellEnd"/>
      <w:r w:rsidRPr="00CE1895">
        <w:rPr>
          <w:rFonts w:ascii="Book Antiqua" w:hAnsi="Book Antiqua" w:cs="Segoe UI"/>
          <w:i/>
          <w:color w:val="212121"/>
          <w:sz w:val="24"/>
          <w:shd w:val="clear" w:color="auto" w:fill="FFFFFF"/>
          <w:lang w:val="en-US"/>
        </w:rPr>
        <w:t xml:space="preserve"> 2021 Jul 1. PMID: 34216576.</w:t>
      </w:r>
    </w:p>
    <w:p w:rsidR="00FE4187" w:rsidRPr="00CE1895" w:rsidRDefault="00FE4187" w:rsidP="00FE4187">
      <w:pPr>
        <w:pStyle w:val="ListParagraph"/>
        <w:numPr>
          <w:ilvl w:val="0"/>
          <w:numId w:val="6"/>
        </w:numPr>
        <w:spacing w:after="200" w:line="276" w:lineRule="auto"/>
        <w:jc w:val="both"/>
        <w:rPr>
          <w:rFonts w:ascii="Book Antiqua" w:hAnsi="Book Antiqua"/>
          <w:i/>
          <w:color w:val="1B1B1B"/>
          <w:sz w:val="24"/>
          <w:shd w:val="clear" w:color="auto" w:fill="FFFFFF"/>
          <w:lang w:val="en-US"/>
        </w:rPr>
      </w:pPr>
      <w:r w:rsidRPr="00CE1895">
        <w:rPr>
          <w:rFonts w:ascii="Book Antiqua" w:hAnsi="Book Antiqua"/>
          <w:i/>
          <w:color w:val="1B1B1B"/>
          <w:sz w:val="24"/>
          <w:shd w:val="clear" w:color="auto" w:fill="FFFFFF"/>
          <w:lang w:val="en-US"/>
        </w:rPr>
        <w:t xml:space="preserve">Suo Y, </w:t>
      </w:r>
      <w:proofErr w:type="spellStart"/>
      <w:r w:rsidRPr="00CE1895">
        <w:rPr>
          <w:rFonts w:ascii="Book Antiqua" w:hAnsi="Book Antiqua"/>
          <w:i/>
          <w:color w:val="1B1B1B"/>
          <w:sz w:val="24"/>
          <w:shd w:val="clear" w:color="auto" w:fill="FFFFFF"/>
          <w:lang w:val="en-US"/>
        </w:rPr>
        <w:t>Fedor</w:t>
      </w:r>
      <w:proofErr w:type="spellEnd"/>
      <w:r w:rsidRPr="00CE1895">
        <w:rPr>
          <w:rFonts w:ascii="Book Antiqua" w:hAnsi="Book Antiqua"/>
          <w:i/>
          <w:color w:val="1B1B1B"/>
          <w:sz w:val="24"/>
          <w:shd w:val="clear" w:color="auto" w:fill="FFFFFF"/>
          <w:lang w:val="en-US"/>
        </w:rPr>
        <w:t xml:space="preserve"> JG, Zhang H, </w:t>
      </w:r>
      <w:proofErr w:type="spellStart"/>
      <w:r w:rsidRPr="00CE1895">
        <w:rPr>
          <w:rFonts w:ascii="Book Antiqua" w:hAnsi="Book Antiqua"/>
          <w:i/>
          <w:color w:val="1B1B1B"/>
          <w:sz w:val="24"/>
          <w:shd w:val="clear" w:color="auto" w:fill="FFFFFF"/>
          <w:lang w:val="en-US"/>
        </w:rPr>
        <w:t>Tsolova</w:t>
      </w:r>
      <w:proofErr w:type="spellEnd"/>
      <w:r w:rsidRPr="00CE1895">
        <w:rPr>
          <w:rFonts w:ascii="Book Antiqua" w:hAnsi="Book Antiqua"/>
          <w:i/>
          <w:color w:val="1B1B1B"/>
          <w:sz w:val="24"/>
          <w:shd w:val="clear" w:color="auto" w:fill="FFFFFF"/>
          <w:lang w:val="en-US"/>
        </w:rPr>
        <w:t xml:space="preserve"> K, Shi X, Sharma K, Kumari S, </w:t>
      </w:r>
      <w:proofErr w:type="spellStart"/>
      <w:r w:rsidRPr="00CE1895">
        <w:rPr>
          <w:rFonts w:ascii="Book Antiqua" w:hAnsi="Book Antiqua"/>
          <w:i/>
          <w:color w:val="1B1B1B"/>
          <w:sz w:val="24"/>
          <w:shd w:val="clear" w:color="auto" w:fill="FFFFFF"/>
          <w:lang w:val="en-US"/>
        </w:rPr>
        <w:t>Borgnia</w:t>
      </w:r>
      <w:proofErr w:type="spellEnd"/>
      <w:r w:rsidRPr="00CE1895">
        <w:rPr>
          <w:rFonts w:ascii="Book Antiqua" w:hAnsi="Book Antiqua"/>
          <w:i/>
          <w:color w:val="1B1B1B"/>
          <w:sz w:val="24"/>
          <w:shd w:val="clear" w:color="auto" w:fill="FFFFFF"/>
          <w:lang w:val="en-US"/>
        </w:rPr>
        <w:t xml:space="preserve"> M, Zhan P, </w:t>
      </w:r>
      <w:proofErr w:type="spellStart"/>
      <w:r w:rsidRPr="00CE1895">
        <w:rPr>
          <w:rFonts w:ascii="Book Antiqua" w:hAnsi="Book Antiqua"/>
          <w:i/>
          <w:color w:val="1B1B1B"/>
          <w:sz w:val="24"/>
          <w:shd w:val="clear" w:color="auto" w:fill="FFFFFF"/>
          <w:lang w:val="en-US"/>
        </w:rPr>
        <w:t>Im</w:t>
      </w:r>
      <w:proofErr w:type="spellEnd"/>
      <w:r w:rsidRPr="00CE1895">
        <w:rPr>
          <w:rFonts w:ascii="Book Antiqua" w:hAnsi="Book Antiqua"/>
          <w:i/>
          <w:color w:val="1B1B1B"/>
          <w:sz w:val="24"/>
          <w:shd w:val="clear" w:color="auto" w:fill="FFFFFF"/>
          <w:lang w:val="en-US"/>
        </w:rPr>
        <w:t xml:space="preserve"> W, Lee SY. Molecular basis of the urate transporter URAT1 inhibition by gout drugs. </w:t>
      </w:r>
      <w:proofErr w:type="spellStart"/>
      <w:r w:rsidRPr="00CE1895">
        <w:rPr>
          <w:rFonts w:ascii="Book Antiqua" w:hAnsi="Book Antiqua"/>
          <w:i/>
          <w:color w:val="1B1B1B"/>
          <w:sz w:val="24"/>
          <w:shd w:val="clear" w:color="auto" w:fill="FFFFFF"/>
          <w:lang w:val="en-US"/>
        </w:rPr>
        <w:t>bioRxiv</w:t>
      </w:r>
      <w:proofErr w:type="spellEnd"/>
      <w:r w:rsidRPr="00CE1895">
        <w:rPr>
          <w:rFonts w:ascii="Book Antiqua" w:hAnsi="Book Antiqua"/>
          <w:i/>
          <w:color w:val="1B1B1B"/>
          <w:sz w:val="24"/>
          <w:shd w:val="clear" w:color="auto" w:fill="FFFFFF"/>
          <w:lang w:val="en-US"/>
        </w:rPr>
        <w:t xml:space="preserve">. 2024 Sep 12:2024.09.11.612563. </w:t>
      </w:r>
      <w:proofErr w:type="spellStart"/>
      <w:r w:rsidRPr="00CE1895">
        <w:rPr>
          <w:rFonts w:ascii="Book Antiqua" w:hAnsi="Book Antiqua"/>
          <w:i/>
          <w:color w:val="1B1B1B"/>
          <w:sz w:val="24"/>
          <w:shd w:val="clear" w:color="auto" w:fill="FFFFFF"/>
          <w:lang w:val="en-US"/>
        </w:rPr>
        <w:t>doi</w:t>
      </w:r>
      <w:proofErr w:type="spellEnd"/>
      <w:r w:rsidRPr="00CE1895">
        <w:rPr>
          <w:rFonts w:ascii="Book Antiqua" w:hAnsi="Book Antiqua"/>
          <w:i/>
          <w:color w:val="1B1B1B"/>
          <w:sz w:val="24"/>
          <w:shd w:val="clear" w:color="auto" w:fill="FFFFFF"/>
          <w:lang w:val="en-US"/>
        </w:rPr>
        <w:t xml:space="preserve">: 10.1101/2024.09.11.612563. Update in: Nat </w:t>
      </w:r>
      <w:proofErr w:type="spellStart"/>
      <w:r w:rsidRPr="00CE1895">
        <w:rPr>
          <w:rFonts w:ascii="Book Antiqua" w:hAnsi="Book Antiqua"/>
          <w:i/>
          <w:color w:val="1B1B1B"/>
          <w:sz w:val="24"/>
          <w:shd w:val="clear" w:color="auto" w:fill="FFFFFF"/>
          <w:lang w:val="en-US"/>
        </w:rPr>
        <w:t>Commun</w:t>
      </w:r>
      <w:proofErr w:type="spellEnd"/>
      <w:r w:rsidRPr="00CE1895">
        <w:rPr>
          <w:rFonts w:ascii="Book Antiqua" w:hAnsi="Book Antiqua"/>
          <w:i/>
          <w:color w:val="1B1B1B"/>
          <w:sz w:val="24"/>
          <w:shd w:val="clear" w:color="auto" w:fill="FFFFFF"/>
          <w:lang w:val="en-US"/>
        </w:rPr>
        <w:t xml:space="preserve">. 2025 Jun 4;16(1):5178. </w:t>
      </w:r>
      <w:proofErr w:type="spellStart"/>
      <w:r w:rsidRPr="00CE1895">
        <w:rPr>
          <w:rFonts w:ascii="Book Antiqua" w:hAnsi="Book Antiqua"/>
          <w:i/>
          <w:color w:val="1B1B1B"/>
          <w:sz w:val="24"/>
          <w:shd w:val="clear" w:color="auto" w:fill="FFFFFF"/>
          <w:lang w:val="en-US"/>
        </w:rPr>
        <w:t>doi</w:t>
      </w:r>
      <w:proofErr w:type="spellEnd"/>
      <w:r w:rsidRPr="00CE1895">
        <w:rPr>
          <w:rFonts w:ascii="Book Antiqua" w:hAnsi="Book Antiqua"/>
          <w:i/>
          <w:color w:val="1B1B1B"/>
          <w:sz w:val="24"/>
          <w:shd w:val="clear" w:color="auto" w:fill="FFFFFF"/>
          <w:lang w:val="en-US"/>
        </w:rPr>
        <w:t>: 10.1038/s41467-025-60480-3. PMID: 39314352; PMCID: PMC11419087.</w:t>
      </w:r>
    </w:p>
    <w:p w:rsidR="00FE4187" w:rsidRPr="00CE1895" w:rsidRDefault="00FE4187" w:rsidP="00FE4187">
      <w:pPr>
        <w:pStyle w:val="ListParagraph"/>
        <w:numPr>
          <w:ilvl w:val="0"/>
          <w:numId w:val="6"/>
        </w:numPr>
        <w:spacing w:after="200" w:line="276" w:lineRule="auto"/>
        <w:jc w:val="both"/>
        <w:rPr>
          <w:rFonts w:ascii="Book Antiqua" w:hAnsi="Book Antiqua"/>
          <w:i/>
          <w:sz w:val="24"/>
          <w:lang w:val="en-US"/>
        </w:rPr>
      </w:pPr>
      <w:r w:rsidRPr="00CE1895">
        <w:rPr>
          <w:rFonts w:ascii="Book Antiqua" w:hAnsi="Book Antiqua"/>
          <w:i/>
          <w:color w:val="1B1B1B"/>
          <w:sz w:val="24"/>
          <w:shd w:val="clear" w:color="auto" w:fill="FFFFFF"/>
          <w:lang w:val="en-US"/>
        </w:rPr>
        <w:t xml:space="preserve">Suo Y, </w:t>
      </w:r>
      <w:proofErr w:type="spellStart"/>
      <w:r w:rsidRPr="00CE1895">
        <w:rPr>
          <w:rFonts w:ascii="Book Antiqua" w:hAnsi="Book Antiqua"/>
          <w:i/>
          <w:color w:val="1B1B1B"/>
          <w:sz w:val="24"/>
          <w:shd w:val="clear" w:color="auto" w:fill="FFFFFF"/>
          <w:lang w:val="en-US"/>
        </w:rPr>
        <w:t>Fedor</w:t>
      </w:r>
      <w:proofErr w:type="spellEnd"/>
      <w:r w:rsidRPr="00CE1895">
        <w:rPr>
          <w:rFonts w:ascii="Book Antiqua" w:hAnsi="Book Antiqua"/>
          <w:i/>
          <w:color w:val="1B1B1B"/>
          <w:sz w:val="24"/>
          <w:shd w:val="clear" w:color="auto" w:fill="FFFFFF"/>
          <w:lang w:val="en-US"/>
        </w:rPr>
        <w:t xml:space="preserve"> JG, Zhang H, </w:t>
      </w:r>
      <w:proofErr w:type="spellStart"/>
      <w:r w:rsidRPr="00CE1895">
        <w:rPr>
          <w:rFonts w:ascii="Book Antiqua" w:hAnsi="Book Antiqua"/>
          <w:i/>
          <w:color w:val="1B1B1B"/>
          <w:sz w:val="24"/>
          <w:shd w:val="clear" w:color="auto" w:fill="FFFFFF"/>
          <w:lang w:val="en-US"/>
        </w:rPr>
        <w:t>Tsolova</w:t>
      </w:r>
      <w:proofErr w:type="spellEnd"/>
      <w:r w:rsidRPr="00CE1895">
        <w:rPr>
          <w:rFonts w:ascii="Book Antiqua" w:hAnsi="Book Antiqua"/>
          <w:i/>
          <w:color w:val="1B1B1B"/>
          <w:sz w:val="24"/>
          <w:shd w:val="clear" w:color="auto" w:fill="FFFFFF"/>
          <w:lang w:val="en-US"/>
        </w:rPr>
        <w:t xml:space="preserve"> K, Shi X, Sharma K, Kumari S, </w:t>
      </w:r>
      <w:proofErr w:type="spellStart"/>
      <w:r w:rsidRPr="00CE1895">
        <w:rPr>
          <w:rFonts w:ascii="Book Antiqua" w:hAnsi="Book Antiqua"/>
          <w:i/>
          <w:color w:val="1B1B1B"/>
          <w:sz w:val="24"/>
          <w:shd w:val="clear" w:color="auto" w:fill="FFFFFF"/>
          <w:lang w:val="en-US"/>
        </w:rPr>
        <w:t>Borgnia</w:t>
      </w:r>
      <w:proofErr w:type="spellEnd"/>
      <w:r w:rsidRPr="00CE1895">
        <w:rPr>
          <w:rFonts w:ascii="Book Antiqua" w:hAnsi="Book Antiqua"/>
          <w:i/>
          <w:color w:val="1B1B1B"/>
          <w:sz w:val="24"/>
          <w:shd w:val="clear" w:color="auto" w:fill="FFFFFF"/>
          <w:lang w:val="en-US"/>
        </w:rPr>
        <w:t xml:space="preserve"> M, Zhan P, </w:t>
      </w:r>
      <w:proofErr w:type="spellStart"/>
      <w:r w:rsidRPr="00CE1895">
        <w:rPr>
          <w:rFonts w:ascii="Book Antiqua" w:hAnsi="Book Antiqua"/>
          <w:i/>
          <w:color w:val="1B1B1B"/>
          <w:sz w:val="24"/>
          <w:shd w:val="clear" w:color="auto" w:fill="FFFFFF"/>
          <w:lang w:val="en-US"/>
        </w:rPr>
        <w:t>Im</w:t>
      </w:r>
      <w:proofErr w:type="spellEnd"/>
      <w:r w:rsidRPr="00CE1895">
        <w:rPr>
          <w:rFonts w:ascii="Book Antiqua" w:hAnsi="Book Antiqua"/>
          <w:i/>
          <w:color w:val="1B1B1B"/>
          <w:sz w:val="24"/>
          <w:shd w:val="clear" w:color="auto" w:fill="FFFFFF"/>
          <w:lang w:val="en-US"/>
        </w:rPr>
        <w:t xml:space="preserve"> W, Lee SY. Molecular basis of the urate transporter URAT1 inhibition by gout drugs. </w:t>
      </w:r>
      <w:proofErr w:type="spellStart"/>
      <w:r w:rsidRPr="00CE1895">
        <w:rPr>
          <w:rFonts w:ascii="Book Antiqua" w:hAnsi="Book Antiqua"/>
          <w:i/>
          <w:color w:val="1B1B1B"/>
          <w:sz w:val="24"/>
          <w:shd w:val="clear" w:color="auto" w:fill="FFFFFF"/>
          <w:lang w:val="en-US"/>
        </w:rPr>
        <w:t>bioRxiv</w:t>
      </w:r>
      <w:proofErr w:type="spellEnd"/>
      <w:r w:rsidRPr="00CE1895">
        <w:rPr>
          <w:rFonts w:ascii="Book Antiqua" w:hAnsi="Book Antiqua"/>
          <w:i/>
          <w:color w:val="1B1B1B"/>
          <w:sz w:val="24"/>
          <w:shd w:val="clear" w:color="auto" w:fill="FFFFFF"/>
          <w:lang w:val="en-US"/>
        </w:rPr>
        <w:t xml:space="preserve">. 2024 Sep 12:2024.09.11.612563. </w:t>
      </w:r>
      <w:proofErr w:type="spellStart"/>
      <w:r w:rsidRPr="00CE1895">
        <w:rPr>
          <w:rFonts w:ascii="Book Antiqua" w:hAnsi="Book Antiqua"/>
          <w:i/>
          <w:color w:val="1B1B1B"/>
          <w:sz w:val="24"/>
          <w:shd w:val="clear" w:color="auto" w:fill="FFFFFF"/>
          <w:lang w:val="en-US"/>
        </w:rPr>
        <w:t>doi</w:t>
      </w:r>
      <w:proofErr w:type="spellEnd"/>
      <w:r w:rsidRPr="00CE1895">
        <w:rPr>
          <w:rFonts w:ascii="Book Antiqua" w:hAnsi="Book Antiqua"/>
          <w:i/>
          <w:color w:val="1B1B1B"/>
          <w:sz w:val="24"/>
          <w:shd w:val="clear" w:color="auto" w:fill="FFFFFF"/>
          <w:lang w:val="en-US"/>
        </w:rPr>
        <w:t xml:space="preserve">: 10.1101/2024.09.11.612563. Update in: Nat </w:t>
      </w:r>
      <w:proofErr w:type="spellStart"/>
      <w:r w:rsidRPr="00CE1895">
        <w:rPr>
          <w:rFonts w:ascii="Book Antiqua" w:hAnsi="Book Antiqua"/>
          <w:i/>
          <w:color w:val="1B1B1B"/>
          <w:sz w:val="24"/>
          <w:shd w:val="clear" w:color="auto" w:fill="FFFFFF"/>
          <w:lang w:val="en-US"/>
        </w:rPr>
        <w:t>Commun</w:t>
      </w:r>
      <w:proofErr w:type="spellEnd"/>
      <w:r w:rsidRPr="00CE1895">
        <w:rPr>
          <w:rFonts w:ascii="Book Antiqua" w:hAnsi="Book Antiqua"/>
          <w:i/>
          <w:color w:val="1B1B1B"/>
          <w:sz w:val="24"/>
          <w:shd w:val="clear" w:color="auto" w:fill="FFFFFF"/>
          <w:lang w:val="en-US"/>
        </w:rPr>
        <w:t xml:space="preserve">. 2025 Jun 4;16(1):5178. </w:t>
      </w:r>
      <w:proofErr w:type="spellStart"/>
      <w:r w:rsidRPr="00CE1895">
        <w:rPr>
          <w:rFonts w:ascii="Book Antiqua" w:hAnsi="Book Antiqua"/>
          <w:i/>
          <w:color w:val="1B1B1B"/>
          <w:sz w:val="24"/>
          <w:shd w:val="clear" w:color="auto" w:fill="FFFFFF"/>
          <w:lang w:val="en-US"/>
        </w:rPr>
        <w:t>doi</w:t>
      </w:r>
      <w:proofErr w:type="spellEnd"/>
      <w:r w:rsidRPr="00CE1895">
        <w:rPr>
          <w:rFonts w:ascii="Book Antiqua" w:hAnsi="Book Antiqua"/>
          <w:i/>
          <w:color w:val="1B1B1B"/>
          <w:sz w:val="24"/>
          <w:shd w:val="clear" w:color="auto" w:fill="FFFFFF"/>
          <w:lang w:val="en-US"/>
        </w:rPr>
        <w:t>: 10.1038/s41467-025-60480-3. PMID: 39314352; PMCID: PMC11419087.</w:t>
      </w:r>
    </w:p>
    <w:p w:rsidR="00FE4187" w:rsidRPr="00CE1895" w:rsidRDefault="00FE4187" w:rsidP="00FE4187">
      <w:pPr>
        <w:pStyle w:val="ListParagraph"/>
        <w:numPr>
          <w:ilvl w:val="0"/>
          <w:numId w:val="6"/>
        </w:numPr>
        <w:spacing w:after="200" w:line="276" w:lineRule="auto"/>
        <w:jc w:val="both"/>
        <w:rPr>
          <w:rFonts w:ascii="Book Antiqua" w:hAnsi="Book Antiqua"/>
          <w:i/>
          <w:sz w:val="24"/>
        </w:rPr>
      </w:pPr>
      <w:r w:rsidRPr="00CE1895">
        <w:rPr>
          <w:rFonts w:ascii="Book Antiqua" w:hAnsi="Book Antiqua"/>
          <w:i/>
          <w:sz w:val="24"/>
          <w:lang w:val="en-US"/>
        </w:rPr>
        <w:t xml:space="preserve">Tanaka K., Nakayama Y., </w:t>
      </w:r>
      <w:proofErr w:type="spellStart"/>
      <w:r w:rsidRPr="00CE1895">
        <w:rPr>
          <w:rFonts w:ascii="Book Antiqua" w:hAnsi="Book Antiqua"/>
          <w:i/>
          <w:sz w:val="24"/>
          <w:lang w:val="en-US"/>
        </w:rPr>
        <w:t>Sugiura</w:t>
      </w:r>
      <w:proofErr w:type="spellEnd"/>
      <w:r w:rsidRPr="00CE1895">
        <w:rPr>
          <w:rFonts w:ascii="Book Antiqua" w:hAnsi="Book Antiqua"/>
          <w:i/>
          <w:sz w:val="24"/>
          <w:lang w:val="en-US"/>
        </w:rPr>
        <w:t xml:space="preserve"> T. Oxidative stress and uric acid: new roles of an old metabolite in the pathogenesis of hyperuricemia and gout //Antioxidants (Basel). </w:t>
      </w:r>
      <w:r w:rsidRPr="00CE1895">
        <w:rPr>
          <w:rFonts w:ascii="Book Antiqua" w:hAnsi="Book Antiqua"/>
          <w:i/>
          <w:sz w:val="24"/>
        </w:rPr>
        <w:t>2022; № 11, Vol. 11(2). P.274-278</w:t>
      </w:r>
    </w:p>
    <w:p w:rsidR="00FE4187" w:rsidRPr="00CE1895" w:rsidRDefault="00FE4187" w:rsidP="00FE4187">
      <w:pPr>
        <w:pStyle w:val="ListParagraph"/>
        <w:numPr>
          <w:ilvl w:val="0"/>
          <w:numId w:val="6"/>
        </w:numPr>
        <w:tabs>
          <w:tab w:val="left" w:pos="3912"/>
        </w:tabs>
        <w:spacing w:after="200" w:line="276" w:lineRule="auto"/>
        <w:jc w:val="both"/>
        <w:rPr>
          <w:rFonts w:ascii="Book Antiqua" w:hAnsi="Book Antiqua"/>
          <w:i/>
          <w:sz w:val="24"/>
        </w:rPr>
      </w:pPr>
      <w:proofErr w:type="spellStart"/>
      <w:r w:rsidRPr="00CE1895">
        <w:rPr>
          <w:rFonts w:ascii="Book Antiqua" w:hAnsi="Book Antiqua" w:cs="Segoe UI"/>
          <w:i/>
          <w:color w:val="212121"/>
          <w:sz w:val="24"/>
          <w:shd w:val="clear" w:color="auto" w:fill="FFFFFF"/>
          <w:lang w:val="en-US"/>
        </w:rPr>
        <w:t>Terkeltaub</w:t>
      </w:r>
      <w:proofErr w:type="spellEnd"/>
      <w:r w:rsidRPr="00CE1895">
        <w:rPr>
          <w:rFonts w:ascii="Book Antiqua" w:hAnsi="Book Antiqua" w:cs="Segoe UI"/>
          <w:i/>
          <w:color w:val="212121"/>
          <w:sz w:val="24"/>
          <w:shd w:val="clear" w:color="auto" w:fill="FFFFFF"/>
          <w:lang w:val="en-US"/>
        </w:rPr>
        <w:t xml:space="preserve"> R. Update on gout: new therapeutic strategies and options. </w:t>
      </w:r>
      <w:r w:rsidRPr="00CE1895">
        <w:rPr>
          <w:rFonts w:ascii="Book Antiqua" w:hAnsi="Book Antiqua" w:cs="Segoe UI"/>
          <w:i/>
          <w:color w:val="212121"/>
          <w:sz w:val="24"/>
          <w:shd w:val="clear" w:color="auto" w:fill="FFFFFF"/>
        </w:rPr>
        <w:t>Nat Rev Rheumatol. 2010 Jan;6(1):30-8. doi: 10.1038/nrrheum.2009.236. PMID: 20046204.</w:t>
      </w:r>
    </w:p>
    <w:p w:rsidR="00FE4187" w:rsidRPr="00CE1895" w:rsidRDefault="00FE4187" w:rsidP="00FE4187">
      <w:pPr>
        <w:pStyle w:val="ListParagraph"/>
        <w:numPr>
          <w:ilvl w:val="0"/>
          <w:numId w:val="6"/>
        </w:numPr>
        <w:spacing w:after="200" w:line="276" w:lineRule="auto"/>
        <w:jc w:val="both"/>
        <w:rPr>
          <w:rFonts w:ascii="Book Antiqua" w:hAnsi="Book Antiqua" w:cs="Segoe UI"/>
          <w:i/>
          <w:color w:val="212121"/>
          <w:sz w:val="24"/>
          <w:shd w:val="clear" w:color="auto" w:fill="FFFFFF"/>
        </w:rPr>
      </w:pPr>
      <w:r w:rsidRPr="00CE1895">
        <w:rPr>
          <w:rFonts w:ascii="Book Antiqua" w:hAnsi="Book Antiqua" w:cs="Segoe UI"/>
          <w:i/>
          <w:color w:val="212121"/>
          <w:sz w:val="24"/>
          <w:shd w:val="clear" w:color="auto" w:fill="FFFFFF"/>
          <w:lang w:val="en-US"/>
        </w:rPr>
        <w:t xml:space="preserve">Wang Z, Cui T, Ci X, Zhao F, Sun Y, Li Y, Liu R, Wu W, Yi X, Liu C. The effect of polymorphism of uric acid transporters on uric acid transport. </w:t>
      </w:r>
      <w:r w:rsidRPr="00CE1895">
        <w:rPr>
          <w:rFonts w:ascii="Book Antiqua" w:hAnsi="Book Antiqua" w:cs="Segoe UI"/>
          <w:i/>
          <w:color w:val="212121"/>
          <w:sz w:val="24"/>
          <w:shd w:val="clear" w:color="auto" w:fill="FFFFFF"/>
        </w:rPr>
        <w:t>J Nephrol. 2019 Apr;32(2):177-187. doi: 10.1007/s40620-018-0546-7. Epub 2018 Oct 31. PMID: 30382560.</w:t>
      </w:r>
    </w:p>
    <w:p w:rsidR="00FE4187" w:rsidRPr="00CE1895" w:rsidRDefault="00FE4187" w:rsidP="00FE4187">
      <w:pPr>
        <w:pStyle w:val="ListParagraph"/>
        <w:numPr>
          <w:ilvl w:val="0"/>
          <w:numId w:val="6"/>
        </w:numPr>
        <w:spacing w:after="200" w:line="276" w:lineRule="auto"/>
        <w:jc w:val="both"/>
        <w:rPr>
          <w:rFonts w:ascii="Book Antiqua" w:hAnsi="Book Antiqua"/>
          <w:i/>
          <w:color w:val="1B1B1B"/>
          <w:sz w:val="24"/>
          <w:shd w:val="clear" w:color="auto" w:fill="FFFFFF"/>
        </w:rPr>
      </w:pPr>
      <w:r w:rsidRPr="00CE1895">
        <w:rPr>
          <w:rFonts w:ascii="Book Antiqua" w:hAnsi="Book Antiqua"/>
          <w:i/>
          <w:color w:val="1B1B1B"/>
          <w:sz w:val="24"/>
          <w:shd w:val="clear" w:color="auto" w:fill="FFFFFF"/>
          <w:lang w:val="en-US"/>
        </w:rPr>
        <w:t xml:space="preserve">Xu L, Shi Y, Zhuang S, Liu N. Recent advances on uric acid transporters. </w:t>
      </w:r>
      <w:r w:rsidRPr="00CE1895">
        <w:rPr>
          <w:rFonts w:ascii="Book Antiqua" w:hAnsi="Book Antiqua"/>
          <w:i/>
          <w:color w:val="1B1B1B"/>
          <w:sz w:val="24"/>
          <w:shd w:val="clear" w:color="auto" w:fill="FFFFFF"/>
        </w:rPr>
        <w:t>Oncotarget. 2017 Aug 10;8(59):100852-100862. doi: 10.18632/oncotarget.20135. PMID: 29246027; PMCID: PMC5725069.</w:t>
      </w:r>
    </w:p>
    <w:p w:rsidR="00FE4187" w:rsidRPr="00CE1895" w:rsidRDefault="00FE4187" w:rsidP="00FE4187">
      <w:pPr>
        <w:pStyle w:val="ListParagraph"/>
        <w:numPr>
          <w:ilvl w:val="0"/>
          <w:numId w:val="6"/>
        </w:numPr>
        <w:spacing w:after="200" w:line="276" w:lineRule="auto"/>
        <w:jc w:val="both"/>
        <w:rPr>
          <w:rFonts w:ascii="Book Antiqua" w:hAnsi="Book Antiqua"/>
          <w:i/>
          <w:sz w:val="24"/>
          <w:lang w:val="en-US"/>
        </w:rPr>
      </w:pPr>
      <w:r w:rsidRPr="00CE1895">
        <w:rPr>
          <w:rFonts w:ascii="Book Antiqua" w:hAnsi="Book Antiqua"/>
          <w:i/>
          <w:color w:val="1B1B1B"/>
          <w:sz w:val="24"/>
          <w:shd w:val="clear" w:color="auto" w:fill="FFFFFF"/>
          <w:lang w:val="en-US"/>
        </w:rPr>
        <w:t xml:space="preserve">Yuan HH, Yin H, </w:t>
      </w:r>
      <w:proofErr w:type="spellStart"/>
      <w:r w:rsidRPr="00CE1895">
        <w:rPr>
          <w:rFonts w:ascii="Book Antiqua" w:hAnsi="Book Antiqua"/>
          <w:i/>
          <w:color w:val="1B1B1B"/>
          <w:sz w:val="24"/>
          <w:shd w:val="clear" w:color="auto" w:fill="FFFFFF"/>
          <w:lang w:val="en-US"/>
        </w:rPr>
        <w:t>Marincas</w:t>
      </w:r>
      <w:proofErr w:type="spellEnd"/>
      <w:r w:rsidRPr="00CE1895">
        <w:rPr>
          <w:rFonts w:ascii="Book Antiqua" w:hAnsi="Book Antiqua"/>
          <w:i/>
          <w:color w:val="1B1B1B"/>
          <w:sz w:val="24"/>
          <w:shd w:val="clear" w:color="auto" w:fill="FFFFFF"/>
          <w:lang w:val="en-US"/>
        </w:rPr>
        <w:t xml:space="preserve"> M, </w:t>
      </w:r>
      <w:proofErr w:type="spellStart"/>
      <w:r w:rsidRPr="00CE1895">
        <w:rPr>
          <w:rFonts w:ascii="Book Antiqua" w:hAnsi="Book Antiqua"/>
          <w:i/>
          <w:color w:val="1B1B1B"/>
          <w:sz w:val="24"/>
          <w:shd w:val="clear" w:color="auto" w:fill="FFFFFF"/>
          <w:lang w:val="en-US"/>
        </w:rPr>
        <w:t>Xie</w:t>
      </w:r>
      <w:proofErr w:type="spellEnd"/>
      <w:r w:rsidRPr="00CE1895">
        <w:rPr>
          <w:rFonts w:ascii="Book Antiqua" w:hAnsi="Book Antiqua"/>
          <w:i/>
          <w:color w:val="1B1B1B"/>
          <w:sz w:val="24"/>
          <w:shd w:val="clear" w:color="auto" w:fill="FFFFFF"/>
          <w:lang w:val="en-US"/>
        </w:rPr>
        <w:t xml:space="preserve"> LL, Bu LL, Guo MH, Zheng XL. From DNA Repair to Redox Signaling: The Multifaceted Role of APEX1 (Apurinic/Apyrimidinic Endonuclease 1) in </w:t>
      </w:r>
      <w:r w:rsidRPr="00CE1895">
        <w:rPr>
          <w:rFonts w:ascii="Book Antiqua" w:hAnsi="Book Antiqua"/>
          <w:i/>
          <w:color w:val="1B1B1B"/>
          <w:sz w:val="24"/>
          <w:shd w:val="clear" w:color="auto" w:fill="FFFFFF"/>
          <w:lang w:val="en-US"/>
        </w:rPr>
        <w:lastRenderedPageBreak/>
        <w:t xml:space="preserve">Cardiovascular Health and Disease. Int J Mol Sci. 2025 Mar 26;26(7):3034. </w:t>
      </w:r>
      <w:proofErr w:type="spellStart"/>
      <w:r w:rsidRPr="00CE1895">
        <w:rPr>
          <w:rFonts w:ascii="Book Antiqua" w:hAnsi="Book Antiqua"/>
          <w:i/>
          <w:color w:val="1B1B1B"/>
          <w:sz w:val="24"/>
          <w:shd w:val="clear" w:color="auto" w:fill="FFFFFF"/>
          <w:lang w:val="en-US"/>
        </w:rPr>
        <w:t>doi</w:t>
      </w:r>
      <w:proofErr w:type="spellEnd"/>
      <w:r w:rsidRPr="00CE1895">
        <w:rPr>
          <w:rFonts w:ascii="Book Antiqua" w:hAnsi="Book Antiqua"/>
          <w:i/>
          <w:color w:val="1B1B1B"/>
          <w:sz w:val="24"/>
          <w:shd w:val="clear" w:color="auto" w:fill="FFFFFF"/>
          <w:lang w:val="en-US"/>
        </w:rPr>
        <w:t>: 10.3390/ijms26073034. PMID: 40243693; PMCID: PMC11988304.</w:t>
      </w:r>
    </w:p>
    <w:p w:rsidR="00FE4187" w:rsidRPr="00CE1895" w:rsidRDefault="00FE4187" w:rsidP="00FE4187">
      <w:pPr>
        <w:pStyle w:val="ListParagraph"/>
        <w:numPr>
          <w:ilvl w:val="0"/>
          <w:numId w:val="6"/>
        </w:numPr>
        <w:spacing w:after="200" w:line="276" w:lineRule="auto"/>
        <w:jc w:val="both"/>
        <w:rPr>
          <w:rFonts w:ascii="Book Antiqua" w:hAnsi="Book Antiqua"/>
          <w:i/>
          <w:sz w:val="24"/>
        </w:rPr>
      </w:pPr>
      <w:r w:rsidRPr="00CE1895">
        <w:rPr>
          <w:rFonts w:ascii="Book Antiqua" w:hAnsi="Book Antiqua"/>
          <w:i/>
          <w:sz w:val="24"/>
          <w:lang w:val="en-US"/>
        </w:rPr>
        <w:t xml:space="preserve">Zhu Y., Pandya B. J., Choi H. K. Prevalence of gout and hyperuricemia in the US: </w:t>
      </w:r>
      <w:proofErr w:type="gramStart"/>
      <w:r w:rsidRPr="00CE1895">
        <w:rPr>
          <w:rFonts w:ascii="Book Antiqua" w:hAnsi="Book Antiqua"/>
          <w:i/>
          <w:sz w:val="24"/>
          <w:lang w:val="en-US"/>
        </w:rPr>
        <w:t>the</w:t>
      </w:r>
      <w:proofErr w:type="gramEnd"/>
      <w:r w:rsidRPr="00CE1895">
        <w:rPr>
          <w:rFonts w:ascii="Book Antiqua" w:hAnsi="Book Antiqua"/>
          <w:i/>
          <w:sz w:val="24"/>
          <w:lang w:val="en-US"/>
        </w:rPr>
        <w:t xml:space="preserve"> National Health and Nutrition Examination Survey 2007–2016 // Arthritis </w:t>
      </w:r>
      <w:proofErr w:type="spellStart"/>
      <w:r w:rsidRPr="00CE1895">
        <w:rPr>
          <w:rFonts w:ascii="Book Antiqua" w:hAnsi="Book Antiqua"/>
          <w:i/>
          <w:sz w:val="24"/>
          <w:lang w:val="en-US"/>
        </w:rPr>
        <w:t>Rheumatol</w:t>
      </w:r>
      <w:proofErr w:type="spellEnd"/>
      <w:r w:rsidRPr="00CE1895">
        <w:rPr>
          <w:rFonts w:ascii="Book Antiqua" w:hAnsi="Book Antiqua"/>
          <w:i/>
          <w:sz w:val="24"/>
          <w:lang w:val="en-US"/>
        </w:rPr>
        <w:t xml:space="preserve">. </w:t>
      </w:r>
      <w:r w:rsidRPr="00CE1895">
        <w:rPr>
          <w:rFonts w:ascii="Book Antiqua" w:hAnsi="Book Antiqua"/>
          <w:i/>
          <w:sz w:val="24"/>
        </w:rPr>
        <w:t>2021; Vol. 73(5). P. 826–835</w:t>
      </w:r>
    </w:p>
    <w:p w:rsidR="00133154" w:rsidRPr="00CE1895" w:rsidRDefault="00133154" w:rsidP="00FE4187">
      <w:pPr>
        <w:tabs>
          <w:tab w:val="left" w:pos="2940"/>
        </w:tabs>
        <w:rPr>
          <w:rFonts w:ascii="Book Antiqua" w:hAnsi="Book Antiqua" w:cs="Times New Roman"/>
          <w:i/>
          <w:sz w:val="24"/>
          <w:szCs w:val="24"/>
          <w:lang w:val="uz-Cyrl-UZ"/>
        </w:rPr>
      </w:pPr>
    </w:p>
    <w:sectPr w:rsidR="00133154" w:rsidRPr="00CE1895">
      <w:headerReference w:type="even" r:id="rId16"/>
      <w:headerReference w:type="default" r:id="rId17"/>
      <w:footerReference w:type="even" r:id="rId18"/>
      <w:footerReference w:type="default" r:id="rId19"/>
      <w:headerReference w:type="first" r:id="rId20"/>
      <w:footerReference w:type="first" r:id="rId21"/>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793" w:rsidRDefault="00A44793" w:rsidP="00145E5E">
      <w:pPr>
        <w:spacing w:after="0" w:line="240" w:lineRule="auto"/>
      </w:pPr>
      <w:r>
        <w:separator/>
      </w:r>
    </w:p>
  </w:endnote>
  <w:endnote w:type="continuationSeparator" w:id="0">
    <w:p w:rsidR="00A44793" w:rsidRDefault="00A44793" w:rsidP="0014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A5F" w:rsidRDefault="002C1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6304802"/>
      <w:docPartObj>
        <w:docPartGallery w:val="Page Numbers (Bottom of Page)"/>
        <w:docPartUnique/>
      </w:docPartObj>
    </w:sdtPr>
    <w:sdtEndPr/>
    <w:sdtContent>
      <w:p w:rsidR="00900D6B" w:rsidRDefault="00900D6B">
        <w:pPr>
          <w:pStyle w:val="Footer"/>
          <w:jc w:val="center"/>
        </w:pPr>
        <w:r>
          <w:fldChar w:fldCharType="begin"/>
        </w:r>
        <w:r>
          <w:instrText>PAGE   \* MERGEFORMAT</w:instrText>
        </w:r>
        <w:r>
          <w:fldChar w:fldCharType="separate"/>
        </w:r>
        <w:r w:rsidR="00CE1895">
          <w:rPr>
            <w:noProof/>
          </w:rPr>
          <w:t>14</w:t>
        </w:r>
        <w:r>
          <w:fldChar w:fldCharType="end"/>
        </w:r>
      </w:p>
    </w:sdtContent>
  </w:sdt>
  <w:p w:rsidR="00900D6B" w:rsidRDefault="00900D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A5F" w:rsidRDefault="002C1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793" w:rsidRDefault="00A44793" w:rsidP="00145E5E">
      <w:pPr>
        <w:spacing w:after="0" w:line="240" w:lineRule="auto"/>
      </w:pPr>
      <w:r>
        <w:separator/>
      </w:r>
    </w:p>
  </w:footnote>
  <w:footnote w:type="continuationSeparator" w:id="0">
    <w:p w:rsidR="00A44793" w:rsidRDefault="00A44793" w:rsidP="00145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A5F" w:rsidRDefault="00A447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3907" o:spid="_x0000_s2050" type="#_x0000_t136" style="position:absolute;margin-left:0;margin-top:0;width:575.15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A5F" w:rsidRDefault="00A447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3908" o:spid="_x0000_s2051" type="#_x0000_t136" style="position:absolute;margin-left:0;margin-top:0;width:575.15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A5F" w:rsidRDefault="00A447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3906" o:spid="_x0000_s2049" type="#_x0000_t136" style="position:absolute;margin-left:0;margin-top:0;width:575.15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E15EB"/>
    <w:multiLevelType w:val="hybridMultilevel"/>
    <w:tmpl w:val="2A8C8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CB0AC1"/>
    <w:multiLevelType w:val="multilevel"/>
    <w:tmpl w:val="9C3E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ED23E8"/>
    <w:multiLevelType w:val="hybridMultilevel"/>
    <w:tmpl w:val="75F0F2C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5B232A21"/>
    <w:multiLevelType w:val="hybridMultilevel"/>
    <w:tmpl w:val="C78CE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EA3341"/>
    <w:multiLevelType w:val="hybridMultilevel"/>
    <w:tmpl w:val="06006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013676"/>
    <w:multiLevelType w:val="hybridMultilevel"/>
    <w:tmpl w:val="B13C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4C1"/>
    <w:rsid w:val="00016187"/>
    <w:rsid w:val="000D6CB8"/>
    <w:rsid w:val="00104CE4"/>
    <w:rsid w:val="00133154"/>
    <w:rsid w:val="00145E5E"/>
    <w:rsid w:val="001C13BA"/>
    <w:rsid w:val="002016A1"/>
    <w:rsid w:val="00266DE1"/>
    <w:rsid w:val="002726AA"/>
    <w:rsid w:val="00291B83"/>
    <w:rsid w:val="002C1A5F"/>
    <w:rsid w:val="00331DE3"/>
    <w:rsid w:val="00405695"/>
    <w:rsid w:val="004063D8"/>
    <w:rsid w:val="0048769A"/>
    <w:rsid w:val="004B7051"/>
    <w:rsid w:val="004E18CB"/>
    <w:rsid w:val="00606CB3"/>
    <w:rsid w:val="00616EB4"/>
    <w:rsid w:val="00622061"/>
    <w:rsid w:val="00670130"/>
    <w:rsid w:val="006724C1"/>
    <w:rsid w:val="00677134"/>
    <w:rsid w:val="006D5132"/>
    <w:rsid w:val="00724D8E"/>
    <w:rsid w:val="007D00ED"/>
    <w:rsid w:val="007D7204"/>
    <w:rsid w:val="00816161"/>
    <w:rsid w:val="008F0B1C"/>
    <w:rsid w:val="00900D6B"/>
    <w:rsid w:val="00944F99"/>
    <w:rsid w:val="00954F45"/>
    <w:rsid w:val="0096303D"/>
    <w:rsid w:val="009C025C"/>
    <w:rsid w:val="00A2513E"/>
    <w:rsid w:val="00A319CF"/>
    <w:rsid w:val="00A44793"/>
    <w:rsid w:val="00A47091"/>
    <w:rsid w:val="00A557FB"/>
    <w:rsid w:val="00A87171"/>
    <w:rsid w:val="00AD1F2C"/>
    <w:rsid w:val="00B06196"/>
    <w:rsid w:val="00B25590"/>
    <w:rsid w:val="00BE7954"/>
    <w:rsid w:val="00C22225"/>
    <w:rsid w:val="00C23FCE"/>
    <w:rsid w:val="00C73C72"/>
    <w:rsid w:val="00CD7645"/>
    <w:rsid w:val="00CE1895"/>
    <w:rsid w:val="00DE2B60"/>
    <w:rsid w:val="00E257A8"/>
    <w:rsid w:val="00E513C3"/>
    <w:rsid w:val="00EC0B81"/>
    <w:rsid w:val="00F51B4D"/>
    <w:rsid w:val="00F819BA"/>
    <w:rsid w:val="00F95FD3"/>
    <w:rsid w:val="00FA1D19"/>
    <w:rsid w:val="00FE4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ADF536"/>
  <w15:chartTrackingRefBased/>
  <w15:docId w15:val="{1AEFDA69-2636-4073-8E91-26078C3E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3154"/>
    <w:rPr>
      <w:lang w:val="ru-RU"/>
    </w:rPr>
  </w:style>
  <w:style w:type="paragraph" w:styleId="Heading3">
    <w:name w:val="heading 3"/>
    <w:basedOn w:val="Normal"/>
    <w:link w:val="Heading3Char"/>
    <w:uiPriority w:val="9"/>
    <w:qFormat/>
    <w:rsid w:val="001C13B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Web)"/>
    <w:basedOn w:val="Normal"/>
    <w:link w:val="NormalWebChar"/>
    <w:uiPriority w:val="99"/>
    <w:unhideWhenUsed/>
    <w:qFormat/>
    <w:rsid w:val="001331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WebChar">
    <w:name w:val="Normal (Web) Char"/>
    <w:aliases w:val="Обычный (Web) Char"/>
    <w:link w:val="NormalWeb"/>
    <w:uiPriority w:val="99"/>
    <w:locked/>
    <w:rsid w:val="00133154"/>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816161"/>
    <w:rPr>
      <w:b/>
      <w:bCs/>
    </w:rPr>
  </w:style>
  <w:style w:type="paragraph" w:styleId="ListParagraph">
    <w:name w:val="List Paragraph"/>
    <w:basedOn w:val="Normal"/>
    <w:link w:val="ListParagraphChar"/>
    <w:uiPriority w:val="34"/>
    <w:qFormat/>
    <w:rsid w:val="00816161"/>
    <w:pPr>
      <w:ind w:left="720"/>
      <w:contextualSpacing/>
    </w:pPr>
  </w:style>
  <w:style w:type="character" w:customStyle="1" w:styleId="ListParagraphChar">
    <w:name w:val="List Paragraph Char"/>
    <w:link w:val="ListParagraph"/>
    <w:uiPriority w:val="34"/>
    <w:locked/>
    <w:rsid w:val="00816161"/>
    <w:rPr>
      <w:lang w:val="ru-RU"/>
    </w:rPr>
  </w:style>
  <w:style w:type="character" w:styleId="Emphasis">
    <w:name w:val="Emphasis"/>
    <w:basedOn w:val="DefaultParagraphFont"/>
    <w:uiPriority w:val="20"/>
    <w:qFormat/>
    <w:rsid w:val="00816161"/>
    <w:rPr>
      <w:i/>
      <w:iCs/>
    </w:rPr>
  </w:style>
  <w:style w:type="character" w:styleId="HTMLCite">
    <w:name w:val="HTML Cite"/>
    <w:basedOn w:val="DefaultParagraphFont"/>
    <w:uiPriority w:val="99"/>
    <w:semiHidden/>
    <w:unhideWhenUsed/>
    <w:rsid w:val="00816161"/>
    <w:rPr>
      <w:i/>
      <w:iCs/>
    </w:rPr>
  </w:style>
  <w:style w:type="character" w:customStyle="1" w:styleId="Heading3Char">
    <w:name w:val="Heading 3 Char"/>
    <w:basedOn w:val="DefaultParagraphFont"/>
    <w:link w:val="Heading3"/>
    <w:uiPriority w:val="9"/>
    <w:rsid w:val="001C13BA"/>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145E5E"/>
    <w:pPr>
      <w:tabs>
        <w:tab w:val="center" w:pos="4844"/>
        <w:tab w:val="right" w:pos="9689"/>
      </w:tabs>
      <w:spacing w:after="0" w:line="240" w:lineRule="auto"/>
    </w:pPr>
  </w:style>
  <w:style w:type="character" w:customStyle="1" w:styleId="HeaderChar">
    <w:name w:val="Header Char"/>
    <w:basedOn w:val="DefaultParagraphFont"/>
    <w:link w:val="Header"/>
    <w:uiPriority w:val="99"/>
    <w:rsid w:val="00145E5E"/>
    <w:rPr>
      <w:lang w:val="ru-RU"/>
    </w:rPr>
  </w:style>
  <w:style w:type="paragraph" w:styleId="Footer">
    <w:name w:val="footer"/>
    <w:basedOn w:val="Normal"/>
    <w:link w:val="FooterChar"/>
    <w:uiPriority w:val="99"/>
    <w:unhideWhenUsed/>
    <w:rsid w:val="00145E5E"/>
    <w:pPr>
      <w:tabs>
        <w:tab w:val="center" w:pos="4844"/>
        <w:tab w:val="right" w:pos="9689"/>
      </w:tabs>
      <w:spacing w:after="0" w:line="240" w:lineRule="auto"/>
    </w:pPr>
  </w:style>
  <w:style w:type="character" w:customStyle="1" w:styleId="FooterChar">
    <w:name w:val="Footer Char"/>
    <w:basedOn w:val="DefaultParagraphFont"/>
    <w:link w:val="Footer"/>
    <w:uiPriority w:val="99"/>
    <w:rsid w:val="00145E5E"/>
    <w:rPr>
      <w:lang w:val="ru-RU"/>
    </w:rPr>
  </w:style>
  <w:style w:type="character" w:styleId="Hyperlink">
    <w:name w:val="Hyperlink"/>
    <w:basedOn w:val="DefaultParagraphFont"/>
    <w:uiPriority w:val="99"/>
    <w:unhideWhenUsed/>
    <w:rsid w:val="00900D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642894">
      <w:bodyDiv w:val="1"/>
      <w:marLeft w:val="0"/>
      <w:marRight w:val="0"/>
      <w:marTop w:val="0"/>
      <w:marBottom w:val="0"/>
      <w:divBdr>
        <w:top w:val="none" w:sz="0" w:space="0" w:color="auto"/>
        <w:left w:val="none" w:sz="0" w:space="0" w:color="auto"/>
        <w:bottom w:val="none" w:sz="0" w:space="0" w:color="auto"/>
        <w:right w:val="none" w:sz="0" w:space="0" w:color="auto"/>
      </w:divBdr>
    </w:div>
    <w:div w:id="19963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0A89E-3EF4-4B67-B189-FFA66FA08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2020</TotalTime>
  <Pages>14</Pages>
  <Words>4101</Words>
  <Characters>23380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1137</cp:lastModifiedBy>
  <cp:revision>50</cp:revision>
  <dcterms:created xsi:type="dcterms:W3CDTF">2025-08-04T20:08:00Z</dcterms:created>
  <dcterms:modified xsi:type="dcterms:W3CDTF">2025-08-14T10:27:00Z</dcterms:modified>
</cp:coreProperties>
</file>