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41EC3D" w14:textId="4328AC40" w:rsidR="006167FE" w:rsidRDefault="006167FE" w:rsidP="006167FE">
      <w:pPr>
        <w:rPr>
          <w:b/>
          <w:bCs/>
          <w:sz w:val="28"/>
          <w:szCs w:val="28"/>
        </w:rPr>
      </w:pPr>
      <w:bookmarkStart w:id="0" w:name="_GoBack"/>
      <w:bookmarkEnd w:id="0"/>
      <w:r w:rsidRPr="006167FE">
        <w:rPr>
          <w:b/>
          <w:bCs/>
          <w:sz w:val="28"/>
          <w:szCs w:val="28"/>
        </w:rPr>
        <w:t>ORIGINAL ARTICLE</w:t>
      </w:r>
    </w:p>
    <w:p w14:paraId="69016384" w14:textId="77777777" w:rsidR="004D5D61" w:rsidRDefault="004D5D61" w:rsidP="00942403">
      <w:pPr>
        <w:jc w:val="center"/>
        <w:rPr>
          <w:b/>
          <w:bCs/>
          <w:sz w:val="28"/>
          <w:szCs w:val="28"/>
        </w:rPr>
      </w:pPr>
    </w:p>
    <w:p w14:paraId="43074681" w14:textId="6DBF8FED" w:rsidR="00942403" w:rsidRPr="009E6315" w:rsidRDefault="00942403" w:rsidP="00942403">
      <w:pPr>
        <w:jc w:val="center"/>
        <w:rPr>
          <w:rFonts w:asciiTheme="majorHAnsi" w:hAnsiTheme="majorHAnsi"/>
          <w:b/>
          <w:bCs/>
          <w:sz w:val="28"/>
          <w:szCs w:val="28"/>
          <w:lang w:val="en-GB"/>
        </w:rPr>
      </w:pPr>
      <w:r w:rsidRPr="009E6315">
        <w:rPr>
          <w:b/>
          <w:bCs/>
          <w:sz w:val="28"/>
          <w:szCs w:val="28"/>
        </w:rPr>
        <w:t>Serological Surveillance and Diagnostic Performance of Dengue Tests in Brazilian Pediatric Populations (2022–2024)</w:t>
      </w:r>
    </w:p>
    <w:p w14:paraId="18ADFF4B" w14:textId="77777777" w:rsidR="003803FF" w:rsidRPr="00A43D33" w:rsidRDefault="003803FF" w:rsidP="00A43D33"/>
    <w:p w14:paraId="67D67FB8" w14:textId="00B07685" w:rsidR="00A43D33" w:rsidRPr="00A43D33" w:rsidRDefault="00A43D33" w:rsidP="00A43D33"/>
    <w:p w14:paraId="494019D1" w14:textId="77777777" w:rsidR="009111E8" w:rsidRPr="00DF5115" w:rsidRDefault="009111E8" w:rsidP="009111E8">
      <w:pPr>
        <w:spacing w:after="0"/>
        <w:jc w:val="both"/>
        <w:rPr>
          <w:b/>
          <w:bCs/>
        </w:rPr>
      </w:pPr>
      <w:r w:rsidRPr="00DF5115">
        <w:rPr>
          <w:b/>
          <w:bCs/>
        </w:rPr>
        <w:t>Abstract</w:t>
      </w:r>
    </w:p>
    <w:p w14:paraId="696DDACA" w14:textId="77777777" w:rsidR="009111E8" w:rsidRPr="00DF5115" w:rsidRDefault="009111E8" w:rsidP="009111E8">
      <w:pPr>
        <w:spacing w:after="0"/>
        <w:jc w:val="both"/>
      </w:pPr>
    </w:p>
    <w:p w14:paraId="3416EADE" w14:textId="702ECF04" w:rsidR="009111E8" w:rsidRPr="00CF0D49" w:rsidRDefault="009111E8" w:rsidP="00CF0D49">
      <w:pPr>
        <w:spacing w:after="0"/>
        <w:jc w:val="both"/>
        <w:rPr>
          <w:rFonts w:ascii="Arial" w:hAnsi="Arial" w:cs="Arial"/>
        </w:rPr>
      </w:pPr>
      <w:r w:rsidRPr="00CF0D49">
        <w:rPr>
          <w:rFonts w:ascii="Arial" w:hAnsi="Arial" w:cs="Arial"/>
          <w:b/>
          <w:bCs/>
        </w:rPr>
        <w:t xml:space="preserve">Introduction: </w:t>
      </w:r>
      <w:r w:rsidRPr="00CF0D49">
        <w:rPr>
          <w:rFonts w:ascii="Arial" w:hAnsi="Arial" w:cs="Arial"/>
        </w:rPr>
        <w:t xml:space="preserve">Dengue is an endemic arboviral disease in tropical countries, with significant public health impact, especially among pediatric populations. Early diagnosis is crucial for appropriate clinical management and epidemiological control. Serological tests, such as IgM, IgG, and </w:t>
      </w:r>
      <w:r w:rsidR="009E6315" w:rsidRPr="00CF0D49">
        <w:rPr>
          <w:rFonts w:ascii="Arial" w:hAnsi="Arial" w:cs="Arial"/>
        </w:rPr>
        <w:t xml:space="preserve">NS1 glycoprotein, </w:t>
      </w:r>
      <w:r w:rsidRPr="00CF0D49">
        <w:rPr>
          <w:rFonts w:ascii="Arial" w:hAnsi="Arial" w:cs="Arial"/>
        </w:rPr>
        <w:t xml:space="preserve">are widely used in Brazil, although they present limitations in sensitivity and specificity. </w:t>
      </w:r>
      <w:r w:rsidRPr="00CF0D49">
        <w:rPr>
          <w:rFonts w:ascii="Arial" w:hAnsi="Arial" w:cs="Arial"/>
          <w:b/>
          <w:bCs/>
        </w:rPr>
        <w:t>Objective:</w:t>
      </w:r>
      <w:r w:rsidR="009E5458">
        <w:rPr>
          <w:rFonts w:ascii="Arial" w:hAnsi="Arial" w:cs="Arial"/>
          <w:b/>
          <w:bCs/>
        </w:rPr>
        <w:t xml:space="preserve"> </w:t>
      </w:r>
      <w:r w:rsidRPr="00CF0D49">
        <w:rPr>
          <w:rFonts w:ascii="Arial" w:hAnsi="Arial" w:cs="Arial"/>
        </w:rPr>
        <w:t xml:space="preserve">To analyze the use of serological tests in the diagnosis of dengue in Brazilian children between 2022 and 2024, based on data from DATASUS. </w:t>
      </w:r>
      <w:r w:rsidRPr="00CF0D49">
        <w:rPr>
          <w:rFonts w:ascii="Arial" w:hAnsi="Arial" w:cs="Arial"/>
          <w:b/>
          <w:bCs/>
        </w:rPr>
        <w:t>Method:</w:t>
      </w:r>
      <w:r w:rsidR="009E5458">
        <w:rPr>
          <w:rFonts w:ascii="Arial" w:hAnsi="Arial" w:cs="Arial"/>
          <w:b/>
          <w:bCs/>
        </w:rPr>
        <w:t xml:space="preserve"> </w:t>
      </w:r>
      <w:r w:rsidRPr="00CF0D49">
        <w:rPr>
          <w:rFonts w:ascii="Arial" w:hAnsi="Arial" w:cs="Arial"/>
        </w:rPr>
        <w:t xml:space="preserve">A retrospective analysis was conducted using secondary data available from the SINAN/DATASUS system between July 13 and 15, 2025. Extracted data referred to probable cases of dengue in Brazilian children, focusing on serological tests (IgM, ELISA, viral isolation, serotyping) recorded across the five regions of Brazil from 2022 to 2024. </w:t>
      </w:r>
      <w:r w:rsidRPr="00CF0D49">
        <w:rPr>
          <w:rFonts w:ascii="Arial" w:hAnsi="Arial" w:cs="Arial"/>
          <w:b/>
          <w:bCs/>
        </w:rPr>
        <w:t xml:space="preserve">Results: </w:t>
      </w:r>
      <w:r w:rsidRPr="00CF0D49">
        <w:rPr>
          <w:rFonts w:ascii="Arial" w:hAnsi="Arial" w:cs="Arial"/>
        </w:rPr>
        <w:t xml:space="preserve">A total of 2,253,026 dengue cases were reported, with the highest concentration in the Southeast region (1,250,375). </w:t>
      </w:r>
      <w:r w:rsidR="002B605B" w:rsidRPr="00CF0D49">
        <w:rPr>
          <w:rFonts w:ascii="Arial" w:hAnsi="Arial" w:cs="Arial"/>
        </w:rPr>
        <w:t>IgM serology was positive in 12.4%; ELISA was positive in 26.6%, while viral isolation was confirmed in 0.1% of cases. All four DENV serotypes accounted for 2.9%, with DEN1 being the most frequent. Hospitalizations in the pediatric group were 3.2%.</w:t>
      </w:r>
      <w:r w:rsidR="00362C7E" w:rsidRPr="00CF0D49">
        <w:rPr>
          <w:rFonts w:ascii="Arial" w:hAnsi="Arial" w:cs="Arial"/>
        </w:rPr>
        <w:t xml:space="preserve"> </w:t>
      </w:r>
      <w:r w:rsidRPr="00CF0D49">
        <w:rPr>
          <w:rFonts w:ascii="Arial" w:hAnsi="Arial" w:cs="Arial"/>
          <w:b/>
          <w:bCs/>
        </w:rPr>
        <w:t xml:space="preserve">Conclusion: </w:t>
      </w:r>
      <w:r w:rsidR="00CF0D49" w:rsidRPr="00CF0D49">
        <w:rPr>
          <w:rFonts w:ascii="Arial" w:hAnsi="Arial" w:cs="Arial"/>
        </w:rPr>
        <w:t>Serological tests remain important tools for dengue diagnosis, especially in settings with limited laboratory infrastructure. Despite advantages such as low cost and rapid results, they face challenges including cross-reactivity and low sensitivity in the early stages of infection. Analysis of national data highlights the importance of combining serological and molecular methods to improve diagnostic accuracy and strengthen the public health response, although clinical epidemiological diagnosis was used in 54.6% of cases to initiate childhood dengue treatment.</w:t>
      </w:r>
    </w:p>
    <w:p w14:paraId="02650008" w14:textId="77777777" w:rsidR="00CF0D49" w:rsidRPr="00DF5115" w:rsidRDefault="00CF0D49" w:rsidP="009111E8">
      <w:pPr>
        <w:spacing w:after="0"/>
        <w:jc w:val="both"/>
      </w:pPr>
    </w:p>
    <w:p w14:paraId="3856A121" w14:textId="6295D67B" w:rsidR="009111E8" w:rsidRPr="00D04072" w:rsidRDefault="009111E8" w:rsidP="009111E8">
      <w:pPr>
        <w:spacing w:after="0"/>
        <w:jc w:val="both"/>
        <w:rPr>
          <w:rFonts w:ascii="Arial" w:hAnsi="Arial" w:cs="Arial"/>
        </w:rPr>
      </w:pPr>
      <w:r w:rsidRPr="00D04072">
        <w:rPr>
          <w:rFonts w:ascii="Arial" w:hAnsi="Arial" w:cs="Arial"/>
          <w:b/>
          <w:bCs/>
        </w:rPr>
        <w:t>Keywords</w:t>
      </w:r>
      <w:r w:rsidRPr="00D04072">
        <w:rPr>
          <w:rFonts w:ascii="Arial" w:hAnsi="Arial" w:cs="Arial"/>
        </w:rPr>
        <w:t>: Dengue; Child; Serology</w:t>
      </w:r>
    </w:p>
    <w:p w14:paraId="4EAFE5B3" w14:textId="77777777" w:rsidR="009111E8" w:rsidRDefault="009111E8" w:rsidP="00AF3D1E"/>
    <w:p w14:paraId="6440306A" w14:textId="77777777" w:rsidR="003F5134" w:rsidRDefault="003F5134" w:rsidP="00AF3D1E"/>
    <w:p w14:paraId="04B14533" w14:textId="77777777" w:rsidR="009E5458" w:rsidRDefault="009E5458" w:rsidP="00AF3D1E"/>
    <w:p w14:paraId="1F4FE900" w14:textId="77777777" w:rsidR="00A43D33" w:rsidRPr="00DF5115" w:rsidRDefault="00A43D33" w:rsidP="00A43D33">
      <w:pPr>
        <w:spacing w:after="0" w:line="360" w:lineRule="auto"/>
        <w:jc w:val="both"/>
        <w:rPr>
          <w:rFonts w:ascii="Arial" w:hAnsi="Arial" w:cs="Arial"/>
          <w:b/>
          <w:bCs/>
        </w:rPr>
      </w:pPr>
      <w:r w:rsidRPr="00A43D33">
        <w:rPr>
          <w:rFonts w:ascii="Arial" w:hAnsi="Arial" w:cs="Arial"/>
          <w:b/>
          <w:bCs/>
        </w:rPr>
        <w:t>Introduction</w:t>
      </w:r>
    </w:p>
    <w:p w14:paraId="0041A3B6" w14:textId="77777777" w:rsidR="00A43D33" w:rsidRPr="00A43D33" w:rsidRDefault="00A43D33" w:rsidP="00A43D33">
      <w:pPr>
        <w:spacing w:after="0" w:line="360" w:lineRule="auto"/>
        <w:jc w:val="both"/>
        <w:rPr>
          <w:rFonts w:ascii="Arial" w:hAnsi="Arial" w:cs="Arial"/>
          <w:b/>
          <w:bCs/>
        </w:rPr>
      </w:pPr>
    </w:p>
    <w:p w14:paraId="57AA6B35" w14:textId="77777777" w:rsidR="00A43D33" w:rsidRDefault="00A43D33" w:rsidP="003F5134">
      <w:pPr>
        <w:spacing w:after="0" w:line="360" w:lineRule="auto"/>
        <w:ind w:firstLine="708"/>
        <w:jc w:val="both"/>
        <w:rPr>
          <w:rFonts w:ascii="Arial" w:hAnsi="Arial" w:cs="Arial"/>
        </w:rPr>
      </w:pPr>
      <w:r w:rsidRPr="00A43D33">
        <w:rPr>
          <w:rFonts w:ascii="Arial" w:hAnsi="Arial" w:cs="Arial"/>
        </w:rPr>
        <w:t xml:space="preserve">Dengue is a globally significant arboviral disease caused by the dengue virus (DENV), an RNA virus of the </w:t>
      </w:r>
      <w:r w:rsidRPr="00A43D33">
        <w:rPr>
          <w:rFonts w:ascii="Arial" w:hAnsi="Arial" w:cs="Arial"/>
          <w:i/>
          <w:iCs/>
        </w:rPr>
        <w:t>Flaviviridae</w:t>
      </w:r>
      <w:r w:rsidRPr="00A43D33">
        <w:rPr>
          <w:rFonts w:ascii="Arial" w:hAnsi="Arial" w:cs="Arial"/>
        </w:rPr>
        <w:t xml:space="preserve"> family, with four distinct serotypes (DENV-1 to DENV-4). The disease is endemic in more than 100 countries and poses a major challenge to public health systems, especially in tropical and subtropical regions (</w:t>
      </w:r>
      <w:bookmarkStart w:id="1" w:name="_Hlk205129712"/>
      <w:proofErr w:type="spellStart"/>
      <w:r w:rsidRPr="00A43D33">
        <w:rPr>
          <w:rFonts w:ascii="Arial" w:hAnsi="Arial" w:cs="Arial"/>
        </w:rPr>
        <w:t>Phanhkongsy</w:t>
      </w:r>
      <w:proofErr w:type="spellEnd"/>
      <w:r w:rsidRPr="00A43D33">
        <w:rPr>
          <w:rFonts w:ascii="Arial" w:hAnsi="Arial" w:cs="Arial"/>
        </w:rPr>
        <w:t xml:space="preserve"> et al., 2024; Day et al., 2024</w:t>
      </w:r>
      <w:bookmarkEnd w:id="1"/>
      <w:r w:rsidRPr="00A43D33">
        <w:rPr>
          <w:rFonts w:ascii="Arial" w:hAnsi="Arial" w:cs="Arial"/>
        </w:rPr>
        <w:t>). In the absence of specific antiviral treatment and with limited vaccine availability, early and accurate diagnosis is essential for proper clinical management, epidemiological control, and outbreak containment (</w:t>
      </w:r>
      <w:bookmarkStart w:id="2" w:name="_Hlk205129746"/>
      <w:r w:rsidRPr="00A43D33">
        <w:rPr>
          <w:rFonts w:ascii="Arial" w:hAnsi="Arial" w:cs="Arial"/>
        </w:rPr>
        <w:t xml:space="preserve">Yadav et al., 2025; </w:t>
      </w:r>
      <w:proofErr w:type="spellStart"/>
      <w:r w:rsidRPr="00A43D33">
        <w:rPr>
          <w:rFonts w:ascii="Arial" w:hAnsi="Arial" w:cs="Arial"/>
        </w:rPr>
        <w:t>Napit</w:t>
      </w:r>
      <w:proofErr w:type="spellEnd"/>
      <w:r w:rsidRPr="00A43D33">
        <w:rPr>
          <w:rFonts w:ascii="Arial" w:hAnsi="Arial" w:cs="Arial"/>
        </w:rPr>
        <w:t xml:space="preserve"> et al., 2024</w:t>
      </w:r>
      <w:bookmarkEnd w:id="2"/>
      <w:r w:rsidRPr="00A43D33">
        <w:rPr>
          <w:rFonts w:ascii="Arial" w:hAnsi="Arial" w:cs="Arial"/>
        </w:rPr>
        <w:t>).</w:t>
      </w:r>
    </w:p>
    <w:p w14:paraId="1889139F" w14:textId="55BE7DDD" w:rsidR="00163EBF" w:rsidRDefault="00163EBF" w:rsidP="003F5134">
      <w:pPr>
        <w:spacing w:after="0" w:line="360" w:lineRule="auto"/>
        <w:ind w:firstLine="708"/>
        <w:jc w:val="both"/>
        <w:rPr>
          <w:rFonts w:ascii="Arial" w:hAnsi="Arial" w:cs="Arial"/>
        </w:rPr>
      </w:pPr>
      <w:r w:rsidRPr="00163EBF">
        <w:rPr>
          <w:rFonts w:ascii="Arial" w:hAnsi="Arial" w:cs="Arial"/>
        </w:rPr>
        <w:t>Dengue serology is a hematological test that identifies the presence of antibodies, indicating whether there has been a previous or active infection. It detects IgM and IgG antibodies, produced by the immune system in response to the virus. Dengue-specific tests, such as serology and NS1 antigen for viral isolation and antibody identification (IgG and IgM), are easy and inexpensive to perform, and capable of providing early analysis of viral infection, making them a priority for preventing severe forms and mortality from the disease (</w:t>
      </w:r>
      <w:bookmarkStart w:id="3" w:name="_Hlk205129772"/>
      <w:r w:rsidRPr="00163EBF">
        <w:rPr>
          <w:rFonts w:ascii="Arial" w:hAnsi="Arial" w:cs="Arial"/>
        </w:rPr>
        <w:t>Mohapatra, Diksha et al., 2025</w:t>
      </w:r>
      <w:r>
        <w:rPr>
          <w:rFonts w:ascii="Arial" w:hAnsi="Arial" w:cs="Arial"/>
        </w:rPr>
        <w:t xml:space="preserve">; </w:t>
      </w:r>
      <w:proofErr w:type="spellStart"/>
      <w:r w:rsidRPr="00163EBF">
        <w:rPr>
          <w:rFonts w:ascii="Arial" w:hAnsi="Arial" w:cs="Arial"/>
        </w:rPr>
        <w:t>Kinanti</w:t>
      </w:r>
      <w:proofErr w:type="spellEnd"/>
      <w:r w:rsidRPr="00163EBF">
        <w:rPr>
          <w:rFonts w:ascii="Arial" w:hAnsi="Arial" w:cs="Arial"/>
        </w:rPr>
        <w:t xml:space="preserve"> et al., 2024; Sukumaran et al., 2024</w:t>
      </w:r>
      <w:bookmarkEnd w:id="3"/>
      <w:r w:rsidRPr="00163EBF">
        <w:rPr>
          <w:rFonts w:ascii="Arial" w:hAnsi="Arial" w:cs="Arial"/>
        </w:rPr>
        <w:t>).</w:t>
      </w:r>
    </w:p>
    <w:p w14:paraId="3FDFB1A9" w14:textId="07EF6579" w:rsidR="00A43D33" w:rsidRPr="00A43D33" w:rsidRDefault="00A43D33" w:rsidP="003F5134">
      <w:pPr>
        <w:spacing w:after="0" w:line="360" w:lineRule="auto"/>
        <w:ind w:firstLine="708"/>
        <w:jc w:val="both"/>
        <w:rPr>
          <w:rFonts w:ascii="Arial" w:hAnsi="Arial" w:cs="Arial"/>
        </w:rPr>
      </w:pPr>
      <w:r w:rsidRPr="00A43D33">
        <w:rPr>
          <w:rFonts w:ascii="Arial" w:hAnsi="Arial" w:cs="Arial"/>
        </w:rPr>
        <w:t>The presence of IgM usually indicates a recent infection, whereas isolated IgG detection may suggest a past infection. These tests, although widely used, are subject to cross-reactivity with other flaviviruses, such as Zika and yellow fever, which may compromise diagnostic specificity (</w:t>
      </w:r>
      <w:bookmarkStart w:id="4" w:name="_Hlk205129798"/>
      <w:r w:rsidRPr="00A43D33">
        <w:rPr>
          <w:rFonts w:ascii="Arial" w:hAnsi="Arial" w:cs="Arial"/>
        </w:rPr>
        <w:t>Arruda et al., 2024; Jama et al., 2024</w:t>
      </w:r>
      <w:bookmarkEnd w:id="4"/>
      <w:r w:rsidRPr="00A43D33">
        <w:rPr>
          <w:rFonts w:ascii="Arial" w:hAnsi="Arial" w:cs="Arial"/>
        </w:rPr>
        <w:t>).</w:t>
      </w:r>
    </w:p>
    <w:p w14:paraId="03AF7F55" w14:textId="0725C9AE" w:rsidR="00A43D33" w:rsidRPr="00A43D33" w:rsidRDefault="00A43D33" w:rsidP="00163EBF">
      <w:pPr>
        <w:spacing w:after="0" w:line="360" w:lineRule="auto"/>
        <w:ind w:firstLine="708"/>
        <w:jc w:val="both"/>
        <w:rPr>
          <w:rFonts w:ascii="Arial" w:hAnsi="Arial" w:cs="Arial"/>
        </w:rPr>
      </w:pPr>
      <w:r w:rsidRPr="00CA410E">
        <w:rPr>
          <w:rFonts w:ascii="Arial" w:hAnsi="Arial" w:cs="Arial"/>
        </w:rPr>
        <w:t>Another significant advance in serology was the introduction of detection for the non-structural antigen 1 (NS1), a glycoprotein secreted during the acute phase of infection. Lateral flow immunoassays (LFIA) and ELISA for NS1 have shown high specificity in detecting active infection, particularly during the early symptomatic days (</w:t>
      </w:r>
      <w:bookmarkStart w:id="5" w:name="_Hlk205129826"/>
      <w:r w:rsidRPr="00CA410E">
        <w:rPr>
          <w:rFonts w:ascii="Arial" w:hAnsi="Arial" w:cs="Arial"/>
        </w:rPr>
        <w:t xml:space="preserve">Sukumaran et al., 2024; Hasan </w:t>
      </w:r>
      <w:r w:rsidR="00CA410E" w:rsidRPr="00CA410E">
        <w:rPr>
          <w:rFonts w:ascii="Arial" w:hAnsi="Arial" w:cs="Arial"/>
        </w:rPr>
        <w:t xml:space="preserve">MR </w:t>
      </w:r>
      <w:r w:rsidRPr="00CA410E">
        <w:rPr>
          <w:rFonts w:ascii="Arial" w:hAnsi="Arial" w:cs="Arial"/>
        </w:rPr>
        <w:t>et al., 2024</w:t>
      </w:r>
      <w:bookmarkEnd w:id="5"/>
      <w:r w:rsidRPr="00CA410E">
        <w:rPr>
          <w:rFonts w:ascii="Arial" w:hAnsi="Arial" w:cs="Arial"/>
        </w:rPr>
        <w:t xml:space="preserve">). </w:t>
      </w:r>
      <w:r w:rsidRPr="00A43D33">
        <w:rPr>
          <w:rFonts w:ascii="Arial" w:hAnsi="Arial" w:cs="Arial"/>
        </w:rPr>
        <w:t>The combination of NS1 with IgM and IgG increases the overall diagnostic sensitivity, expanding the diagnostic window and allowing greater accuracy in case screening.</w:t>
      </w:r>
    </w:p>
    <w:p w14:paraId="618E1C70" w14:textId="77777777" w:rsidR="006167FE" w:rsidRDefault="00A43D33" w:rsidP="006167FE">
      <w:pPr>
        <w:spacing w:after="0" w:line="360" w:lineRule="auto"/>
        <w:ind w:firstLine="708"/>
        <w:jc w:val="both"/>
        <w:rPr>
          <w:rFonts w:ascii="Arial" w:hAnsi="Arial" w:cs="Arial"/>
        </w:rPr>
      </w:pPr>
      <w:r w:rsidRPr="00A43D33">
        <w:rPr>
          <w:rFonts w:ascii="Arial" w:hAnsi="Arial" w:cs="Arial"/>
        </w:rPr>
        <w:t>Despite these advances, the diagnostic accuracy of traditional serological methods remains limited in hyperendemic environments or areas with high secondary infection rates. Therefore, new technologies have been incorporated into diagnostic routines, notably loop-mediated isothermal amplification (RT-</w:t>
      </w:r>
      <w:r w:rsidRPr="00A43D33">
        <w:rPr>
          <w:rFonts w:ascii="Arial" w:hAnsi="Arial" w:cs="Arial"/>
        </w:rPr>
        <w:lastRenderedPageBreak/>
        <w:t>LAMP) systems and aptamer-based assays, which combine high specificity, low cost, and operational simplicity. These methods, capable of producing visible results to the naked eye, have demonstrated up to 95% sensitivity and 100% specificity compared to RT-PCR, and avoid cross-reactions with the Zika virus (</w:t>
      </w:r>
      <w:bookmarkStart w:id="6" w:name="_Hlk205129850"/>
      <w:r w:rsidRPr="00A43D33">
        <w:rPr>
          <w:rFonts w:ascii="Arial" w:hAnsi="Arial" w:cs="Arial"/>
        </w:rPr>
        <w:t>Arruda et al., 2024</w:t>
      </w:r>
      <w:bookmarkEnd w:id="6"/>
      <w:r w:rsidRPr="00A43D33">
        <w:rPr>
          <w:rFonts w:ascii="Arial" w:hAnsi="Arial" w:cs="Arial"/>
        </w:rPr>
        <w:t>).</w:t>
      </w:r>
    </w:p>
    <w:p w14:paraId="550DBF7B" w14:textId="77777777" w:rsidR="006167FE" w:rsidRDefault="006167FE" w:rsidP="006167FE">
      <w:pPr>
        <w:spacing w:after="0" w:line="360" w:lineRule="auto"/>
        <w:ind w:firstLine="708"/>
        <w:jc w:val="both"/>
        <w:rPr>
          <w:rFonts w:ascii="Arial" w:hAnsi="Arial" w:cs="Arial"/>
        </w:rPr>
      </w:pPr>
      <w:r w:rsidRPr="006167FE">
        <w:rPr>
          <w:rFonts w:ascii="Arial" w:hAnsi="Arial" w:cs="Arial"/>
        </w:rPr>
        <w:t>Studies of this type encourage the use of other technologies in the diagnosis of serious diseases such as dengue. Among them, portable multiplex devices, such as QR code-reading biosensors and zinc oxide nanoparticles (</w:t>
      </w:r>
      <w:proofErr w:type="spellStart"/>
      <w:r w:rsidRPr="006167FE">
        <w:rPr>
          <w:rFonts w:ascii="Arial" w:hAnsi="Arial" w:cs="Arial"/>
        </w:rPr>
        <w:t>ZnO</w:t>
      </w:r>
      <w:proofErr w:type="spellEnd"/>
      <w:r w:rsidRPr="006167FE">
        <w:rPr>
          <w:rFonts w:ascii="Arial" w:hAnsi="Arial" w:cs="Arial"/>
        </w:rPr>
        <w:t>-NPs), can identify multiple DENV serotypes in a single test with limits of detection (LD) below 15 ng/mL (Hasan MR et al., 2024). Furthermore, CRISPR-based technologies, such as Cas13a/Cas12a colorimetric systems, are being tested for ultrasensitive dengue diagnostics, with limits of detection in the femtomolar range (</w:t>
      </w:r>
      <w:bookmarkStart w:id="7" w:name="_Hlk205129876"/>
      <w:r w:rsidRPr="006167FE">
        <w:rPr>
          <w:rFonts w:ascii="Arial" w:hAnsi="Arial" w:cs="Arial"/>
        </w:rPr>
        <w:t>Tian et al., 2024</w:t>
      </w:r>
      <w:bookmarkEnd w:id="7"/>
      <w:r w:rsidRPr="006167FE">
        <w:rPr>
          <w:rFonts w:ascii="Arial" w:hAnsi="Arial" w:cs="Arial"/>
        </w:rPr>
        <w:t>).</w:t>
      </w:r>
    </w:p>
    <w:p w14:paraId="4A009640" w14:textId="77777777" w:rsidR="006167FE" w:rsidRDefault="006167FE" w:rsidP="006167FE">
      <w:pPr>
        <w:spacing w:after="0" w:line="360" w:lineRule="auto"/>
        <w:ind w:firstLine="708"/>
        <w:jc w:val="both"/>
        <w:rPr>
          <w:rFonts w:ascii="Arial" w:hAnsi="Arial" w:cs="Arial"/>
        </w:rPr>
      </w:pPr>
      <w:r w:rsidRPr="006167FE">
        <w:rPr>
          <w:rFonts w:ascii="Arial" w:hAnsi="Arial" w:cs="Arial"/>
        </w:rPr>
        <w:t>It is important to note that the choice of diagnostic test depends on the clinical stage of the infection, the available infrastructure, and the purpose of the test—be it clinical, epidemiological, or surveillance. Although rapid tests are highly applicable for early screening and remote areas, PCR or ELISA confirmation is still recommended to validate cases, especially in contexts such as organ transplantation or outbreak control (</w:t>
      </w:r>
      <w:bookmarkStart w:id="8" w:name="_Hlk205129927"/>
      <w:r w:rsidRPr="006167FE">
        <w:rPr>
          <w:rFonts w:ascii="Arial" w:hAnsi="Arial" w:cs="Arial"/>
        </w:rPr>
        <w:t>Tan et al., 2024</w:t>
      </w:r>
      <w:bookmarkStart w:id="9" w:name="_Hlk205129896"/>
      <w:bookmarkEnd w:id="8"/>
      <w:r w:rsidRPr="006167FE">
        <w:rPr>
          <w:rFonts w:ascii="Arial" w:hAnsi="Arial" w:cs="Arial"/>
        </w:rPr>
        <w:t>; Vita et al., 2024</w:t>
      </w:r>
      <w:bookmarkEnd w:id="9"/>
      <w:r w:rsidRPr="006167FE">
        <w:rPr>
          <w:rFonts w:ascii="Arial" w:hAnsi="Arial" w:cs="Arial"/>
        </w:rPr>
        <w:t>).</w:t>
      </w:r>
    </w:p>
    <w:p w14:paraId="29F1FFA3" w14:textId="7680E5E6" w:rsidR="009111E8" w:rsidRPr="00DF5115" w:rsidRDefault="006167FE" w:rsidP="006167FE">
      <w:pPr>
        <w:spacing w:after="0" w:line="360" w:lineRule="auto"/>
        <w:ind w:firstLine="708"/>
        <w:jc w:val="both"/>
        <w:rPr>
          <w:rFonts w:ascii="Arial" w:hAnsi="Arial" w:cs="Arial"/>
        </w:rPr>
      </w:pPr>
      <w:r w:rsidRPr="006167FE">
        <w:rPr>
          <w:rFonts w:ascii="Arial" w:hAnsi="Arial" w:cs="Arial"/>
        </w:rPr>
        <w:t>In summary, serological diagnosis of dengue remains an essential tool in disease management, and recent methodological advances aim to overcome the limitations of traditional tests. The incorporation of more sensitive, specific, and accessible techniques contributes to epidemiological surveillance and an effective response to the growing global dengue burden. Therefore, the objective of this study is to present the methods used in Brazil for dengue diagnosis.</w:t>
      </w:r>
    </w:p>
    <w:p w14:paraId="2FC916E8" w14:textId="77777777" w:rsidR="009111E8" w:rsidRDefault="009111E8" w:rsidP="008A4681">
      <w:pPr>
        <w:spacing w:after="0" w:line="360" w:lineRule="auto"/>
        <w:jc w:val="both"/>
        <w:rPr>
          <w:rFonts w:ascii="Arial" w:hAnsi="Arial" w:cs="Arial"/>
        </w:rPr>
      </w:pPr>
    </w:p>
    <w:p w14:paraId="500B56F8" w14:textId="77777777" w:rsidR="00F478E4" w:rsidRDefault="00F478E4" w:rsidP="008A4681">
      <w:pPr>
        <w:spacing w:after="0" w:line="360" w:lineRule="auto"/>
        <w:jc w:val="both"/>
        <w:rPr>
          <w:rFonts w:ascii="Arial" w:hAnsi="Arial" w:cs="Arial"/>
        </w:rPr>
      </w:pPr>
    </w:p>
    <w:p w14:paraId="39BE1C33" w14:textId="77777777" w:rsidR="006167FE" w:rsidRDefault="006167FE" w:rsidP="008A4681">
      <w:pPr>
        <w:spacing w:after="0" w:line="360" w:lineRule="auto"/>
        <w:jc w:val="both"/>
        <w:rPr>
          <w:rFonts w:ascii="Arial" w:hAnsi="Arial" w:cs="Arial"/>
        </w:rPr>
      </w:pPr>
    </w:p>
    <w:p w14:paraId="12D456F1" w14:textId="77777777" w:rsidR="006167FE" w:rsidRDefault="006167FE" w:rsidP="008A4681">
      <w:pPr>
        <w:spacing w:after="0" w:line="360" w:lineRule="auto"/>
        <w:jc w:val="both"/>
        <w:rPr>
          <w:rFonts w:ascii="Arial" w:hAnsi="Arial" w:cs="Arial"/>
        </w:rPr>
      </w:pPr>
    </w:p>
    <w:p w14:paraId="72C5BD0A" w14:textId="77777777" w:rsidR="006167FE" w:rsidRDefault="006167FE" w:rsidP="008A4681">
      <w:pPr>
        <w:spacing w:after="0" w:line="360" w:lineRule="auto"/>
        <w:jc w:val="both"/>
        <w:rPr>
          <w:rFonts w:ascii="Arial" w:hAnsi="Arial" w:cs="Arial"/>
        </w:rPr>
      </w:pPr>
    </w:p>
    <w:p w14:paraId="2EAE9E30" w14:textId="77777777" w:rsidR="006167FE" w:rsidRDefault="006167FE" w:rsidP="008A4681">
      <w:pPr>
        <w:spacing w:after="0" w:line="360" w:lineRule="auto"/>
        <w:jc w:val="both"/>
        <w:rPr>
          <w:rFonts w:ascii="Arial" w:hAnsi="Arial" w:cs="Arial"/>
        </w:rPr>
      </w:pPr>
    </w:p>
    <w:p w14:paraId="5A9CD22F" w14:textId="77777777" w:rsidR="006167FE" w:rsidRPr="00DF5115" w:rsidRDefault="006167FE" w:rsidP="008A4681">
      <w:pPr>
        <w:spacing w:after="0" w:line="360" w:lineRule="auto"/>
        <w:jc w:val="both"/>
        <w:rPr>
          <w:rFonts w:ascii="Arial" w:hAnsi="Arial" w:cs="Arial"/>
        </w:rPr>
      </w:pPr>
    </w:p>
    <w:p w14:paraId="6F9372B5" w14:textId="77777777" w:rsidR="009111E8" w:rsidRPr="00DF5115" w:rsidRDefault="009111E8" w:rsidP="008A4681">
      <w:pPr>
        <w:spacing w:after="0" w:line="360" w:lineRule="auto"/>
        <w:jc w:val="both"/>
        <w:rPr>
          <w:rFonts w:ascii="Arial" w:hAnsi="Arial" w:cs="Arial"/>
        </w:rPr>
      </w:pPr>
    </w:p>
    <w:p w14:paraId="376C4C29" w14:textId="64030EBA" w:rsidR="00A43D33" w:rsidRPr="00DF5115" w:rsidRDefault="00A43D33" w:rsidP="008A4681">
      <w:pPr>
        <w:spacing w:after="0" w:line="360" w:lineRule="auto"/>
        <w:jc w:val="both"/>
        <w:rPr>
          <w:rFonts w:ascii="Arial" w:hAnsi="Arial" w:cs="Arial"/>
          <w:b/>
          <w:bCs/>
        </w:rPr>
      </w:pPr>
      <w:r w:rsidRPr="00DF5115">
        <w:rPr>
          <w:rFonts w:ascii="Arial" w:hAnsi="Arial" w:cs="Arial"/>
          <w:b/>
          <w:bCs/>
        </w:rPr>
        <w:t>Method</w:t>
      </w:r>
    </w:p>
    <w:p w14:paraId="498AE37F" w14:textId="77777777" w:rsidR="00A43D33" w:rsidRPr="00DF5115" w:rsidRDefault="00A43D33" w:rsidP="008A4681">
      <w:pPr>
        <w:spacing w:after="0" w:line="360" w:lineRule="auto"/>
        <w:jc w:val="both"/>
        <w:rPr>
          <w:rFonts w:ascii="Arial" w:hAnsi="Arial" w:cs="Arial"/>
          <w:b/>
          <w:bCs/>
        </w:rPr>
      </w:pPr>
    </w:p>
    <w:p w14:paraId="75A43DE1" w14:textId="7A256AA8" w:rsidR="00F7023F" w:rsidRDefault="00A43D33" w:rsidP="00F51C88">
      <w:pPr>
        <w:spacing w:after="0" w:line="360" w:lineRule="auto"/>
        <w:ind w:firstLine="708"/>
        <w:jc w:val="both"/>
        <w:rPr>
          <w:rFonts w:ascii="Arial" w:eastAsia="Arial" w:hAnsi="Arial" w:cs="Arial"/>
        </w:rPr>
      </w:pPr>
      <w:r w:rsidRPr="00A43D33">
        <w:rPr>
          <w:rFonts w:ascii="Arial" w:eastAsia="Arial" w:hAnsi="Arial" w:cs="Arial"/>
        </w:rPr>
        <w:t xml:space="preserve">Data collection occurred between July 13 and 15, 2025, through the official website </w:t>
      </w:r>
      <w:hyperlink r:id="rId7" w:tgtFrame="_new" w:history="1">
        <w:r w:rsidRPr="00A43D33">
          <w:rPr>
            <w:rStyle w:val="Hyperlink"/>
            <w:rFonts w:ascii="Arial" w:eastAsia="Arial" w:hAnsi="Arial" w:cs="Arial"/>
          </w:rPr>
          <w:t>https://datasus.saude.gov.br/informacoes-de-saude-tabnet/</w:t>
        </w:r>
      </w:hyperlink>
      <w:r w:rsidRPr="00A43D33">
        <w:rPr>
          <w:rFonts w:ascii="Arial" w:eastAsia="Arial" w:hAnsi="Arial" w:cs="Arial"/>
        </w:rPr>
        <w:t xml:space="preserve">. The pathway followed was “Epidemiology and Morbidity” → “Diseases and Notifiable Conditions - from 2007 onwards (SINAN)” available at </w:t>
      </w:r>
      <w:hyperlink r:id="rId8" w:tgtFrame="_new" w:history="1">
        <w:r w:rsidRPr="00386FA8">
          <w:rPr>
            <w:rStyle w:val="Hyperlink"/>
            <w:rFonts w:ascii="Arial" w:eastAsia="Arial" w:hAnsi="Arial" w:cs="Arial"/>
            <w:color w:val="000000" w:themeColor="text1"/>
            <w:u w:val="none"/>
          </w:rPr>
          <w:t>https://datasus.saude.gov.br/acesso-a-informacao/doencas-e-agravos-de-notificacao-de-2007-em-diante-sinan</w:t>
        </w:r>
      </w:hyperlink>
      <w:r w:rsidRPr="00386FA8">
        <w:rPr>
          <w:rFonts w:ascii="Arial" w:eastAsia="Arial" w:hAnsi="Arial" w:cs="Arial"/>
          <w:color w:val="000000" w:themeColor="text1"/>
        </w:rPr>
        <w:t xml:space="preserve">, selecting the item "Dengue from 2014 </w:t>
      </w:r>
      <w:r w:rsidRPr="00A43D33">
        <w:rPr>
          <w:rFonts w:ascii="Arial" w:eastAsia="Arial" w:hAnsi="Arial" w:cs="Arial"/>
        </w:rPr>
        <w:t xml:space="preserve">onwards." Information was obtained on "Probable Cases by Notification Region according to Serological Test (IgM), Dengue ELISA, Viral Isolation, Serotype, and final diagnostic classification," for the years 2022 to 2024. </w:t>
      </w:r>
      <w:r w:rsidR="00F51C88" w:rsidRPr="00F51C88">
        <w:rPr>
          <w:rFonts w:ascii="Arial" w:eastAsia="Arial" w:hAnsi="Arial" w:cs="Arial"/>
        </w:rPr>
        <w:t>The information was organized in Microsoft Excel, from where the absolute and percentage data used in the analyses were obtained.</w:t>
      </w:r>
    </w:p>
    <w:p w14:paraId="5FA1350F" w14:textId="77777777" w:rsidR="00F478E4" w:rsidRPr="00F478E4" w:rsidRDefault="00F478E4" w:rsidP="00F478E4">
      <w:pPr>
        <w:spacing w:after="0" w:line="360" w:lineRule="auto"/>
        <w:ind w:firstLine="708"/>
        <w:jc w:val="both"/>
        <w:rPr>
          <w:rFonts w:ascii="Arial" w:hAnsi="Arial" w:cs="Arial"/>
        </w:rPr>
      </w:pPr>
      <w:r w:rsidRPr="00F478E4">
        <w:rPr>
          <w:rFonts w:ascii="Arial" w:hAnsi="Arial" w:cs="Arial"/>
        </w:rPr>
        <w:t>Variables such as age, serotyping, viral isolation, and hospitalization were included. Serotyping and viral isolation are laboratory techniques used to identify and characterize the dengue virus, specifically which serotype is causing the infection. Serotyping determines which of the four serotypes (DENV-1, DENV-2, DENV-3, or DENV-4) is present, while viral isolation involves culturing the virus in a laboratory for subsequent analysis (</w:t>
      </w:r>
      <w:bookmarkStart w:id="10" w:name="_Hlk205129953"/>
      <w:r w:rsidRPr="00F478E4">
        <w:rPr>
          <w:rFonts w:ascii="Arial" w:hAnsi="Arial" w:cs="Arial"/>
        </w:rPr>
        <w:t xml:space="preserve">Pillay, </w:t>
      </w:r>
      <w:proofErr w:type="spellStart"/>
      <w:r w:rsidRPr="00F478E4">
        <w:rPr>
          <w:rFonts w:ascii="Arial" w:hAnsi="Arial" w:cs="Arial"/>
        </w:rPr>
        <w:t>Kamla</w:t>
      </w:r>
      <w:proofErr w:type="spellEnd"/>
      <w:r w:rsidRPr="00F478E4">
        <w:rPr>
          <w:rFonts w:ascii="Arial" w:hAnsi="Arial" w:cs="Arial"/>
        </w:rPr>
        <w:t>, et al. 2025</w:t>
      </w:r>
      <w:bookmarkEnd w:id="10"/>
      <w:r w:rsidRPr="00F478E4">
        <w:rPr>
          <w:rFonts w:ascii="Arial" w:hAnsi="Arial" w:cs="Arial"/>
        </w:rPr>
        <w:t>).</w:t>
      </w:r>
    </w:p>
    <w:p w14:paraId="02359D67" w14:textId="7C697B18" w:rsidR="00A43D33" w:rsidRDefault="00A43D33" w:rsidP="00F51C88">
      <w:pPr>
        <w:spacing w:after="0" w:line="360" w:lineRule="auto"/>
        <w:ind w:firstLine="708"/>
        <w:jc w:val="both"/>
        <w:rPr>
          <w:rFonts w:ascii="Arial" w:eastAsia="Arial" w:hAnsi="Arial" w:cs="Arial"/>
        </w:rPr>
      </w:pPr>
      <w:r w:rsidRPr="00A43D33">
        <w:rPr>
          <w:rFonts w:ascii="Arial" w:eastAsia="Arial" w:hAnsi="Arial" w:cs="Arial"/>
        </w:rPr>
        <w:t>This study was not submitted for Research Ethics Committee approval, as the data discussed are publicly accessible, freely available online, and intended for public interest and consultation.</w:t>
      </w:r>
    </w:p>
    <w:p w14:paraId="07720BF7" w14:textId="77777777" w:rsidR="00F478E4" w:rsidRDefault="00F478E4" w:rsidP="00F51C88">
      <w:pPr>
        <w:spacing w:after="0" w:line="360" w:lineRule="auto"/>
        <w:ind w:firstLine="708"/>
        <w:jc w:val="both"/>
        <w:rPr>
          <w:rFonts w:ascii="Arial" w:eastAsia="Arial" w:hAnsi="Arial" w:cs="Arial"/>
        </w:rPr>
      </w:pPr>
    </w:p>
    <w:p w14:paraId="1CB2E408" w14:textId="77777777" w:rsidR="00F478E4" w:rsidRDefault="00F478E4" w:rsidP="00F51C88">
      <w:pPr>
        <w:spacing w:after="0" w:line="360" w:lineRule="auto"/>
        <w:ind w:firstLine="708"/>
        <w:jc w:val="both"/>
        <w:rPr>
          <w:rFonts w:ascii="Arial" w:eastAsia="Arial" w:hAnsi="Arial" w:cs="Arial"/>
        </w:rPr>
      </w:pPr>
    </w:p>
    <w:p w14:paraId="3956ADC5" w14:textId="77777777" w:rsidR="00F478E4" w:rsidRDefault="00F478E4" w:rsidP="00F51C88">
      <w:pPr>
        <w:spacing w:after="0" w:line="360" w:lineRule="auto"/>
        <w:ind w:firstLine="708"/>
        <w:jc w:val="both"/>
        <w:rPr>
          <w:rFonts w:ascii="Arial" w:eastAsia="Arial" w:hAnsi="Arial" w:cs="Arial"/>
        </w:rPr>
      </w:pPr>
    </w:p>
    <w:p w14:paraId="58704A51" w14:textId="77777777" w:rsidR="00F478E4" w:rsidRDefault="00F478E4" w:rsidP="00F51C88">
      <w:pPr>
        <w:spacing w:after="0" w:line="360" w:lineRule="auto"/>
        <w:ind w:firstLine="708"/>
        <w:jc w:val="both"/>
        <w:rPr>
          <w:rFonts w:ascii="Arial" w:eastAsia="Arial" w:hAnsi="Arial" w:cs="Arial"/>
        </w:rPr>
      </w:pPr>
    </w:p>
    <w:p w14:paraId="3596449A" w14:textId="77777777" w:rsidR="00F478E4" w:rsidRDefault="00F478E4" w:rsidP="00F51C88">
      <w:pPr>
        <w:spacing w:after="0" w:line="360" w:lineRule="auto"/>
        <w:ind w:firstLine="708"/>
        <w:jc w:val="both"/>
        <w:rPr>
          <w:rFonts w:ascii="Arial" w:eastAsia="Arial" w:hAnsi="Arial" w:cs="Arial"/>
        </w:rPr>
      </w:pPr>
    </w:p>
    <w:p w14:paraId="07CF9926" w14:textId="77777777" w:rsidR="00F478E4" w:rsidRDefault="00F478E4" w:rsidP="00F51C88">
      <w:pPr>
        <w:spacing w:after="0" w:line="360" w:lineRule="auto"/>
        <w:ind w:firstLine="708"/>
        <w:jc w:val="both"/>
        <w:rPr>
          <w:rFonts w:ascii="Arial" w:eastAsia="Arial" w:hAnsi="Arial" w:cs="Arial"/>
        </w:rPr>
      </w:pPr>
    </w:p>
    <w:p w14:paraId="39312866" w14:textId="77777777" w:rsidR="00F478E4" w:rsidRDefault="00F478E4" w:rsidP="00F51C88">
      <w:pPr>
        <w:spacing w:after="0" w:line="360" w:lineRule="auto"/>
        <w:ind w:firstLine="708"/>
        <w:jc w:val="both"/>
        <w:rPr>
          <w:rFonts w:ascii="Arial" w:eastAsia="Arial" w:hAnsi="Arial" w:cs="Arial"/>
        </w:rPr>
      </w:pPr>
    </w:p>
    <w:p w14:paraId="28918786" w14:textId="77777777" w:rsidR="00F478E4" w:rsidRDefault="00F478E4" w:rsidP="00F51C88">
      <w:pPr>
        <w:spacing w:after="0" w:line="360" w:lineRule="auto"/>
        <w:ind w:firstLine="708"/>
        <w:jc w:val="both"/>
        <w:rPr>
          <w:rFonts w:ascii="Arial" w:eastAsia="Arial" w:hAnsi="Arial" w:cs="Arial"/>
        </w:rPr>
      </w:pPr>
    </w:p>
    <w:p w14:paraId="5C1183BB" w14:textId="77777777" w:rsidR="00F478E4" w:rsidRDefault="00F478E4" w:rsidP="00F51C88">
      <w:pPr>
        <w:spacing w:after="0" w:line="360" w:lineRule="auto"/>
        <w:ind w:firstLine="708"/>
        <w:jc w:val="both"/>
        <w:rPr>
          <w:rFonts w:ascii="Arial" w:eastAsia="Arial" w:hAnsi="Arial" w:cs="Arial"/>
        </w:rPr>
      </w:pPr>
    </w:p>
    <w:p w14:paraId="7FED4C14" w14:textId="77777777" w:rsidR="00F478E4" w:rsidRDefault="00F478E4" w:rsidP="00F51C88">
      <w:pPr>
        <w:spacing w:after="0" w:line="360" w:lineRule="auto"/>
        <w:ind w:firstLine="708"/>
        <w:jc w:val="both"/>
        <w:rPr>
          <w:rFonts w:ascii="Arial" w:eastAsia="Arial" w:hAnsi="Arial" w:cs="Arial"/>
        </w:rPr>
      </w:pPr>
    </w:p>
    <w:p w14:paraId="26C4D5E0" w14:textId="77777777" w:rsidR="00F478E4" w:rsidRDefault="00F478E4" w:rsidP="00F51C88">
      <w:pPr>
        <w:spacing w:after="0" w:line="360" w:lineRule="auto"/>
        <w:ind w:firstLine="708"/>
        <w:jc w:val="both"/>
        <w:rPr>
          <w:rFonts w:ascii="Arial" w:eastAsia="Arial" w:hAnsi="Arial" w:cs="Arial"/>
        </w:rPr>
      </w:pPr>
    </w:p>
    <w:p w14:paraId="0A7818FA" w14:textId="77777777" w:rsidR="00F478E4" w:rsidRDefault="00F478E4" w:rsidP="00F51C88">
      <w:pPr>
        <w:spacing w:after="0" w:line="360" w:lineRule="auto"/>
        <w:ind w:firstLine="708"/>
        <w:jc w:val="both"/>
        <w:rPr>
          <w:rFonts w:ascii="Arial" w:eastAsia="Arial" w:hAnsi="Arial" w:cs="Arial"/>
        </w:rPr>
      </w:pPr>
    </w:p>
    <w:p w14:paraId="0DFD87BA" w14:textId="773DC1E9" w:rsidR="003803FF" w:rsidRPr="00DF5115" w:rsidRDefault="0040475D" w:rsidP="003803FF">
      <w:pPr>
        <w:spacing w:after="0" w:line="360" w:lineRule="auto"/>
        <w:jc w:val="both"/>
        <w:rPr>
          <w:rFonts w:ascii="Arial" w:eastAsia="Times New Roman" w:hAnsi="Arial" w:cs="Arial"/>
          <w:color w:val="000000"/>
          <w:kern w:val="0"/>
          <w:lang w:eastAsia="pt-BR"/>
          <w14:ligatures w14:val="none"/>
        </w:rPr>
      </w:pPr>
      <w:r w:rsidRPr="00DF5115">
        <w:rPr>
          <w:rFonts w:ascii="Arial" w:eastAsia="Times New Roman" w:hAnsi="Arial" w:cs="Arial"/>
          <w:b/>
          <w:bCs/>
          <w:color w:val="000000"/>
          <w:kern w:val="0"/>
          <w:lang w:eastAsia="pt-BR"/>
          <w14:ligatures w14:val="none"/>
        </w:rPr>
        <w:t>Result</w:t>
      </w:r>
      <w:r w:rsidR="003803FF" w:rsidRPr="00DF5115">
        <w:rPr>
          <w:rFonts w:ascii="Arial" w:eastAsia="Times New Roman" w:hAnsi="Arial" w:cs="Arial"/>
          <w:b/>
          <w:bCs/>
          <w:color w:val="000000"/>
          <w:kern w:val="0"/>
          <w:lang w:eastAsia="pt-BR"/>
          <w14:ligatures w14:val="none"/>
        </w:rPr>
        <w:t>s</w:t>
      </w:r>
    </w:p>
    <w:p w14:paraId="5D57212C" w14:textId="140F7F78" w:rsidR="005432A8" w:rsidRDefault="005432A8" w:rsidP="002B6D51">
      <w:pPr>
        <w:spacing w:after="0" w:line="360" w:lineRule="auto"/>
        <w:ind w:firstLineChars="200" w:firstLine="480"/>
        <w:jc w:val="both"/>
        <w:rPr>
          <w:rFonts w:ascii="Arial" w:eastAsia="Times New Roman" w:hAnsi="Arial" w:cs="Arial"/>
          <w:color w:val="000000"/>
          <w:kern w:val="0"/>
          <w:lang w:eastAsia="pt-BR"/>
          <w14:ligatures w14:val="none"/>
        </w:rPr>
      </w:pPr>
      <w:r w:rsidRPr="005432A8">
        <w:rPr>
          <w:rFonts w:ascii="Arial" w:eastAsia="Times New Roman" w:hAnsi="Arial" w:cs="Arial"/>
          <w:color w:val="000000"/>
          <w:kern w:val="0"/>
          <w:lang w:eastAsia="pt-BR"/>
          <w14:ligatures w14:val="none"/>
        </w:rPr>
        <w:lastRenderedPageBreak/>
        <w:t>The probable cases of Dengue, by notification region according to age group in Brazil, included 9,329,462, distributed in the North (140,780), Northeast (692,439), Southeast (5,387,118), South (421,771) and Central-West (1,201,583) regions. Of this total, the pediatric population in the age group &lt;1 to 19 years represented 2,253,026 (2.4%), shown in Table 1.</w:t>
      </w:r>
    </w:p>
    <w:p w14:paraId="51EBD2E9" w14:textId="73F51072" w:rsidR="00D434B2" w:rsidRPr="002B6D51" w:rsidRDefault="00D434B2" w:rsidP="002B6D51">
      <w:pPr>
        <w:spacing w:after="0" w:line="360" w:lineRule="auto"/>
        <w:ind w:firstLineChars="200" w:firstLine="480"/>
        <w:jc w:val="both"/>
        <w:rPr>
          <w:rFonts w:ascii="Arial" w:eastAsia="Times New Roman" w:hAnsi="Arial" w:cs="Arial"/>
          <w:color w:val="000000"/>
          <w:kern w:val="0"/>
          <w:lang w:eastAsia="pt-BR"/>
          <w14:ligatures w14:val="none"/>
        </w:rPr>
      </w:pPr>
    </w:p>
    <w:p w14:paraId="43ED0EAD" w14:textId="05C7D778" w:rsidR="009D4965" w:rsidRDefault="009D4965" w:rsidP="003803FF">
      <w:pPr>
        <w:spacing w:line="360" w:lineRule="auto"/>
        <w:ind w:firstLine="708"/>
        <w:jc w:val="both"/>
        <w:rPr>
          <w:rFonts w:ascii="Arial" w:eastAsia="Times New Roman" w:hAnsi="Arial" w:cs="Arial"/>
          <w:color w:val="000000"/>
          <w:kern w:val="0"/>
          <w:lang w:eastAsia="pt-BR"/>
          <w14:ligatures w14:val="none"/>
        </w:rPr>
      </w:pPr>
      <w:r w:rsidRPr="009D4965">
        <w:rPr>
          <w:rFonts w:ascii="Arial" w:eastAsia="Times New Roman" w:hAnsi="Arial" w:cs="Arial"/>
          <w:color w:val="000000"/>
          <w:kern w:val="0"/>
          <w:lang w:eastAsia="pt-BR"/>
          <w14:ligatures w14:val="none"/>
        </w:rPr>
        <w:t>Table 1 - Children and adolescents with suspected Dengue in the five regions of Brazil, from 2022 to 2024 (n=2</w:t>
      </w:r>
      <w:r w:rsidR="006167FE">
        <w:rPr>
          <w:rFonts w:ascii="Arial" w:eastAsia="Times New Roman" w:hAnsi="Arial" w:cs="Arial"/>
          <w:color w:val="000000"/>
          <w:kern w:val="0"/>
          <w:lang w:eastAsia="pt-BR"/>
          <w14:ligatures w14:val="none"/>
        </w:rPr>
        <w:t>.</w:t>
      </w:r>
      <w:r w:rsidRPr="009D4965">
        <w:rPr>
          <w:rFonts w:ascii="Arial" w:eastAsia="Times New Roman" w:hAnsi="Arial" w:cs="Arial"/>
          <w:color w:val="000000"/>
          <w:kern w:val="0"/>
          <w:lang w:eastAsia="pt-BR"/>
          <w14:ligatures w14:val="none"/>
        </w:rPr>
        <w:t>253</w:t>
      </w:r>
      <w:r w:rsidR="006167FE">
        <w:rPr>
          <w:rFonts w:ascii="Arial" w:eastAsia="Times New Roman" w:hAnsi="Arial" w:cs="Arial"/>
          <w:color w:val="000000"/>
          <w:kern w:val="0"/>
          <w:lang w:eastAsia="pt-BR"/>
          <w14:ligatures w14:val="none"/>
        </w:rPr>
        <w:t>.</w:t>
      </w:r>
      <w:r w:rsidRPr="009D4965">
        <w:rPr>
          <w:rFonts w:ascii="Arial" w:eastAsia="Times New Roman" w:hAnsi="Arial" w:cs="Arial"/>
          <w:color w:val="000000"/>
          <w:kern w:val="0"/>
          <w:lang w:eastAsia="pt-BR"/>
          <w14:ligatures w14:val="none"/>
        </w:rPr>
        <w:t>026)</w:t>
      </w:r>
    </w:p>
    <w:tbl>
      <w:tblPr>
        <w:tblStyle w:val="TableGrid"/>
        <w:tblW w:w="9219" w:type="dxa"/>
        <w:tblInd w:w="-714"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119"/>
        <w:gridCol w:w="1119"/>
        <w:gridCol w:w="1130"/>
        <w:gridCol w:w="1284"/>
        <w:gridCol w:w="1165"/>
        <w:gridCol w:w="1134"/>
        <w:gridCol w:w="2268"/>
      </w:tblGrid>
      <w:tr w:rsidR="00942403" w:rsidRPr="00296316" w14:paraId="27C995EF" w14:textId="77777777" w:rsidTr="00942403">
        <w:trPr>
          <w:trHeight w:val="113"/>
        </w:trPr>
        <w:tc>
          <w:tcPr>
            <w:tcW w:w="1119" w:type="dxa"/>
            <w:vMerge w:val="restart"/>
          </w:tcPr>
          <w:p w14:paraId="0D58525A" w14:textId="77777777" w:rsidR="00942403" w:rsidRPr="009D4965" w:rsidRDefault="00942403" w:rsidP="009D4965">
            <w:pPr>
              <w:spacing w:line="360" w:lineRule="auto"/>
              <w:jc w:val="both"/>
              <w:rPr>
                <w:rFonts w:ascii="Arial" w:eastAsia="Times New Roman" w:hAnsi="Arial" w:cs="Arial"/>
                <w:b/>
                <w:bCs/>
                <w:color w:val="000000"/>
                <w:kern w:val="0"/>
                <w:sz w:val="22"/>
                <w:szCs w:val="22"/>
                <w:lang w:eastAsia="pt-BR"/>
                <w14:ligatures w14:val="none"/>
              </w:rPr>
            </w:pPr>
            <w:r w:rsidRPr="009D4965">
              <w:rPr>
                <w:rFonts w:ascii="Arial" w:eastAsia="Times New Roman" w:hAnsi="Arial" w:cs="Arial"/>
                <w:b/>
                <w:bCs/>
                <w:color w:val="000000"/>
                <w:kern w:val="0"/>
                <w:sz w:val="22"/>
                <w:szCs w:val="22"/>
                <w:lang w:eastAsia="pt-BR"/>
                <w14:ligatures w14:val="none"/>
              </w:rPr>
              <w:t>Age (Year)</w:t>
            </w:r>
          </w:p>
        </w:tc>
        <w:tc>
          <w:tcPr>
            <w:tcW w:w="5832" w:type="dxa"/>
            <w:gridSpan w:val="5"/>
          </w:tcPr>
          <w:p w14:paraId="105C0FC1" w14:textId="77777777" w:rsidR="00942403" w:rsidRPr="009D4965" w:rsidRDefault="00942403" w:rsidP="009D4965">
            <w:pPr>
              <w:spacing w:line="360" w:lineRule="auto"/>
              <w:jc w:val="center"/>
              <w:rPr>
                <w:rFonts w:ascii="Arial" w:eastAsia="Times New Roman" w:hAnsi="Arial" w:cs="Arial"/>
                <w:b/>
                <w:bCs/>
                <w:color w:val="000000"/>
                <w:kern w:val="0"/>
                <w:sz w:val="22"/>
                <w:szCs w:val="22"/>
                <w:lang w:eastAsia="pt-BR"/>
                <w14:ligatures w14:val="none"/>
              </w:rPr>
            </w:pPr>
            <w:r w:rsidRPr="009D4965">
              <w:rPr>
                <w:rFonts w:ascii="Arial" w:eastAsia="Times New Roman" w:hAnsi="Arial" w:cs="Arial"/>
                <w:b/>
                <w:bCs/>
                <w:color w:val="000000"/>
                <w:kern w:val="0"/>
                <w:sz w:val="22"/>
                <w:szCs w:val="22"/>
                <w:lang w:eastAsia="pt-BR"/>
                <w14:ligatures w14:val="none"/>
              </w:rPr>
              <w:t>Region of Brazil</w:t>
            </w:r>
          </w:p>
        </w:tc>
        <w:tc>
          <w:tcPr>
            <w:tcW w:w="2268" w:type="dxa"/>
            <w:vMerge w:val="restart"/>
          </w:tcPr>
          <w:p w14:paraId="36D51669" w14:textId="447FF879" w:rsidR="00942403" w:rsidRPr="009D4965" w:rsidRDefault="00942403" w:rsidP="009D4965">
            <w:pPr>
              <w:spacing w:line="360" w:lineRule="auto"/>
              <w:jc w:val="center"/>
              <w:rPr>
                <w:rFonts w:ascii="Arial" w:eastAsia="Times New Roman" w:hAnsi="Arial" w:cs="Arial"/>
                <w:b/>
                <w:bCs/>
                <w:color w:val="000000"/>
                <w:kern w:val="0"/>
                <w:sz w:val="22"/>
                <w:szCs w:val="22"/>
                <w:lang w:eastAsia="pt-BR"/>
                <w14:ligatures w14:val="none"/>
              </w:rPr>
            </w:pPr>
            <w:r w:rsidRPr="009D4965">
              <w:rPr>
                <w:rFonts w:ascii="Arial" w:eastAsia="Times New Roman" w:hAnsi="Arial" w:cs="Arial"/>
                <w:b/>
                <w:bCs/>
                <w:color w:val="000000"/>
                <w:kern w:val="0"/>
                <w:sz w:val="22"/>
                <w:szCs w:val="22"/>
                <w:lang w:eastAsia="pt-BR"/>
                <w14:ligatures w14:val="none"/>
              </w:rPr>
              <w:t>TOTAL (%)</w:t>
            </w:r>
          </w:p>
        </w:tc>
      </w:tr>
      <w:tr w:rsidR="00942403" w:rsidRPr="00296316" w14:paraId="49E71639" w14:textId="77777777" w:rsidTr="00942403">
        <w:trPr>
          <w:trHeight w:val="112"/>
        </w:trPr>
        <w:tc>
          <w:tcPr>
            <w:tcW w:w="1119" w:type="dxa"/>
            <w:vMerge/>
            <w:tcBorders>
              <w:bottom w:val="single" w:sz="12" w:space="0" w:color="auto"/>
            </w:tcBorders>
          </w:tcPr>
          <w:p w14:paraId="7B89B8DA" w14:textId="77777777" w:rsidR="00942403" w:rsidRPr="009D4965" w:rsidRDefault="00942403" w:rsidP="009D4965">
            <w:pPr>
              <w:spacing w:line="360" w:lineRule="auto"/>
              <w:jc w:val="both"/>
              <w:rPr>
                <w:rFonts w:ascii="Arial" w:eastAsia="Times New Roman" w:hAnsi="Arial" w:cs="Arial"/>
                <w:b/>
                <w:bCs/>
                <w:color w:val="000000"/>
                <w:kern w:val="0"/>
                <w:sz w:val="22"/>
                <w:szCs w:val="22"/>
                <w:lang w:eastAsia="pt-BR"/>
                <w14:ligatures w14:val="none"/>
              </w:rPr>
            </w:pPr>
          </w:p>
        </w:tc>
        <w:tc>
          <w:tcPr>
            <w:tcW w:w="1119" w:type="dxa"/>
            <w:tcBorders>
              <w:bottom w:val="single" w:sz="12" w:space="0" w:color="auto"/>
            </w:tcBorders>
          </w:tcPr>
          <w:p w14:paraId="6D858AE3" w14:textId="77777777" w:rsidR="00942403" w:rsidRPr="009D4965" w:rsidRDefault="00942403" w:rsidP="009D4965">
            <w:pPr>
              <w:spacing w:line="360" w:lineRule="auto"/>
              <w:jc w:val="center"/>
              <w:rPr>
                <w:rFonts w:ascii="Arial" w:eastAsia="Times New Roman" w:hAnsi="Arial" w:cs="Arial"/>
                <w:b/>
                <w:bCs/>
                <w:color w:val="000000"/>
                <w:kern w:val="0"/>
                <w:sz w:val="22"/>
                <w:szCs w:val="22"/>
                <w:lang w:eastAsia="pt-BR"/>
                <w14:ligatures w14:val="none"/>
              </w:rPr>
            </w:pPr>
            <w:r w:rsidRPr="009D4965">
              <w:rPr>
                <w:rFonts w:ascii="Arial" w:eastAsia="Times New Roman" w:hAnsi="Arial" w:cs="Arial"/>
                <w:b/>
                <w:bCs/>
                <w:color w:val="000000"/>
                <w:kern w:val="0"/>
                <w:sz w:val="22"/>
                <w:szCs w:val="22"/>
                <w:lang w:eastAsia="pt-BR"/>
                <w14:ligatures w14:val="none"/>
              </w:rPr>
              <w:t>North</w:t>
            </w:r>
          </w:p>
        </w:tc>
        <w:tc>
          <w:tcPr>
            <w:tcW w:w="1130" w:type="dxa"/>
            <w:tcBorders>
              <w:bottom w:val="single" w:sz="12" w:space="0" w:color="auto"/>
            </w:tcBorders>
          </w:tcPr>
          <w:p w14:paraId="372E24DF" w14:textId="77777777" w:rsidR="00942403" w:rsidRPr="009D4965" w:rsidRDefault="00942403" w:rsidP="009D4965">
            <w:pPr>
              <w:spacing w:line="360" w:lineRule="auto"/>
              <w:jc w:val="center"/>
              <w:rPr>
                <w:rFonts w:ascii="Arial" w:eastAsia="Times New Roman" w:hAnsi="Arial" w:cs="Arial"/>
                <w:b/>
                <w:bCs/>
                <w:color w:val="000000"/>
                <w:kern w:val="0"/>
                <w:sz w:val="22"/>
                <w:szCs w:val="22"/>
                <w:lang w:eastAsia="pt-BR"/>
                <w14:ligatures w14:val="none"/>
              </w:rPr>
            </w:pPr>
            <w:r w:rsidRPr="009D4965">
              <w:rPr>
                <w:rFonts w:ascii="Arial" w:eastAsia="Times New Roman" w:hAnsi="Arial" w:cs="Arial"/>
                <w:b/>
                <w:bCs/>
                <w:color w:val="000000"/>
                <w:kern w:val="0"/>
                <w:sz w:val="22"/>
                <w:szCs w:val="22"/>
                <w:lang w:eastAsia="pt-BR"/>
                <w14:ligatures w14:val="none"/>
              </w:rPr>
              <w:t>North</w:t>
            </w:r>
          </w:p>
        </w:tc>
        <w:tc>
          <w:tcPr>
            <w:tcW w:w="1284" w:type="dxa"/>
            <w:tcBorders>
              <w:bottom w:val="single" w:sz="12" w:space="0" w:color="auto"/>
            </w:tcBorders>
          </w:tcPr>
          <w:p w14:paraId="004942FA" w14:textId="77777777" w:rsidR="00942403" w:rsidRPr="009D4965" w:rsidRDefault="00942403" w:rsidP="009D4965">
            <w:pPr>
              <w:spacing w:line="360" w:lineRule="auto"/>
              <w:jc w:val="center"/>
              <w:rPr>
                <w:rFonts w:ascii="Arial" w:eastAsia="Times New Roman" w:hAnsi="Arial" w:cs="Arial"/>
                <w:b/>
                <w:bCs/>
                <w:color w:val="000000"/>
                <w:kern w:val="0"/>
                <w:sz w:val="22"/>
                <w:szCs w:val="22"/>
                <w:lang w:eastAsia="pt-BR"/>
                <w14:ligatures w14:val="none"/>
              </w:rPr>
            </w:pPr>
            <w:r w:rsidRPr="009D4965">
              <w:rPr>
                <w:rFonts w:ascii="Arial" w:eastAsia="Times New Roman" w:hAnsi="Arial" w:cs="Arial"/>
                <w:b/>
                <w:bCs/>
                <w:color w:val="000000"/>
                <w:kern w:val="0"/>
                <w:sz w:val="22"/>
                <w:szCs w:val="22"/>
                <w:lang w:eastAsia="pt-BR"/>
                <w14:ligatures w14:val="none"/>
              </w:rPr>
              <w:t>North</w:t>
            </w:r>
          </w:p>
        </w:tc>
        <w:tc>
          <w:tcPr>
            <w:tcW w:w="1165" w:type="dxa"/>
            <w:tcBorders>
              <w:bottom w:val="single" w:sz="12" w:space="0" w:color="auto"/>
            </w:tcBorders>
          </w:tcPr>
          <w:p w14:paraId="159B1AA2" w14:textId="77777777" w:rsidR="00942403" w:rsidRPr="009D4965" w:rsidRDefault="00942403" w:rsidP="009D4965">
            <w:pPr>
              <w:spacing w:line="360" w:lineRule="auto"/>
              <w:jc w:val="center"/>
              <w:rPr>
                <w:rFonts w:ascii="Arial" w:eastAsia="Times New Roman" w:hAnsi="Arial" w:cs="Arial"/>
                <w:b/>
                <w:bCs/>
                <w:color w:val="000000"/>
                <w:kern w:val="0"/>
                <w:sz w:val="22"/>
                <w:szCs w:val="22"/>
                <w:lang w:eastAsia="pt-BR"/>
                <w14:ligatures w14:val="none"/>
              </w:rPr>
            </w:pPr>
            <w:r w:rsidRPr="009D4965">
              <w:rPr>
                <w:rFonts w:ascii="Arial" w:eastAsia="Times New Roman" w:hAnsi="Arial" w:cs="Arial"/>
                <w:b/>
                <w:bCs/>
                <w:color w:val="000000"/>
                <w:kern w:val="0"/>
                <w:sz w:val="22"/>
                <w:szCs w:val="22"/>
                <w:lang w:eastAsia="pt-BR"/>
                <w14:ligatures w14:val="none"/>
              </w:rPr>
              <w:t>North</w:t>
            </w:r>
          </w:p>
        </w:tc>
        <w:tc>
          <w:tcPr>
            <w:tcW w:w="1134" w:type="dxa"/>
            <w:tcBorders>
              <w:bottom w:val="single" w:sz="12" w:space="0" w:color="auto"/>
            </w:tcBorders>
          </w:tcPr>
          <w:p w14:paraId="7A5979F6" w14:textId="77777777" w:rsidR="00942403" w:rsidRPr="009D4965" w:rsidRDefault="00942403" w:rsidP="009D4965">
            <w:pPr>
              <w:spacing w:line="360" w:lineRule="auto"/>
              <w:jc w:val="center"/>
              <w:rPr>
                <w:rFonts w:ascii="Arial" w:eastAsia="Times New Roman" w:hAnsi="Arial" w:cs="Arial"/>
                <w:b/>
                <w:bCs/>
                <w:color w:val="000000"/>
                <w:kern w:val="0"/>
                <w:sz w:val="22"/>
                <w:szCs w:val="22"/>
                <w:lang w:eastAsia="pt-BR"/>
                <w14:ligatures w14:val="none"/>
              </w:rPr>
            </w:pPr>
            <w:r w:rsidRPr="009D4965">
              <w:rPr>
                <w:rFonts w:ascii="Arial" w:eastAsia="Times New Roman" w:hAnsi="Arial" w:cs="Arial"/>
                <w:b/>
                <w:bCs/>
                <w:color w:val="000000"/>
                <w:kern w:val="0"/>
                <w:sz w:val="22"/>
                <w:szCs w:val="22"/>
                <w:lang w:eastAsia="pt-BR"/>
                <w14:ligatures w14:val="none"/>
              </w:rPr>
              <w:t>North</w:t>
            </w:r>
          </w:p>
        </w:tc>
        <w:tc>
          <w:tcPr>
            <w:tcW w:w="2268" w:type="dxa"/>
            <w:vMerge/>
            <w:tcBorders>
              <w:bottom w:val="single" w:sz="12" w:space="0" w:color="auto"/>
            </w:tcBorders>
          </w:tcPr>
          <w:p w14:paraId="55A8DB04" w14:textId="77777777" w:rsidR="00942403" w:rsidRPr="00942403" w:rsidRDefault="00942403" w:rsidP="009D4965">
            <w:pPr>
              <w:spacing w:line="360" w:lineRule="auto"/>
              <w:jc w:val="center"/>
              <w:rPr>
                <w:rFonts w:ascii="Arial" w:eastAsia="Times New Roman" w:hAnsi="Arial" w:cs="Arial"/>
                <w:color w:val="000000"/>
                <w:kern w:val="0"/>
                <w:sz w:val="22"/>
                <w:szCs w:val="22"/>
                <w:lang w:eastAsia="pt-BR"/>
                <w14:ligatures w14:val="none"/>
              </w:rPr>
            </w:pPr>
          </w:p>
        </w:tc>
      </w:tr>
      <w:tr w:rsidR="00942403" w:rsidRPr="00296316" w14:paraId="03DC43F8" w14:textId="77777777" w:rsidTr="00942403">
        <w:tc>
          <w:tcPr>
            <w:tcW w:w="1119" w:type="dxa"/>
            <w:tcBorders>
              <w:top w:val="single" w:sz="12" w:space="0" w:color="auto"/>
              <w:bottom w:val="nil"/>
            </w:tcBorders>
          </w:tcPr>
          <w:p w14:paraId="414C6684" w14:textId="2527C48C" w:rsidR="00942403" w:rsidRPr="00250329" w:rsidRDefault="00250329" w:rsidP="009D4965">
            <w:pPr>
              <w:spacing w:line="360" w:lineRule="auto"/>
              <w:jc w:val="both"/>
              <w:rPr>
                <w:rFonts w:ascii="Arial" w:eastAsia="Times New Roman" w:hAnsi="Arial" w:cs="Arial"/>
                <w:b/>
                <w:bCs/>
                <w:color w:val="000000"/>
                <w:kern w:val="0"/>
                <w:sz w:val="22"/>
                <w:szCs w:val="22"/>
                <w:lang w:eastAsia="pt-BR"/>
                <w14:ligatures w14:val="none"/>
              </w:rPr>
            </w:pPr>
            <w:r w:rsidRPr="00250329">
              <w:rPr>
                <w:rFonts w:ascii="Arial" w:eastAsia="Times New Roman" w:hAnsi="Arial" w:cs="Arial"/>
                <w:b/>
                <w:bCs/>
                <w:color w:val="000000"/>
                <w:kern w:val="0"/>
                <w:sz w:val="22"/>
                <w:szCs w:val="22"/>
                <w:lang w:eastAsia="pt-BR"/>
                <w14:ligatures w14:val="none"/>
              </w:rPr>
              <w:t>Total</w:t>
            </w:r>
          </w:p>
        </w:tc>
        <w:tc>
          <w:tcPr>
            <w:tcW w:w="1119" w:type="dxa"/>
            <w:tcBorders>
              <w:top w:val="single" w:sz="12" w:space="0" w:color="auto"/>
              <w:bottom w:val="nil"/>
            </w:tcBorders>
            <w:vAlign w:val="center"/>
          </w:tcPr>
          <w:p w14:paraId="2B05BFAE" w14:textId="77777777" w:rsidR="00942403" w:rsidRPr="00250329" w:rsidRDefault="00942403" w:rsidP="009D4965">
            <w:pPr>
              <w:spacing w:line="360" w:lineRule="auto"/>
              <w:jc w:val="center"/>
              <w:rPr>
                <w:rFonts w:ascii="Arial" w:hAnsi="Arial" w:cs="Arial"/>
                <w:b/>
                <w:bCs/>
                <w:color w:val="000000"/>
                <w:sz w:val="22"/>
                <w:szCs w:val="22"/>
              </w:rPr>
            </w:pPr>
            <w:r w:rsidRPr="00250329">
              <w:rPr>
                <w:rFonts w:ascii="Arial" w:hAnsi="Arial" w:cs="Arial"/>
                <w:b/>
                <w:bCs/>
                <w:color w:val="000000"/>
                <w:sz w:val="22"/>
                <w:szCs w:val="22"/>
              </w:rPr>
              <w:t>44.378</w:t>
            </w:r>
          </w:p>
        </w:tc>
        <w:tc>
          <w:tcPr>
            <w:tcW w:w="1130" w:type="dxa"/>
            <w:tcBorders>
              <w:top w:val="single" w:sz="12" w:space="0" w:color="auto"/>
              <w:bottom w:val="nil"/>
            </w:tcBorders>
            <w:vAlign w:val="center"/>
          </w:tcPr>
          <w:p w14:paraId="16973501" w14:textId="77777777" w:rsidR="00942403" w:rsidRPr="00250329" w:rsidRDefault="00942403" w:rsidP="009D4965">
            <w:pPr>
              <w:spacing w:line="360" w:lineRule="auto"/>
              <w:jc w:val="center"/>
              <w:rPr>
                <w:rFonts w:ascii="Arial" w:hAnsi="Arial" w:cs="Arial"/>
                <w:b/>
                <w:bCs/>
                <w:color w:val="000000"/>
                <w:sz w:val="22"/>
                <w:szCs w:val="22"/>
              </w:rPr>
            </w:pPr>
            <w:r w:rsidRPr="00250329">
              <w:rPr>
                <w:rFonts w:ascii="Arial" w:hAnsi="Arial" w:cs="Arial"/>
                <w:b/>
                <w:bCs/>
                <w:color w:val="000000"/>
                <w:sz w:val="22"/>
                <w:szCs w:val="22"/>
              </w:rPr>
              <w:t>222.366</w:t>
            </w:r>
          </w:p>
        </w:tc>
        <w:tc>
          <w:tcPr>
            <w:tcW w:w="1284" w:type="dxa"/>
            <w:tcBorders>
              <w:top w:val="single" w:sz="12" w:space="0" w:color="auto"/>
              <w:bottom w:val="nil"/>
            </w:tcBorders>
            <w:vAlign w:val="center"/>
          </w:tcPr>
          <w:p w14:paraId="41D92315" w14:textId="77777777" w:rsidR="00942403" w:rsidRPr="00250329" w:rsidRDefault="00942403" w:rsidP="009D4965">
            <w:pPr>
              <w:spacing w:line="360" w:lineRule="auto"/>
              <w:jc w:val="center"/>
              <w:rPr>
                <w:rFonts w:ascii="Arial" w:hAnsi="Arial" w:cs="Arial"/>
                <w:b/>
                <w:bCs/>
                <w:color w:val="000000"/>
                <w:sz w:val="22"/>
                <w:szCs w:val="22"/>
              </w:rPr>
            </w:pPr>
            <w:r w:rsidRPr="00250329">
              <w:rPr>
                <w:rFonts w:ascii="Arial" w:hAnsi="Arial" w:cs="Arial"/>
                <w:b/>
                <w:bCs/>
                <w:color w:val="000000"/>
                <w:sz w:val="22"/>
                <w:szCs w:val="22"/>
              </w:rPr>
              <w:t>1.250.375</w:t>
            </w:r>
          </w:p>
        </w:tc>
        <w:tc>
          <w:tcPr>
            <w:tcW w:w="1165" w:type="dxa"/>
            <w:tcBorders>
              <w:top w:val="single" w:sz="12" w:space="0" w:color="auto"/>
              <w:bottom w:val="nil"/>
            </w:tcBorders>
            <w:vAlign w:val="center"/>
          </w:tcPr>
          <w:p w14:paraId="4223AD8D" w14:textId="77777777" w:rsidR="00942403" w:rsidRPr="00250329" w:rsidRDefault="00942403" w:rsidP="009D4965">
            <w:pPr>
              <w:spacing w:line="360" w:lineRule="auto"/>
              <w:jc w:val="center"/>
              <w:rPr>
                <w:rFonts w:ascii="Arial" w:hAnsi="Arial" w:cs="Arial"/>
                <w:b/>
                <w:bCs/>
                <w:color w:val="000000"/>
                <w:sz w:val="22"/>
                <w:szCs w:val="22"/>
              </w:rPr>
            </w:pPr>
            <w:r w:rsidRPr="00250329">
              <w:rPr>
                <w:rFonts w:ascii="Arial" w:hAnsi="Arial" w:cs="Arial"/>
                <w:b/>
                <w:bCs/>
                <w:color w:val="000000"/>
                <w:sz w:val="22"/>
                <w:szCs w:val="22"/>
              </w:rPr>
              <w:t>421.771</w:t>
            </w:r>
          </w:p>
        </w:tc>
        <w:tc>
          <w:tcPr>
            <w:tcW w:w="1134" w:type="dxa"/>
            <w:tcBorders>
              <w:top w:val="single" w:sz="12" w:space="0" w:color="auto"/>
              <w:bottom w:val="nil"/>
            </w:tcBorders>
            <w:vAlign w:val="center"/>
          </w:tcPr>
          <w:p w14:paraId="6DC5DAA7" w14:textId="77777777" w:rsidR="00942403" w:rsidRPr="00250329" w:rsidRDefault="00942403" w:rsidP="009D4965">
            <w:pPr>
              <w:spacing w:line="360" w:lineRule="auto"/>
              <w:jc w:val="center"/>
              <w:rPr>
                <w:rFonts w:ascii="Arial" w:hAnsi="Arial" w:cs="Arial"/>
                <w:b/>
                <w:bCs/>
                <w:color w:val="000000"/>
                <w:sz w:val="22"/>
                <w:szCs w:val="22"/>
              </w:rPr>
            </w:pPr>
            <w:r w:rsidRPr="00250329">
              <w:rPr>
                <w:rFonts w:ascii="Arial" w:hAnsi="Arial" w:cs="Arial"/>
                <w:b/>
                <w:bCs/>
                <w:color w:val="000000"/>
                <w:sz w:val="22"/>
                <w:szCs w:val="22"/>
              </w:rPr>
              <w:t>314.136</w:t>
            </w:r>
          </w:p>
        </w:tc>
        <w:tc>
          <w:tcPr>
            <w:tcW w:w="2268" w:type="dxa"/>
            <w:tcBorders>
              <w:top w:val="single" w:sz="12" w:space="0" w:color="auto"/>
              <w:bottom w:val="nil"/>
            </w:tcBorders>
            <w:vAlign w:val="center"/>
          </w:tcPr>
          <w:p w14:paraId="5A62301A" w14:textId="0FE1DD19" w:rsidR="00942403" w:rsidRPr="00250329" w:rsidRDefault="00942403" w:rsidP="009D4965">
            <w:pPr>
              <w:spacing w:line="360" w:lineRule="auto"/>
              <w:jc w:val="center"/>
              <w:rPr>
                <w:rFonts w:ascii="Arial" w:hAnsi="Arial" w:cs="Arial"/>
                <w:b/>
                <w:bCs/>
                <w:color w:val="000000"/>
                <w:sz w:val="22"/>
                <w:szCs w:val="22"/>
              </w:rPr>
            </w:pPr>
            <w:r w:rsidRPr="00250329">
              <w:rPr>
                <w:rFonts w:ascii="Arial" w:hAnsi="Arial" w:cs="Arial"/>
                <w:b/>
                <w:bCs/>
                <w:color w:val="000000"/>
                <w:sz w:val="22"/>
                <w:szCs w:val="22"/>
              </w:rPr>
              <w:t>2.253.026 (100)</w:t>
            </w:r>
          </w:p>
        </w:tc>
      </w:tr>
      <w:tr w:rsidR="00942403" w:rsidRPr="00296316" w14:paraId="2EF2D989" w14:textId="77777777" w:rsidTr="00942403">
        <w:tc>
          <w:tcPr>
            <w:tcW w:w="1119" w:type="dxa"/>
            <w:tcBorders>
              <w:top w:val="nil"/>
            </w:tcBorders>
            <w:vAlign w:val="center"/>
          </w:tcPr>
          <w:p w14:paraId="34283180" w14:textId="77777777" w:rsidR="00942403" w:rsidRPr="00942403" w:rsidRDefault="00942403" w:rsidP="009D4965">
            <w:pPr>
              <w:spacing w:line="360" w:lineRule="auto"/>
              <w:jc w:val="both"/>
              <w:rPr>
                <w:rFonts w:ascii="Arial" w:eastAsia="Times New Roman" w:hAnsi="Arial" w:cs="Arial"/>
                <w:b/>
                <w:bCs/>
                <w:color w:val="000000"/>
                <w:kern w:val="0"/>
                <w:sz w:val="22"/>
                <w:szCs w:val="22"/>
                <w:lang w:eastAsia="pt-BR"/>
                <w14:ligatures w14:val="none"/>
              </w:rPr>
            </w:pPr>
            <w:r w:rsidRPr="00942403">
              <w:rPr>
                <w:rFonts w:ascii="Arial" w:hAnsi="Arial" w:cs="Arial"/>
                <w:color w:val="000000"/>
                <w:sz w:val="22"/>
                <w:szCs w:val="22"/>
              </w:rPr>
              <w:t xml:space="preserve">&lt;1 </w:t>
            </w:r>
          </w:p>
        </w:tc>
        <w:tc>
          <w:tcPr>
            <w:tcW w:w="1119" w:type="dxa"/>
            <w:tcBorders>
              <w:top w:val="nil"/>
            </w:tcBorders>
            <w:vAlign w:val="center"/>
          </w:tcPr>
          <w:p w14:paraId="04FFBC04" w14:textId="77777777" w:rsidR="00942403" w:rsidRPr="00942403" w:rsidRDefault="00942403" w:rsidP="009D4965">
            <w:pPr>
              <w:spacing w:line="360" w:lineRule="auto"/>
              <w:jc w:val="center"/>
              <w:rPr>
                <w:rFonts w:ascii="Arial" w:hAnsi="Arial" w:cs="Arial"/>
                <w:b/>
                <w:bCs/>
                <w:color w:val="000000"/>
                <w:sz w:val="22"/>
                <w:szCs w:val="22"/>
              </w:rPr>
            </w:pPr>
            <w:r w:rsidRPr="00942403">
              <w:rPr>
                <w:rFonts w:ascii="Arial" w:hAnsi="Arial" w:cs="Arial"/>
                <w:color w:val="000000"/>
                <w:sz w:val="22"/>
                <w:szCs w:val="22"/>
              </w:rPr>
              <w:t>2.222</w:t>
            </w:r>
          </w:p>
        </w:tc>
        <w:tc>
          <w:tcPr>
            <w:tcW w:w="1130" w:type="dxa"/>
            <w:tcBorders>
              <w:top w:val="nil"/>
            </w:tcBorders>
            <w:vAlign w:val="center"/>
          </w:tcPr>
          <w:p w14:paraId="61DCA7FD" w14:textId="77777777" w:rsidR="00942403" w:rsidRPr="00942403" w:rsidRDefault="00942403" w:rsidP="009D4965">
            <w:pPr>
              <w:spacing w:line="360" w:lineRule="auto"/>
              <w:jc w:val="center"/>
              <w:rPr>
                <w:rFonts w:ascii="Arial" w:hAnsi="Arial" w:cs="Arial"/>
                <w:b/>
                <w:bCs/>
                <w:color w:val="000000"/>
                <w:sz w:val="22"/>
                <w:szCs w:val="22"/>
              </w:rPr>
            </w:pPr>
            <w:r w:rsidRPr="00942403">
              <w:rPr>
                <w:rFonts w:ascii="Arial" w:hAnsi="Arial" w:cs="Arial"/>
                <w:color w:val="000000"/>
                <w:sz w:val="22"/>
                <w:szCs w:val="22"/>
              </w:rPr>
              <w:t>10.869</w:t>
            </w:r>
          </w:p>
        </w:tc>
        <w:tc>
          <w:tcPr>
            <w:tcW w:w="1284" w:type="dxa"/>
            <w:tcBorders>
              <w:top w:val="nil"/>
            </w:tcBorders>
            <w:vAlign w:val="center"/>
          </w:tcPr>
          <w:p w14:paraId="69257A23" w14:textId="77777777" w:rsidR="00942403" w:rsidRPr="00942403" w:rsidRDefault="00942403" w:rsidP="009D4965">
            <w:pPr>
              <w:spacing w:line="360" w:lineRule="auto"/>
              <w:jc w:val="center"/>
              <w:rPr>
                <w:rFonts w:ascii="Arial" w:hAnsi="Arial" w:cs="Arial"/>
                <w:b/>
                <w:bCs/>
                <w:color w:val="000000"/>
                <w:sz w:val="22"/>
                <w:szCs w:val="22"/>
              </w:rPr>
            </w:pPr>
            <w:r w:rsidRPr="00942403">
              <w:rPr>
                <w:rFonts w:ascii="Arial" w:hAnsi="Arial" w:cs="Arial"/>
                <w:color w:val="000000"/>
                <w:sz w:val="22"/>
                <w:szCs w:val="22"/>
              </w:rPr>
              <w:t>41.392</w:t>
            </w:r>
          </w:p>
        </w:tc>
        <w:tc>
          <w:tcPr>
            <w:tcW w:w="1165" w:type="dxa"/>
            <w:tcBorders>
              <w:top w:val="nil"/>
            </w:tcBorders>
            <w:vAlign w:val="center"/>
          </w:tcPr>
          <w:p w14:paraId="5DCB79C3" w14:textId="77777777" w:rsidR="00942403" w:rsidRPr="00942403" w:rsidRDefault="00942403" w:rsidP="009D4965">
            <w:pPr>
              <w:spacing w:line="360" w:lineRule="auto"/>
              <w:jc w:val="center"/>
              <w:rPr>
                <w:rFonts w:ascii="Arial" w:hAnsi="Arial" w:cs="Arial"/>
                <w:b/>
                <w:bCs/>
                <w:color w:val="000000"/>
                <w:sz w:val="22"/>
                <w:szCs w:val="22"/>
              </w:rPr>
            </w:pPr>
            <w:r w:rsidRPr="00942403">
              <w:rPr>
                <w:rFonts w:ascii="Arial" w:hAnsi="Arial" w:cs="Arial"/>
                <w:color w:val="000000"/>
                <w:sz w:val="22"/>
                <w:szCs w:val="22"/>
              </w:rPr>
              <w:t>10.668</w:t>
            </w:r>
          </w:p>
        </w:tc>
        <w:tc>
          <w:tcPr>
            <w:tcW w:w="1134" w:type="dxa"/>
            <w:tcBorders>
              <w:top w:val="nil"/>
            </w:tcBorders>
            <w:vAlign w:val="center"/>
          </w:tcPr>
          <w:p w14:paraId="620B2101" w14:textId="77777777" w:rsidR="00942403" w:rsidRPr="00942403" w:rsidRDefault="00942403" w:rsidP="009D4965">
            <w:pPr>
              <w:spacing w:line="360" w:lineRule="auto"/>
              <w:jc w:val="center"/>
              <w:rPr>
                <w:rFonts w:ascii="Arial" w:hAnsi="Arial" w:cs="Arial"/>
                <w:b/>
                <w:bCs/>
                <w:color w:val="000000"/>
                <w:sz w:val="22"/>
                <w:szCs w:val="22"/>
              </w:rPr>
            </w:pPr>
            <w:r w:rsidRPr="00942403">
              <w:rPr>
                <w:rFonts w:ascii="Arial" w:hAnsi="Arial" w:cs="Arial"/>
                <w:color w:val="000000"/>
                <w:sz w:val="22"/>
                <w:szCs w:val="22"/>
              </w:rPr>
              <w:t>13.249</w:t>
            </w:r>
          </w:p>
        </w:tc>
        <w:tc>
          <w:tcPr>
            <w:tcW w:w="2268" w:type="dxa"/>
            <w:tcBorders>
              <w:top w:val="nil"/>
            </w:tcBorders>
            <w:vAlign w:val="center"/>
          </w:tcPr>
          <w:p w14:paraId="5FFE042B" w14:textId="44D91ECD" w:rsidR="00942403" w:rsidRPr="00942403" w:rsidRDefault="00942403" w:rsidP="009D4965">
            <w:pPr>
              <w:spacing w:line="360" w:lineRule="auto"/>
              <w:jc w:val="center"/>
              <w:rPr>
                <w:rFonts w:ascii="Arial" w:hAnsi="Arial" w:cs="Arial"/>
                <w:b/>
                <w:bCs/>
                <w:color w:val="000000"/>
                <w:sz w:val="22"/>
                <w:szCs w:val="22"/>
              </w:rPr>
            </w:pPr>
            <w:r w:rsidRPr="00942403">
              <w:rPr>
                <w:rFonts w:ascii="Arial" w:hAnsi="Arial" w:cs="Arial"/>
                <w:color w:val="000000"/>
                <w:sz w:val="22"/>
                <w:szCs w:val="22"/>
              </w:rPr>
              <w:t>78.400</w:t>
            </w:r>
            <w:r>
              <w:rPr>
                <w:rFonts w:ascii="Arial" w:hAnsi="Arial" w:cs="Arial"/>
                <w:color w:val="000000"/>
                <w:sz w:val="22"/>
                <w:szCs w:val="22"/>
              </w:rPr>
              <w:t xml:space="preserve"> 9 (</w:t>
            </w:r>
            <w:r w:rsidR="00250329">
              <w:rPr>
                <w:rFonts w:ascii="Arial" w:hAnsi="Arial" w:cs="Arial"/>
                <w:color w:val="000000"/>
                <w:sz w:val="22"/>
                <w:szCs w:val="22"/>
              </w:rPr>
              <w:t>3.5</w:t>
            </w:r>
            <w:r>
              <w:rPr>
                <w:rFonts w:ascii="Arial" w:hAnsi="Arial" w:cs="Arial"/>
                <w:color w:val="000000"/>
                <w:sz w:val="22"/>
                <w:szCs w:val="22"/>
              </w:rPr>
              <w:t>)</w:t>
            </w:r>
          </w:p>
        </w:tc>
      </w:tr>
      <w:tr w:rsidR="00942403" w:rsidRPr="00296316" w14:paraId="3E8F1F48" w14:textId="77777777" w:rsidTr="00942403">
        <w:tc>
          <w:tcPr>
            <w:tcW w:w="1119" w:type="dxa"/>
            <w:vAlign w:val="center"/>
          </w:tcPr>
          <w:p w14:paraId="35903689" w14:textId="77777777" w:rsidR="00942403" w:rsidRPr="00942403" w:rsidRDefault="00942403" w:rsidP="009D4965">
            <w:pPr>
              <w:spacing w:line="360" w:lineRule="auto"/>
              <w:jc w:val="both"/>
              <w:rPr>
                <w:rFonts w:ascii="Arial" w:eastAsia="Times New Roman" w:hAnsi="Arial" w:cs="Arial"/>
                <w:b/>
                <w:bCs/>
                <w:color w:val="000000"/>
                <w:kern w:val="0"/>
                <w:sz w:val="22"/>
                <w:szCs w:val="22"/>
                <w:lang w:eastAsia="pt-BR"/>
                <w14:ligatures w14:val="none"/>
              </w:rPr>
            </w:pPr>
            <w:r w:rsidRPr="00942403">
              <w:rPr>
                <w:rFonts w:ascii="Arial" w:hAnsi="Arial" w:cs="Arial"/>
                <w:color w:val="000000"/>
                <w:sz w:val="22"/>
                <w:szCs w:val="22"/>
              </w:rPr>
              <w:t>01 a 04</w:t>
            </w:r>
          </w:p>
        </w:tc>
        <w:tc>
          <w:tcPr>
            <w:tcW w:w="1119" w:type="dxa"/>
            <w:vAlign w:val="center"/>
          </w:tcPr>
          <w:p w14:paraId="7888F078" w14:textId="77777777" w:rsidR="00942403" w:rsidRPr="00942403" w:rsidRDefault="00942403" w:rsidP="009D4965">
            <w:pPr>
              <w:spacing w:line="360" w:lineRule="auto"/>
              <w:jc w:val="center"/>
              <w:rPr>
                <w:rFonts w:ascii="Arial" w:hAnsi="Arial" w:cs="Arial"/>
                <w:b/>
                <w:bCs/>
                <w:color w:val="000000"/>
                <w:sz w:val="22"/>
                <w:szCs w:val="22"/>
              </w:rPr>
            </w:pPr>
            <w:r w:rsidRPr="00942403">
              <w:rPr>
                <w:rFonts w:ascii="Arial" w:hAnsi="Arial" w:cs="Arial"/>
                <w:color w:val="000000"/>
                <w:sz w:val="22"/>
                <w:szCs w:val="22"/>
              </w:rPr>
              <w:t>5.366</w:t>
            </w:r>
          </w:p>
        </w:tc>
        <w:tc>
          <w:tcPr>
            <w:tcW w:w="1130" w:type="dxa"/>
            <w:vAlign w:val="center"/>
          </w:tcPr>
          <w:p w14:paraId="387E2F78" w14:textId="77777777" w:rsidR="00942403" w:rsidRPr="00942403" w:rsidRDefault="00942403" w:rsidP="009D4965">
            <w:pPr>
              <w:spacing w:line="360" w:lineRule="auto"/>
              <w:jc w:val="center"/>
              <w:rPr>
                <w:rFonts w:ascii="Arial" w:hAnsi="Arial" w:cs="Arial"/>
                <w:b/>
                <w:bCs/>
                <w:color w:val="000000"/>
                <w:sz w:val="22"/>
                <w:szCs w:val="22"/>
              </w:rPr>
            </w:pPr>
            <w:r w:rsidRPr="00942403">
              <w:rPr>
                <w:rFonts w:ascii="Arial" w:hAnsi="Arial" w:cs="Arial"/>
                <w:color w:val="000000"/>
                <w:sz w:val="22"/>
                <w:szCs w:val="22"/>
              </w:rPr>
              <w:t>28.558</w:t>
            </w:r>
          </w:p>
        </w:tc>
        <w:tc>
          <w:tcPr>
            <w:tcW w:w="1284" w:type="dxa"/>
            <w:vAlign w:val="center"/>
          </w:tcPr>
          <w:p w14:paraId="5BEFDC71" w14:textId="77777777" w:rsidR="00942403" w:rsidRPr="00942403" w:rsidRDefault="00942403" w:rsidP="009D4965">
            <w:pPr>
              <w:spacing w:line="360" w:lineRule="auto"/>
              <w:jc w:val="center"/>
              <w:rPr>
                <w:rFonts w:ascii="Arial" w:hAnsi="Arial" w:cs="Arial"/>
                <w:b/>
                <w:bCs/>
                <w:color w:val="000000"/>
                <w:sz w:val="22"/>
                <w:szCs w:val="22"/>
              </w:rPr>
            </w:pPr>
            <w:r w:rsidRPr="00942403">
              <w:rPr>
                <w:rFonts w:ascii="Arial" w:hAnsi="Arial" w:cs="Arial"/>
                <w:color w:val="000000"/>
                <w:sz w:val="22"/>
                <w:szCs w:val="22"/>
              </w:rPr>
              <w:t>125.689</w:t>
            </w:r>
          </w:p>
        </w:tc>
        <w:tc>
          <w:tcPr>
            <w:tcW w:w="1165" w:type="dxa"/>
            <w:vAlign w:val="center"/>
          </w:tcPr>
          <w:p w14:paraId="1BE8D0B1" w14:textId="77777777" w:rsidR="00942403" w:rsidRPr="00942403" w:rsidRDefault="00942403" w:rsidP="009D4965">
            <w:pPr>
              <w:spacing w:line="360" w:lineRule="auto"/>
              <w:jc w:val="center"/>
              <w:rPr>
                <w:rFonts w:ascii="Arial" w:hAnsi="Arial" w:cs="Arial"/>
                <w:b/>
                <w:bCs/>
                <w:color w:val="000000"/>
                <w:sz w:val="22"/>
                <w:szCs w:val="22"/>
              </w:rPr>
            </w:pPr>
            <w:r w:rsidRPr="00942403">
              <w:rPr>
                <w:rFonts w:ascii="Arial" w:hAnsi="Arial" w:cs="Arial"/>
                <w:color w:val="000000"/>
                <w:sz w:val="22"/>
                <w:szCs w:val="22"/>
              </w:rPr>
              <w:t>37.233</w:t>
            </w:r>
          </w:p>
        </w:tc>
        <w:tc>
          <w:tcPr>
            <w:tcW w:w="1134" w:type="dxa"/>
            <w:vAlign w:val="center"/>
          </w:tcPr>
          <w:p w14:paraId="4D9AD085" w14:textId="77777777" w:rsidR="00942403" w:rsidRPr="00942403" w:rsidRDefault="00942403" w:rsidP="009D4965">
            <w:pPr>
              <w:spacing w:line="360" w:lineRule="auto"/>
              <w:jc w:val="center"/>
              <w:rPr>
                <w:rFonts w:ascii="Arial" w:hAnsi="Arial" w:cs="Arial"/>
                <w:b/>
                <w:bCs/>
                <w:color w:val="000000"/>
                <w:sz w:val="22"/>
                <w:szCs w:val="22"/>
              </w:rPr>
            </w:pPr>
            <w:r w:rsidRPr="00942403">
              <w:rPr>
                <w:rFonts w:ascii="Arial" w:hAnsi="Arial" w:cs="Arial"/>
                <w:color w:val="000000"/>
                <w:sz w:val="22"/>
                <w:szCs w:val="22"/>
              </w:rPr>
              <w:t>39.234</w:t>
            </w:r>
          </w:p>
        </w:tc>
        <w:tc>
          <w:tcPr>
            <w:tcW w:w="2268" w:type="dxa"/>
            <w:vAlign w:val="center"/>
          </w:tcPr>
          <w:p w14:paraId="473E5D53" w14:textId="41AE8BFA" w:rsidR="00942403" w:rsidRPr="00942403" w:rsidRDefault="00942403" w:rsidP="009D4965">
            <w:pPr>
              <w:spacing w:line="360" w:lineRule="auto"/>
              <w:jc w:val="center"/>
              <w:rPr>
                <w:rFonts w:ascii="Arial" w:hAnsi="Arial" w:cs="Arial"/>
                <w:b/>
                <w:bCs/>
                <w:color w:val="000000"/>
                <w:sz w:val="22"/>
                <w:szCs w:val="22"/>
              </w:rPr>
            </w:pPr>
            <w:r w:rsidRPr="00942403">
              <w:rPr>
                <w:rFonts w:ascii="Arial" w:hAnsi="Arial" w:cs="Arial"/>
                <w:color w:val="000000"/>
                <w:sz w:val="22"/>
                <w:szCs w:val="22"/>
              </w:rPr>
              <w:t>236.080</w:t>
            </w:r>
            <w:r>
              <w:rPr>
                <w:rFonts w:ascii="Arial" w:hAnsi="Arial" w:cs="Arial"/>
                <w:color w:val="000000"/>
                <w:sz w:val="22"/>
                <w:szCs w:val="22"/>
              </w:rPr>
              <w:t xml:space="preserve"> (10,5)</w:t>
            </w:r>
          </w:p>
        </w:tc>
      </w:tr>
      <w:tr w:rsidR="00942403" w:rsidRPr="00296316" w14:paraId="344E3972" w14:textId="77777777" w:rsidTr="00942403">
        <w:tc>
          <w:tcPr>
            <w:tcW w:w="1119" w:type="dxa"/>
            <w:vAlign w:val="center"/>
          </w:tcPr>
          <w:p w14:paraId="13AFD6BD" w14:textId="77777777" w:rsidR="00942403" w:rsidRPr="00942403" w:rsidRDefault="00942403" w:rsidP="009D4965">
            <w:pPr>
              <w:spacing w:line="360" w:lineRule="auto"/>
              <w:jc w:val="both"/>
              <w:rPr>
                <w:rFonts w:ascii="Arial" w:eastAsia="Times New Roman" w:hAnsi="Arial" w:cs="Arial"/>
                <w:b/>
                <w:bCs/>
                <w:color w:val="000000"/>
                <w:kern w:val="0"/>
                <w:sz w:val="22"/>
                <w:szCs w:val="22"/>
                <w:lang w:eastAsia="pt-BR"/>
                <w14:ligatures w14:val="none"/>
              </w:rPr>
            </w:pPr>
            <w:r w:rsidRPr="00942403">
              <w:rPr>
                <w:rFonts w:ascii="Arial" w:hAnsi="Arial" w:cs="Arial"/>
                <w:color w:val="000000"/>
                <w:sz w:val="22"/>
                <w:szCs w:val="22"/>
              </w:rPr>
              <w:t>05 a 09</w:t>
            </w:r>
          </w:p>
        </w:tc>
        <w:tc>
          <w:tcPr>
            <w:tcW w:w="1119" w:type="dxa"/>
            <w:vAlign w:val="center"/>
          </w:tcPr>
          <w:p w14:paraId="5BCDD25F" w14:textId="77777777" w:rsidR="00942403" w:rsidRPr="00942403" w:rsidRDefault="00942403" w:rsidP="009D4965">
            <w:pPr>
              <w:spacing w:line="360" w:lineRule="auto"/>
              <w:jc w:val="center"/>
              <w:rPr>
                <w:rFonts w:ascii="Arial" w:hAnsi="Arial" w:cs="Arial"/>
                <w:b/>
                <w:bCs/>
                <w:color w:val="000000"/>
                <w:sz w:val="22"/>
                <w:szCs w:val="22"/>
              </w:rPr>
            </w:pPr>
            <w:r w:rsidRPr="00942403">
              <w:rPr>
                <w:rFonts w:ascii="Arial" w:hAnsi="Arial" w:cs="Arial"/>
                <w:color w:val="000000"/>
                <w:sz w:val="22"/>
                <w:szCs w:val="22"/>
              </w:rPr>
              <w:t>10.093</w:t>
            </w:r>
          </w:p>
        </w:tc>
        <w:tc>
          <w:tcPr>
            <w:tcW w:w="1130" w:type="dxa"/>
            <w:vAlign w:val="center"/>
          </w:tcPr>
          <w:p w14:paraId="020C6BD2" w14:textId="77777777" w:rsidR="00942403" w:rsidRPr="00942403" w:rsidRDefault="00942403" w:rsidP="009D4965">
            <w:pPr>
              <w:spacing w:line="360" w:lineRule="auto"/>
              <w:jc w:val="center"/>
              <w:rPr>
                <w:rFonts w:ascii="Arial" w:hAnsi="Arial" w:cs="Arial"/>
                <w:b/>
                <w:bCs/>
                <w:color w:val="000000"/>
                <w:sz w:val="22"/>
                <w:szCs w:val="22"/>
              </w:rPr>
            </w:pPr>
            <w:r w:rsidRPr="00942403">
              <w:rPr>
                <w:rFonts w:ascii="Arial" w:hAnsi="Arial" w:cs="Arial"/>
                <w:color w:val="000000"/>
                <w:sz w:val="22"/>
                <w:szCs w:val="22"/>
              </w:rPr>
              <w:t>53.330</w:t>
            </w:r>
          </w:p>
        </w:tc>
        <w:tc>
          <w:tcPr>
            <w:tcW w:w="1284" w:type="dxa"/>
            <w:vAlign w:val="center"/>
          </w:tcPr>
          <w:p w14:paraId="3190FA95" w14:textId="77777777" w:rsidR="00942403" w:rsidRPr="00942403" w:rsidRDefault="00942403" w:rsidP="009D4965">
            <w:pPr>
              <w:spacing w:line="360" w:lineRule="auto"/>
              <w:jc w:val="center"/>
              <w:rPr>
                <w:rFonts w:ascii="Arial" w:hAnsi="Arial" w:cs="Arial"/>
                <w:b/>
                <w:bCs/>
                <w:color w:val="000000"/>
                <w:sz w:val="22"/>
                <w:szCs w:val="22"/>
              </w:rPr>
            </w:pPr>
            <w:r w:rsidRPr="00942403">
              <w:rPr>
                <w:rFonts w:ascii="Arial" w:hAnsi="Arial" w:cs="Arial"/>
                <w:color w:val="000000"/>
                <w:sz w:val="22"/>
                <w:szCs w:val="22"/>
              </w:rPr>
              <w:t>280.408</w:t>
            </w:r>
          </w:p>
        </w:tc>
        <w:tc>
          <w:tcPr>
            <w:tcW w:w="1165" w:type="dxa"/>
            <w:vAlign w:val="center"/>
          </w:tcPr>
          <w:p w14:paraId="21E9EED0" w14:textId="77777777" w:rsidR="00942403" w:rsidRPr="00942403" w:rsidRDefault="00942403" w:rsidP="009D4965">
            <w:pPr>
              <w:spacing w:line="360" w:lineRule="auto"/>
              <w:jc w:val="center"/>
              <w:rPr>
                <w:rFonts w:ascii="Arial" w:hAnsi="Arial" w:cs="Arial"/>
                <w:b/>
                <w:bCs/>
                <w:color w:val="000000"/>
                <w:sz w:val="22"/>
                <w:szCs w:val="22"/>
              </w:rPr>
            </w:pPr>
            <w:r w:rsidRPr="00942403">
              <w:rPr>
                <w:rFonts w:ascii="Arial" w:hAnsi="Arial" w:cs="Arial"/>
                <w:color w:val="000000"/>
                <w:sz w:val="22"/>
                <w:szCs w:val="22"/>
              </w:rPr>
              <w:t>92.981</w:t>
            </w:r>
          </w:p>
        </w:tc>
        <w:tc>
          <w:tcPr>
            <w:tcW w:w="1134" w:type="dxa"/>
            <w:vAlign w:val="center"/>
          </w:tcPr>
          <w:p w14:paraId="267B7363" w14:textId="77777777" w:rsidR="00942403" w:rsidRPr="00942403" w:rsidRDefault="00942403" w:rsidP="009D4965">
            <w:pPr>
              <w:spacing w:line="360" w:lineRule="auto"/>
              <w:jc w:val="center"/>
              <w:rPr>
                <w:rFonts w:ascii="Arial" w:hAnsi="Arial" w:cs="Arial"/>
                <w:b/>
                <w:bCs/>
                <w:color w:val="000000"/>
                <w:sz w:val="22"/>
                <w:szCs w:val="22"/>
              </w:rPr>
            </w:pPr>
            <w:r w:rsidRPr="00942403">
              <w:rPr>
                <w:rFonts w:ascii="Arial" w:hAnsi="Arial" w:cs="Arial"/>
                <w:color w:val="000000"/>
                <w:sz w:val="22"/>
                <w:szCs w:val="22"/>
              </w:rPr>
              <w:t>72.546</w:t>
            </w:r>
          </w:p>
        </w:tc>
        <w:tc>
          <w:tcPr>
            <w:tcW w:w="2268" w:type="dxa"/>
            <w:vAlign w:val="center"/>
          </w:tcPr>
          <w:p w14:paraId="69065DED" w14:textId="772C385E" w:rsidR="00942403" w:rsidRPr="00942403" w:rsidRDefault="00942403" w:rsidP="009D4965">
            <w:pPr>
              <w:spacing w:line="360" w:lineRule="auto"/>
              <w:jc w:val="center"/>
              <w:rPr>
                <w:rFonts w:ascii="Arial" w:hAnsi="Arial" w:cs="Arial"/>
                <w:b/>
                <w:bCs/>
                <w:color w:val="000000"/>
                <w:sz w:val="22"/>
                <w:szCs w:val="22"/>
              </w:rPr>
            </w:pPr>
            <w:r w:rsidRPr="00942403">
              <w:rPr>
                <w:rFonts w:ascii="Arial" w:hAnsi="Arial" w:cs="Arial"/>
                <w:color w:val="000000"/>
                <w:sz w:val="22"/>
                <w:szCs w:val="22"/>
              </w:rPr>
              <w:t>509.35</w:t>
            </w:r>
            <w:r>
              <w:rPr>
                <w:rFonts w:ascii="Arial" w:hAnsi="Arial" w:cs="Arial"/>
                <w:color w:val="000000"/>
                <w:sz w:val="22"/>
                <w:szCs w:val="22"/>
              </w:rPr>
              <w:t xml:space="preserve"> (2</w:t>
            </w:r>
            <w:r w:rsidR="00250329">
              <w:rPr>
                <w:rFonts w:ascii="Arial" w:hAnsi="Arial" w:cs="Arial"/>
                <w:color w:val="000000"/>
                <w:sz w:val="22"/>
                <w:szCs w:val="22"/>
              </w:rPr>
              <w:t>2.6</w:t>
            </w:r>
            <w:r>
              <w:rPr>
                <w:rFonts w:ascii="Arial" w:hAnsi="Arial" w:cs="Arial"/>
                <w:color w:val="000000"/>
                <w:sz w:val="22"/>
                <w:szCs w:val="22"/>
              </w:rPr>
              <w:t>)</w:t>
            </w:r>
          </w:p>
        </w:tc>
      </w:tr>
      <w:tr w:rsidR="00942403" w:rsidRPr="00296316" w14:paraId="6770C5EA" w14:textId="77777777" w:rsidTr="00942403">
        <w:tc>
          <w:tcPr>
            <w:tcW w:w="1119" w:type="dxa"/>
            <w:vAlign w:val="center"/>
          </w:tcPr>
          <w:p w14:paraId="37FE96EB" w14:textId="77777777" w:rsidR="00942403" w:rsidRPr="00942403" w:rsidRDefault="00942403" w:rsidP="009D4965">
            <w:pPr>
              <w:spacing w:line="360" w:lineRule="auto"/>
              <w:jc w:val="both"/>
              <w:rPr>
                <w:rFonts w:ascii="Arial" w:eastAsia="Times New Roman" w:hAnsi="Arial" w:cs="Arial"/>
                <w:b/>
                <w:bCs/>
                <w:color w:val="000000"/>
                <w:kern w:val="0"/>
                <w:sz w:val="22"/>
                <w:szCs w:val="22"/>
                <w:lang w:eastAsia="pt-BR"/>
                <w14:ligatures w14:val="none"/>
              </w:rPr>
            </w:pPr>
            <w:r w:rsidRPr="00942403">
              <w:rPr>
                <w:rFonts w:ascii="Arial" w:hAnsi="Arial" w:cs="Arial"/>
                <w:color w:val="000000"/>
                <w:sz w:val="22"/>
                <w:szCs w:val="22"/>
              </w:rPr>
              <w:t>10 a 14</w:t>
            </w:r>
          </w:p>
        </w:tc>
        <w:tc>
          <w:tcPr>
            <w:tcW w:w="1119" w:type="dxa"/>
            <w:vAlign w:val="center"/>
          </w:tcPr>
          <w:p w14:paraId="3CF07A4E" w14:textId="77777777" w:rsidR="00942403" w:rsidRPr="00942403" w:rsidRDefault="00942403" w:rsidP="009D4965">
            <w:pPr>
              <w:spacing w:line="360" w:lineRule="auto"/>
              <w:jc w:val="center"/>
              <w:rPr>
                <w:rFonts w:ascii="Arial" w:hAnsi="Arial" w:cs="Arial"/>
                <w:b/>
                <w:bCs/>
                <w:color w:val="000000"/>
                <w:sz w:val="22"/>
                <w:szCs w:val="22"/>
              </w:rPr>
            </w:pPr>
            <w:r w:rsidRPr="00942403">
              <w:rPr>
                <w:rFonts w:ascii="Arial" w:hAnsi="Arial" w:cs="Arial"/>
                <w:color w:val="000000"/>
                <w:sz w:val="22"/>
                <w:szCs w:val="22"/>
              </w:rPr>
              <w:t>12.550</w:t>
            </w:r>
          </w:p>
        </w:tc>
        <w:tc>
          <w:tcPr>
            <w:tcW w:w="1130" w:type="dxa"/>
            <w:vAlign w:val="center"/>
          </w:tcPr>
          <w:p w14:paraId="7090E05E" w14:textId="77777777" w:rsidR="00942403" w:rsidRPr="00942403" w:rsidRDefault="00942403" w:rsidP="009D4965">
            <w:pPr>
              <w:spacing w:line="360" w:lineRule="auto"/>
              <w:jc w:val="center"/>
              <w:rPr>
                <w:rFonts w:ascii="Arial" w:hAnsi="Arial" w:cs="Arial"/>
                <w:b/>
                <w:bCs/>
                <w:color w:val="000000"/>
                <w:sz w:val="22"/>
                <w:szCs w:val="22"/>
              </w:rPr>
            </w:pPr>
            <w:r w:rsidRPr="00942403">
              <w:rPr>
                <w:rFonts w:ascii="Arial" w:hAnsi="Arial" w:cs="Arial"/>
                <w:color w:val="000000"/>
                <w:sz w:val="22"/>
                <w:szCs w:val="22"/>
              </w:rPr>
              <w:t>62.801</w:t>
            </w:r>
          </w:p>
        </w:tc>
        <w:tc>
          <w:tcPr>
            <w:tcW w:w="1284" w:type="dxa"/>
            <w:vAlign w:val="center"/>
          </w:tcPr>
          <w:p w14:paraId="00FC74C8" w14:textId="77777777" w:rsidR="00942403" w:rsidRPr="00942403" w:rsidRDefault="00942403" w:rsidP="009D4965">
            <w:pPr>
              <w:spacing w:line="360" w:lineRule="auto"/>
              <w:jc w:val="center"/>
              <w:rPr>
                <w:rFonts w:ascii="Arial" w:hAnsi="Arial" w:cs="Arial"/>
                <w:b/>
                <w:bCs/>
                <w:color w:val="000000"/>
                <w:sz w:val="22"/>
                <w:szCs w:val="22"/>
              </w:rPr>
            </w:pPr>
            <w:r w:rsidRPr="00942403">
              <w:rPr>
                <w:rFonts w:ascii="Arial" w:hAnsi="Arial" w:cs="Arial"/>
                <w:color w:val="000000"/>
                <w:sz w:val="22"/>
                <w:szCs w:val="22"/>
              </w:rPr>
              <w:t>368.073</w:t>
            </w:r>
          </w:p>
        </w:tc>
        <w:tc>
          <w:tcPr>
            <w:tcW w:w="1165" w:type="dxa"/>
            <w:vAlign w:val="center"/>
          </w:tcPr>
          <w:p w14:paraId="7018CF3B" w14:textId="77777777" w:rsidR="00942403" w:rsidRPr="00942403" w:rsidRDefault="00942403" w:rsidP="009D4965">
            <w:pPr>
              <w:spacing w:line="360" w:lineRule="auto"/>
              <w:jc w:val="center"/>
              <w:rPr>
                <w:rFonts w:ascii="Arial" w:hAnsi="Arial" w:cs="Arial"/>
                <w:b/>
                <w:bCs/>
                <w:color w:val="000000"/>
                <w:sz w:val="22"/>
                <w:szCs w:val="22"/>
              </w:rPr>
            </w:pPr>
            <w:r w:rsidRPr="00942403">
              <w:rPr>
                <w:rFonts w:ascii="Arial" w:hAnsi="Arial" w:cs="Arial"/>
                <w:color w:val="000000"/>
                <w:sz w:val="22"/>
                <w:szCs w:val="22"/>
              </w:rPr>
              <w:t>127.496</w:t>
            </w:r>
          </w:p>
        </w:tc>
        <w:tc>
          <w:tcPr>
            <w:tcW w:w="1134" w:type="dxa"/>
            <w:vAlign w:val="center"/>
          </w:tcPr>
          <w:p w14:paraId="02D2FB95" w14:textId="77777777" w:rsidR="00942403" w:rsidRPr="00942403" w:rsidRDefault="00942403" w:rsidP="009D4965">
            <w:pPr>
              <w:spacing w:line="360" w:lineRule="auto"/>
              <w:jc w:val="center"/>
              <w:rPr>
                <w:rFonts w:ascii="Arial" w:hAnsi="Arial" w:cs="Arial"/>
                <w:b/>
                <w:bCs/>
                <w:color w:val="000000"/>
                <w:sz w:val="22"/>
                <w:szCs w:val="22"/>
              </w:rPr>
            </w:pPr>
            <w:r w:rsidRPr="00942403">
              <w:rPr>
                <w:rFonts w:ascii="Arial" w:hAnsi="Arial" w:cs="Arial"/>
                <w:color w:val="000000"/>
                <w:sz w:val="22"/>
                <w:szCs w:val="22"/>
              </w:rPr>
              <w:t>83.576</w:t>
            </w:r>
          </w:p>
        </w:tc>
        <w:tc>
          <w:tcPr>
            <w:tcW w:w="2268" w:type="dxa"/>
            <w:vAlign w:val="center"/>
          </w:tcPr>
          <w:p w14:paraId="730A266B" w14:textId="1BA9BF5D" w:rsidR="00942403" w:rsidRPr="00942403" w:rsidRDefault="00942403" w:rsidP="009D4965">
            <w:pPr>
              <w:spacing w:line="360" w:lineRule="auto"/>
              <w:jc w:val="center"/>
              <w:rPr>
                <w:rFonts w:ascii="Arial" w:hAnsi="Arial" w:cs="Arial"/>
                <w:b/>
                <w:bCs/>
                <w:color w:val="000000"/>
                <w:sz w:val="22"/>
                <w:szCs w:val="22"/>
              </w:rPr>
            </w:pPr>
            <w:r w:rsidRPr="00942403">
              <w:rPr>
                <w:rFonts w:ascii="Arial" w:hAnsi="Arial" w:cs="Arial"/>
                <w:color w:val="000000"/>
                <w:sz w:val="22"/>
                <w:szCs w:val="22"/>
              </w:rPr>
              <w:t>654.496</w:t>
            </w:r>
            <w:r>
              <w:rPr>
                <w:rFonts w:ascii="Arial" w:hAnsi="Arial" w:cs="Arial"/>
                <w:color w:val="000000"/>
                <w:sz w:val="22"/>
                <w:szCs w:val="22"/>
              </w:rPr>
              <w:t xml:space="preserve"> (29</w:t>
            </w:r>
            <w:r w:rsidR="00250329">
              <w:rPr>
                <w:rFonts w:ascii="Arial" w:hAnsi="Arial" w:cs="Arial"/>
                <w:color w:val="000000"/>
                <w:sz w:val="22"/>
                <w:szCs w:val="22"/>
              </w:rPr>
              <w:t>.0</w:t>
            </w:r>
            <w:r>
              <w:rPr>
                <w:rFonts w:ascii="Arial" w:hAnsi="Arial" w:cs="Arial"/>
                <w:color w:val="000000"/>
                <w:sz w:val="22"/>
                <w:szCs w:val="22"/>
              </w:rPr>
              <w:t>)</w:t>
            </w:r>
          </w:p>
        </w:tc>
      </w:tr>
      <w:tr w:rsidR="00942403" w:rsidRPr="00296316" w14:paraId="47D78BFD" w14:textId="77777777" w:rsidTr="00942403">
        <w:tc>
          <w:tcPr>
            <w:tcW w:w="1119" w:type="dxa"/>
            <w:vAlign w:val="center"/>
          </w:tcPr>
          <w:p w14:paraId="6C659A44" w14:textId="77777777" w:rsidR="00942403" w:rsidRPr="00942403" w:rsidRDefault="00942403" w:rsidP="009D4965">
            <w:pPr>
              <w:spacing w:line="360" w:lineRule="auto"/>
              <w:jc w:val="both"/>
              <w:rPr>
                <w:rFonts w:ascii="Arial" w:eastAsia="Times New Roman" w:hAnsi="Arial" w:cs="Arial"/>
                <w:b/>
                <w:bCs/>
                <w:color w:val="000000"/>
                <w:kern w:val="0"/>
                <w:sz w:val="22"/>
                <w:szCs w:val="22"/>
                <w:lang w:eastAsia="pt-BR"/>
                <w14:ligatures w14:val="none"/>
              </w:rPr>
            </w:pPr>
            <w:r w:rsidRPr="00942403">
              <w:rPr>
                <w:rFonts w:ascii="Arial" w:hAnsi="Arial" w:cs="Arial"/>
                <w:color w:val="000000"/>
                <w:sz w:val="22"/>
                <w:szCs w:val="22"/>
              </w:rPr>
              <w:t>15 a 19</w:t>
            </w:r>
          </w:p>
        </w:tc>
        <w:tc>
          <w:tcPr>
            <w:tcW w:w="1119" w:type="dxa"/>
            <w:vAlign w:val="center"/>
          </w:tcPr>
          <w:p w14:paraId="10DC1100" w14:textId="77777777" w:rsidR="00942403" w:rsidRPr="00942403" w:rsidRDefault="00942403" w:rsidP="009D4965">
            <w:pPr>
              <w:spacing w:line="360" w:lineRule="auto"/>
              <w:jc w:val="center"/>
              <w:rPr>
                <w:rFonts w:ascii="Arial" w:hAnsi="Arial" w:cs="Arial"/>
                <w:b/>
                <w:bCs/>
                <w:color w:val="000000"/>
                <w:sz w:val="22"/>
                <w:szCs w:val="22"/>
              </w:rPr>
            </w:pPr>
            <w:r w:rsidRPr="00942403">
              <w:rPr>
                <w:rFonts w:ascii="Arial" w:hAnsi="Arial" w:cs="Arial"/>
                <w:color w:val="000000"/>
                <w:sz w:val="22"/>
                <w:szCs w:val="22"/>
              </w:rPr>
              <w:t>14.147</w:t>
            </w:r>
          </w:p>
        </w:tc>
        <w:tc>
          <w:tcPr>
            <w:tcW w:w="1130" w:type="dxa"/>
            <w:vAlign w:val="center"/>
          </w:tcPr>
          <w:p w14:paraId="6584EEDC" w14:textId="77777777" w:rsidR="00942403" w:rsidRPr="00942403" w:rsidRDefault="00942403" w:rsidP="009D4965">
            <w:pPr>
              <w:spacing w:line="360" w:lineRule="auto"/>
              <w:jc w:val="center"/>
              <w:rPr>
                <w:rFonts w:ascii="Arial" w:hAnsi="Arial" w:cs="Arial"/>
                <w:b/>
                <w:bCs/>
                <w:color w:val="000000"/>
                <w:sz w:val="22"/>
                <w:szCs w:val="22"/>
              </w:rPr>
            </w:pPr>
            <w:r w:rsidRPr="00942403">
              <w:rPr>
                <w:rFonts w:ascii="Arial" w:hAnsi="Arial" w:cs="Arial"/>
                <w:color w:val="000000"/>
                <w:sz w:val="22"/>
                <w:szCs w:val="22"/>
              </w:rPr>
              <w:t>66.808</w:t>
            </w:r>
          </w:p>
        </w:tc>
        <w:tc>
          <w:tcPr>
            <w:tcW w:w="1284" w:type="dxa"/>
            <w:vAlign w:val="center"/>
          </w:tcPr>
          <w:p w14:paraId="37CC612A" w14:textId="77777777" w:rsidR="00942403" w:rsidRPr="00942403" w:rsidRDefault="00942403" w:rsidP="009D4965">
            <w:pPr>
              <w:spacing w:line="360" w:lineRule="auto"/>
              <w:jc w:val="center"/>
              <w:rPr>
                <w:rFonts w:ascii="Arial" w:hAnsi="Arial" w:cs="Arial"/>
                <w:b/>
                <w:bCs/>
                <w:color w:val="000000"/>
                <w:sz w:val="22"/>
                <w:szCs w:val="22"/>
              </w:rPr>
            </w:pPr>
            <w:r w:rsidRPr="00942403">
              <w:rPr>
                <w:rFonts w:ascii="Arial" w:hAnsi="Arial" w:cs="Arial"/>
                <w:color w:val="000000"/>
                <w:sz w:val="22"/>
                <w:szCs w:val="22"/>
              </w:rPr>
              <w:t>434.813</w:t>
            </w:r>
          </w:p>
        </w:tc>
        <w:tc>
          <w:tcPr>
            <w:tcW w:w="1165" w:type="dxa"/>
            <w:vAlign w:val="center"/>
          </w:tcPr>
          <w:p w14:paraId="36B849AC" w14:textId="77777777" w:rsidR="00942403" w:rsidRPr="00942403" w:rsidRDefault="00942403" w:rsidP="009D4965">
            <w:pPr>
              <w:spacing w:line="360" w:lineRule="auto"/>
              <w:jc w:val="center"/>
              <w:rPr>
                <w:rFonts w:ascii="Arial" w:hAnsi="Arial" w:cs="Arial"/>
                <w:b/>
                <w:bCs/>
                <w:color w:val="000000"/>
                <w:sz w:val="22"/>
                <w:szCs w:val="22"/>
              </w:rPr>
            </w:pPr>
            <w:r w:rsidRPr="00942403">
              <w:rPr>
                <w:rFonts w:ascii="Arial" w:hAnsi="Arial" w:cs="Arial"/>
                <w:color w:val="000000"/>
                <w:sz w:val="22"/>
                <w:szCs w:val="22"/>
              </w:rPr>
              <w:t>153.393</w:t>
            </w:r>
          </w:p>
        </w:tc>
        <w:tc>
          <w:tcPr>
            <w:tcW w:w="1134" w:type="dxa"/>
            <w:vAlign w:val="center"/>
          </w:tcPr>
          <w:p w14:paraId="56EF14EA" w14:textId="77777777" w:rsidR="00942403" w:rsidRPr="00942403" w:rsidRDefault="00942403" w:rsidP="009D4965">
            <w:pPr>
              <w:spacing w:line="360" w:lineRule="auto"/>
              <w:jc w:val="center"/>
              <w:rPr>
                <w:rFonts w:ascii="Arial" w:hAnsi="Arial" w:cs="Arial"/>
                <w:b/>
                <w:bCs/>
                <w:color w:val="000000"/>
                <w:sz w:val="22"/>
                <w:szCs w:val="22"/>
              </w:rPr>
            </w:pPr>
            <w:r w:rsidRPr="00942403">
              <w:rPr>
                <w:rFonts w:ascii="Arial" w:hAnsi="Arial" w:cs="Arial"/>
                <w:color w:val="000000"/>
                <w:sz w:val="22"/>
                <w:szCs w:val="22"/>
              </w:rPr>
              <w:t>105.531</w:t>
            </w:r>
          </w:p>
        </w:tc>
        <w:tc>
          <w:tcPr>
            <w:tcW w:w="2268" w:type="dxa"/>
            <w:vAlign w:val="center"/>
          </w:tcPr>
          <w:p w14:paraId="2D022F26" w14:textId="3724935F" w:rsidR="00942403" w:rsidRPr="00942403" w:rsidRDefault="00942403" w:rsidP="009D4965">
            <w:pPr>
              <w:spacing w:line="360" w:lineRule="auto"/>
              <w:jc w:val="center"/>
              <w:rPr>
                <w:rFonts w:ascii="Arial" w:hAnsi="Arial" w:cs="Arial"/>
                <w:b/>
                <w:bCs/>
                <w:color w:val="000000"/>
                <w:sz w:val="22"/>
                <w:szCs w:val="22"/>
              </w:rPr>
            </w:pPr>
            <w:r w:rsidRPr="00942403">
              <w:rPr>
                <w:rFonts w:ascii="Arial" w:hAnsi="Arial" w:cs="Arial"/>
                <w:color w:val="000000"/>
                <w:sz w:val="22"/>
                <w:szCs w:val="22"/>
              </w:rPr>
              <w:t>774.692</w:t>
            </w:r>
            <w:r>
              <w:rPr>
                <w:rFonts w:ascii="Arial" w:hAnsi="Arial" w:cs="Arial"/>
                <w:color w:val="000000"/>
                <w:sz w:val="22"/>
                <w:szCs w:val="22"/>
              </w:rPr>
              <w:t xml:space="preserve"> (</w:t>
            </w:r>
            <w:r w:rsidR="00021B99">
              <w:rPr>
                <w:rFonts w:ascii="Arial" w:hAnsi="Arial" w:cs="Arial"/>
                <w:color w:val="000000"/>
                <w:sz w:val="22"/>
                <w:szCs w:val="22"/>
              </w:rPr>
              <w:t>34</w:t>
            </w:r>
            <w:r w:rsidR="00250329">
              <w:rPr>
                <w:rFonts w:ascii="Arial" w:hAnsi="Arial" w:cs="Arial"/>
                <w:color w:val="000000"/>
                <w:sz w:val="22"/>
                <w:szCs w:val="22"/>
              </w:rPr>
              <w:t>.4</w:t>
            </w:r>
            <w:r w:rsidR="00021B99">
              <w:rPr>
                <w:rFonts w:ascii="Arial" w:hAnsi="Arial" w:cs="Arial"/>
                <w:color w:val="000000"/>
                <w:sz w:val="22"/>
                <w:szCs w:val="22"/>
              </w:rPr>
              <w:t>)</w:t>
            </w:r>
          </w:p>
        </w:tc>
      </w:tr>
    </w:tbl>
    <w:p w14:paraId="218F3105" w14:textId="77777777" w:rsidR="00942403" w:rsidRPr="00DF5115" w:rsidRDefault="00942403" w:rsidP="003803FF">
      <w:pPr>
        <w:spacing w:line="360" w:lineRule="auto"/>
        <w:ind w:firstLine="708"/>
        <w:jc w:val="both"/>
        <w:rPr>
          <w:rFonts w:ascii="Arial" w:eastAsia="Times New Roman" w:hAnsi="Arial" w:cs="Arial"/>
          <w:color w:val="000000"/>
          <w:kern w:val="0"/>
          <w:lang w:eastAsia="pt-BR"/>
          <w14:ligatures w14:val="none"/>
        </w:rPr>
      </w:pPr>
    </w:p>
    <w:p w14:paraId="19E55405" w14:textId="21C6BCE7" w:rsidR="009D4965" w:rsidRDefault="005432A8" w:rsidP="003803FF">
      <w:pPr>
        <w:spacing w:line="360" w:lineRule="auto"/>
        <w:ind w:firstLine="708"/>
        <w:jc w:val="both"/>
        <w:rPr>
          <w:rFonts w:ascii="Arial" w:eastAsia="Times New Roman" w:hAnsi="Arial" w:cs="Arial"/>
          <w:color w:val="000000"/>
          <w:kern w:val="0"/>
          <w:lang w:eastAsia="pt-BR"/>
          <w14:ligatures w14:val="none"/>
        </w:rPr>
      </w:pPr>
      <w:r w:rsidRPr="005432A8">
        <w:rPr>
          <w:rFonts w:ascii="Arial" w:eastAsia="Times New Roman" w:hAnsi="Arial" w:cs="Arial"/>
          <w:color w:val="000000"/>
          <w:kern w:val="0"/>
          <w:lang w:eastAsia="pt-BR"/>
          <w14:ligatures w14:val="none"/>
        </w:rPr>
        <w:t>Unfortunately, the DATASUS database does not allow for cross-referencing, and significant data loss was recorded, indicating IgM positivity in 279,412 (12.4%), ELIZA positivity in 598,264 (26.6%); viral isolation in 2,201 (0.1%); and dengue serotype in 2.8%. Information related to serological diagnosis is detailed in Table 2.</w:t>
      </w:r>
    </w:p>
    <w:p w14:paraId="218853D7" w14:textId="77777777" w:rsidR="00F478E4" w:rsidRDefault="00F478E4" w:rsidP="003803FF">
      <w:pPr>
        <w:spacing w:line="360" w:lineRule="auto"/>
        <w:ind w:firstLine="708"/>
        <w:jc w:val="both"/>
        <w:rPr>
          <w:rFonts w:ascii="Arial" w:eastAsia="Times New Roman" w:hAnsi="Arial" w:cs="Arial"/>
          <w:color w:val="000000"/>
          <w:kern w:val="0"/>
          <w:lang w:eastAsia="pt-BR"/>
          <w14:ligatures w14:val="none"/>
        </w:rPr>
      </w:pPr>
    </w:p>
    <w:p w14:paraId="0E8C4E70" w14:textId="77777777" w:rsidR="00F478E4" w:rsidRDefault="00F478E4" w:rsidP="003803FF">
      <w:pPr>
        <w:spacing w:line="360" w:lineRule="auto"/>
        <w:ind w:firstLine="708"/>
        <w:jc w:val="both"/>
        <w:rPr>
          <w:rFonts w:ascii="Arial" w:eastAsia="Times New Roman" w:hAnsi="Arial" w:cs="Arial"/>
          <w:color w:val="000000"/>
          <w:kern w:val="0"/>
          <w:lang w:eastAsia="pt-BR"/>
          <w14:ligatures w14:val="none"/>
        </w:rPr>
      </w:pPr>
    </w:p>
    <w:p w14:paraId="0A82D4D4" w14:textId="77777777" w:rsidR="00F478E4" w:rsidRDefault="00F478E4" w:rsidP="003803FF">
      <w:pPr>
        <w:spacing w:line="360" w:lineRule="auto"/>
        <w:ind w:firstLine="708"/>
        <w:jc w:val="both"/>
        <w:rPr>
          <w:rFonts w:ascii="Arial" w:eastAsia="Times New Roman" w:hAnsi="Arial" w:cs="Arial"/>
          <w:color w:val="000000"/>
          <w:kern w:val="0"/>
          <w:lang w:eastAsia="pt-BR"/>
          <w14:ligatures w14:val="none"/>
        </w:rPr>
      </w:pPr>
    </w:p>
    <w:p w14:paraId="170902D0" w14:textId="77777777" w:rsidR="00F478E4" w:rsidRDefault="00F478E4" w:rsidP="003803FF">
      <w:pPr>
        <w:spacing w:line="360" w:lineRule="auto"/>
        <w:ind w:firstLine="708"/>
        <w:jc w:val="both"/>
        <w:rPr>
          <w:rFonts w:ascii="Arial" w:eastAsia="Times New Roman" w:hAnsi="Arial" w:cs="Arial"/>
          <w:color w:val="000000"/>
          <w:kern w:val="0"/>
          <w:lang w:eastAsia="pt-BR"/>
          <w14:ligatures w14:val="none"/>
        </w:rPr>
      </w:pPr>
    </w:p>
    <w:p w14:paraId="3662F4CA" w14:textId="77777777" w:rsidR="00F478E4" w:rsidRDefault="00F478E4" w:rsidP="003803FF">
      <w:pPr>
        <w:spacing w:line="360" w:lineRule="auto"/>
        <w:ind w:firstLine="708"/>
        <w:jc w:val="both"/>
        <w:rPr>
          <w:rFonts w:ascii="Arial" w:eastAsia="Times New Roman" w:hAnsi="Arial" w:cs="Arial"/>
          <w:color w:val="000000"/>
          <w:kern w:val="0"/>
          <w:lang w:eastAsia="pt-BR"/>
          <w14:ligatures w14:val="none"/>
        </w:rPr>
      </w:pPr>
    </w:p>
    <w:p w14:paraId="2E4BF216" w14:textId="77777777" w:rsidR="00F478E4" w:rsidRDefault="00F478E4" w:rsidP="003803FF">
      <w:pPr>
        <w:spacing w:line="360" w:lineRule="auto"/>
        <w:ind w:firstLine="708"/>
        <w:jc w:val="both"/>
        <w:rPr>
          <w:rFonts w:ascii="Arial" w:eastAsia="Times New Roman" w:hAnsi="Arial" w:cs="Arial"/>
          <w:color w:val="000000"/>
          <w:kern w:val="0"/>
          <w:lang w:eastAsia="pt-BR"/>
          <w14:ligatures w14:val="none"/>
        </w:rPr>
      </w:pPr>
    </w:p>
    <w:p w14:paraId="4E54B5BE" w14:textId="77777777" w:rsidR="00F478E4" w:rsidRDefault="00F478E4" w:rsidP="003803FF">
      <w:pPr>
        <w:spacing w:line="360" w:lineRule="auto"/>
        <w:ind w:firstLine="708"/>
        <w:jc w:val="both"/>
        <w:rPr>
          <w:rFonts w:ascii="Arial" w:eastAsia="Times New Roman" w:hAnsi="Arial" w:cs="Arial"/>
          <w:color w:val="000000"/>
          <w:kern w:val="0"/>
          <w:lang w:eastAsia="pt-BR"/>
          <w14:ligatures w14:val="none"/>
        </w:rPr>
      </w:pPr>
    </w:p>
    <w:p w14:paraId="1AC424FE" w14:textId="79C806A9" w:rsidR="00BE1F21" w:rsidRPr="00DF5115" w:rsidRDefault="003803FF" w:rsidP="007B379F">
      <w:pPr>
        <w:spacing w:line="360" w:lineRule="auto"/>
        <w:jc w:val="both"/>
        <w:rPr>
          <w:rFonts w:ascii="Arial" w:eastAsia="Times New Roman" w:hAnsi="Arial" w:cs="Arial"/>
          <w:color w:val="000000"/>
          <w:kern w:val="0"/>
          <w:lang w:eastAsia="pt-BR"/>
          <w14:ligatures w14:val="none"/>
        </w:rPr>
      </w:pPr>
      <w:r w:rsidRPr="00DF5115">
        <w:rPr>
          <w:rFonts w:ascii="Arial" w:eastAsia="Times New Roman" w:hAnsi="Arial" w:cs="Arial"/>
          <w:color w:val="000000"/>
          <w:kern w:val="0"/>
          <w:lang w:eastAsia="pt-BR"/>
          <w14:ligatures w14:val="none"/>
        </w:rPr>
        <w:lastRenderedPageBreak/>
        <w:t xml:space="preserve">Table </w:t>
      </w:r>
      <w:r w:rsidR="009D4965">
        <w:rPr>
          <w:rFonts w:ascii="Arial" w:eastAsia="Times New Roman" w:hAnsi="Arial" w:cs="Arial"/>
          <w:color w:val="000000"/>
          <w:kern w:val="0"/>
          <w:lang w:eastAsia="pt-BR"/>
          <w14:ligatures w14:val="none"/>
        </w:rPr>
        <w:t>2</w:t>
      </w:r>
      <w:r w:rsidRPr="00DF5115">
        <w:rPr>
          <w:rFonts w:ascii="Arial" w:eastAsia="Times New Roman" w:hAnsi="Arial" w:cs="Arial"/>
          <w:color w:val="000000"/>
          <w:kern w:val="0"/>
          <w:lang w:eastAsia="pt-BR"/>
          <w14:ligatures w14:val="none"/>
        </w:rPr>
        <w:t xml:space="preserve"> – Serological tests performed on patients suspected of having Dengue in the five regions of Brazil, from 2022 to 2024 (n=2.253.026)</w:t>
      </w:r>
    </w:p>
    <w:tbl>
      <w:tblPr>
        <w:tblStyle w:val="TableGrid"/>
        <w:tblW w:w="0" w:type="auto"/>
        <w:tblInd w:w="-714" w:type="dxa"/>
        <w:tblLook w:val="04A0" w:firstRow="1" w:lastRow="0" w:firstColumn="1" w:lastColumn="0" w:noHBand="0" w:noVBand="1"/>
      </w:tblPr>
      <w:tblGrid>
        <w:gridCol w:w="2106"/>
        <w:gridCol w:w="976"/>
        <w:gridCol w:w="1257"/>
        <w:gridCol w:w="1297"/>
        <w:gridCol w:w="1149"/>
        <w:gridCol w:w="1149"/>
        <w:gridCol w:w="1284"/>
      </w:tblGrid>
      <w:tr w:rsidR="00BE1F21" w:rsidRPr="00DF5115" w14:paraId="300B0A92" w14:textId="77777777" w:rsidTr="003D77B1">
        <w:trPr>
          <w:trHeight w:val="113"/>
        </w:trPr>
        <w:tc>
          <w:tcPr>
            <w:tcW w:w="2106" w:type="dxa"/>
            <w:vMerge w:val="restart"/>
            <w:tcBorders>
              <w:top w:val="single" w:sz="12" w:space="0" w:color="auto"/>
              <w:left w:val="nil"/>
              <w:bottom w:val="nil"/>
              <w:right w:val="nil"/>
            </w:tcBorders>
          </w:tcPr>
          <w:p w14:paraId="1077A14C" w14:textId="7EB45EB5" w:rsidR="00BE1F21" w:rsidRPr="00DF5115" w:rsidRDefault="003803FF" w:rsidP="0040475D">
            <w:pPr>
              <w:jc w:val="both"/>
              <w:rPr>
                <w:rFonts w:ascii="Arial" w:eastAsia="Times New Roman" w:hAnsi="Arial" w:cs="Arial"/>
                <w:b/>
                <w:bCs/>
                <w:color w:val="000000"/>
                <w:kern w:val="0"/>
                <w:lang w:eastAsia="pt-BR"/>
                <w14:ligatures w14:val="none"/>
              </w:rPr>
            </w:pPr>
            <w:r w:rsidRPr="00DF5115">
              <w:rPr>
                <w:rFonts w:ascii="Arial" w:eastAsia="Times New Roman" w:hAnsi="Arial" w:cs="Arial"/>
                <w:b/>
                <w:bCs/>
                <w:color w:val="000000"/>
                <w:kern w:val="0"/>
                <w:lang w:eastAsia="pt-BR"/>
                <w14:ligatures w14:val="none"/>
              </w:rPr>
              <w:t>Serological Test</w:t>
            </w:r>
          </w:p>
        </w:tc>
        <w:tc>
          <w:tcPr>
            <w:tcW w:w="5828" w:type="dxa"/>
            <w:gridSpan w:val="5"/>
            <w:tcBorders>
              <w:top w:val="single" w:sz="12" w:space="0" w:color="auto"/>
              <w:left w:val="nil"/>
              <w:bottom w:val="nil"/>
              <w:right w:val="nil"/>
            </w:tcBorders>
          </w:tcPr>
          <w:p w14:paraId="5CB5AA31" w14:textId="3D042FDC" w:rsidR="00BE1F21" w:rsidRPr="00DF5115" w:rsidRDefault="003D77B1" w:rsidP="00D77662">
            <w:pPr>
              <w:jc w:val="center"/>
              <w:rPr>
                <w:rFonts w:ascii="Arial" w:eastAsia="Times New Roman" w:hAnsi="Arial" w:cs="Arial"/>
                <w:color w:val="000000"/>
                <w:kern w:val="0"/>
                <w:lang w:eastAsia="pt-BR"/>
                <w14:ligatures w14:val="none"/>
              </w:rPr>
            </w:pPr>
            <w:r w:rsidRPr="00DF5115">
              <w:rPr>
                <w:rFonts w:ascii="Arial" w:eastAsia="Times New Roman" w:hAnsi="Arial" w:cs="Arial"/>
                <w:color w:val="000000"/>
                <w:kern w:val="0"/>
                <w:lang w:eastAsia="pt-BR"/>
                <w14:ligatures w14:val="none"/>
              </w:rPr>
              <w:t>Region of Brazil</w:t>
            </w:r>
          </w:p>
        </w:tc>
        <w:tc>
          <w:tcPr>
            <w:tcW w:w="1284" w:type="dxa"/>
            <w:vMerge w:val="restart"/>
            <w:tcBorders>
              <w:top w:val="single" w:sz="12" w:space="0" w:color="auto"/>
              <w:left w:val="nil"/>
              <w:bottom w:val="nil"/>
              <w:right w:val="nil"/>
            </w:tcBorders>
          </w:tcPr>
          <w:p w14:paraId="404EF49D" w14:textId="495F0EA4" w:rsidR="00BE1F21" w:rsidRPr="00DF5115" w:rsidRDefault="007B379F" w:rsidP="00D77662">
            <w:pPr>
              <w:jc w:val="center"/>
              <w:rPr>
                <w:rFonts w:ascii="Arial" w:eastAsia="Times New Roman" w:hAnsi="Arial" w:cs="Arial"/>
                <w:color w:val="000000"/>
                <w:kern w:val="0"/>
                <w:lang w:eastAsia="pt-BR"/>
                <w14:ligatures w14:val="none"/>
              </w:rPr>
            </w:pPr>
            <w:r w:rsidRPr="00DF5115">
              <w:rPr>
                <w:rFonts w:ascii="Arial" w:eastAsia="Times New Roman" w:hAnsi="Arial" w:cs="Arial"/>
                <w:color w:val="000000"/>
                <w:kern w:val="0"/>
                <w:lang w:eastAsia="pt-BR"/>
                <w14:ligatures w14:val="none"/>
              </w:rPr>
              <w:t>TOTAL</w:t>
            </w:r>
          </w:p>
        </w:tc>
      </w:tr>
      <w:tr w:rsidR="00BE1F21" w:rsidRPr="00DF5115" w14:paraId="337CBEC2" w14:textId="77777777" w:rsidTr="003D77B1">
        <w:trPr>
          <w:trHeight w:val="112"/>
        </w:trPr>
        <w:tc>
          <w:tcPr>
            <w:tcW w:w="2106" w:type="dxa"/>
            <w:vMerge/>
            <w:tcBorders>
              <w:top w:val="nil"/>
              <w:left w:val="nil"/>
              <w:bottom w:val="single" w:sz="12" w:space="0" w:color="auto"/>
              <w:right w:val="nil"/>
            </w:tcBorders>
          </w:tcPr>
          <w:p w14:paraId="02F36BC2" w14:textId="77777777" w:rsidR="00BE1F21" w:rsidRPr="00DF5115" w:rsidRDefault="00BE1F21" w:rsidP="0040475D">
            <w:pPr>
              <w:jc w:val="both"/>
              <w:rPr>
                <w:rFonts w:ascii="Arial" w:eastAsia="Times New Roman" w:hAnsi="Arial" w:cs="Arial"/>
                <w:color w:val="000000"/>
                <w:kern w:val="0"/>
                <w:lang w:eastAsia="pt-BR"/>
                <w14:ligatures w14:val="none"/>
              </w:rPr>
            </w:pPr>
          </w:p>
        </w:tc>
        <w:tc>
          <w:tcPr>
            <w:tcW w:w="976" w:type="dxa"/>
            <w:tcBorders>
              <w:top w:val="nil"/>
              <w:left w:val="nil"/>
              <w:bottom w:val="single" w:sz="12" w:space="0" w:color="auto"/>
              <w:right w:val="nil"/>
            </w:tcBorders>
          </w:tcPr>
          <w:p w14:paraId="2B405240" w14:textId="09AA4934" w:rsidR="00BE1F21" w:rsidRPr="00DF5115" w:rsidRDefault="003D77B1" w:rsidP="00D77662">
            <w:pPr>
              <w:jc w:val="center"/>
              <w:rPr>
                <w:rFonts w:ascii="Arial" w:eastAsia="Times New Roman" w:hAnsi="Arial" w:cs="Arial"/>
                <w:color w:val="000000"/>
                <w:kern w:val="0"/>
                <w:lang w:eastAsia="pt-BR"/>
                <w14:ligatures w14:val="none"/>
              </w:rPr>
            </w:pPr>
            <w:r w:rsidRPr="00DF5115">
              <w:rPr>
                <w:rFonts w:ascii="Arial" w:eastAsia="Times New Roman" w:hAnsi="Arial" w:cs="Arial"/>
                <w:color w:val="000000"/>
                <w:kern w:val="0"/>
                <w:lang w:eastAsia="pt-BR"/>
                <w14:ligatures w14:val="none"/>
              </w:rPr>
              <w:t>North</w:t>
            </w:r>
          </w:p>
        </w:tc>
        <w:tc>
          <w:tcPr>
            <w:tcW w:w="1257" w:type="dxa"/>
            <w:tcBorders>
              <w:top w:val="nil"/>
              <w:left w:val="nil"/>
              <w:bottom w:val="single" w:sz="12" w:space="0" w:color="auto"/>
              <w:right w:val="nil"/>
            </w:tcBorders>
          </w:tcPr>
          <w:p w14:paraId="5DA03A30" w14:textId="674E6354" w:rsidR="00BE1F21" w:rsidRPr="00DF5115" w:rsidRDefault="003D77B1" w:rsidP="00D77662">
            <w:pPr>
              <w:jc w:val="center"/>
              <w:rPr>
                <w:rFonts w:ascii="Arial" w:eastAsia="Times New Roman" w:hAnsi="Arial" w:cs="Arial"/>
                <w:color w:val="000000"/>
                <w:kern w:val="0"/>
                <w:lang w:eastAsia="pt-BR"/>
                <w14:ligatures w14:val="none"/>
              </w:rPr>
            </w:pPr>
            <w:r w:rsidRPr="00DF5115">
              <w:rPr>
                <w:rFonts w:ascii="Arial" w:eastAsia="Times New Roman" w:hAnsi="Arial" w:cs="Arial"/>
                <w:color w:val="000000"/>
                <w:kern w:val="0"/>
                <w:lang w:eastAsia="pt-BR"/>
                <w14:ligatures w14:val="none"/>
              </w:rPr>
              <w:t>Northeast</w:t>
            </w:r>
          </w:p>
        </w:tc>
        <w:tc>
          <w:tcPr>
            <w:tcW w:w="1297" w:type="dxa"/>
            <w:tcBorders>
              <w:top w:val="nil"/>
              <w:left w:val="nil"/>
              <w:bottom w:val="single" w:sz="12" w:space="0" w:color="auto"/>
              <w:right w:val="nil"/>
            </w:tcBorders>
          </w:tcPr>
          <w:p w14:paraId="66E53494" w14:textId="3D626D81" w:rsidR="00BE1F21" w:rsidRPr="00DF5115" w:rsidRDefault="003D77B1" w:rsidP="00D77662">
            <w:pPr>
              <w:jc w:val="center"/>
              <w:rPr>
                <w:rFonts w:ascii="Arial" w:eastAsia="Times New Roman" w:hAnsi="Arial" w:cs="Arial"/>
                <w:color w:val="000000"/>
                <w:kern w:val="0"/>
                <w:lang w:eastAsia="pt-BR"/>
                <w14:ligatures w14:val="none"/>
              </w:rPr>
            </w:pPr>
            <w:r w:rsidRPr="00DF5115">
              <w:rPr>
                <w:rFonts w:ascii="Arial" w:eastAsia="Times New Roman" w:hAnsi="Arial" w:cs="Arial"/>
                <w:color w:val="000000"/>
                <w:kern w:val="0"/>
                <w:lang w:eastAsia="pt-BR"/>
                <w14:ligatures w14:val="none"/>
              </w:rPr>
              <w:t>Southeast</w:t>
            </w:r>
          </w:p>
        </w:tc>
        <w:tc>
          <w:tcPr>
            <w:tcW w:w="1149" w:type="dxa"/>
            <w:tcBorders>
              <w:top w:val="nil"/>
              <w:left w:val="nil"/>
              <w:bottom w:val="single" w:sz="12" w:space="0" w:color="auto"/>
              <w:right w:val="nil"/>
            </w:tcBorders>
          </w:tcPr>
          <w:p w14:paraId="021EF640" w14:textId="0611B6BA" w:rsidR="00BE1F21" w:rsidRPr="00DF5115" w:rsidRDefault="003D77B1" w:rsidP="00D77662">
            <w:pPr>
              <w:jc w:val="center"/>
              <w:rPr>
                <w:rFonts w:ascii="Arial" w:eastAsia="Times New Roman" w:hAnsi="Arial" w:cs="Arial"/>
                <w:color w:val="000000"/>
                <w:kern w:val="0"/>
                <w:lang w:eastAsia="pt-BR"/>
                <w14:ligatures w14:val="none"/>
              </w:rPr>
            </w:pPr>
            <w:r w:rsidRPr="00DF5115">
              <w:rPr>
                <w:rFonts w:ascii="Arial" w:eastAsia="Times New Roman" w:hAnsi="Arial" w:cs="Arial"/>
                <w:color w:val="000000"/>
                <w:kern w:val="0"/>
                <w:lang w:eastAsia="pt-BR"/>
                <w14:ligatures w14:val="none"/>
              </w:rPr>
              <w:t>South</w:t>
            </w:r>
          </w:p>
        </w:tc>
        <w:tc>
          <w:tcPr>
            <w:tcW w:w="1149" w:type="dxa"/>
            <w:tcBorders>
              <w:top w:val="nil"/>
              <w:left w:val="nil"/>
              <w:bottom w:val="single" w:sz="12" w:space="0" w:color="auto"/>
              <w:right w:val="nil"/>
            </w:tcBorders>
          </w:tcPr>
          <w:p w14:paraId="4F79A0D5" w14:textId="15168B30" w:rsidR="00BE1F21" w:rsidRPr="00DF5115" w:rsidRDefault="003D77B1" w:rsidP="00D77662">
            <w:pPr>
              <w:jc w:val="center"/>
              <w:rPr>
                <w:rFonts w:ascii="Arial" w:eastAsia="Times New Roman" w:hAnsi="Arial" w:cs="Arial"/>
                <w:color w:val="000000"/>
                <w:kern w:val="0"/>
                <w:lang w:eastAsia="pt-BR"/>
                <w14:ligatures w14:val="none"/>
              </w:rPr>
            </w:pPr>
            <w:r w:rsidRPr="00DF5115">
              <w:rPr>
                <w:rFonts w:ascii="Arial" w:eastAsia="Times New Roman" w:hAnsi="Arial" w:cs="Arial"/>
                <w:color w:val="000000"/>
                <w:kern w:val="0"/>
                <w:lang w:eastAsia="pt-BR"/>
                <w14:ligatures w14:val="none"/>
              </w:rPr>
              <w:t>Central-West</w:t>
            </w:r>
          </w:p>
        </w:tc>
        <w:tc>
          <w:tcPr>
            <w:tcW w:w="1284" w:type="dxa"/>
            <w:vMerge/>
            <w:tcBorders>
              <w:top w:val="nil"/>
              <w:left w:val="nil"/>
              <w:bottom w:val="single" w:sz="12" w:space="0" w:color="auto"/>
              <w:right w:val="nil"/>
            </w:tcBorders>
          </w:tcPr>
          <w:p w14:paraId="081BF46D" w14:textId="77777777" w:rsidR="00BE1F21" w:rsidRPr="00DF5115" w:rsidRDefault="00BE1F21" w:rsidP="00D77662">
            <w:pPr>
              <w:jc w:val="center"/>
              <w:rPr>
                <w:rFonts w:ascii="Arial" w:eastAsia="Times New Roman" w:hAnsi="Arial" w:cs="Arial"/>
                <w:color w:val="000000"/>
                <w:kern w:val="0"/>
                <w:lang w:eastAsia="pt-BR"/>
                <w14:ligatures w14:val="none"/>
              </w:rPr>
            </w:pPr>
          </w:p>
        </w:tc>
      </w:tr>
      <w:tr w:rsidR="007B379F" w:rsidRPr="00DF5115" w14:paraId="4B870D1B" w14:textId="77777777" w:rsidTr="003D77B1">
        <w:tc>
          <w:tcPr>
            <w:tcW w:w="2106" w:type="dxa"/>
            <w:tcBorders>
              <w:top w:val="single" w:sz="12" w:space="0" w:color="auto"/>
              <w:left w:val="nil"/>
              <w:bottom w:val="nil"/>
              <w:right w:val="nil"/>
            </w:tcBorders>
          </w:tcPr>
          <w:p w14:paraId="6CF4D8E2" w14:textId="73F27FEA" w:rsidR="007B379F" w:rsidRPr="00DF5115" w:rsidRDefault="003D77B1" w:rsidP="007B379F">
            <w:pPr>
              <w:jc w:val="both"/>
              <w:rPr>
                <w:rFonts w:ascii="Arial" w:eastAsia="Times New Roman" w:hAnsi="Arial" w:cs="Arial"/>
                <w:b/>
                <w:bCs/>
                <w:color w:val="000000"/>
                <w:kern w:val="0"/>
                <w:sz w:val="20"/>
                <w:szCs w:val="20"/>
                <w:lang w:eastAsia="pt-BR"/>
                <w14:ligatures w14:val="none"/>
              </w:rPr>
            </w:pPr>
            <w:r w:rsidRPr="00DF5115">
              <w:rPr>
                <w:rFonts w:ascii="Arial" w:eastAsia="Times New Roman" w:hAnsi="Arial" w:cs="Arial"/>
                <w:b/>
                <w:bCs/>
                <w:color w:val="000000"/>
                <w:kern w:val="0"/>
                <w:lang w:eastAsia="pt-BR"/>
                <w14:ligatures w14:val="none"/>
              </w:rPr>
              <w:t>TOTAL/REGION</w:t>
            </w:r>
          </w:p>
        </w:tc>
        <w:tc>
          <w:tcPr>
            <w:tcW w:w="976" w:type="dxa"/>
            <w:tcBorders>
              <w:top w:val="single" w:sz="12" w:space="0" w:color="auto"/>
              <w:left w:val="nil"/>
              <w:bottom w:val="nil"/>
              <w:right w:val="nil"/>
            </w:tcBorders>
            <w:vAlign w:val="center"/>
          </w:tcPr>
          <w:p w14:paraId="0831509D" w14:textId="2F5C5E9E" w:rsidR="007B379F" w:rsidRPr="00DF5115" w:rsidRDefault="007B379F" w:rsidP="007B379F">
            <w:pPr>
              <w:jc w:val="center"/>
              <w:rPr>
                <w:rFonts w:ascii="Arial" w:hAnsi="Arial" w:cs="Arial"/>
                <w:b/>
                <w:bCs/>
                <w:color w:val="000000"/>
              </w:rPr>
            </w:pPr>
            <w:r w:rsidRPr="00DF5115">
              <w:rPr>
                <w:rFonts w:ascii="Arial" w:hAnsi="Arial" w:cs="Arial"/>
                <w:b/>
                <w:bCs/>
                <w:color w:val="000000"/>
              </w:rPr>
              <w:t>44.378</w:t>
            </w:r>
          </w:p>
        </w:tc>
        <w:tc>
          <w:tcPr>
            <w:tcW w:w="1257" w:type="dxa"/>
            <w:tcBorders>
              <w:top w:val="single" w:sz="12" w:space="0" w:color="auto"/>
              <w:left w:val="nil"/>
              <w:bottom w:val="nil"/>
              <w:right w:val="nil"/>
            </w:tcBorders>
            <w:vAlign w:val="center"/>
          </w:tcPr>
          <w:p w14:paraId="66EE49E9" w14:textId="05A693C4" w:rsidR="007B379F" w:rsidRPr="00DF5115" w:rsidRDefault="007B379F" w:rsidP="007B379F">
            <w:pPr>
              <w:jc w:val="center"/>
              <w:rPr>
                <w:rFonts w:ascii="Arial" w:hAnsi="Arial" w:cs="Arial"/>
                <w:b/>
                <w:bCs/>
                <w:color w:val="000000"/>
              </w:rPr>
            </w:pPr>
            <w:r w:rsidRPr="00DF5115">
              <w:rPr>
                <w:rFonts w:ascii="Arial" w:hAnsi="Arial" w:cs="Arial"/>
                <w:b/>
                <w:bCs/>
                <w:color w:val="000000"/>
              </w:rPr>
              <w:t>222.366</w:t>
            </w:r>
          </w:p>
        </w:tc>
        <w:tc>
          <w:tcPr>
            <w:tcW w:w="1297" w:type="dxa"/>
            <w:tcBorders>
              <w:top w:val="single" w:sz="12" w:space="0" w:color="auto"/>
              <w:left w:val="nil"/>
              <w:bottom w:val="nil"/>
              <w:right w:val="nil"/>
            </w:tcBorders>
            <w:vAlign w:val="center"/>
          </w:tcPr>
          <w:p w14:paraId="5E96564B" w14:textId="627F7ACD" w:rsidR="007B379F" w:rsidRPr="00DF5115" w:rsidRDefault="007B379F" w:rsidP="007B379F">
            <w:pPr>
              <w:jc w:val="center"/>
              <w:rPr>
                <w:rFonts w:ascii="Arial" w:hAnsi="Arial" w:cs="Arial"/>
                <w:b/>
                <w:bCs/>
                <w:color w:val="000000"/>
              </w:rPr>
            </w:pPr>
            <w:r w:rsidRPr="00DF5115">
              <w:rPr>
                <w:rFonts w:ascii="Arial" w:hAnsi="Arial" w:cs="Arial"/>
                <w:b/>
                <w:bCs/>
                <w:color w:val="000000"/>
              </w:rPr>
              <w:t>1.250.375</w:t>
            </w:r>
          </w:p>
        </w:tc>
        <w:tc>
          <w:tcPr>
            <w:tcW w:w="1149" w:type="dxa"/>
            <w:tcBorders>
              <w:top w:val="single" w:sz="12" w:space="0" w:color="auto"/>
              <w:left w:val="nil"/>
              <w:bottom w:val="nil"/>
              <w:right w:val="nil"/>
            </w:tcBorders>
            <w:vAlign w:val="center"/>
          </w:tcPr>
          <w:p w14:paraId="4879759B" w14:textId="4F96F7F1" w:rsidR="007B379F" w:rsidRPr="00DF5115" w:rsidRDefault="007B379F" w:rsidP="007B379F">
            <w:pPr>
              <w:jc w:val="center"/>
              <w:rPr>
                <w:rFonts w:ascii="Arial" w:hAnsi="Arial" w:cs="Arial"/>
                <w:b/>
                <w:bCs/>
                <w:color w:val="000000"/>
              </w:rPr>
            </w:pPr>
            <w:r w:rsidRPr="00DF5115">
              <w:rPr>
                <w:rFonts w:ascii="Arial" w:hAnsi="Arial" w:cs="Arial"/>
                <w:b/>
                <w:bCs/>
                <w:color w:val="000000"/>
              </w:rPr>
              <w:t>421.771</w:t>
            </w:r>
          </w:p>
        </w:tc>
        <w:tc>
          <w:tcPr>
            <w:tcW w:w="1149" w:type="dxa"/>
            <w:tcBorders>
              <w:top w:val="single" w:sz="12" w:space="0" w:color="auto"/>
              <w:left w:val="nil"/>
              <w:bottom w:val="nil"/>
              <w:right w:val="nil"/>
            </w:tcBorders>
            <w:vAlign w:val="center"/>
          </w:tcPr>
          <w:p w14:paraId="76A18689" w14:textId="6DB2C0D9" w:rsidR="007B379F" w:rsidRPr="00DF5115" w:rsidRDefault="007B379F" w:rsidP="007B379F">
            <w:pPr>
              <w:jc w:val="center"/>
              <w:rPr>
                <w:rFonts w:ascii="Arial" w:hAnsi="Arial" w:cs="Arial"/>
                <w:b/>
                <w:bCs/>
                <w:color w:val="000000"/>
              </w:rPr>
            </w:pPr>
            <w:r w:rsidRPr="00DF5115">
              <w:rPr>
                <w:rFonts w:ascii="Arial" w:hAnsi="Arial" w:cs="Arial"/>
                <w:b/>
                <w:bCs/>
                <w:color w:val="000000"/>
              </w:rPr>
              <w:t>314.136</w:t>
            </w:r>
          </w:p>
        </w:tc>
        <w:tc>
          <w:tcPr>
            <w:tcW w:w="1284" w:type="dxa"/>
            <w:tcBorders>
              <w:top w:val="single" w:sz="12" w:space="0" w:color="auto"/>
              <w:left w:val="nil"/>
              <w:bottom w:val="nil"/>
              <w:right w:val="nil"/>
            </w:tcBorders>
            <w:vAlign w:val="center"/>
          </w:tcPr>
          <w:p w14:paraId="2DB31DB2" w14:textId="7D9D3F09" w:rsidR="007B379F" w:rsidRPr="00DF5115" w:rsidRDefault="007B379F" w:rsidP="007B379F">
            <w:pPr>
              <w:jc w:val="center"/>
              <w:rPr>
                <w:rFonts w:ascii="Arial" w:hAnsi="Arial" w:cs="Arial"/>
                <w:b/>
                <w:bCs/>
                <w:color w:val="000000"/>
              </w:rPr>
            </w:pPr>
            <w:r w:rsidRPr="00DF5115">
              <w:rPr>
                <w:rFonts w:ascii="Arial" w:hAnsi="Arial" w:cs="Arial"/>
                <w:b/>
                <w:bCs/>
                <w:color w:val="000000"/>
              </w:rPr>
              <w:t>2.253.026</w:t>
            </w:r>
          </w:p>
        </w:tc>
      </w:tr>
      <w:tr w:rsidR="007B379F" w:rsidRPr="00DF5115" w14:paraId="21D06368" w14:textId="77777777" w:rsidTr="003D77B1">
        <w:tc>
          <w:tcPr>
            <w:tcW w:w="2106" w:type="dxa"/>
            <w:tcBorders>
              <w:top w:val="nil"/>
              <w:left w:val="nil"/>
              <w:bottom w:val="nil"/>
              <w:right w:val="nil"/>
            </w:tcBorders>
          </w:tcPr>
          <w:p w14:paraId="3C04B1E9" w14:textId="5746F364" w:rsidR="007B379F" w:rsidRPr="00DF5115" w:rsidRDefault="007B379F" w:rsidP="007B379F">
            <w:pPr>
              <w:jc w:val="both"/>
              <w:rPr>
                <w:rFonts w:ascii="Arial" w:eastAsia="Times New Roman" w:hAnsi="Arial" w:cs="Arial"/>
                <w:b/>
                <w:bCs/>
                <w:color w:val="000000"/>
                <w:kern w:val="0"/>
                <w:lang w:eastAsia="pt-BR"/>
                <w14:ligatures w14:val="none"/>
              </w:rPr>
            </w:pPr>
            <w:r w:rsidRPr="00DF5115">
              <w:rPr>
                <w:rFonts w:ascii="Arial" w:eastAsia="Times New Roman" w:hAnsi="Arial" w:cs="Arial"/>
                <w:b/>
                <w:bCs/>
                <w:color w:val="000000"/>
                <w:kern w:val="0"/>
                <w:lang w:eastAsia="pt-BR"/>
                <w14:ligatures w14:val="none"/>
              </w:rPr>
              <w:t>IgM Dengue</w:t>
            </w:r>
          </w:p>
        </w:tc>
        <w:tc>
          <w:tcPr>
            <w:tcW w:w="976" w:type="dxa"/>
            <w:tcBorders>
              <w:top w:val="nil"/>
              <w:left w:val="nil"/>
              <w:bottom w:val="nil"/>
              <w:right w:val="nil"/>
            </w:tcBorders>
            <w:vAlign w:val="center"/>
          </w:tcPr>
          <w:p w14:paraId="1B2A147C" w14:textId="77777777" w:rsidR="007B379F" w:rsidRPr="00DF5115" w:rsidRDefault="007B379F" w:rsidP="007B379F">
            <w:pPr>
              <w:jc w:val="center"/>
              <w:rPr>
                <w:rFonts w:ascii="Arial" w:hAnsi="Arial" w:cs="Arial"/>
                <w:b/>
                <w:bCs/>
                <w:color w:val="000000"/>
              </w:rPr>
            </w:pPr>
          </w:p>
        </w:tc>
        <w:tc>
          <w:tcPr>
            <w:tcW w:w="1257" w:type="dxa"/>
            <w:tcBorders>
              <w:top w:val="nil"/>
              <w:left w:val="nil"/>
              <w:bottom w:val="nil"/>
              <w:right w:val="nil"/>
            </w:tcBorders>
            <w:vAlign w:val="center"/>
          </w:tcPr>
          <w:p w14:paraId="38608E8C" w14:textId="77777777" w:rsidR="007B379F" w:rsidRPr="00DF5115" w:rsidRDefault="007B379F" w:rsidP="007B379F">
            <w:pPr>
              <w:jc w:val="center"/>
              <w:rPr>
                <w:rFonts w:ascii="Arial" w:hAnsi="Arial" w:cs="Arial"/>
                <w:b/>
                <w:bCs/>
                <w:color w:val="000000"/>
              </w:rPr>
            </w:pPr>
          </w:p>
        </w:tc>
        <w:tc>
          <w:tcPr>
            <w:tcW w:w="1297" w:type="dxa"/>
            <w:tcBorders>
              <w:top w:val="nil"/>
              <w:left w:val="nil"/>
              <w:bottom w:val="nil"/>
              <w:right w:val="nil"/>
            </w:tcBorders>
            <w:vAlign w:val="center"/>
          </w:tcPr>
          <w:p w14:paraId="6B495EDB" w14:textId="77777777" w:rsidR="007B379F" w:rsidRPr="00DF5115" w:rsidRDefault="007B379F" w:rsidP="007B379F">
            <w:pPr>
              <w:jc w:val="center"/>
              <w:rPr>
                <w:rFonts w:ascii="Arial" w:hAnsi="Arial" w:cs="Arial"/>
                <w:b/>
                <w:bCs/>
                <w:color w:val="000000"/>
              </w:rPr>
            </w:pPr>
          </w:p>
        </w:tc>
        <w:tc>
          <w:tcPr>
            <w:tcW w:w="1149" w:type="dxa"/>
            <w:tcBorders>
              <w:top w:val="nil"/>
              <w:left w:val="nil"/>
              <w:bottom w:val="nil"/>
              <w:right w:val="nil"/>
            </w:tcBorders>
            <w:vAlign w:val="center"/>
          </w:tcPr>
          <w:p w14:paraId="78C8FB21" w14:textId="77777777" w:rsidR="007B379F" w:rsidRPr="00DF5115" w:rsidRDefault="007B379F" w:rsidP="007B379F">
            <w:pPr>
              <w:jc w:val="center"/>
              <w:rPr>
                <w:rFonts w:ascii="Arial" w:hAnsi="Arial" w:cs="Arial"/>
                <w:b/>
                <w:bCs/>
                <w:color w:val="000000"/>
              </w:rPr>
            </w:pPr>
          </w:p>
        </w:tc>
        <w:tc>
          <w:tcPr>
            <w:tcW w:w="1149" w:type="dxa"/>
            <w:tcBorders>
              <w:top w:val="nil"/>
              <w:left w:val="nil"/>
              <w:bottom w:val="nil"/>
              <w:right w:val="nil"/>
            </w:tcBorders>
            <w:vAlign w:val="center"/>
          </w:tcPr>
          <w:p w14:paraId="51571FB1" w14:textId="77777777" w:rsidR="007B379F" w:rsidRPr="00DF5115" w:rsidRDefault="007B379F" w:rsidP="007B379F">
            <w:pPr>
              <w:jc w:val="center"/>
              <w:rPr>
                <w:rFonts w:ascii="Arial" w:hAnsi="Arial" w:cs="Arial"/>
                <w:b/>
                <w:bCs/>
                <w:color w:val="000000"/>
              </w:rPr>
            </w:pPr>
          </w:p>
        </w:tc>
        <w:tc>
          <w:tcPr>
            <w:tcW w:w="1284" w:type="dxa"/>
            <w:tcBorders>
              <w:top w:val="nil"/>
              <w:left w:val="nil"/>
              <w:bottom w:val="nil"/>
              <w:right w:val="nil"/>
            </w:tcBorders>
            <w:vAlign w:val="center"/>
          </w:tcPr>
          <w:p w14:paraId="1667A923" w14:textId="77777777" w:rsidR="007B379F" w:rsidRPr="00DF5115" w:rsidRDefault="007B379F" w:rsidP="007B379F">
            <w:pPr>
              <w:jc w:val="center"/>
              <w:rPr>
                <w:rFonts w:ascii="Arial" w:hAnsi="Arial" w:cs="Arial"/>
                <w:b/>
                <w:bCs/>
                <w:color w:val="000000"/>
              </w:rPr>
            </w:pPr>
          </w:p>
        </w:tc>
      </w:tr>
      <w:tr w:rsidR="003D77B1" w:rsidRPr="00DF5115" w14:paraId="35E014F9" w14:textId="77777777" w:rsidTr="003D77B1">
        <w:tc>
          <w:tcPr>
            <w:tcW w:w="2106" w:type="dxa"/>
            <w:tcBorders>
              <w:top w:val="nil"/>
              <w:left w:val="nil"/>
              <w:bottom w:val="nil"/>
              <w:right w:val="nil"/>
            </w:tcBorders>
          </w:tcPr>
          <w:p w14:paraId="11456A2F" w14:textId="3F2FDB0F" w:rsidR="003D77B1" w:rsidRPr="00DF5115" w:rsidRDefault="003D77B1" w:rsidP="003D77B1">
            <w:pPr>
              <w:jc w:val="both"/>
              <w:rPr>
                <w:rFonts w:ascii="Arial" w:eastAsia="Times New Roman" w:hAnsi="Arial" w:cs="Arial"/>
                <w:color w:val="000000"/>
                <w:kern w:val="0"/>
                <w:lang w:eastAsia="pt-BR"/>
                <w14:ligatures w14:val="none"/>
              </w:rPr>
            </w:pPr>
            <w:r w:rsidRPr="00DF5115">
              <w:t>- No information</w:t>
            </w:r>
          </w:p>
        </w:tc>
        <w:tc>
          <w:tcPr>
            <w:tcW w:w="976" w:type="dxa"/>
            <w:tcBorders>
              <w:top w:val="nil"/>
              <w:left w:val="nil"/>
              <w:bottom w:val="nil"/>
              <w:right w:val="nil"/>
            </w:tcBorders>
            <w:vAlign w:val="center"/>
          </w:tcPr>
          <w:p w14:paraId="2F075754" w14:textId="033DE499"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16.158</w:t>
            </w:r>
          </w:p>
        </w:tc>
        <w:tc>
          <w:tcPr>
            <w:tcW w:w="1257" w:type="dxa"/>
            <w:tcBorders>
              <w:top w:val="nil"/>
              <w:left w:val="nil"/>
              <w:bottom w:val="nil"/>
              <w:right w:val="nil"/>
            </w:tcBorders>
            <w:vAlign w:val="center"/>
          </w:tcPr>
          <w:p w14:paraId="47AE0B94" w14:textId="787784B7"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130.636</w:t>
            </w:r>
          </w:p>
        </w:tc>
        <w:tc>
          <w:tcPr>
            <w:tcW w:w="1297" w:type="dxa"/>
            <w:tcBorders>
              <w:top w:val="nil"/>
              <w:left w:val="nil"/>
              <w:bottom w:val="nil"/>
              <w:right w:val="nil"/>
            </w:tcBorders>
            <w:vAlign w:val="center"/>
          </w:tcPr>
          <w:p w14:paraId="7AFF1357" w14:textId="1C2B5719"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571.924</w:t>
            </w:r>
          </w:p>
        </w:tc>
        <w:tc>
          <w:tcPr>
            <w:tcW w:w="1149" w:type="dxa"/>
            <w:tcBorders>
              <w:top w:val="nil"/>
              <w:left w:val="nil"/>
              <w:bottom w:val="nil"/>
              <w:right w:val="nil"/>
            </w:tcBorders>
            <w:vAlign w:val="center"/>
          </w:tcPr>
          <w:p w14:paraId="2695E3FF" w14:textId="45B912CD"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200.104</w:t>
            </w:r>
          </w:p>
        </w:tc>
        <w:tc>
          <w:tcPr>
            <w:tcW w:w="1149" w:type="dxa"/>
            <w:tcBorders>
              <w:top w:val="nil"/>
              <w:left w:val="nil"/>
              <w:bottom w:val="nil"/>
              <w:right w:val="nil"/>
            </w:tcBorders>
            <w:vAlign w:val="center"/>
          </w:tcPr>
          <w:p w14:paraId="5F587CFC" w14:textId="68132F91"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119.738</w:t>
            </w:r>
          </w:p>
        </w:tc>
        <w:tc>
          <w:tcPr>
            <w:tcW w:w="1284" w:type="dxa"/>
            <w:tcBorders>
              <w:top w:val="nil"/>
              <w:left w:val="nil"/>
              <w:bottom w:val="nil"/>
              <w:right w:val="nil"/>
            </w:tcBorders>
            <w:vAlign w:val="center"/>
          </w:tcPr>
          <w:p w14:paraId="60BFB719" w14:textId="4314B97F"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1.038.560</w:t>
            </w:r>
          </w:p>
        </w:tc>
      </w:tr>
      <w:tr w:rsidR="003D77B1" w:rsidRPr="00DF5115" w14:paraId="7F4D3FEB" w14:textId="77777777" w:rsidTr="003D77B1">
        <w:tc>
          <w:tcPr>
            <w:tcW w:w="2106" w:type="dxa"/>
            <w:tcBorders>
              <w:top w:val="nil"/>
              <w:left w:val="nil"/>
              <w:bottom w:val="nil"/>
              <w:right w:val="nil"/>
            </w:tcBorders>
          </w:tcPr>
          <w:p w14:paraId="70915498" w14:textId="0443E848" w:rsidR="003D77B1" w:rsidRPr="00B7635B" w:rsidRDefault="003D77B1" w:rsidP="003D77B1">
            <w:pPr>
              <w:jc w:val="both"/>
              <w:rPr>
                <w:rFonts w:ascii="Arial" w:eastAsia="Times New Roman" w:hAnsi="Arial" w:cs="Arial"/>
                <w:i/>
                <w:iCs/>
                <w:color w:val="000000"/>
                <w:kern w:val="0"/>
                <w:u w:val="single"/>
                <w:lang w:eastAsia="pt-BR"/>
                <w14:ligatures w14:val="none"/>
              </w:rPr>
            </w:pPr>
            <w:r w:rsidRPr="00B7635B">
              <w:rPr>
                <w:i/>
                <w:iCs/>
                <w:u w:val="single"/>
              </w:rPr>
              <w:t>- Positive</w:t>
            </w:r>
          </w:p>
        </w:tc>
        <w:tc>
          <w:tcPr>
            <w:tcW w:w="976" w:type="dxa"/>
            <w:tcBorders>
              <w:top w:val="nil"/>
              <w:left w:val="nil"/>
              <w:bottom w:val="nil"/>
              <w:right w:val="nil"/>
            </w:tcBorders>
            <w:vAlign w:val="center"/>
          </w:tcPr>
          <w:p w14:paraId="126737A5" w14:textId="0D1D2597" w:rsidR="003D77B1" w:rsidRPr="00B7635B" w:rsidRDefault="003D77B1" w:rsidP="003D77B1">
            <w:pPr>
              <w:jc w:val="center"/>
              <w:rPr>
                <w:rFonts w:ascii="Arial" w:eastAsia="Times New Roman" w:hAnsi="Arial" w:cs="Arial"/>
                <w:i/>
                <w:iCs/>
                <w:color w:val="000000"/>
                <w:kern w:val="0"/>
                <w:u w:val="single"/>
                <w:lang w:eastAsia="pt-BR"/>
                <w14:ligatures w14:val="none"/>
              </w:rPr>
            </w:pPr>
            <w:r w:rsidRPr="00B7635B">
              <w:rPr>
                <w:rFonts w:ascii="Arial" w:hAnsi="Arial" w:cs="Arial"/>
                <w:i/>
                <w:iCs/>
                <w:color w:val="000000"/>
                <w:u w:val="single"/>
              </w:rPr>
              <w:t>10.354</w:t>
            </w:r>
          </w:p>
        </w:tc>
        <w:tc>
          <w:tcPr>
            <w:tcW w:w="1257" w:type="dxa"/>
            <w:tcBorders>
              <w:top w:val="nil"/>
              <w:left w:val="nil"/>
              <w:bottom w:val="nil"/>
              <w:right w:val="nil"/>
            </w:tcBorders>
            <w:vAlign w:val="center"/>
          </w:tcPr>
          <w:p w14:paraId="1CCE6220" w14:textId="3237CD46" w:rsidR="003D77B1" w:rsidRPr="00B7635B" w:rsidRDefault="003D77B1" w:rsidP="003D77B1">
            <w:pPr>
              <w:jc w:val="center"/>
              <w:rPr>
                <w:rFonts w:ascii="Arial" w:eastAsia="Times New Roman" w:hAnsi="Arial" w:cs="Arial"/>
                <w:i/>
                <w:iCs/>
                <w:color w:val="000000"/>
                <w:kern w:val="0"/>
                <w:u w:val="single"/>
                <w:lang w:eastAsia="pt-BR"/>
                <w14:ligatures w14:val="none"/>
              </w:rPr>
            </w:pPr>
            <w:r w:rsidRPr="00B7635B">
              <w:rPr>
                <w:rFonts w:ascii="Arial" w:hAnsi="Arial" w:cs="Arial"/>
                <w:i/>
                <w:iCs/>
                <w:color w:val="000000"/>
                <w:u w:val="single"/>
              </w:rPr>
              <w:t>28.826</w:t>
            </w:r>
          </w:p>
        </w:tc>
        <w:tc>
          <w:tcPr>
            <w:tcW w:w="1297" w:type="dxa"/>
            <w:tcBorders>
              <w:top w:val="nil"/>
              <w:left w:val="nil"/>
              <w:bottom w:val="nil"/>
              <w:right w:val="nil"/>
            </w:tcBorders>
            <w:vAlign w:val="center"/>
          </w:tcPr>
          <w:p w14:paraId="34972D68" w14:textId="21CAD1D8" w:rsidR="003D77B1" w:rsidRPr="00B7635B" w:rsidRDefault="003D77B1" w:rsidP="003D77B1">
            <w:pPr>
              <w:jc w:val="center"/>
              <w:rPr>
                <w:rFonts w:ascii="Arial" w:eastAsia="Times New Roman" w:hAnsi="Arial" w:cs="Arial"/>
                <w:i/>
                <w:iCs/>
                <w:color w:val="000000"/>
                <w:kern w:val="0"/>
                <w:u w:val="single"/>
                <w:lang w:eastAsia="pt-BR"/>
                <w14:ligatures w14:val="none"/>
              </w:rPr>
            </w:pPr>
            <w:r w:rsidRPr="00B7635B">
              <w:rPr>
                <w:rFonts w:ascii="Arial" w:hAnsi="Arial" w:cs="Arial"/>
                <w:i/>
                <w:iCs/>
                <w:color w:val="000000"/>
                <w:u w:val="single"/>
              </w:rPr>
              <w:t>156.778</w:t>
            </w:r>
          </w:p>
        </w:tc>
        <w:tc>
          <w:tcPr>
            <w:tcW w:w="1149" w:type="dxa"/>
            <w:tcBorders>
              <w:top w:val="nil"/>
              <w:left w:val="nil"/>
              <w:bottom w:val="nil"/>
              <w:right w:val="nil"/>
            </w:tcBorders>
            <w:vAlign w:val="center"/>
          </w:tcPr>
          <w:p w14:paraId="26B5C912" w14:textId="7CE11605" w:rsidR="003D77B1" w:rsidRPr="00B7635B" w:rsidRDefault="003D77B1" w:rsidP="003D77B1">
            <w:pPr>
              <w:jc w:val="center"/>
              <w:rPr>
                <w:rFonts w:ascii="Arial" w:eastAsia="Times New Roman" w:hAnsi="Arial" w:cs="Arial"/>
                <w:i/>
                <w:iCs/>
                <w:color w:val="000000"/>
                <w:kern w:val="0"/>
                <w:u w:val="single"/>
                <w:lang w:eastAsia="pt-BR"/>
                <w14:ligatures w14:val="none"/>
              </w:rPr>
            </w:pPr>
            <w:r w:rsidRPr="00B7635B">
              <w:rPr>
                <w:rFonts w:ascii="Arial" w:hAnsi="Arial" w:cs="Arial"/>
                <w:i/>
                <w:iCs/>
                <w:color w:val="000000"/>
                <w:u w:val="single"/>
              </w:rPr>
              <w:t>40.470</w:t>
            </w:r>
          </w:p>
        </w:tc>
        <w:tc>
          <w:tcPr>
            <w:tcW w:w="1149" w:type="dxa"/>
            <w:tcBorders>
              <w:top w:val="nil"/>
              <w:left w:val="nil"/>
              <w:bottom w:val="nil"/>
              <w:right w:val="nil"/>
            </w:tcBorders>
            <w:vAlign w:val="center"/>
          </w:tcPr>
          <w:p w14:paraId="26EF8CA9" w14:textId="6216B3C0" w:rsidR="003D77B1" w:rsidRPr="00B7635B" w:rsidRDefault="003D77B1" w:rsidP="003D77B1">
            <w:pPr>
              <w:jc w:val="center"/>
              <w:rPr>
                <w:rFonts w:ascii="Arial" w:eastAsia="Times New Roman" w:hAnsi="Arial" w:cs="Arial"/>
                <w:i/>
                <w:iCs/>
                <w:color w:val="000000"/>
                <w:kern w:val="0"/>
                <w:u w:val="single"/>
                <w:lang w:eastAsia="pt-BR"/>
                <w14:ligatures w14:val="none"/>
              </w:rPr>
            </w:pPr>
            <w:r w:rsidRPr="00B7635B">
              <w:rPr>
                <w:rFonts w:ascii="Arial" w:hAnsi="Arial" w:cs="Arial"/>
                <w:i/>
                <w:iCs/>
                <w:color w:val="000000"/>
                <w:u w:val="single"/>
              </w:rPr>
              <w:t>42.984</w:t>
            </w:r>
          </w:p>
        </w:tc>
        <w:tc>
          <w:tcPr>
            <w:tcW w:w="1284" w:type="dxa"/>
            <w:tcBorders>
              <w:top w:val="nil"/>
              <w:left w:val="nil"/>
              <w:bottom w:val="nil"/>
              <w:right w:val="nil"/>
            </w:tcBorders>
            <w:vAlign w:val="center"/>
          </w:tcPr>
          <w:p w14:paraId="4EF3F00F" w14:textId="1BFAC95C" w:rsidR="003D77B1" w:rsidRPr="00B7635B" w:rsidRDefault="003D77B1" w:rsidP="003D77B1">
            <w:pPr>
              <w:jc w:val="center"/>
              <w:rPr>
                <w:rFonts w:ascii="Arial" w:eastAsia="Times New Roman" w:hAnsi="Arial" w:cs="Arial"/>
                <w:i/>
                <w:iCs/>
                <w:color w:val="000000"/>
                <w:kern w:val="0"/>
                <w:u w:val="single"/>
                <w:lang w:eastAsia="pt-BR"/>
                <w14:ligatures w14:val="none"/>
              </w:rPr>
            </w:pPr>
            <w:r w:rsidRPr="00B7635B">
              <w:rPr>
                <w:rFonts w:ascii="Arial" w:hAnsi="Arial" w:cs="Arial"/>
                <w:i/>
                <w:iCs/>
                <w:color w:val="000000"/>
                <w:u w:val="single"/>
              </w:rPr>
              <w:t>279.412</w:t>
            </w:r>
          </w:p>
        </w:tc>
      </w:tr>
      <w:tr w:rsidR="003D77B1" w:rsidRPr="00DF5115" w14:paraId="3D54099F" w14:textId="77777777" w:rsidTr="003D77B1">
        <w:tc>
          <w:tcPr>
            <w:tcW w:w="2106" w:type="dxa"/>
            <w:tcBorders>
              <w:top w:val="nil"/>
              <w:left w:val="nil"/>
              <w:bottom w:val="nil"/>
              <w:right w:val="nil"/>
            </w:tcBorders>
          </w:tcPr>
          <w:p w14:paraId="265D715B" w14:textId="037B6207" w:rsidR="003D77B1" w:rsidRPr="00DF5115" w:rsidRDefault="003D77B1" w:rsidP="003D77B1">
            <w:pPr>
              <w:jc w:val="both"/>
              <w:rPr>
                <w:rFonts w:ascii="Arial" w:eastAsia="Times New Roman" w:hAnsi="Arial" w:cs="Arial"/>
                <w:color w:val="000000"/>
                <w:kern w:val="0"/>
                <w:lang w:eastAsia="pt-BR"/>
                <w14:ligatures w14:val="none"/>
              </w:rPr>
            </w:pPr>
            <w:r w:rsidRPr="00DF5115">
              <w:t>- Negative</w:t>
            </w:r>
          </w:p>
        </w:tc>
        <w:tc>
          <w:tcPr>
            <w:tcW w:w="976" w:type="dxa"/>
            <w:tcBorders>
              <w:top w:val="nil"/>
              <w:left w:val="nil"/>
              <w:bottom w:val="nil"/>
              <w:right w:val="nil"/>
            </w:tcBorders>
            <w:vAlign w:val="center"/>
          </w:tcPr>
          <w:p w14:paraId="69D27F2E" w14:textId="7F0B8484"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1.306</w:t>
            </w:r>
          </w:p>
        </w:tc>
        <w:tc>
          <w:tcPr>
            <w:tcW w:w="1257" w:type="dxa"/>
            <w:tcBorders>
              <w:top w:val="nil"/>
              <w:left w:val="nil"/>
              <w:bottom w:val="nil"/>
              <w:right w:val="nil"/>
            </w:tcBorders>
            <w:vAlign w:val="center"/>
          </w:tcPr>
          <w:p w14:paraId="4B6600B8" w14:textId="77E7C1B2"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3.915</w:t>
            </w:r>
          </w:p>
        </w:tc>
        <w:tc>
          <w:tcPr>
            <w:tcW w:w="1297" w:type="dxa"/>
            <w:tcBorders>
              <w:top w:val="nil"/>
              <w:left w:val="nil"/>
              <w:bottom w:val="nil"/>
              <w:right w:val="nil"/>
            </w:tcBorders>
            <w:vAlign w:val="center"/>
          </w:tcPr>
          <w:p w14:paraId="23367A19" w14:textId="10FED2B6"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38.193</w:t>
            </w:r>
          </w:p>
        </w:tc>
        <w:tc>
          <w:tcPr>
            <w:tcW w:w="1149" w:type="dxa"/>
            <w:tcBorders>
              <w:top w:val="nil"/>
              <w:left w:val="nil"/>
              <w:bottom w:val="nil"/>
              <w:right w:val="nil"/>
            </w:tcBorders>
            <w:vAlign w:val="center"/>
          </w:tcPr>
          <w:p w14:paraId="7BF6D018" w14:textId="1AE64C23"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6.512</w:t>
            </w:r>
          </w:p>
        </w:tc>
        <w:tc>
          <w:tcPr>
            <w:tcW w:w="1149" w:type="dxa"/>
            <w:tcBorders>
              <w:top w:val="nil"/>
              <w:left w:val="nil"/>
              <w:bottom w:val="nil"/>
              <w:right w:val="nil"/>
            </w:tcBorders>
            <w:vAlign w:val="center"/>
          </w:tcPr>
          <w:p w14:paraId="469A1FB4" w14:textId="1003A127"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11.485</w:t>
            </w:r>
          </w:p>
        </w:tc>
        <w:tc>
          <w:tcPr>
            <w:tcW w:w="1284" w:type="dxa"/>
            <w:tcBorders>
              <w:top w:val="nil"/>
              <w:left w:val="nil"/>
              <w:bottom w:val="nil"/>
              <w:right w:val="nil"/>
            </w:tcBorders>
            <w:vAlign w:val="center"/>
          </w:tcPr>
          <w:p w14:paraId="21BF2751" w14:textId="7649FEC0"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61.411</w:t>
            </w:r>
          </w:p>
        </w:tc>
      </w:tr>
      <w:tr w:rsidR="003D77B1" w:rsidRPr="00DF5115" w14:paraId="549CCC2D" w14:textId="77777777" w:rsidTr="003D77B1">
        <w:tc>
          <w:tcPr>
            <w:tcW w:w="2106" w:type="dxa"/>
            <w:tcBorders>
              <w:top w:val="nil"/>
              <w:left w:val="nil"/>
              <w:bottom w:val="nil"/>
              <w:right w:val="nil"/>
            </w:tcBorders>
          </w:tcPr>
          <w:p w14:paraId="5C01DF45" w14:textId="6961D386" w:rsidR="003D77B1" w:rsidRPr="00DF5115" w:rsidRDefault="003D77B1" w:rsidP="003D77B1">
            <w:pPr>
              <w:jc w:val="both"/>
              <w:rPr>
                <w:rFonts w:ascii="Arial" w:eastAsia="Times New Roman" w:hAnsi="Arial" w:cs="Arial"/>
                <w:color w:val="000000"/>
                <w:kern w:val="0"/>
                <w:lang w:eastAsia="pt-BR"/>
                <w14:ligatures w14:val="none"/>
              </w:rPr>
            </w:pPr>
            <w:r w:rsidRPr="00DF5115">
              <w:t>- Inconclusive</w:t>
            </w:r>
          </w:p>
        </w:tc>
        <w:tc>
          <w:tcPr>
            <w:tcW w:w="976" w:type="dxa"/>
            <w:tcBorders>
              <w:top w:val="nil"/>
              <w:left w:val="nil"/>
              <w:bottom w:val="nil"/>
              <w:right w:val="nil"/>
            </w:tcBorders>
            <w:vAlign w:val="center"/>
          </w:tcPr>
          <w:p w14:paraId="4EDF30FC" w14:textId="0FBF04B0"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123</w:t>
            </w:r>
          </w:p>
        </w:tc>
        <w:tc>
          <w:tcPr>
            <w:tcW w:w="1257" w:type="dxa"/>
            <w:tcBorders>
              <w:top w:val="nil"/>
              <w:left w:val="nil"/>
              <w:bottom w:val="nil"/>
              <w:right w:val="nil"/>
            </w:tcBorders>
            <w:vAlign w:val="center"/>
          </w:tcPr>
          <w:p w14:paraId="636701FF" w14:textId="2E238E02"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388</w:t>
            </w:r>
          </w:p>
        </w:tc>
        <w:tc>
          <w:tcPr>
            <w:tcW w:w="1297" w:type="dxa"/>
            <w:tcBorders>
              <w:top w:val="nil"/>
              <w:left w:val="nil"/>
              <w:bottom w:val="nil"/>
              <w:right w:val="nil"/>
            </w:tcBorders>
            <w:vAlign w:val="center"/>
          </w:tcPr>
          <w:p w14:paraId="01C4744C" w14:textId="250BB3CD"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1.446</w:t>
            </w:r>
          </w:p>
        </w:tc>
        <w:tc>
          <w:tcPr>
            <w:tcW w:w="1149" w:type="dxa"/>
            <w:tcBorders>
              <w:top w:val="nil"/>
              <w:left w:val="nil"/>
              <w:bottom w:val="nil"/>
              <w:right w:val="nil"/>
            </w:tcBorders>
            <w:vAlign w:val="center"/>
          </w:tcPr>
          <w:p w14:paraId="68AE4739" w14:textId="4CFD877A"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484</w:t>
            </w:r>
          </w:p>
        </w:tc>
        <w:tc>
          <w:tcPr>
            <w:tcW w:w="1149" w:type="dxa"/>
            <w:tcBorders>
              <w:top w:val="nil"/>
              <w:left w:val="nil"/>
              <w:bottom w:val="nil"/>
              <w:right w:val="nil"/>
            </w:tcBorders>
            <w:vAlign w:val="center"/>
          </w:tcPr>
          <w:p w14:paraId="00EF37B8" w14:textId="35434284"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712</w:t>
            </w:r>
          </w:p>
        </w:tc>
        <w:tc>
          <w:tcPr>
            <w:tcW w:w="1284" w:type="dxa"/>
            <w:tcBorders>
              <w:top w:val="nil"/>
              <w:left w:val="nil"/>
              <w:bottom w:val="nil"/>
              <w:right w:val="nil"/>
            </w:tcBorders>
            <w:vAlign w:val="center"/>
          </w:tcPr>
          <w:p w14:paraId="7439486F" w14:textId="705B8AB5"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3.153</w:t>
            </w:r>
          </w:p>
        </w:tc>
      </w:tr>
      <w:tr w:rsidR="003D77B1" w:rsidRPr="00DF5115" w14:paraId="3BF094F4" w14:textId="77777777" w:rsidTr="003D77B1">
        <w:tc>
          <w:tcPr>
            <w:tcW w:w="2106" w:type="dxa"/>
            <w:tcBorders>
              <w:top w:val="nil"/>
              <w:left w:val="nil"/>
              <w:bottom w:val="nil"/>
              <w:right w:val="nil"/>
            </w:tcBorders>
          </w:tcPr>
          <w:p w14:paraId="1E51B77C" w14:textId="3EC70C8E" w:rsidR="003D77B1" w:rsidRPr="00DF5115" w:rsidRDefault="003D77B1" w:rsidP="003D77B1">
            <w:pPr>
              <w:jc w:val="both"/>
              <w:rPr>
                <w:rFonts w:ascii="Arial" w:eastAsia="Times New Roman" w:hAnsi="Arial" w:cs="Arial"/>
                <w:color w:val="000000"/>
                <w:kern w:val="0"/>
                <w:lang w:eastAsia="pt-BR"/>
                <w14:ligatures w14:val="none"/>
              </w:rPr>
            </w:pPr>
            <w:r w:rsidRPr="00DF5115">
              <w:t>- Not performed</w:t>
            </w:r>
          </w:p>
        </w:tc>
        <w:tc>
          <w:tcPr>
            <w:tcW w:w="976" w:type="dxa"/>
            <w:tcBorders>
              <w:top w:val="nil"/>
              <w:left w:val="nil"/>
              <w:bottom w:val="nil"/>
              <w:right w:val="nil"/>
            </w:tcBorders>
            <w:vAlign w:val="center"/>
          </w:tcPr>
          <w:p w14:paraId="3FF8E16B" w14:textId="02E529E9"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16.158</w:t>
            </w:r>
          </w:p>
        </w:tc>
        <w:tc>
          <w:tcPr>
            <w:tcW w:w="1257" w:type="dxa"/>
            <w:tcBorders>
              <w:top w:val="nil"/>
              <w:left w:val="nil"/>
              <w:bottom w:val="nil"/>
              <w:right w:val="nil"/>
            </w:tcBorders>
            <w:vAlign w:val="center"/>
          </w:tcPr>
          <w:p w14:paraId="49ECA9C0" w14:textId="2C856F57"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130.636</w:t>
            </w:r>
          </w:p>
        </w:tc>
        <w:tc>
          <w:tcPr>
            <w:tcW w:w="1297" w:type="dxa"/>
            <w:tcBorders>
              <w:top w:val="nil"/>
              <w:left w:val="nil"/>
              <w:bottom w:val="nil"/>
              <w:right w:val="nil"/>
            </w:tcBorders>
            <w:vAlign w:val="center"/>
          </w:tcPr>
          <w:p w14:paraId="17390976" w14:textId="160D3015"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571.924</w:t>
            </w:r>
          </w:p>
        </w:tc>
        <w:tc>
          <w:tcPr>
            <w:tcW w:w="1149" w:type="dxa"/>
            <w:tcBorders>
              <w:top w:val="nil"/>
              <w:left w:val="nil"/>
              <w:bottom w:val="nil"/>
              <w:right w:val="nil"/>
            </w:tcBorders>
            <w:vAlign w:val="center"/>
          </w:tcPr>
          <w:p w14:paraId="022CBE20" w14:textId="12FA4716"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200.104</w:t>
            </w:r>
          </w:p>
        </w:tc>
        <w:tc>
          <w:tcPr>
            <w:tcW w:w="1149" w:type="dxa"/>
            <w:tcBorders>
              <w:top w:val="nil"/>
              <w:left w:val="nil"/>
              <w:bottom w:val="nil"/>
              <w:right w:val="nil"/>
            </w:tcBorders>
            <w:vAlign w:val="center"/>
          </w:tcPr>
          <w:p w14:paraId="09868554" w14:textId="2685C5F9"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119.738</w:t>
            </w:r>
          </w:p>
        </w:tc>
        <w:tc>
          <w:tcPr>
            <w:tcW w:w="1284" w:type="dxa"/>
            <w:tcBorders>
              <w:top w:val="nil"/>
              <w:left w:val="nil"/>
              <w:bottom w:val="nil"/>
              <w:right w:val="nil"/>
            </w:tcBorders>
            <w:vAlign w:val="center"/>
          </w:tcPr>
          <w:p w14:paraId="08B5A7BC" w14:textId="7508B706"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1.038.560</w:t>
            </w:r>
          </w:p>
        </w:tc>
      </w:tr>
      <w:tr w:rsidR="00D77662" w:rsidRPr="00DF5115" w14:paraId="0B857598" w14:textId="77777777" w:rsidTr="003D77B1">
        <w:tc>
          <w:tcPr>
            <w:tcW w:w="9218" w:type="dxa"/>
            <w:gridSpan w:val="7"/>
            <w:tcBorders>
              <w:top w:val="nil"/>
              <w:left w:val="nil"/>
              <w:bottom w:val="nil"/>
              <w:right w:val="nil"/>
            </w:tcBorders>
          </w:tcPr>
          <w:p w14:paraId="3C971821" w14:textId="1C6E5BA6" w:rsidR="00D77662" w:rsidRPr="00DF5115" w:rsidRDefault="003D77B1" w:rsidP="00D77662">
            <w:pPr>
              <w:rPr>
                <w:rFonts w:ascii="Arial" w:eastAsia="Times New Roman" w:hAnsi="Arial" w:cs="Arial"/>
                <w:b/>
                <w:bCs/>
                <w:color w:val="000000"/>
                <w:kern w:val="0"/>
                <w:lang w:eastAsia="pt-BR"/>
                <w14:ligatures w14:val="none"/>
              </w:rPr>
            </w:pPr>
            <w:r w:rsidRPr="00DF5115">
              <w:rPr>
                <w:rFonts w:ascii="Arial" w:eastAsia="Times New Roman" w:hAnsi="Arial" w:cs="Arial"/>
                <w:b/>
                <w:bCs/>
                <w:color w:val="000000"/>
                <w:kern w:val="0"/>
                <w:lang w:eastAsia="pt-BR"/>
                <w14:ligatures w14:val="none"/>
              </w:rPr>
              <w:t>Elisa serology</w:t>
            </w:r>
          </w:p>
        </w:tc>
      </w:tr>
      <w:tr w:rsidR="003D77B1" w:rsidRPr="00DF5115" w14:paraId="3FFEFF2A" w14:textId="77777777" w:rsidTr="003D77B1">
        <w:tc>
          <w:tcPr>
            <w:tcW w:w="2106" w:type="dxa"/>
            <w:tcBorders>
              <w:top w:val="nil"/>
              <w:left w:val="nil"/>
              <w:bottom w:val="nil"/>
              <w:right w:val="nil"/>
            </w:tcBorders>
          </w:tcPr>
          <w:p w14:paraId="19FD0643" w14:textId="56F98F01" w:rsidR="003D77B1" w:rsidRPr="00DF5115" w:rsidRDefault="003D77B1" w:rsidP="003D77B1">
            <w:pPr>
              <w:jc w:val="both"/>
              <w:rPr>
                <w:rFonts w:ascii="Arial" w:eastAsia="Times New Roman" w:hAnsi="Arial" w:cs="Arial"/>
                <w:color w:val="000000"/>
                <w:kern w:val="0"/>
                <w:lang w:eastAsia="pt-BR"/>
                <w14:ligatures w14:val="none"/>
              </w:rPr>
            </w:pPr>
            <w:r w:rsidRPr="00DF5115">
              <w:t>- No information</w:t>
            </w:r>
          </w:p>
        </w:tc>
        <w:tc>
          <w:tcPr>
            <w:tcW w:w="976" w:type="dxa"/>
            <w:tcBorders>
              <w:top w:val="nil"/>
              <w:left w:val="nil"/>
              <w:bottom w:val="nil"/>
              <w:right w:val="nil"/>
            </w:tcBorders>
            <w:vAlign w:val="center"/>
          </w:tcPr>
          <w:p w14:paraId="1AE5FB1B" w14:textId="35609B81"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17.053</w:t>
            </w:r>
          </w:p>
        </w:tc>
        <w:tc>
          <w:tcPr>
            <w:tcW w:w="1257" w:type="dxa"/>
            <w:tcBorders>
              <w:top w:val="nil"/>
              <w:left w:val="nil"/>
              <w:bottom w:val="nil"/>
              <w:right w:val="nil"/>
            </w:tcBorders>
            <w:vAlign w:val="center"/>
          </w:tcPr>
          <w:p w14:paraId="03DEE838" w14:textId="563A717D"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146.248</w:t>
            </w:r>
          </w:p>
        </w:tc>
        <w:tc>
          <w:tcPr>
            <w:tcW w:w="1297" w:type="dxa"/>
            <w:tcBorders>
              <w:top w:val="nil"/>
              <w:left w:val="nil"/>
              <w:bottom w:val="nil"/>
              <w:right w:val="nil"/>
            </w:tcBorders>
            <w:vAlign w:val="center"/>
          </w:tcPr>
          <w:p w14:paraId="197F62AB" w14:textId="1B20A925"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433.776</w:t>
            </w:r>
          </w:p>
        </w:tc>
        <w:tc>
          <w:tcPr>
            <w:tcW w:w="1149" w:type="dxa"/>
            <w:tcBorders>
              <w:top w:val="nil"/>
              <w:left w:val="nil"/>
              <w:bottom w:val="nil"/>
              <w:right w:val="nil"/>
            </w:tcBorders>
            <w:vAlign w:val="center"/>
          </w:tcPr>
          <w:p w14:paraId="46F9080C" w14:textId="4F05B706"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150.813</w:t>
            </w:r>
          </w:p>
        </w:tc>
        <w:tc>
          <w:tcPr>
            <w:tcW w:w="1149" w:type="dxa"/>
            <w:tcBorders>
              <w:top w:val="nil"/>
              <w:left w:val="nil"/>
              <w:bottom w:val="nil"/>
              <w:right w:val="nil"/>
            </w:tcBorders>
            <w:vAlign w:val="center"/>
          </w:tcPr>
          <w:p w14:paraId="5AB68A9A" w14:textId="294B3F11"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105.965</w:t>
            </w:r>
          </w:p>
        </w:tc>
        <w:tc>
          <w:tcPr>
            <w:tcW w:w="1284" w:type="dxa"/>
            <w:tcBorders>
              <w:top w:val="nil"/>
              <w:left w:val="nil"/>
              <w:bottom w:val="nil"/>
              <w:right w:val="nil"/>
            </w:tcBorders>
            <w:vAlign w:val="center"/>
          </w:tcPr>
          <w:p w14:paraId="27F01269" w14:textId="46BF3981"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853.855</w:t>
            </w:r>
          </w:p>
        </w:tc>
      </w:tr>
      <w:tr w:rsidR="003D77B1" w:rsidRPr="00DF5115" w14:paraId="6771A6A9" w14:textId="77777777" w:rsidTr="003D77B1">
        <w:tc>
          <w:tcPr>
            <w:tcW w:w="2106" w:type="dxa"/>
            <w:tcBorders>
              <w:top w:val="nil"/>
              <w:left w:val="nil"/>
              <w:bottom w:val="nil"/>
              <w:right w:val="nil"/>
            </w:tcBorders>
          </w:tcPr>
          <w:p w14:paraId="348FD0DD" w14:textId="151E5167" w:rsidR="003D77B1" w:rsidRPr="00B7635B" w:rsidRDefault="003D77B1" w:rsidP="003D77B1">
            <w:pPr>
              <w:jc w:val="both"/>
              <w:rPr>
                <w:rFonts w:ascii="Arial" w:eastAsia="Times New Roman" w:hAnsi="Arial" w:cs="Arial"/>
                <w:i/>
                <w:iCs/>
                <w:color w:val="000000"/>
                <w:kern w:val="0"/>
                <w:u w:val="single"/>
                <w:lang w:eastAsia="pt-BR"/>
                <w14:ligatures w14:val="none"/>
              </w:rPr>
            </w:pPr>
            <w:r w:rsidRPr="00B7635B">
              <w:rPr>
                <w:i/>
                <w:iCs/>
                <w:u w:val="single"/>
              </w:rPr>
              <w:t>- Positive</w:t>
            </w:r>
          </w:p>
        </w:tc>
        <w:tc>
          <w:tcPr>
            <w:tcW w:w="976" w:type="dxa"/>
            <w:tcBorders>
              <w:top w:val="nil"/>
              <w:left w:val="nil"/>
              <w:bottom w:val="nil"/>
              <w:right w:val="nil"/>
            </w:tcBorders>
            <w:vAlign w:val="center"/>
          </w:tcPr>
          <w:p w14:paraId="0C4C89A0" w14:textId="310DEAE6" w:rsidR="003D77B1" w:rsidRPr="00B7635B" w:rsidRDefault="003D77B1" w:rsidP="003D77B1">
            <w:pPr>
              <w:jc w:val="center"/>
              <w:rPr>
                <w:rFonts w:ascii="Arial" w:eastAsia="Times New Roman" w:hAnsi="Arial" w:cs="Arial"/>
                <w:i/>
                <w:iCs/>
                <w:color w:val="000000"/>
                <w:kern w:val="0"/>
                <w:u w:val="single"/>
                <w:lang w:eastAsia="pt-BR"/>
                <w14:ligatures w14:val="none"/>
              </w:rPr>
            </w:pPr>
            <w:r w:rsidRPr="00B7635B">
              <w:rPr>
                <w:rFonts w:ascii="Arial" w:hAnsi="Arial" w:cs="Arial"/>
                <w:i/>
                <w:iCs/>
                <w:color w:val="000000"/>
                <w:u w:val="single"/>
              </w:rPr>
              <w:t>9.920</w:t>
            </w:r>
          </w:p>
        </w:tc>
        <w:tc>
          <w:tcPr>
            <w:tcW w:w="1257" w:type="dxa"/>
            <w:tcBorders>
              <w:top w:val="nil"/>
              <w:left w:val="nil"/>
              <w:bottom w:val="nil"/>
              <w:right w:val="nil"/>
            </w:tcBorders>
            <w:vAlign w:val="center"/>
          </w:tcPr>
          <w:p w14:paraId="6F4882B5" w14:textId="7DF935A5" w:rsidR="003D77B1" w:rsidRPr="00B7635B" w:rsidRDefault="003D77B1" w:rsidP="003D77B1">
            <w:pPr>
              <w:jc w:val="center"/>
              <w:rPr>
                <w:rFonts w:ascii="Arial" w:eastAsia="Times New Roman" w:hAnsi="Arial" w:cs="Arial"/>
                <w:i/>
                <w:iCs/>
                <w:color w:val="000000"/>
                <w:kern w:val="0"/>
                <w:u w:val="single"/>
                <w:lang w:eastAsia="pt-BR"/>
                <w14:ligatures w14:val="none"/>
              </w:rPr>
            </w:pPr>
            <w:r w:rsidRPr="00B7635B">
              <w:rPr>
                <w:rFonts w:ascii="Arial" w:hAnsi="Arial" w:cs="Arial"/>
                <w:i/>
                <w:iCs/>
                <w:color w:val="000000"/>
                <w:u w:val="single"/>
              </w:rPr>
              <w:t>13.159</w:t>
            </w:r>
          </w:p>
        </w:tc>
        <w:tc>
          <w:tcPr>
            <w:tcW w:w="1297" w:type="dxa"/>
            <w:tcBorders>
              <w:top w:val="nil"/>
              <w:left w:val="nil"/>
              <w:bottom w:val="nil"/>
              <w:right w:val="nil"/>
            </w:tcBorders>
            <w:vAlign w:val="center"/>
          </w:tcPr>
          <w:p w14:paraId="4BCB53D0" w14:textId="5C8BEEB4" w:rsidR="003D77B1" w:rsidRPr="00B7635B" w:rsidRDefault="003D77B1" w:rsidP="003D77B1">
            <w:pPr>
              <w:jc w:val="center"/>
              <w:rPr>
                <w:rFonts w:ascii="Arial" w:eastAsia="Times New Roman" w:hAnsi="Arial" w:cs="Arial"/>
                <w:i/>
                <w:iCs/>
                <w:color w:val="000000"/>
                <w:kern w:val="0"/>
                <w:u w:val="single"/>
                <w:lang w:eastAsia="pt-BR"/>
                <w14:ligatures w14:val="none"/>
              </w:rPr>
            </w:pPr>
            <w:r w:rsidRPr="00B7635B">
              <w:rPr>
                <w:rFonts w:ascii="Arial" w:hAnsi="Arial" w:cs="Arial"/>
                <w:i/>
                <w:iCs/>
                <w:color w:val="000000"/>
                <w:u w:val="single"/>
              </w:rPr>
              <w:t>385.501</w:t>
            </w:r>
          </w:p>
        </w:tc>
        <w:tc>
          <w:tcPr>
            <w:tcW w:w="1149" w:type="dxa"/>
            <w:tcBorders>
              <w:top w:val="nil"/>
              <w:left w:val="nil"/>
              <w:bottom w:val="nil"/>
              <w:right w:val="nil"/>
            </w:tcBorders>
            <w:vAlign w:val="center"/>
          </w:tcPr>
          <w:p w14:paraId="525B285B" w14:textId="7F5161A7" w:rsidR="003D77B1" w:rsidRPr="00B7635B" w:rsidRDefault="003D77B1" w:rsidP="003D77B1">
            <w:pPr>
              <w:jc w:val="center"/>
              <w:rPr>
                <w:rFonts w:ascii="Arial" w:eastAsia="Times New Roman" w:hAnsi="Arial" w:cs="Arial"/>
                <w:i/>
                <w:iCs/>
                <w:color w:val="000000"/>
                <w:kern w:val="0"/>
                <w:u w:val="single"/>
                <w:lang w:eastAsia="pt-BR"/>
                <w14:ligatures w14:val="none"/>
              </w:rPr>
            </w:pPr>
            <w:r w:rsidRPr="00B7635B">
              <w:rPr>
                <w:rFonts w:ascii="Arial" w:hAnsi="Arial" w:cs="Arial"/>
                <w:i/>
                <w:iCs/>
                <w:color w:val="000000"/>
                <w:u w:val="single"/>
              </w:rPr>
              <w:t>115.550</w:t>
            </w:r>
          </w:p>
        </w:tc>
        <w:tc>
          <w:tcPr>
            <w:tcW w:w="1149" w:type="dxa"/>
            <w:tcBorders>
              <w:top w:val="nil"/>
              <w:left w:val="nil"/>
              <w:bottom w:val="nil"/>
              <w:right w:val="nil"/>
            </w:tcBorders>
            <w:vAlign w:val="center"/>
          </w:tcPr>
          <w:p w14:paraId="0E280414" w14:textId="701C43F1" w:rsidR="003D77B1" w:rsidRPr="00B7635B" w:rsidRDefault="003D77B1" w:rsidP="003D77B1">
            <w:pPr>
              <w:jc w:val="center"/>
              <w:rPr>
                <w:rFonts w:ascii="Arial" w:eastAsia="Times New Roman" w:hAnsi="Arial" w:cs="Arial"/>
                <w:i/>
                <w:iCs/>
                <w:color w:val="000000"/>
                <w:kern w:val="0"/>
                <w:u w:val="single"/>
                <w:lang w:eastAsia="pt-BR"/>
                <w14:ligatures w14:val="none"/>
              </w:rPr>
            </w:pPr>
            <w:r w:rsidRPr="00B7635B">
              <w:rPr>
                <w:rFonts w:ascii="Arial" w:hAnsi="Arial" w:cs="Arial"/>
                <w:i/>
                <w:iCs/>
                <w:color w:val="000000"/>
                <w:u w:val="single"/>
              </w:rPr>
              <w:t>74.332</w:t>
            </w:r>
          </w:p>
        </w:tc>
        <w:tc>
          <w:tcPr>
            <w:tcW w:w="1284" w:type="dxa"/>
            <w:tcBorders>
              <w:top w:val="nil"/>
              <w:left w:val="nil"/>
              <w:bottom w:val="nil"/>
              <w:right w:val="nil"/>
            </w:tcBorders>
            <w:vAlign w:val="center"/>
          </w:tcPr>
          <w:p w14:paraId="30311EA7" w14:textId="0767738F" w:rsidR="003D77B1" w:rsidRPr="00B7635B" w:rsidRDefault="003D77B1" w:rsidP="003D77B1">
            <w:pPr>
              <w:jc w:val="center"/>
              <w:rPr>
                <w:rFonts w:ascii="Arial" w:eastAsia="Times New Roman" w:hAnsi="Arial" w:cs="Arial"/>
                <w:i/>
                <w:iCs/>
                <w:color w:val="000000"/>
                <w:kern w:val="0"/>
                <w:u w:val="single"/>
                <w:lang w:eastAsia="pt-BR"/>
                <w14:ligatures w14:val="none"/>
              </w:rPr>
            </w:pPr>
            <w:r w:rsidRPr="00B7635B">
              <w:rPr>
                <w:rFonts w:ascii="Arial" w:hAnsi="Arial" w:cs="Arial"/>
                <w:i/>
                <w:iCs/>
                <w:color w:val="000000"/>
                <w:u w:val="single"/>
              </w:rPr>
              <w:t>598.462</w:t>
            </w:r>
          </w:p>
        </w:tc>
      </w:tr>
      <w:tr w:rsidR="003D77B1" w:rsidRPr="00DF5115" w14:paraId="51AD2C40" w14:textId="77777777" w:rsidTr="003D77B1">
        <w:tc>
          <w:tcPr>
            <w:tcW w:w="2106" w:type="dxa"/>
            <w:tcBorders>
              <w:top w:val="nil"/>
              <w:left w:val="nil"/>
              <w:bottom w:val="nil"/>
              <w:right w:val="nil"/>
            </w:tcBorders>
          </w:tcPr>
          <w:p w14:paraId="0E1391DE" w14:textId="09D415EC" w:rsidR="003D77B1" w:rsidRPr="00DF5115" w:rsidRDefault="003D77B1" w:rsidP="003D77B1">
            <w:pPr>
              <w:jc w:val="both"/>
              <w:rPr>
                <w:rFonts w:ascii="Arial" w:eastAsia="Times New Roman" w:hAnsi="Arial" w:cs="Arial"/>
                <w:color w:val="000000"/>
                <w:kern w:val="0"/>
                <w:lang w:eastAsia="pt-BR"/>
                <w14:ligatures w14:val="none"/>
              </w:rPr>
            </w:pPr>
            <w:r w:rsidRPr="00DF5115">
              <w:t>- Negative</w:t>
            </w:r>
          </w:p>
        </w:tc>
        <w:tc>
          <w:tcPr>
            <w:tcW w:w="976" w:type="dxa"/>
            <w:tcBorders>
              <w:top w:val="nil"/>
              <w:left w:val="nil"/>
              <w:bottom w:val="nil"/>
              <w:right w:val="nil"/>
            </w:tcBorders>
            <w:vAlign w:val="center"/>
          </w:tcPr>
          <w:p w14:paraId="1FCF976A" w14:textId="26C8E3EE"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1.253</w:t>
            </w:r>
          </w:p>
        </w:tc>
        <w:tc>
          <w:tcPr>
            <w:tcW w:w="1257" w:type="dxa"/>
            <w:tcBorders>
              <w:top w:val="nil"/>
              <w:left w:val="nil"/>
              <w:bottom w:val="nil"/>
              <w:right w:val="nil"/>
            </w:tcBorders>
            <w:vAlign w:val="center"/>
          </w:tcPr>
          <w:p w14:paraId="79F085F6" w14:textId="03DCF708"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2.943</w:t>
            </w:r>
          </w:p>
        </w:tc>
        <w:tc>
          <w:tcPr>
            <w:tcW w:w="1297" w:type="dxa"/>
            <w:tcBorders>
              <w:top w:val="nil"/>
              <w:left w:val="nil"/>
              <w:bottom w:val="nil"/>
              <w:right w:val="nil"/>
            </w:tcBorders>
            <w:vAlign w:val="center"/>
          </w:tcPr>
          <w:p w14:paraId="1B502103" w14:textId="4EFDB204"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78.932</w:t>
            </w:r>
          </w:p>
        </w:tc>
        <w:tc>
          <w:tcPr>
            <w:tcW w:w="1149" w:type="dxa"/>
            <w:tcBorders>
              <w:top w:val="nil"/>
              <w:left w:val="nil"/>
              <w:bottom w:val="nil"/>
              <w:right w:val="nil"/>
            </w:tcBorders>
            <w:vAlign w:val="center"/>
          </w:tcPr>
          <w:p w14:paraId="6C0F2044" w14:textId="75A3218F"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18.820</w:t>
            </w:r>
          </w:p>
        </w:tc>
        <w:tc>
          <w:tcPr>
            <w:tcW w:w="1149" w:type="dxa"/>
            <w:tcBorders>
              <w:top w:val="nil"/>
              <w:left w:val="nil"/>
              <w:bottom w:val="nil"/>
              <w:right w:val="nil"/>
            </w:tcBorders>
            <w:vAlign w:val="center"/>
          </w:tcPr>
          <w:p w14:paraId="1B55C90A" w14:textId="0E4B708D"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15.096</w:t>
            </w:r>
          </w:p>
        </w:tc>
        <w:tc>
          <w:tcPr>
            <w:tcW w:w="1284" w:type="dxa"/>
            <w:tcBorders>
              <w:top w:val="nil"/>
              <w:left w:val="nil"/>
              <w:bottom w:val="nil"/>
              <w:right w:val="nil"/>
            </w:tcBorders>
            <w:vAlign w:val="center"/>
          </w:tcPr>
          <w:p w14:paraId="450E53AF" w14:textId="7F297F9A"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117.044</w:t>
            </w:r>
          </w:p>
        </w:tc>
      </w:tr>
      <w:tr w:rsidR="003D77B1" w:rsidRPr="00DF5115" w14:paraId="2422E9B5" w14:textId="77777777" w:rsidTr="003D77B1">
        <w:tc>
          <w:tcPr>
            <w:tcW w:w="2106" w:type="dxa"/>
            <w:tcBorders>
              <w:top w:val="nil"/>
              <w:left w:val="nil"/>
              <w:bottom w:val="nil"/>
              <w:right w:val="nil"/>
            </w:tcBorders>
          </w:tcPr>
          <w:p w14:paraId="7B877E9E" w14:textId="16B45529" w:rsidR="003D77B1" w:rsidRPr="00DF5115" w:rsidRDefault="003D77B1" w:rsidP="003D77B1">
            <w:pPr>
              <w:jc w:val="both"/>
              <w:rPr>
                <w:rFonts w:ascii="Arial" w:eastAsia="Times New Roman" w:hAnsi="Arial" w:cs="Arial"/>
                <w:color w:val="000000"/>
                <w:kern w:val="0"/>
                <w:lang w:eastAsia="pt-BR"/>
                <w14:ligatures w14:val="none"/>
              </w:rPr>
            </w:pPr>
            <w:r w:rsidRPr="00DF5115">
              <w:t>- Inconclusive</w:t>
            </w:r>
          </w:p>
        </w:tc>
        <w:tc>
          <w:tcPr>
            <w:tcW w:w="976" w:type="dxa"/>
            <w:tcBorders>
              <w:top w:val="nil"/>
              <w:left w:val="nil"/>
              <w:bottom w:val="nil"/>
              <w:right w:val="nil"/>
            </w:tcBorders>
            <w:vAlign w:val="center"/>
          </w:tcPr>
          <w:p w14:paraId="18117EC5" w14:textId="7611217E"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42</w:t>
            </w:r>
          </w:p>
        </w:tc>
        <w:tc>
          <w:tcPr>
            <w:tcW w:w="1257" w:type="dxa"/>
            <w:tcBorders>
              <w:top w:val="nil"/>
              <w:left w:val="nil"/>
              <w:bottom w:val="nil"/>
              <w:right w:val="nil"/>
            </w:tcBorders>
            <w:vAlign w:val="center"/>
          </w:tcPr>
          <w:p w14:paraId="7238F958" w14:textId="0A3EC401"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130</w:t>
            </w:r>
          </w:p>
        </w:tc>
        <w:tc>
          <w:tcPr>
            <w:tcW w:w="1297" w:type="dxa"/>
            <w:tcBorders>
              <w:top w:val="nil"/>
              <w:left w:val="nil"/>
              <w:bottom w:val="nil"/>
              <w:right w:val="nil"/>
            </w:tcBorders>
            <w:vAlign w:val="center"/>
          </w:tcPr>
          <w:p w14:paraId="0EC2A480" w14:textId="24F21D20"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859</w:t>
            </w:r>
          </w:p>
        </w:tc>
        <w:tc>
          <w:tcPr>
            <w:tcW w:w="1149" w:type="dxa"/>
            <w:tcBorders>
              <w:top w:val="nil"/>
              <w:left w:val="nil"/>
              <w:bottom w:val="nil"/>
              <w:right w:val="nil"/>
            </w:tcBorders>
            <w:vAlign w:val="center"/>
          </w:tcPr>
          <w:p w14:paraId="5C2D7BF8" w14:textId="77542864"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728</w:t>
            </w:r>
          </w:p>
        </w:tc>
        <w:tc>
          <w:tcPr>
            <w:tcW w:w="1149" w:type="dxa"/>
            <w:tcBorders>
              <w:top w:val="nil"/>
              <w:left w:val="nil"/>
              <w:bottom w:val="nil"/>
              <w:right w:val="nil"/>
            </w:tcBorders>
            <w:vAlign w:val="center"/>
          </w:tcPr>
          <w:p w14:paraId="57F9BF25" w14:textId="729E8760"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305</w:t>
            </w:r>
          </w:p>
        </w:tc>
        <w:tc>
          <w:tcPr>
            <w:tcW w:w="1284" w:type="dxa"/>
            <w:tcBorders>
              <w:top w:val="nil"/>
              <w:left w:val="nil"/>
              <w:bottom w:val="nil"/>
              <w:right w:val="nil"/>
            </w:tcBorders>
            <w:vAlign w:val="center"/>
          </w:tcPr>
          <w:p w14:paraId="2326D76B" w14:textId="46BC623D"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2.064</w:t>
            </w:r>
          </w:p>
        </w:tc>
      </w:tr>
      <w:tr w:rsidR="003D77B1" w:rsidRPr="00DF5115" w14:paraId="71C6A1C1" w14:textId="77777777" w:rsidTr="003D77B1">
        <w:tc>
          <w:tcPr>
            <w:tcW w:w="2106" w:type="dxa"/>
            <w:tcBorders>
              <w:top w:val="nil"/>
              <w:left w:val="nil"/>
              <w:bottom w:val="nil"/>
              <w:right w:val="nil"/>
            </w:tcBorders>
          </w:tcPr>
          <w:p w14:paraId="6A6C8351" w14:textId="1E1EE5E7" w:rsidR="003D77B1" w:rsidRPr="00DF5115" w:rsidRDefault="003D77B1" w:rsidP="003D77B1">
            <w:pPr>
              <w:jc w:val="both"/>
              <w:rPr>
                <w:rFonts w:ascii="Arial" w:eastAsia="Times New Roman" w:hAnsi="Arial" w:cs="Arial"/>
                <w:color w:val="000000"/>
                <w:kern w:val="0"/>
                <w:lang w:eastAsia="pt-BR"/>
                <w14:ligatures w14:val="none"/>
              </w:rPr>
            </w:pPr>
            <w:r w:rsidRPr="00DF5115">
              <w:t>- Not performed</w:t>
            </w:r>
          </w:p>
        </w:tc>
        <w:tc>
          <w:tcPr>
            <w:tcW w:w="976" w:type="dxa"/>
            <w:tcBorders>
              <w:top w:val="nil"/>
              <w:left w:val="nil"/>
              <w:bottom w:val="nil"/>
              <w:right w:val="nil"/>
            </w:tcBorders>
            <w:vAlign w:val="center"/>
          </w:tcPr>
          <w:p w14:paraId="5FF6ADF7" w14:textId="44119B72"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16.110</w:t>
            </w:r>
          </w:p>
        </w:tc>
        <w:tc>
          <w:tcPr>
            <w:tcW w:w="1257" w:type="dxa"/>
            <w:tcBorders>
              <w:top w:val="nil"/>
              <w:left w:val="nil"/>
              <w:bottom w:val="nil"/>
              <w:right w:val="nil"/>
            </w:tcBorders>
            <w:vAlign w:val="center"/>
          </w:tcPr>
          <w:p w14:paraId="157CBA05" w14:textId="728543B8"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59.886</w:t>
            </w:r>
          </w:p>
        </w:tc>
        <w:tc>
          <w:tcPr>
            <w:tcW w:w="1297" w:type="dxa"/>
            <w:tcBorders>
              <w:top w:val="nil"/>
              <w:left w:val="nil"/>
              <w:bottom w:val="nil"/>
              <w:right w:val="nil"/>
            </w:tcBorders>
            <w:vAlign w:val="center"/>
          </w:tcPr>
          <w:p w14:paraId="6CF90AC2" w14:textId="7D83EBD7"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351.307</w:t>
            </w:r>
          </w:p>
        </w:tc>
        <w:tc>
          <w:tcPr>
            <w:tcW w:w="1149" w:type="dxa"/>
            <w:tcBorders>
              <w:top w:val="nil"/>
              <w:left w:val="nil"/>
              <w:bottom w:val="nil"/>
              <w:right w:val="nil"/>
            </w:tcBorders>
            <w:vAlign w:val="center"/>
          </w:tcPr>
          <w:p w14:paraId="291EB67B" w14:textId="48FB9D01"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135.860</w:t>
            </w:r>
          </w:p>
        </w:tc>
        <w:tc>
          <w:tcPr>
            <w:tcW w:w="1149" w:type="dxa"/>
            <w:tcBorders>
              <w:top w:val="nil"/>
              <w:left w:val="nil"/>
              <w:bottom w:val="nil"/>
              <w:right w:val="nil"/>
            </w:tcBorders>
            <w:vAlign w:val="center"/>
          </w:tcPr>
          <w:p w14:paraId="1A4B45DB" w14:textId="77C2F99D"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118.438</w:t>
            </w:r>
          </w:p>
        </w:tc>
        <w:tc>
          <w:tcPr>
            <w:tcW w:w="1284" w:type="dxa"/>
            <w:tcBorders>
              <w:top w:val="nil"/>
              <w:left w:val="nil"/>
              <w:bottom w:val="nil"/>
              <w:right w:val="nil"/>
            </w:tcBorders>
            <w:vAlign w:val="center"/>
          </w:tcPr>
          <w:p w14:paraId="54C3ACBD" w14:textId="0DEEFC77"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681.601</w:t>
            </w:r>
          </w:p>
        </w:tc>
      </w:tr>
      <w:tr w:rsidR="00D77662" w:rsidRPr="00DF5115" w14:paraId="08721F42" w14:textId="77777777" w:rsidTr="003D77B1">
        <w:tc>
          <w:tcPr>
            <w:tcW w:w="9218" w:type="dxa"/>
            <w:gridSpan w:val="7"/>
            <w:tcBorders>
              <w:top w:val="nil"/>
              <w:left w:val="nil"/>
              <w:bottom w:val="nil"/>
              <w:right w:val="nil"/>
            </w:tcBorders>
          </w:tcPr>
          <w:p w14:paraId="6C90C212" w14:textId="1D9983D1" w:rsidR="00D77662" w:rsidRPr="00DF5115" w:rsidRDefault="003D77B1" w:rsidP="00D77662">
            <w:pPr>
              <w:rPr>
                <w:rFonts w:ascii="Arial" w:eastAsia="Times New Roman" w:hAnsi="Arial" w:cs="Arial"/>
                <w:b/>
                <w:bCs/>
                <w:color w:val="000000"/>
                <w:kern w:val="0"/>
                <w:lang w:eastAsia="pt-BR"/>
                <w14:ligatures w14:val="none"/>
              </w:rPr>
            </w:pPr>
            <w:r w:rsidRPr="00DF5115">
              <w:rPr>
                <w:rFonts w:ascii="Arial" w:eastAsia="Times New Roman" w:hAnsi="Arial" w:cs="Arial"/>
                <w:b/>
                <w:bCs/>
                <w:color w:val="000000"/>
                <w:kern w:val="0"/>
                <w:lang w:eastAsia="pt-BR"/>
                <w14:ligatures w14:val="none"/>
              </w:rPr>
              <w:t>Viral isolation</w:t>
            </w:r>
          </w:p>
        </w:tc>
      </w:tr>
      <w:tr w:rsidR="003D77B1" w:rsidRPr="00DF5115" w14:paraId="4D65513B" w14:textId="77777777" w:rsidTr="003D77B1">
        <w:tc>
          <w:tcPr>
            <w:tcW w:w="2106" w:type="dxa"/>
            <w:tcBorders>
              <w:top w:val="nil"/>
              <w:left w:val="nil"/>
              <w:bottom w:val="nil"/>
              <w:right w:val="nil"/>
            </w:tcBorders>
          </w:tcPr>
          <w:p w14:paraId="1D25DE0D" w14:textId="25A9A0DE" w:rsidR="003D77B1" w:rsidRPr="00DF5115" w:rsidRDefault="003D77B1" w:rsidP="003D77B1">
            <w:pPr>
              <w:jc w:val="both"/>
              <w:rPr>
                <w:rFonts w:ascii="Arial" w:eastAsia="Times New Roman" w:hAnsi="Arial" w:cs="Arial"/>
                <w:color w:val="000000"/>
                <w:kern w:val="0"/>
                <w:lang w:eastAsia="pt-BR"/>
                <w14:ligatures w14:val="none"/>
              </w:rPr>
            </w:pPr>
            <w:r w:rsidRPr="00DF5115">
              <w:t>- No information</w:t>
            </w:r>
          </w:p>
        </w:tc>
        <w:tc>
          <w:tcPr>
            <w:tcW w:w="976" w:type="dxa"/>
            <w:tcBorders>
              <w:top w:val="nil"/>
              <w:left w:val="nil"/>
              <w:bottom w:val="nil"/>
              <w:right w:val="nil"/>
            </w:tcBorders>
            <w:vAlign w:val="center"/>
          </w:tcPr>
          <w:p w14:paraId="50C45F9B" w14:textId="285EAD3F"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22.686</w:t>
            </w:r>
          </w:p>
        </w:tc>
        <w:tc>
          <w:tcPr>
            <w:tcW w:w="1257" w:type="dxa"/>
            <w:tcBorders>
              <w:top w:val="nil"/>
              <w:left w:val="nil"/>
              <w:bottom w:val="nil"/>
              <w:right w:val="nil"/>
            </w:tcBorders>
            <w:vAlign w:val="center"/>
          </w:tcPr>
          <w:p w14:paraId="189490B5" w14:textId="53291B2F"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156.009</w:t>
            </w:r>
          </w:p>
        </w:tc>
        <w:tc>
          <w:tcPr>
            <w:tcW w:w="1297" w:type="dxa"/>
            <w:tcBorders>
              <w:top w:val="nil"/>
              <w:left w:val="nil"/>
              <w:bottom w:val="nil"/>
              <w:right w:val="nil"/>
            </w:tcBorders>
            <w:vAlign w:val="center"/>
          </w:tcPr>
          <w:p w14:paraId="1680299A" w14:textId="6B04B6FC"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714.130</w:t>
            </w:r>
          </w:p>
        </w:tc>
        <w:tc>
          <w:tcPr>
            <w:tcW w:w="1149" w:type="dxa"/>
            <w:tcBorders>
              <w:top w:val="nil"/>
              <w:left w:val="nil"/>
              <w:bottom w:val="nil"/>
              <w:right w:val="nil"/>
            </w:tcBorders>
            <w:vAlign w:val="center"/>
          </w:tcPr>
          <w:p w14:paraId="4DC8B51D" w14:textId="2EECC461"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237.893</w:t>
            </w:r>
          </w:p>
        </w:tc>
        <w:tc>
          <w:tcPr>
            <w:tcW w:w="1149" w:type="dxa"/>
            <w:tcBorders>
              <w:top w:val="nil"/>
              <w:left w:val="nil"/>
              <w:bottom w:val="nil"/>
              <w:right w:val="nil"/>
            </w:tcBorders>
            <w:vAlign w:val="center"/>
          </w:tcPr>
          <w:p w14:paraId="27D8EDE8" w14:textId="4C368731"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149.160</w:t>
            </w:r>
          </w:p>
        </w:tc>
        <w:tc>
          <w:tcPr>
            <w:tcW w:w="1284" w:type="dxa"/>
            <w:tcBorders>
              <w:top w:val="nil"/>
              <w:left w:val="nil"/>
              <w:bottom w:val="nil"/>
              <w:right w:val="nil"/>
            </w:tcBorders>
            <w:vAlign w:val="center"/>
          </w:tcPr>
          <w:p w14:paraId="482BA4FD" w14:textId="62ED475A"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1.279.878</w:t>
            </w:r>
          </w:p>
        </w:tc>
      </w:tr>
      <w:tr w:rsidR="003D77B1" w:rsidRPr="00DF5115" w14:paraId="16FEDBC4" w14:textId="77777777" w:rsidTr="003D77B1">
        <w:tc>
          <w:tcPr>
            <w:tcW w:w="2106" w:type="dxa"/>
            <w:tcBorders>
              <w:top w:val="nil"/>
              <w:left w:val="nil"/>
              <w:bottom w:val="nil"/>
              <w:right w:val="nil"/>
            </w:tcBorders>
          </w:tcPr>
          <w:p w14:paraId="42EA1DAC" w14:textId="7DCEB3AB" w:rsidR="003D77B1" w:rsidRPr="00B7635B" w:rsidRDefault="003D77B1" w:rsidP="003D77B1">
            <w:pPr>
              <w:jc w:val="both"/>
              <w:rPr>
                <w:rFonts w:ascii="Arial" w:eastAsia="Times New Roman" w:hAnsi="Arial" w:cs="Arial"/>
                <w:i/>
                <w:iCs/>
                <w:color w:val="000000"/>
                <w:kern w:val="0"/>
                <w:u w:val="single"/>
                <w:lang w:eastAsia="pt-BR"/>
                <w14:ligatures w14:val="none"/>
              </w:rPr>
            </w:pPr>
            <w:r w:rsidRPr="00B7635B">
              <w:rPr>
                <w:i/>
                <w:iCs/>
                <w:u w:val="single"/>
              </w:rPr>
              <w:t>- Positive</w:t>
            </w:r>
          </w:p>
        </w:tc>
        <w:tc>
          <w:tcPr>
            <w:tcW w:w="976" w:type="dxa"/>
            <w:tcBorders>
              <w:top w:val="nil"/>
              <w:left w:val="nil"/>
              <w:bottom w:val="nil"/>
              <w:right w:val="nil"/>
            </w:tcBorders>
            <w:vAlign w:val="center"/>
          </w:tcPr>
          <w:p w14:paraId="2A813623" w14:textId="43D73EC2" w:rsidR="003D77B1" w:rsidRPr="00B7635B" w:rsidRDefault="003D77B1" w:rsidP="003D77B1">
            <w:pPr>
              <w:jc w:val="center"/>
              <w:rPr>
                <w:rFonts w:ascii="Arial" w:eastAsia="Times New Roman" w:hAnsi="Arial" w:cs="Arial"/>
                <w:i/>
                <w:iCs/>
                <w:color w:val="000000"/>
                <w:kern w:val="0"/>
                <w:u w:val="single"/>
                <w:lang w:eastAsia="pt-BR"/>
                <w14:ligatures w14:val="none"/>
              </w:rPr>
            </w:pPr>
            <w:r w:rsidRPr="00B7635B">
              <w:rPr>
                <w:rFonts w:ascii="Arial" w:hAnsi="Arial" w:cs="Arial"/>
                <w:i/>
                <w:iCs/>
                <w:color w:val="000000"/>
                <w:u w:val="single"/>
              </w:rPr>
              <w:t>112</w:t>
            </w:r>
          </w:p>
        </w:tc>
        <w:tc>
          <w:tcPr>
            <w:tcW w:w="1257" w:type="dxa"/>
            <w:tcBorders>
              <w:top w:val="nil"/>
              <w:left w:val="nil"/>
              <w:bottom w:val="nil"/>
              <w:right w:val="nil"/>
            </w:tcBorders>
            <w:vAlign w:val="center"/>
          </w:tcPr>
          <w:p w14:paraId="3A06B0B6" w14:textId="338F6401" w:rsidR="003D77B1" w:rsidRPr="00B7635B" w:rsidRDefault="003D77B1" w:rsidP="003D77B1">
            <w:pPr>
              <w:jc w:val="center"/>
              <w:rPr>
                <w:rFonts w:ascii="Arial" w:eastAsia="Times New Roman" w:hAnsi="Arial" w:cs="Arial"/>
                <w:i/>
                <w:iCs/>
                <w:color w:val="000000"/>
                <w:kern w:val="0"/>
                <w:u w:val="single"/>
                <w:lang w:eastAsia="pt-BR"/>
                <w14:ligatures w14:val="none"/>
              </w:rPr>
            </w:pPr>
            <w:r w:rsidRPr="00B7635B">
              <w:rPr>
                <w:rFonts w:ascii="Arial" w:hAnsi="Arial" w:cs="Arial"/>
                <w:i/>
                <w:iCs/>
                <w:color w:val="000000"/>
                <w:u w:val="single"/>
              </w:rPr>
              <w:t>182</w:t>
            </w:r>
          </w:p>
        </w:tc>
        <w:tc>
          <w:tcPr>
            <w:tcW w:w="1297" w:type="dxa"/>
            <w:tcBorders>
              <w:top w:val="nil"/>
              <w:left w:val="nil"/>
              <w:bottom w:val="nil"/>
              <w:right w:val="nil"/>
            </w:tcBorders>
            <w:vAlign w:val="center"/>
          </w:tcPr>
          <w:p w14:paraId="2DB60159" w14:textId="1EFC57CD" w:rsidR="003D77B1" w:rsidRPr="00B7635B" w:rsidRDefault="003D77B1" w:rsidP="003D77B1">
            <w:pPr>
              <w:jc w:val="center"/>
              <w:rPr>
                <w:rFonts w:ascii="Arial" w:eastAsia="Times New Roman" w:hAnsi="Arial" w:cs="Arial"/>
                <w:i/>
                <w:iCs/>
                <w:color w:val="000000"/>
                <w:kern w:val="0"/>
                <w:u w:val="single"/>
                <w:lang w:eastAsia="pt-BR"/>
                <w14:ligatures w14:val="none"/>
              </w:rPr>
            </w:pPr>
            <w:r w:rsidRPr="00B7635B">
              <w:rPr>
                <w:rFonts w:ascii="Arial" w:hAnsi="Arial" w:cs="Arial"/>
                <w:i/>
                <w:iCs/>
                <w:color w:val="000000"/>
                <w:u w:val="single"/>
              </w:rPr>
              <w:t>1.254</w:t>
            </w:r>
          </w:p>
        </w:tc>
        <w:tc>
          <w:tcPr>
            <w:tcW w:w="1149" w:type="dxa"/>
            <w:tcBorders>
              <w:top w:val="nil"/>
              <w:left w:val="nil"/>
              <w:bottom w:val="nil"/>
              <w:right w:val="nil"/>
            </w:tcBorders>
            <w:vAlign w:val="center"/>
          </w:tcPr>
          <w:p w14:paraId="3A5E74E5" w14:textId="51C11A5B" w:rsidR="003D77B1" w:rsidRPr="00B7635B" w:rsidRDefault="003D77B1" w:rsidP="003D77B1">
            <w:pPr>
              <w:jc w:val="center"/>
              <w:rPr>
                <w:rFonts w:ascii="Arial" w:eastAsia="Times New Roman" w:hAnsi="Arial" w:cs="Arial"/>
                <w:i/>
                <w:iCs/>
                <w:color w:val="000000"/>
                <w:kern w:val="0"/>
                <w:u w:val="single"/>
                <w:lang w:eastAsia="pt-BR"/>
                <w14:ligatures w14:val="none"/>
              </w:rPr>
            </w:pPr>
            <w:r w:rsidRPr="00B7635B">
              <w:rPr>
                <w:rFonts w:ascii="Arial" w:hAnsi="Arial" w:cs="Arial"/>
                <w:i/>
                <w:iCs/>
                <w:color w:val="000000"/>
                <w:u w:val="single"/>
              </w:rPr>
              <w:t>75</w:t>
            </w:r>
          </w:p>
        </w:tc>
        <w:tc>
          <w:tcPr>
            <w:tcW w:w="1149" w:type="dxa"/>
            <w:tcBorders>
              <w:top w:val="nil"/>
              <w:left w:val="nil"/>
              <w:bottom w:val="nil"/>
              <w:right w:val="nil"/>
            </w:tcBorders>
            <w:vAlign w:val="center"/>
          </w:tcPr>
          <w:p w14:paraId="54B74C8F" w14:textId="781CE873" w:rsidR="003D77B1" w:rsidRPr="00B7635B" w:rsidRDefault="003D77B1" w:rsidP="003D77B1">
            <w:pPr>
              <w:jc w:val="center"/>
              <w:rPr>
                <w:rFonts w:ascii="Arial" w:eastAsia="Times New Roman" w:hAnsi="Arial" w:cs="Arial"/>
                <w:i/>
                <w:iCs/>
                <w:color w:val="000000"/>
                <w:kern w:val="0"/>
                <w:u w:val="single"/>
                <w:lang w:eastAsia="pt-BR"/>
                <w14:ligatures w14:val="none"/>
              </w:rPr>
            </w:pPr>
            <w:r w:rsidRPr="00B7635B">
              <w:rPr>
                <w:rFonts w:ascii="Arial" w:hAnsi="Arial" w:cs="Arial"/>
                <w:i/>
                <w:iCs/>
                <w:color w:val="000000"/>
                <w:u w:val="single"/>
              </w:rPr>
              <w:t>578</w:t>
            </w:r>
          </w:p>
        </w:tc>
        <w:tc>
          <w:tcPr>
            <w:tcW w:w="1284" w:type="dxa"/>
            <w:tcBorders>
              <w:top w:val="nil"/>
              <w:left w:val="nil"/>
              <w:bottom w:val="nil"/>
              <w:right w:val="nil"/>
            </w:tcBorders>
            <w:vAlign w:val="center"/>
          </w:tcPr>
          <w:p w14:paraId="1700DBD9" w14:textId="080E8A5A" w:rsidR="003D77B1" w:rsidRPr="00B7635B" w:rsidRDefault="003D77B1" w:rsidP="003D77B1">
            <w:pPr>
              <w:jc w:val="center"/>
              <w:rPr>
                <w:rFonts w:ascii="Arial" w:eastAsia="Times New Roman" w:hAnsi="Arial" w:cs="Arial"/>
                <w:i/>
                <w:iCs/>
                <w:color w:val="000000"/>
                <w:kern w:val="0"/>
                <w:u w:val="single"/>
                <w:lang w:eastAsia="pt-BR"/>
                <w14:ligatures w14:val="none"/>
              </w:rPr>
            </w:pPr>
            <w:r w:rsidRPr="00B7635B">
              <w:rPr>
                <w:rFonts w:ascii="Arial" w:hAnsi="Arial" w:cs="Arial"/>
                <w:i/>
                <w:iCs/>
                <w:color w:val="000000"/>
                <w:u w:val="single"/>
              </w:rPr>
              <w:t>2.201</w:t>
            </w:r>
          </w:p>
        </w:tc>
      </w:tr>
      <w:tr w:rsidR="003D77B1" w:rsidRPr="00DF5115" w14:paraId="21421DAE" w14:textId="77777777" w:rsidTr="003D77B1">
        <w:tc>
          <w:tcPr>
            <w:tcW w:w="2106" w:type="dxa"/>
            <w:tcBorders>
              <w:top w:val="nil"/>
              <w:left w:val="nil"/>
              <w:bottom w:val="nil"/>
              <w:right w:val="nil"/>
            </w:tcBorders>
          </w:tcPr>
          <w:p w14:paraId="4A41B011" w14:textId="22AEE8C3" w:rsidR="003D77B1" w:rsidRPr="00DF5115" w:rsidRDefault="003D77B1" w:rsidP="003D77B1">
            <w:pPr>
              <w:jc w:val="both"/>
              <w:rPr>
                <w:rFonts w:ascii="Arial" w:eastAsia="Times New Roman" w:hAnsi="Arial" w:cs="Arial"/>
                <w:color w:val="000000"/>
                <w:kern w:val="0"/>
                <w:lang w:eastAsia="pt-BR"/>
                <w14:ligatures w14:val="none"/>
              </w:rPr>
            </w:pPr>
            <w:r w:rsidRPr="00DF5115">
              <w:t>- Negative</w:t>
            </w:r>
          </w:p>
        </w:tc>
        <w:tc>
          <w:tcPr>
            <w:tcW w:w="976" w:type="dxa"/>
            <w:tcBorders>
              <w:top w:val="nil"/>
              <w:left w:val="nil"/>
              <w:bottom w:val="nil"/>
              <w:right w:val="nil"/>
            </w:tcBorders>
            <w:vAlign w:val="center"/>
          </w:tcPr>
          <w:p w14:paraId="550C490D" w14:textId="30DE5ADD"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57</w:t>
            </w:r>
          </w:p>
        </w:tc>
        <w:tc>
          <w:tcPr>
            <w:tcW w:w="1257" w:type="dxa"/>
            <w:tcBorders>
              <w:top w:val="nil"/>
              <w:left w:val="nil"/>
              <w:bottom w:val="nil"/>
              <w:right w:val="nil"/>
            </w:tcBorders>
            <w:vAlign w:val="center"/>
          </w:tcPr>
          <w:p w14:paraId="535B5F7F" w14:textId="5D50A4A7"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202</w:t>
            </w:r>
          </w:p>
        </w:tc>
        <w:tc>
          <w:tcPr>
            <w:tcW w:w="1297" w:type="dxa"/>
            <w:tcBorders>
              <w:top w:val="nil"/>
              <w:left w:val="nil"/>
              <w:bottom w:val="nil"/>
              <w:right w:val="nil"/>
            </w:tcBorders>
            <w:vAlign w:val="center"/>
          </w:tcPr>
          <w:p w14:paraId="736B7AED" w14:textId="79C988BC"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850</w:t>
            </w:r>
          </w:p>
        </w:tc>
        <w:tc>
          <w:tcPr>
            <w:tcW w:w="1149" w:type="dxa"/>
            <w:tcBorders>
              <w:top w:val="nil"/>
              <w:left w:val="nil"/>
              <w:bottom w:val="nil"/>
              <w:right w:val="nil"/>
            </w:tcBorders>
            <w:vAlign w:val="center"/>
          </w:tcPr>
          <w:p w14:paraId="7D57D699" w14:textId="438F8DFB"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160</w:t>
            </w:r>
          </w:p>
        </w:tc>
        <w:tc>
          <w:tcPr>
            <w:tcW w:w="1149" w:type="dxa"/>
            <w:tcBorders>
              <w:top w:val="nil"/>
              <w:left w:val="nil"/>
              <w:bottom w:val="nil"/>
              <w:right w:val="nil"/>
            </w:tcBorders>
            <w:vAlign w:val="center"/>
          </w:tcPr>
          <w:p w14:paraId="2DD09934" w14:textId="7546AF6C"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388</w:t>
            </w:r>
          </w:p>
        </w:tc>
        <w:tc>
          <w:tcPr>
            <w:tcW w:w="1284" w:type="dxa"/>
            <w:tcBorders>
              <w:top w:val="nil"/>
              <w:left w:val="nil"/>
              <w:bottom w:val="nil"/>
              <w:right w:val="nil"/>
            </w:tcBorders>
            <w:vAlign w:val="center"/>
          </w:tcPr>
          <w:p w14:paraId="36922FD7" w14:textId="33C4A8E3"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1.657</w:t>
            </w:r>
          </w:p>
        </w:tc>
      </w:tr>
      <w:tr w:rsidR="003D77B1" w:rsidRPr="00DF5115" w14:paraId="08DFD5B1" w14:textId="77777777" w:rsidTr="003D77B1">
        <w:tc>
          <w:tcPr>
            <w:tcW w:w="2106" w:type="dxa"/>
            <w:tcBorders>
              <w:top w:val="nil"/>
              <w:left w:val="nil"/>
              <w:bottom w:val="nil"/>
              <w:right w:val="nil"/>
            </w:tcBorders>
          </w:tcPr>
          <w:p w14:paraId="00795622" w14:textId="2B30A879" w:rsidR="003D77B1" w:rsidRPr="00DF5115" w:rsidRDefault="003D77B1" w:rsidP="003D77B1">
            <w:pPr>
              <w:jc w:val="both"/>
              <w:rPr>
                <w:rFonts w:ascii="Arial" w:eastAsia="Times New Roman" w:hAnsi="Arial" w:cs="Arial"/>
                <w:color w:val="000000"/>
                <w:kern w:val="0"/>
                <w:lang w:eastAsia="pt-BR"/>
                <w14:ligatures w14:val="none"/>
              </w:rPr>
            </w:pPr>
            <w:r w:rsidRPr="00DF5115">
              <w:t>- Inconclusive</w:t>
            </w:r>
          </w:p>
        </w:tc>
        <w:tc>
          <w:tcPr>
            <w:tcW w:w="976" w:type="dxa"/>
            <w:tcBorders>
              <w:top w:val="nil"/>
              <w:left w:val="nil"/>
              <w:bottom w:val="nil"/>
              <w:right w:val="nil"/>
            </w:tcBorders>
            <w:vAlign w:val="center"/>
          </w:tcPr>
          <w:p w14:paraId="49EA197D" w14:textId="1A8FE09D"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21</w:t>
            </w:r>
          </w:p>
        </w:tc>
        <w:tc>
          <w:tcPr>
            <w:tcW w:w="1257" w:type="dxa"/>
            <w:tcBorders>
              <w:top w:val="nil"/>
              <w:left w:val="nil"/>
              <w:bottom w:val="nil"/>
              <w:right w:val="nil"/>
            </w:tcBorders>
            <w:vAlign w:val="center"/>
          </w:tcPr>
          <w:p w14:paraId="34E0A0A9" w14:textId="1CA899D7"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95</w:t>
            </w:r>
          </w:p>
        </w:tc>
        <w:tc>
          <w:tcPr>
            <w:tcW w:w="1297" w:type="dxa"/>
            <w:tcBorders>
              <w:top w:val="nil"/>
              <w:left w:val="nil"/>
              <w:bottom w:val="nil"/>
              <w:right w:val="nil"/>
            </w:tcBorders>
            <w:vAlign w:val="center"/>
          </w:tcPr>
          <w:p w14:paraId="288046F1" w14:textId="0B22866E"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338</w:t>
            </w:r>
          </w:p>
        </w:tc>
        <w:tc>
          <w:tcPr>
            <w:tcW w:w="1149" w:type="dxa"/>
            <w:tcBorders>
              <w:top w:val="nil"/>
              <w:left w:val="nil"/>
              <w:bottom w:val="nil"/>
              <w:right w:val="nil"/>
            </w:tcBorders>
            <w:vAlign w:val="center"/>
          </w:tcPr>
          <w:p w14:paraId="5C2E5355" w14:textId="468BDBB7"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55</w:t>
            </w:r>
          </w:p>
        </w:tc>
        <w:tc>
          <w:tcPr>
            <w:tcW w:w="1149" w:type="dxa"/>
            <w:tcBorders>
              <w:top w:val="nil"/>
              <w:left w:val="nil"/>
              <w:bottom w:val="nil"/>
              <w:right w:val="nil"/>
            </w:tcBorders>
            <w:vAlign w:val="center"/>
          </w:tcPr>
          <w:p w14:paraId="783FBE2A" w14:textId="7E78C655"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90</w:t>
            </w:r>
          </w:p>
        </w:tc>
        <w:tc>
          <w:tcPr>
            <w:tcW w:w="1284" w:type="dxa"/>
            <w:tcBorders>
              <w:top w:val="nil"/>
              <w:left w:val="nil"/>
              <w:bottom w:val="nil"/>
              <w:right w:val="nil"/>
            </w:tcBorders>
            <w:vAlign w:val="center"/>
          </w:tcPr>
          <w:p w14:paraId="406F4CBD" w14:textId="7A5D9653"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599</w:t>
            </w:r>
          </w:p>
        </w:tc>
      </w:tr>
      <w:tr w:rsidR="003D77B1" w:rsidRPr="00DF5115" w14:paraId="4854B936" w14:textId="77777777" w:rsidTr="003D77B1">
        <w:tc>
          <w:tcPr>
            <w:tcW w:w="2106" w:type="dxa"/>
            <w:tcBorders>
              <w:top w:val="nil"/>
              <w:left w:val="nil"/>
              <w:bottom w:val="nil"/>
              <w:right w:val="nil"/>
            </w:tcBorders>
          </w:tcPr>
          <w:p w14:paraId="0E15916A" w14:textId="399A556C" w:rsidR="003D77B1" w:rsidRPr="00DF5115" w:rsidRDefault="003D77B1" w:rsidP="003D77B1">
            <w:pPr>
              <w:jc w:val="both"/>
              <w:rPr>
                <w:rFonts w:ascii="Arial" w:eastAsia="Times New Roman" w:hAnsi="Arial" w:cs="Arial"/>
                <w:color w:val="000000"/>
                <w:kern w:val="0"/>
                <w:lang w:eastAsia="pt-BR"/>
                <w14:ligatures w14:val="none"/>
              </w:rPr>
            </w:pPr>
            <w:r w:rsidRPr="00DF5115">
              <w:t>- Not performed</w:t>
            </w:r>
          </w:p>
        </w:tc>
        <w:tc>
          <w:tcPr>
            <w:tcW w:w="976" w:type="dxa"/>
            <w:tcBorders>
              <w:top w:val="nil"/>
              <w:left w:val="nil"/>
              <w:bottom w:val="nil"/>
              <w:right w:val="nil"/>
            </w:tcBorders>
            <w:vAlign w:val="center"/>
          </w:tcPr>
          <w:p w14:paraId="6C784621" w14:textId="735CDA45"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21.502</w:t>
            </w:r>
          </w:p>
        </w:tc>
        <w:tc>
          <w:tcPr>
            <w:tcW w:w="1257" w:type="dxa"/>
            <w:tcBorders>
              <w:top w:val="nil"/>
              <w:left w:val="nil"/>
              <w:bottom w:val="nil"/>
              <w:right w:val="nil"/>
            </w:tcBorders>
            <w:vAlign w:val="center"/>
          </w:tcPr>
          <w:p w14:paraId="5D2749C9" w14:textId="4C2E8D77"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65.878</w:t>
            </w:r>
          </w:p>
        </w:tc>
        <w:tc>
          <w:tcPr>
            <w:tcW w:w="1297" w:type="dxa"/>
            <w:tcBorders>
              <w:top w:val="nil"/>
              <w:left w:val="nil"/>
              <w:bottom w:val="nil"/>
              <w:right w:val="nil"/>
            </w:tcBorders>
            <w:vAlign w:val="center"/>
          </w:tcPr>
          <w:p w14:paraId="47469024" w14:textId="30F5E692"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533.803</w:t>
            </w:r>
          </w:p>
        </w:tc>
        <w:tc>
          <w:tcPr>
            <w:tcW w:w="1149" w:type="dxa"/>
            <w:tcBorders>
              <w:top w:val="nil"/>
              <w:left w:val="nil"/>
              <w:bottom w:val="nil"/>
              <w:right w:val="nil"/>
            </w:tcBorders>
            <w:vAlign w:val="center"/>
          </w:tcPr>
          <w:p w14:paraId="79149309" w14:textId="649B4ECC"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183.588</w:t>
            </w:r>
          </w:p>
        </w:tc>
        <w:tc>
          <w:tcPr>
            <w:tcW w:w="1149" w:type="dxa"/>
            <w:tcBorders>
              <w:top w:val="nil"/>
              <w:left w:val="nil"/>
              <w:bottom w:val="nil"/>
              <w:right w:val="nil"/>
            </w:tcBorders>
            <w:vAlign w:val="center"/>
          </w:tcPr>
          <w:p w14:paraId="2559B7EF" w14:textId="352AC732"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163.920</w:t>
            </w:r>
          </w:p>
        </w:tc>
        <w:tc>
          <w:tcPr>
            <w:tcW w:w="1284" w:type="dxa"/>
            <w:tcBorders>
              <w:top w:val="nil"/>
              <w:left w:val="nil"/>
              <w:bottom w:val="nil"/>
              <w:right w:val="nil"/>
            </w:tcBorders>
            <w:vAlign w:val="center"/>
          </w:tcPr>
          <w:p w14:paraId="7DF20272" w14:textId="45288FE5"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968.691</w:t>
            </w:r>
          </w:p>
        </w:tc>
      </w:tr>
      <w:tr w:rsidR="00A00751" w:rsidRPr="00DF5115" w14:paraId="6DE564FB" w14:textId="77777777" w:rsidTr="003D77B1">
        <w:tc>
          <w:tcPr>
            <w:tcW w:w="9218" w:type="dxa"/>
            <w:gridSpan w:val="7"/>
            <w:tcBorders>
              <w:top w:val="nil"/>
              <w:left w:val="nil"/>
              <w:bottom w:val="nil"/>
              <w:right w:val="nil"/>
            </w:tcBorders>
          </w:tcPr>
          <w:p w14:paraId="3EE83927" w14:textId="7483EB75" w:rsidR="00A00751" w:rsidRPr="00DF5115" w:rsidRDefault="003D77B1" w:rsidP="00A00751">
            <w:pPr>
              <w:rPr>
                <w:rFonts w:ascii="Arial" w:eastAsia="Times New Roman" w:hAnsi="Arial" w:cs="Arial"/>
                <w:b/>
                <w:bCs/>
                <w:color w:val="000000"/>
                <w:kern w:val="0"/>
                <w:lang w:eastAsia="pt-BR"/>
                <w14:ligatures w14:val="none"/>
              </w:rPr>
            </w:pPr>
            <w:r w:rsidRPr="00DF5115">
              <w:rPr>
                <w:rFonts w:ascii="Arial" w:eastAsia="Times New Roman" w:hAnsi="Arial" w:cs="Arial"/>
                <w:b/>
                <w:bCs/>
                <w:color w:val="000000"/>
                <w:kern w:val="0"/>
                <w:lang w:eastAsia="pt-BR"/>
                <w14:ligatures w14:val="none"/>
              </w:rPr>
              <w:t>Serotype</w:t>
            </w:r>
          </w:p>
        </w:tc>
      </w:tr>
      <w:tr w:rsidR="003D77B1" w:rsidRPr="00DF5115" w14:paraId="1137A03E" w14:textId="77777777" w:rsidTr="003D77B1">
        <w:tc>
          <w:tcPr>
            <w:tcW w:w="2106" w:type="dxa"/>
            <w:tcBorders>
              <w:top w:val="nil"/>
              <w:left w:val="nil"/>
              <w:bottom w:val="nil"/>
              <w:right w:val="nil"/>
            </w:tcBorders>
          </w:tcPr>
          <w:p w14:paraId="145FECE5" w14:textId="4FA4BA3D" w:rsidR="003D77B1" w:rsidRPr="00DF5115" w:rsidRDefault="003D77B1" w:rsidP="003D77B1">
            <w:pPr>
              <w:jc w:val="both"/>
              <w:rPr>
                <w:rFonts w:ascii="Arial" w:eastAsia="Times New Roman" w:hAnsi="Arial" w:cs="Arial"/>
                <w:color w:val="000000"/>
                <w:kern w:val="0"/>
                <w:lang w:eastAsia="pt-BR"/>
                <w14:ligatures w14:val="none"/>
              </w:rPr>
            </w:pPr>
            <w:r w:rsidRPr="00DF5115">
              <w:t>- Ignored/Blank</w:t>
            </w:r>
          </w:p>
        </w:tc>
        <w:tc>
          <w:tcPr>
            <w:tcW w:w="976" w:type="dxa"/>
            <w:tcBorders>
              <w:top w:val="nil"/>
              <w:left w:val="nil"/>
              <w:bottom w:val="nil"/>
              <w:right w:val="nil"/>
            </w:tcBorders>
            <w:vAlign w:val="center"/>
          </w:tcPr>
          <w:p w14:paraId="3F0FBC79" w14:textId="29DEC92F"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41.067</w:t>
            </w:r>
          </w:p>
        </w:tc>
        <w:tc>
          <w:tcPr>
            <w:tcW w:w="1257" w:type="dxa"/>
            <w:tcBorders>
              <w:top w:val="nil"/>
              <w:left w:val="nil"/>
              <w:bottom w:val="nil"/>
              <w:right w:val="nil"/>
            </w:tcBorders>
            <w:vAlign w:val="center"/>
          </w:tcPr>
          <w:p w14:paraId="59BE3909" w14:textId="62D8C62C"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216.560</w:t>
            </w:r>
          </w:p>
        </w:tc>
        <w:tc>
          <w:tcPr>
            <w:tcW w:w="1297" w:type="dxa"/>
            <w:tcBorders>
              <w:top w:val="nil"/>
              <w:left w:val="nil"/>
              <w:bottom w:val="nil"/>
              <w:right w:val="nil"/>
            </w:tcBorders>
            <w:vAlign w:val="center"/>
          </w:tcPr>
          <w:p w14:paraId="719EE841" w14:textId="3137655F"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1.216.408</w:t>
            </w:r>
          </w:p>
        </w:tc>
        <w:tc>
          <w:tcPr>
            <w:tcW w:w="1149" w:type="dxa"/>
            <w:tcBorders>
              <w:top w:val="nil"/>
              <w:left w:val="nil"/>
              <w:bottom w:val="nil"/>
              <w:right w:val="nil"/>
            </w:tcBorders>
            <w:vAlign w:val="center"/>
          </w:tcPr>
          <w:p w14:paraId="78410B95" w14:textId="3538A9C1"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411.917</w:t>
            </w:r>
          </w:p>
        </w:tc>
        <w:tc>
          <w:tcPr>
            <w:tcW w:w="1149" w:type="dxa"/>
            <w:tcBorders>
              <w:top w:val="nil"/>
              <w:left w:val="nil"/>
              <w:bottom w:val="nil"/>
              <w:right w:val="nil"/>
            </w:tcBorders>
            <w:vAlign w:val="center"/>
          </w:tcPr>
          <w:p w14:paraId="72664AA3" w14:textId="59D52C73"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302.390</w:t>
            </w:r>
          </w:p>
        </w:tc>
        <w:tc>
          <w:tcPr>
            <w:tcW w:w="1284" w:type="dxa"/>
            <w:tcBorders>
              <w:top w:val="nil"/>
              <w:left w:val="nil"/>
              <w:bottom w:val="nil"/>
              <w:right w:val="nil"/>
            </w:tcBorders>
            <w:vAlign w:val="center"/>
          </w:tcPr>
          <w:p w14:paraId="594A44A0" w14:textId="621721B9"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2.188.342</w:t>
            </w:r>
          </w:p>
        </w:tc>
      </w:tr>
      <w:tr w:rsidR="003D77B1" w:rsidRPr="00DF5115" w14:paraId="20218543" w14:textId="77777777" w:rsidTr="00667BA8">
        <w:tc>
          <w:tcPr>
            <w:tcW w:w="2106" w:type="dxa"/>
            <w:tcBorders>
              <w:top w:val="nil"/>
              <w:left w:val="nil"/>
              <w:bottom w:val="nil"/>
              <w:right w:val="nil"/>
            </w:tcBorders>
          </w:tcPr>
          <w:p w14:paraId="1E0B3681" w14:textId="23C4A663" w:rsidR="003D77B1" w:rsidRPr="00DF5115" w:rsidRDefault="003D77B1" w:rsidP="003D77B1">
            <w:pPr>
              <w:jc w:val="both"/>
              <w:rPr>
                <w:rFonts w:ascii="Arial" w:eastAsia="Times New Roman" w:hAnsi="Arial" w:cs="Arial"/>
                <w:color w:val="000000"/>
                <w:kern w:val="0"/>
                <w:lang w:eastAsia="pt-BR"/>
                <w14:ligatures w14:val="none"/>
              </w:rPr>
            </w:pPr>
            <w:r w:rsidRPr="00DF5115">
              <w:t>- DEN 1</w:t>
            </w:r>
          </w:p>
        </w:tc>
        <w:tc>
          <w:tcPr>
            <w:tcW w:w="976" w:type="dxa"/>
            <w:tcBorders>
              <w:top w:val="nil"/>
              <w:left w:val="nil"/>
              <w:bottom w:val="nil"/>
              <w:right w:val="nil"/>
            </w:tcBorders>
            <w:vAlign w:val="center"/>
          </w:tcPr>
          <w:p w14:paraId="2F36AD62" w14:textId="3ED5994D"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2.012</w:t>
            </w:r>
          </w:p>
        </w:tc>
        <w:tc>
          <w:tcPr>
            <w:tcW w:w="1257" w:type="dxa"/>
            <w:tcBorders>
              <w:top w:val="nil"/>
              <w:left w:val="nil"/>
              <w:bottom w:val="nil"/>
              <w:right w:val="nil"/>
            </w:tcBorders>
            <w:vAlign w:val="center"/>
          </w:tcPr>
          <w:p w14:paraId="5FA65D1E" w14:textId="4135EBCB"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2.596</w:t>
            </w:r>
          </w:p>
        </w:tc>
        <w:tc>
          <w:tcPr>
            <w:tcW w:w="1297" w:type="dxa"/>
            <w:tcBorders>
              <w:top w:val="nil"/>
              <w:left w:val="nil"/>
              <w:bottom w:val="nil"/>
              <w:right w:val="nil"/>
            </w:tcBorders>
            <w:vAlign w:val="center"/>
          </w:tcPr>
          <w:p w14:paraId="0C4F43E9" w14:textId="3DC57677"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28.442</w:t>
            </w:r>
          </w:p>
        </w:tc>
        <w:tc>
          <w:tcPr>
            <w:tcW w:w="1149" w:type="dxa"/>
            <w:tcBorders>
              <w:top w:val="nil"/>
              <w:left w:val="nil"/>
              <w:bottom w:val="nil"/>
              <w:right w:val="nil"/>
            </w:tcBorders>
            <w:vAlign w:val="center"/>
          </w:tcPr>
          <w:p w14:paraId="57ECE65C" w14:textId="54F221BD"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8.403</w:t>
            </w:r>
          </w:p>
        </w:tc>
        <w:tc>
          <w:tcPr>
            <w:tcW w:w="1149" w:type="dxa"/>
            <w:tcBorders>
              <w:top w:val="nil"/>
              <w:left w:val="nil"/>
              <w:bottom w:val="nil"/>
              <w:right w:val="nil"/>
            </w:tcBorders>
            <w:vAlign w:val="center"/>
          </w:tcPr>
          <w:p w14:paraId="364E3169" w14:textId="27A315DB"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5.864</w:t>
            </w:r>
          </w:p>
        </w:tc>
        <w:tc>
          <w:tcPr>
            <w:tcW w:w="1284" w:type="dxa"/>
            <w:tcBorders>
              <w:top w:val="nil"/>
              <w:left w:val="nil"/>
              <w:bottom w:val="nil"/>
              <w:right w:val="nil"/>
            </w:tcBorders>
            <w:vAlign w:val="center"/>
          </w:tcPr>
          <w:p w14:paraId="70CA68C0" w14:textId="71BEA0F1"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47.317</w:t>
            </w:r>
          </w:p>
        </w:tc>
      </w:tr>
      <w:tr w:rsidR="003D77B1" w:rsidRPr="00DF5115" w14:paraId="07FCE126" w14:textId="77777777" w:rsidTr="00667BA8">
        <w:tc>
          <w:tcPr>
            <w:tcW w:w="2106" w:type="dxa"/>
            <w:tcBorders>
              <w:top w:val="nil"/>
              <w:left w:val="nil"/>
              <w:bottom w:val="nil"/>
              <w:right w:val="nil"/>
            </w:tcBorders>
          </w:tcPr>
          <w:p w14:paraId="41022A64" w14:textId="2A460642" w:rsidR="003D77B1" w:rsidRPr="00DF5115" w:rsidRDefault="003D77B1" w:rsidP="003D77B1">
            <w:pPr>
              <w:jc w:val="both"/>
              <w:rPr>
                <w:rFonts w:ascii="Arial" w:eastAsia="Times New Roman" w:hAnsi="Arial" w:cs="Arial"/>
                <w:color w:val="000000"/>
                <w:kern w:val="0"/>
                <w:lang w:eastAsia="pt-BR"/>
                <w14:ligatures w14:val="none"/>
              </w:rPr>
            </w:pPr>
            <w:r w:rsidRPr="00DF5115">
              <w:t>- DEN 2</w:t>
            </w:r>
          </w:p>
        </w:tc>
        <w:tc>
          <w:tcPr>
            <w:tcW w:w="976" w:type="dxa"/>
            <w:tcBorders>
              <w:top w:val="nil"/>
              <w:left w:val="nil"/>
              <w:bottom w:val="nil"/>
              <w:right w:val="nil"/>
            </w:tcBorders>
            <w:vAlign w:val="center"/>
          </w:tcPr>
          <w:p w14:paraId="0B210A02" w14:textId="2E15A9BA"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1.174</w:t>
            </w:r>
          </w:p>
        </w:tc>
        <w:tc>
          <w:tcPr>
            <w:tcW w:w="1257" w:type="dxa"/>
            <w:tcBorders>
              <w:top w:val="nil"/>
              <w:left w:val="nil"/>
              <w:bottom w:val="nil"/>
              <w:right w:val="nil"/>
            </w:tcBorders>
            <w:vAlign w:val="center"/>
          </w:tcPr>
          <w:p w14:paraId="0D89B3BD" w14:textId="43D1C59B"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3.200</w:t>
            </w:r>
          </w:p>
        </w:tc>
        <w:tc>
          <w:tcPr>
            <w:tcW w:w="1297" w:type="dxa"/>
            <w:tcBorders>
              <w:top w:val="nil"/>
              <w:left w:val="nil"/>
              <w:bottom w:val="nil"/>
              <w:right w:val="nil"/>
            </w:tcBorders>
            <w:vAlign w:val="center"/>
          </w:tcPr>
          <w:p w14:paraId="76C1184C" w14:textId="6D473D95"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5.304</w:t>
            </w:r>
          </w:p>
        </w:tc>
        <w:tc>
          <w:tcPr>
            <w:tcW w:w="1149" w:type="dxa"/>
            <w:tcBorders>
              <w:top w:val="nil"/>
              <w:left w:val="nil"/>
              <w:bottom w:val="nil"/>
              <w:right w:val="nil"/>
            </w:tcBorders>
            <w:vAlign w:val="center"/>
          </w:tcPr>
          <w:p w14:paraId="68CE161D" w14:textId="1D399962"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1.420</w:t>
            </w:r>
          </w:p>
        </w:tc>
        <w:tc>
          <w:tcPr>
            <w:tcW w:w="1149" w:type="dxa"/>
            <w:tcBorders>
              <w:top w:val="nil"/>
              <w:left w:val="nil"/>
              <w:bottom w:val="nil"/>
              <w:right w:val="nil"/>
            </w:tcBorders>
            <w:vAlign w:val="center"/>
          </w:tcPr>
          <w:p w14:paraId="45335623" w14:textId="282FD768"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5.870</w:t>
            </w:r>
          </w:p>
        </w:tc>
        <w:tc>
          <w:tcPr>
            <w:tcW w:w="1284" w:type="dxa"/>
            <w:tcBorders>
              <w:top w:val="nil"/>
              <w:left w:val="nil"/>
              <w:bottom w:val="nil"/>
              <w:right w:val="nil"/>
            </w:tcBorders>
            <w:vAlign w:val="center"/>
          </w:tcPr>
          <w:p w14:paraId="5D7C635D" w14:textId="745AB1A6"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16.968</w:t>
            </w:r>
          </w:p>
        </w:tc>
      </w:tr>
      <w:tr w:rsidR="003D77B1" w:rsidRPr="00DF5115" w14:paraId="2F61B2A7" w14:textId="77777777" w:rsidTr="00667BA8">
        <w:tc>
          <w:tcPr>
            <w:tcW w:w="2106" w:type="dxa"/>
            <w:tcBorders>
              <w:top w:val="nil"/>
              <w:left w:val="nil"/>
              <w:bottom w:val="nil"/>
              <w:right w:val="nil"/>
            </w:tcBorders>
          </w:tcPr>
          <w:p w14:paraId="6E2322ED" w14:textId="2B0BBA78" w:rsidR="003D77B1" w:rsidRPr="00DF5115" w:rsidRDefault="003D77B1" w:rsidP="003D77B1">
            <w:pPr>
              <w:jc w:val="both"/>
              <w:rPr>
                <w:rFonts w:ascii="Arial" w:eastAsia="Times New Roman" w:hAnsi="Arial" w:cs="Arial"/>
                <w:color w:val="000000"/>
                <w:kern w:val="0"/>
                <w:lang w:eastAsia="pt-BR"/>
                <w14:ligatures w14:val="none"/>
              </w:rPr>
            </w:pPr>
            <w:r w:rsidRPr="00DF5115">
              <w:t>- DEN 3</w:t>
            </w:r>
          </w:p>
        </w:tc>
        <w:tc>
          <w:tcPr>
            <w:tcW w:w="976" w:type="dxa"/>
            <w:tcBorders>
              <w:top w:val="nil"/>
              <w:left w:val="nil"/>
              <w:bottom w:val="nil"/>
              <w:right w:val="nil"/>
            </w:tcBorders>
            <w:vAlign w:val="center"/>
          </w:tcPr>
          <w:p w14:paraId="54FFE079" w14:textId="72FF68D6"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123</w:t>
            </w:r>
          </w:p>
        </w:tc>
        <w:tc>
          <w:tcPr>
            <w:tcW w:w="1257" w:type="dxa"/>
            <w:tcBorders>
              <w:top w:val="nil"/>
              <w:left w:val="nil"/>
              <w:bottom w:val="nil"/>
              <w:right w:val="nil"/>
            </w:tcBorders>
            <w:vAlign w:val="center"/>
          </w:tcPr>
          <w:p w14:paraId="77535DE4" w14:textId="19143C87"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5</w:t>
            </w:r>
          </w:p>
        </w:tc>
        <w:tc>
          <w:tcPr>
            <w:tcW w:w="1297" w:type="dxa"/>
            <w:tcBorders>
              <w:top w:val="nil"/>
              <w:left w:val="nil"/>
              <w:bottom w:val="nil"/>
              <w:right w:val="nil"/>
            </w:tcBorders>
            <w:vAlign w:val="center"/>
          </w:tcPr>
          <w:p w14:paraId="5445EF29" w14:textId="42ADC30B"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213</w:t>
            </w:r>
          </w:p>
        </w:tc>
        <w:tc>
          <w:tcPr>
            <w:tcW w:w="1149" w:type="dxa"/>
            <w:tcBorders>
              <w:top w:val="nil"/>
              <w:left w:val="nil"/>
              <w:bottom w:val="nil"/>
              <w:right w:val="nil"/>
            </w:tcBorders>
            <w:vAlign w:val="center"/>
          </w:tcPr>
          <w:p w14:paraId="19F4D123" w14:textId="36A781CE"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26</w:t>
            </w:r>
          </w:p>
        </w:tc>
        <w:tc>
          <w:tcPr>
            <w:tcW w:w="1149" w:type="dxa"/>
            <w:tcBorders>
              <w:top w:val="nil"/>
              <w:left w:val="nil"/>
              <w:bottom w:val="nil"/>
              <w:right w:val="nil"/>
            </w:tcBorders>
            <w:vAlign w:val="center"/>
          </w:tcPr>
          <w:p w14:paraId="6007EC00" w14:textId="46232D2C"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2</w:t>
            </w:r>
          </w:p>
        </w:tc>
        <w:tc>
          <w:tcPr>
            <w:tcW w:w="1284" w:type="dxa"/>
            <w:tcBorders>
              <w:top w:val="nil"/>
              <w:left w:val="nil"/>
              <w:bottom w:val="nil"/>
              <w:right w:val="nil"/>
            </w:tcBorders>
            <w:vAlign w:val="center"/>
          </w:tcPr>
          <w:p w14:paraId="2AF5B65C" w14:textId="7052B866"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369</w:t>
            </w:r>
          </w:p>
        </w:tc>
      </w:tr>
      <w:tr w:rsidR="003D77B1" w:rsidRPr="00DF5115" w14:paraId="741DCCFB" w14:textId="77777777" w:rsidTr="00667BA8">
        <w:tc>
          <w:tcPr>
            <w:tcW w:w="2106" w:type="dxa"/>
            <w:tcBorders>
              <w:top w:val="nil"/>
              <w:left w:val="nil"/>
              <w:bottom w:val="single" w:sz="12" w:space="0" w:color="auto"/>
              <w:right w:val="nil"/>
            </w:tcBorders>
          </w:tcPr>
          <w:p w14:paraId="520F723B" w14:textId="3FFAC716" w:rsidR="003D77B1" w:rsidRPr="00DF5115" w:rsidRDefault="003D77B1" w:rsidP="003D77B1">
            <w:pPr>
              <w:jc w:val="both"/>
              <w:rPr>
                <w:rFonts w:ascii="Arial" w:eastAsia="Times New Roman" w:hAnsi="Arial" w:cs="Arial"/>
                <w:color w:val="000000"/>
                <w:kern w:val="0"/>
                <w:lang w:eastAsia="pt-BR"/>
                <w14:ligatures w14:val="none"/>
              </w:rPr>
            </w:pPr>
            <w:r w:rsidRPr="00DF5115">
              <w:t>- DEN 4</w:t>
            </w:r>
          </w:p>
        </w:tc>
        <w:tc>
          <w:tcPr>
            <w:tcW w:w="976" w:type="dxa"/>
            <w:tcBorders>
              <w:top w:val="nil"/>
              <w:left w:val="nil"/>
              <w:bottom w:val="single" w:sz="12" w:space="0" w:color="auto"/>
              <w:right w:val="nil"/>
            </w:tcBorders>
            <w:vAlign w:val="center"/>
          </w:tcPr>
          <w:p w14:paraId="359E18CD" w14:textId="32345058"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2</w:t>
            </w:r>
          </w:p>
        </w:tc>
        <w:tc>
          <w:tcPr>
            <w:tcW w:w="1257" w:type="dxa"/>
            <w:tcBorders>
              <w:top w:val="nil"/>
              <w:left w:val="nil"/>
              <w:bottom w:val="single" w:sz="12" w:space="0" w:color="auto"/>
              <w:right w:val="nil"/>
            </w:tcBorders>
            <w:vAlign w:val="center"/>
          </w:tcPr>
          <w:p w14:paraId="0D2A425F" w14:textId="07233987"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5</w:t>
            </w:r>
          </w:p>
        </w:tc>
        <w:tc>
          <w:tcPr>
            <w:tcW w:w="1297" w:type="dxa"/>
            <w:tcBorders>
              <w:top w:val="nil"/>
              <w:left w:val="nil"/>
              <w:bottom w:val="single" w:sz="12" w:space="0" w:color="auto"/>
              <w:right w:val="nil"/>
            </w:tcBorders>
            <w:vAlign w:val="center"/>
          </w:tcPr>
          <w:p w14:paraId="2940FE72" w14:textId="7BA0DD10"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8</w:t>
            </w:r>
          </w:p>
        </w:tc>
        <w:tc>
          <w:tcPr>
            <w:tcW w:w="1149" w:type="dxa"/>
            <w:tcBorders>
              <w:top w:val="nil"/>
              <w:left w:val="nil"/>
              <w:bottom w:val="single" w:sz="12" w:space="0" w:color="auto"/>
              <w:right w:val="nil"/>
            </w:tcBorders>
            <w:vAlign w:val="center"/>
          </w:tcPr>
          <w:p w14:paraId="3D6E1D47" w14:textId="70797B9C"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5</w:t>
            </w:r>
          </w:p>
        </w:tc>
        <w:tc>
          <w:tcPr>
            <w:tcW w:w="1149" w:type="dxa"/>
            <w:tcBorders>
              <w:top w:val="nil"/>
              <w:left w:val="nil"/>
              <w:bottom w:val="single" w:sz="12" w:space="0" w:color="auto"/>
              <w:right w:val="nil"/>
            </w:tcBorders>
            <w:vAlign w:val="center"/>
          </w:tcPr>
          <w:p w14:paraId="4465F9AB" w14:textId="21F574C7"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10</w:t>
            </w:r>
          </w:p>
        </w:tc>
        <w:tc>
          <w:tcPr>
            <w:tcW w:w="1284" w:type="dxa"/>
            <w:tcBorders>
              <w:top w:val="nil"/>
              <w:left w:val="nil"/>
              <w:bottom w:val="single" w:sz="12" w:space="0" w:color="auto"/>
              <w:right w:val="nil"/>
            </w:tcBorders>
            <w:vAlign w:val="center"/>
          </w:tcPr>
          <w:p w14:paraId="1727FCE6" w14:textId="36B3B0DC" w:rsidR="003D77B1" w:rsidRPr="00DF5115" w:rsidRDefault="003D77B1" w:rsidP="003D77B1">
            <w:pPr>
              <w:jc w:val="center"/>
              <w:rPr>
                <w:rFonts w:ascii="Arial" w:eastAsia="Times New Roman" w:hAnsi="Arial" w:cs="Arial"/>
                <w:color w:val="000000"/>
                <w:kern w:val="0"/>
                <w:lang w:eastAsia="pt-BR"/>
                <w14:ligatures w14:val="none"/>
              </w:rPr>
            </w:pPr>
            <w:r w:rsidRPr="00DF5115">
              <w:rPr>
                <w:rFonts w:ascii="Arial" w:hAnsi="Arial" w:cs="Arial"/>
                <w:color w:val="000000"/>
              </w:rPr>
              <w:t>30</w:t>
            </w:r>
          </w:p>
        </w:tc>
      </w:tr>
    </w:tbl>
    <w:p w14:paraId="7E1F227F" w14:textId="77777777" w:rsidR="003D77B1" w:rsidRPr="00DF5115" w:rsidRDefault="003D77B1" w:rsidP="003D77B1">
      <w:pPr>
        <w:spacing w:line="360" w:lineRule="auto"/>
        <w:jc w:val="both"/>
        <w:rPr>
          <w:rFonts w:ascii="Arial" w:eastAsia="Arial" w:hAnsi="Arial" w:cs="Arial"/>
        </w:rPr>
      </w:pPr>
      <w:r w:rsidRPr="00DF5115">
        <w:rPr>
          <w:rFonts w:ascii="Arial" w:eastAsia="Arial" w:hAnsi="Arial" w:cs="Arial"/>
        </w:rPr>
        <w:t>Source: Ministry of Health/SVSA, Brazil - Notifiable Diseases Information System - Sinan Net</w:t>
      </w:r>
    </w:p>
    <w:p w14:paraId="24764FC2" w14:textId="5C073302" w:rsidR="00DF5115" w:rsidRDefault="004E17FD" w:rsidP="009E5458">
      <w:pPr>
        <w:spacing w:after="0" w:line="360" w:lineRule="auto"/>
        <w:jc w:val="both"/>
        <w:rPr>
          <w:rFonts w:ascii="Arial" w:eastAsia="Times New Roman" w:hAnsi="Arial" w:cs="Arial"/>
          <w:color w:val="000000"/>
          <w:kern w:val="0"/>
          <w:lang w:eastAsia="pt-BR"/>
          <w14:ligatures w14:val="none"/>
        </w:rPr>
      </w:pPr>
      <w:r w:rsidRPr="004E17FD">
        <w:rPr>
          <w:rFonts w:ascii="Arial" w:eastAsia="Times New Roman" w:hAnsi="Arial" w:cs="Arial"/>
          <w:color w:val="000000"/>
          <w:kern w:val="0"/>
          <w:lang w:eastAsia="pt-BR"/>
          <w14:ligatures w14:val="none"/>
        </w:rPr>
        <w:t>It was also not possible to cross-reference data related to age and childhood hospitalizations. Regardless of age, 72,762 (3.2%) hospitalizations for probable dengue cases were recorded, with a higher frequency in the Central-West region. Clinical-epidemiological examination was reported in 1,229,505 cases (54.1%), while the dengue diagnosis was confirmed in 1,968,309 cases, as shown in Table 3.</w:t>
      </w:r>
    </w:p>
    <w:p w14:paraId="3E08CAF4" w14:textId="77777777" w:rsidR="009D4965" w:rsidRDefault="009D4965" w:rsidP="00DF5115">
      <w:pPr>
        <w:spacing w:after="0" w:line="360" w:lineRule="auto"/>
        <w:rPr>
          <w:rFonts w:ascii="Arial" w:eastAsia="Times New Roman" w:hAnsi="Arial" w:cs="Arial"/>
          <w:color w:val="000000"/>
          <w:kern w:val="0"/>
          <w:lang w:eastAsia="pt-BR"/>
          <w14:ligatures w14:val="none"/>
        </w:rPr>
      </w:pPr>
    </w:p>
    <w:p w14:paraId="38F72672" w14:textId="77777777" w:rsidR="009D4965" w:rsidRPr="00DF5115" w:rsidRDefault="009D4965" w:rsidP="00DF5115">
      <w:pPr>
        <w:spacing w:after="0" w:line="360" w:lineRule="auto"/>
        <w:rPr>
          <w:rFonts w:ascii="Arial" w:eastAsia="Times New Roman" w:hAnsi="Arial" w:cs="Arial"/>
          <w:color w:val="000000"/>
          <w:kern w:val="0"/>
          <w:lang w:eastAsia="pt-BR"/>
          <w14:ligatures w14:val="none"/>
        </w:rPr>
      </w:pPr>
    </w:p>
    <w:p w14:paraId="5FFA9BB4" w14:textId="77777777" w:rsidR="00DF5115" w:rsidRPr="00DF5115" w:rsidRDefault="00DF5115" w:rsidP="00DF5115">
      <w:pPr>
        <w:spacing w:after="0" w:line="360" w:lineRule="auto"/>
        <w:rPr>
          <w:rFonts w:ascii="Arial" w:eastAsia="Times New Roman" w:hAnsi="Arial" w:cs="Arial"/>
          <w:color w:val="000000"/>
          <w:kern w:val="0"/>
          <w:lang w:eastAsia="pt-BR"/>
          <w14:ligatures w14:val="none"/>
        </w:rPr>
      </w:pPr>
    </w:p>
    <w:p w14:paraId="4F73FAE6" w14:textId="15FA308B" w:rsidR="00DF5115" w:rsidRPr="00DF5115" w:rsidRDefault="00DF5115" w:rsidP="00DF5115">
      <w:pPr>
        <w:spacing w:after="0" w:line="360" w:lineRule="auto"/>
        <w:jc w:val="both"/>
        <w:rPr>
          <w:rFonts w:ascii="Arial" w:eastAsia="Times New Roman" w:hAnsi="Arial" w:cs="Arial"/>
          <w:color w:val="000000"/>
          <w:kern w:val="0"/>
          <w:lang w:eastAsia="pt-BR"/>
          <w14:ligatures w14:val="none"/>
        </w:rPr>
      </w:pPr>
      <w:r w:rsidRPr="00DF5115">
        <w:rPr>
          <w:rFonts w:ascii="Arial" w:eastAsia="Times New Roman" w:hAnsi="Arial" w:cs="Arial"/>
          <w:b/>
          <w:bCs/>
          <w:color w:val="000000"/>
          <w:kern w:val="0"/>
          <w:lang w:eastAsia="pt-BR"/>
          <w14:ligatures w14:val="none"/>
        </w:rPr>
        <w:lastRenderedPageBreak/>
        <w:t xml:space="preserve">Table </w:t>
      </w:r>
      <w:r w:rsidR="009D4965">
        <w:rPr>
          <w:rFonts w:ascii="Arial" w:eastAsia="Times New Roman" w:hAnsi="Arial" w:cs="Arial"/>
          <w:b/>
          <w:bCs/>
          <w:color w:val="000000"/>
          <w:kern w:val="0"/>
          <w:lang w:eastAsia="pt-BR"/>
          <w14:ligatures w14:val="none"/>
        </w:rPr>
        <w:t>3</w:t>
      </w:r>
      <w:r w:rsidRPr="00DF5115">
        <w:rPr>
          <w:rFonts w:ascii="Arial" w:eastAsia="Times New Roman" w:hAnsi="Arial" w:cs="Arial"/>
          <w:b/>
          <w:bCs/>
          <w:color w:val="000000"/>
          <w:kern w:val="0"/>
          <w:lang w:eastAsia="pt-BR"/>
          <w14:ligatures w14:val="none"/>
        </w:rPr>
        <w:t xml:space="preserve"> </w:t>
      </w:r>
      <w:r w:rsidRPr="00DF5115">
        <w:rPr>
          <w:rFonts w:ascii="Arial" w:eastAsia="Times New Roman" w:hAnsi="Arial" w:cs="Arial"/>
          <w:color w:val="000000"/>
          <w:kern w:val="0"/>
          <w:lang w:eastAsia="pt-BR"/>
          <w14:ligatures w14:val="none"/>
        </w:rPr>
        <w:t xml:space="preserve">– Hospitalizations for probable cases of Dengue, laboratory and clinical-epidemiological confirmation, and diagnosis by region of Brazil, 2022–2024 </w:t>
      </w:r>
    </w:p>
    <w:p w14:paraId="69DE8889" w14:textId="28C9594F" w:rsidR="00DF5115" w:rsidRPr="00DF5115" w:rsidRDefault="00DF5115" w:rsidP="00DF5115">
      <w:pPr>
        <w:spacing w:after="0" w:line="360" w:lineRule="auto"/>
        <w:jc w:val="both"/>
        <w:rPr>
          <w:rFonts w:ascii="Arial" w:eastAsia="Times New Roman" w:hAnsi="Arial" w:cs="Arial"/>
          <w:color w:val="000000"/>
          <w:kern w:val="0"/>
          <w:lang w:eastAsia="pt-BR"/>
          <w14:ligatures w14:val="none"/>
        </w:rPr>
      </w:pPr>
      <w:r w:rsidRPr="00DF5115">
        <w:rPr>
          <w:rFonts w:ascii="Arial" w:eastAsia="Times New Roman" w:hAnsi="Arial" w:cs="Arial"/>
          <w:color w:val="000000"/>
          <w:kern w:val="0"/>
          <w:lang w:eastAsia="pt-BR"/>
          <w14:ligatures w14:val="none"/>
        </w:rPr>
        <w:t>(n = 2.253.026).</w:t>
      </w:r>
    </w:p>
    <w:p w14:paraId="32B5470B" w14:textId="77777777" w:rsidR="007B379F" w:rsidRPr="00DF5115" w:rsidRDefault="007B379F" w:rsidP="00DF5115">
      <w:pPr>
        <w:spacing w:after="0" w:line="360" w:lineRule="auto"/>
        <w:rPr>
          <w:rFonts w:ascii="Arial" w:eastAsia="Arial" w:hAnsi="Arial" w:cs="Arial"/>
        </w:rPr>
      </w:pPr>
    </w:p>
    <w:tbl>
      <w:tblPr>
        <w:tblStyle w:val="TableGrid"/>
        <w:tblW w:w="9848" w:type="dxa"/>
        <w:tblInd w:w="-714" w:type="dxa"/>
        <w:tblLook w:val="04A0" w:firstRow="1" w:lastRow="0" w:firstColumn="1" w:lastColumn="0" w:noHBand="0" w:noVBand="1"/>
      </w:tblPr>
      <w:tblGrid>
        <w:gridCol w:w="2661"/>
        <w:gridCol w:w="1091"/>
        <w:gridCol w:w="1257"/>
        <w:gridCol w:w="1297"/>
        <w:gridCol w:w="1129"/>
        <w:gridCol w:w="1129"/>
        <w:gridCol w:w="1284"/>
      </w:tblGrid>
      <w:tr w:rsidR="007B379F" w:rsidRPr="00DF5115" w14:paraId="00AF4907" w14:textId="77777777" w:rsidTr="00DF5115">
        <w:tc>
          <w:tcPr>
            <w:tcW w:w="2661" w:type="dxa"/>
            <w:vMerge w:val="restart"/>
            <w:tcBorders>
              <w:top w:val="single" w:sz="12" w:space="0" w:color="auto"/>
              <w:left w:val="nil"/>
              <w:bottom w:val="nil"/>
              <w:right w:val="nil"/>
            </w:tcBorders>
          </w:tcPr>
          <w:p w14:paraId="6F734FDA" w14:textId="75FA989C" w:rsidR="007B379F" w:rsidRPr="00DF5115" w:rsidRDefault="00DF5115" w:rsidP="007A05C6">
            <w:pPr>
              <w:rPr>
                <w:rFonts w:ascii="Arial" w:eastAsia="Arial" w:hAnsi="Arial" w:cs="Arial"/>
                <w:b/>
                <w:bCs/>
              </w:rPr>
            </w:pPr>
            <w:r w:rsidRPr="00DF5115">
              <w:rPr>
                <w:rFonts w:ascii="Arial" w:eastAsia="Arial" w:hAnsi="Arial" w:cs="Arial"/>
                <w:b/>
                <w:bCs/>
              </w:rPr>
              <w:t>Probable Dengue</w:t>
            </w:r>
          </w:p>
        </w:tc>
        <w:tc>
          <w:tcPr>
            <w:tcW w:w="5903" w:type="dxa"/>
            <w:gridSpan w:val="5"/>
            <w:tcBorders>
              <w:top w:val="single" w:sz="12" w:space="0" w:color="auto"/>
              <w:left w:val="nil"/>
              <w:bottom w:val="nil"/>
              <w:right w:val="nil"/>
            </w:tcBorders>
          </w:tcPr>
          <w:p w14:paraId="35CB5CC0" w14:textId="52974F62" w:rsidR="007B379F" w:rsidRPr="00DF5115" w:rsidRDefault="00DF5115" w:rsidP="007A05C6">
            <w:pPr>
              <w:jc w:val="center"/>
              <w:rPr>
                <w:rFonts w:ascii="Arial" w:eastAsia="Arial" w:hAnsi="Arial" w:cs="Arial"/>
              </w:rPr>
            </w:pPr>
            <w:r w:rsidRPr="00DF5115">
              <w:rPr>
                <w:rFonts w:ascii="Arial" w:eastAsia="Times New Roman" w:hAnsi="Arial" w:cs="Arial"/>
                <w:color w:val="000000"/>
                <w:kern w:val="0"/>
                <w:lang w:eastAsia="pt-BR"/>
                <w14:ligatures w14:val="none"/>
              </w:rPr>
              <w:t>Region of Brazil</w:t>
            </w:r>
          </w:p>
        </w:tc>
        <w:tc>
          <w:tcPr>
            <w:tcW w:w="1284" w:type="dxa"/>
            <w:vMerge w:val="restart"/>
            <w:tcBorders>
              <w:top w:val="single" w:sz="12" w:space="0" w:color="auto"/>
              <w:left w:val="nil"/>
              <w:bottom w:val="nil"/>
              <w:right w:val="nil"/>
            </w:tcBorders>
          </w:tcPr>
          <w:p w14:paraId="55B203A5" w14:textId="77777777" w:rsidR="007B379F" w:rsidRPr="00DF5115" w:rsidRDefault="007B379F" w:rsidP="007A05C6">
            <w:pPr>
              <w:rPr>
                <w:rFonts w:ascii="Arial" w:eastAsia="Arial" w:hAnsi="Arial" w:cs="Arial"/>
              </w:rPr>
            </w:pPr>
          </w:p>
          <w:p w14:paraId="2942BF3D" w14:textId="77777777" w:rsidR="007B379F" w:rsidRPr="00DF5115" w:rsidRDefault="007B379F" w:rsidP="007A05C6">
            <w:pPr>
              <w:rPr>
                <w:rFonts w:ascii="Arial" w:eastAsia="Arial" w:hAnsi="Arial" w:cs="Arial"/>
              </w:rPr>
            </w:pPr>
            <w:r w:rsidRPr="00DF5115">
              <w:rPr>
                <w:rFonts w:ascii="Arial" w:eastAsia="Arial" w:hAnsi="Arial" w:cs="Arial"/>
              </w:rPr>
              <w:t>TOTAL</w:t>
            </w:r>
          </w:p>
        </w:tc>
      </w:tr>
      <w:tr w:rsidR="00DF5115" w:rsidRPr="00DF5115" w14:paraId="602D82CE" w14:textId="77777777" w:rsidTr="00DF5115">
        <w:tc>
          <w:tcPr>
            <w:tcW w:w="2661" w:type="dxa"/>
            <w:vMerge/>
            <w:tcBorders>
              <w:top w:val="nil"/>
              <w:left w:val="nil"/>
              <w:bottom w:val="single" w:sz="12" w:space="0" w:color="auto"/>
              <w:right w:val="nil"/>
            </w:tcBorders>
          </w:tcPr>
          <w:p w14:paraId="5F91380E" w14:textId="77777777" w:rsidR="00DF5115" w:rsidRPr="00DF5115" w:rsidRDefault="00DF5115" w:rsidP="00DF5115">
            <w:pPr>
              <w:rPr>
                <w:rFonts w:ascii="Arial" w:eastAsia="Arial" w:hAnsi="Arial" w:cs="Arial"/>
              </w:rPr>
            </w:pPr>
          </w:p>
        </w:tc>
        <w:tc>
          <w:tcPr>
            <w:tcW w:w="1091" w:type="dxa"/>
            <w:tcBorders>
              <w:top w:val="nil"/>
              <w:left w:val="nil"/>
              <w:bottom w:val="single" w:sz="12" w:space="0" w:color="auto"/>
              <w:right w:val="nil"/>
            </w:tcBorders>
          </w:tcPr>
          <w:p w14:paraId="612058DC" w14:textId="1DE707DB" w:rsidR="00DF5115" w:rsidRPr="00DF5115" w:rsidRDefault="00DF5115" w:rsidP="00DF5115">
            <w:pPr>
              <w:jc w:val="center"/>
              <w:rPr>
                <w:rFonts w:ascii="Arial" w:eastAsia="Arial" w:hAnsi="Arial" w:cs="Arial"/>
              </w:rPr>
            </w:pPr>
            <w:r w:rsidRPr="00DF5115">
              <w:rPr>
                <w:rFonts w:ascii="Arial" w:eastAsia="Times New Roman" w:hAnsi="Arial" w:cs="Arial"/>
                <w:color w:val="000000"/>
                <w:kern w:val="0"/>
                <w:lang w:eastAsia="pt-BR"/>
                <w14:ligatures w14:val="none"/>
              </w:rPr>
              <w:t>North</w:t>
            </w:r>
          </w:p>
        </w:tc>
        <w:tc>
          <w:tcPr>
            <w:tcW w:w="1257" w:type="dxa"/>
            <w:tcBorders>
              <w:top w:val="nil"/>
              <w:left w:val="nil"/>
              <w:bottom w:val="single" w:sz="12" w:space="0" w:color="auto"/>
              <w:right w:val="nil"/>
            </w:tcBorders>
          </w:tcPr>
          <w:p w14:paraId="30FDEB2E" w14:textId="010FED7F" w:rsidR="00DF5115" w:rsidRPr="00DF5115" w:rsidRDefault="00DF5115" w:rsidP="00DF5115">
            <w:pPr>
              <w:jc w:val="center"/>
              <w:rPr>
                <w:rFonts w:ascii="Arial" w:eastAsia="Arial" w:hAnsi="Arial" w:cs="Arial"/>
              </w:rPr>
            </w:pPr>
            <w:r w:rsidRPr="00DF5115">
              <w:rPr>
                <w:rFonts w:ascii="Arial" w:eastAsia="Times New Roman" w:hAnsi="Arial" w:cs="Arial"/>
                <w:color w:val="000000"/>
                <w:kern w:val="0"/>
                <w:lang w:eastAsia="pt-BR"/>
                <w14:ligatures w14:val="none"/>
              </w:rPr>
              <w:t>Northeast</w:t>
            </w:r>
          </w:p>
        </w:tc>
        <w:tc>
          <w:tcPr>
            <w:tcW w:w="1297" w:type="dxa"/>
            <w:tcBorders>
              <w:top w:val="nil"/>
              <w:left w:val="nil"/>
              <w:bottom w:val="single" w:sz="12" w:space="0" w:color="auto"/>
              <w:right w:val="nil"/>
            </w:tcBorders>
          </w:tcPr>
          <w:p w14:paraId="183415D6" w14:textId="14D928DE" w:rsidR="00DF5115" w:rsidRPr="00DF5115" w:rsidRDefault="00DF5115" w:rsidP="00DF5115">
            <w:pPr>
              <w:jc w:val="center"/>
              <w:rPr>
                <w:rFonts w:ascii="Arial" w:eastAsia="Arial" w:hAnsi="Arial" w:cs="Arial"/>
              </w:rPr>
            </w:pPr>
            <w:r w:rsidRPr="00DF5115">
              <w:rPr>
                <w:rFonts w:ascii="Arial" w:eastAsia="Times New Roman" w:hAnsi="Arial" w:cs="Arial"/>
                <w:color w:val="000000"/>
                <w:kern w:val="0"/>
                <w:lang w:eastAsia="pt-BR"/>
                <w14:ligatures w14:val="none"/>
              </w:rPr>
              <w:t>Southeast</w:t>
            </w:r>
          </w:p>
        </w:tc>
        <w:tc>
          <w:tcPr>
            <w:tcW w:w="1129" w:type="dxa"/>
            <w:tcBorders>
              <w:top w:val="nil"/>
              <w:left w:val="nil"/>
              <w:bottom w:val="single" w:sz="12" w:space="0" w:color="auto"/>
              <w:right w:val="nil"/>
            </w:tcBorders>
          </w:tcPr>
          <w:p w14:paraId="21366938" w14:textId="58D363D2" w:rsidR="00DF5115" w:rsidRPr="00DF5115" w:rsidRDefault="00DF5115" w:rsidP="00DF5115">
            <w:pPr>
              <w:jc w:val="center"/>
              <w:rPr>
                <w:rFonts w:ascii="Arial" w:eastAsia="Arial" w:hAnsi="Arial" w:cs="Arial"/>
              </w:rPr>
            </w:pPr>
            <w:r w:rsidRPr="00DF5115">
              <w:rPr>
                <w:rFonts w:ascii="Arial" w:eastAsia="Times New Roman" w:hAnsi="Arial" w:cs="Arial"/>
                <w:color w:val="000000"/>
                <w:kern w:val="0"/>
                <w:lang w:eastAsia="pt-BR"/>
                <w14:ligatures w14:val="none"/>
              </w:rPr>
              <w:t>South</w:t>
            </w:r>
          </w:p>
        </w:tc>
        <w:tc>
          <w:tcPr>
            <w:tcW w:w="1129" w:type="dxa"/>
            <w:tcBorders>
              <w:top w:val="nil"/>
              <w:left w:val="nil"/>
              <w:bottom w:val="single" w:sz="12" w:space="0" w:color="auto"/>
              <w:right w:val="nil"/>
            </w:tcBorders>
          </w:tcPr>
          <w:p w14:paraId="3F6F3ED8" w14:textId="3867742C" w:rsidR="00DF5115" w:rsidRPr="00DF5115" w:rsidRDefault="00DF5115" w:rsidP="00DF5115">
            <w:pPr>
              <w:jc w:val="center"/>
              <w:rPr>
                <w:rFonts w:ascii="Arial" w:eastAsia="Arial" w:hAnsi="Arial" w:cs="Arial"/>
              </w:rPr>
            </w:pPr>
            <w:r w:rsidRPr="00DF5115">
              <w:rPr>
                <w:rFonts w:ascii="Arial" w:eastAsia="Times New Roman" w:hAnsi="Arial" w:cs="Arial"/>
                <w:color w:val="000000"/>
                <w:kern w:val="0"/>
                <w:lang w:eastAsia="pt-BR"/>
                <w14:ligatures w14:val="none"/>
              </w:rPr>
              <w:t>Central-West</w:t>
            </w:r>
          </w:p>
        </w:tc>
        <w:tc>
          <w:tcPr>
            <w:tcW w:w="1284" w:type="dxa"/>
            <w:vMerge/>
            <w:tcBorders>
              <w:top w:val="nil"/>
              <w:left w:val="nil"/>
              <w:bottom w:val="single" w:sz="12" w:space="0" w:color="auto"/>
              <w:right w:val="nil"/>
            </w:tcBorders>
          </w:tcPr>
          <w:p w14:paraId="29CAB279" w14:textId="77777777" w:rsidR="00DF5115" w:rsidRPr="00DF5115" w:rsidRDefault="00DF5115" w:rsidP="00DF5115">
            <w:pPr>
              <w:jc w:val="center"/>
              <w:rPr>
                <w:rFonts w:ascii="Arial" w:eastAsia="Arial" w:hAnsi="Arial" w:cs="Arial"/>
              </w:rPr>
            </w:pPr>
          </w:p>
        </w:tc>
      </w:tr>
      <w:tr w:rsidR="007B379F" w:rsidRPr="00DF5115" w14:paraId="5518F622" w14:textId="77777777" w:rsidTr="00DF5115">
        <w:tc>
          <w:tcPr>
            <w:tcW w:w="2661" w:type="dxa"/>
            <w:tcBorders>
              <w:top w:val="single" w:sz="12" w:space="0" w:color="auto"/>
              <w:left w:val="nil"/>
              <w:bottom w:val="nil"/>
              <w:right w:val="nil"/>
            </w:tcBorders>
          </w:tcPr>
          <w:p w14:paraId="4CFFF12D" w14:textId="03F915FA" w:rsidR="007B379F" w:rsidRPr="00DF5115" w:rsidRDefault="00DF5115" w:rsidP="007A05C6">
            <w:pPr>
              <w:rPr>
                <w:rFonts w:ascii="Arial" w:eastAsia="Arial" w:hAnsi="Arial" w:cs="Arial"/>
                <w:b/>
                <w:bCs/>
                <w:sz w:val="20"/>
                <w:szCs w:val="20"/>
              </w:rPr>
            </w:pPr>
            <w:r w:rsidRPr="00DF5115">
              <w:rPr>
                <w:rFonts w:ascii="Arial" w:eastAsia="Arial" w:hAnsi="Arial" w:cs="Arial"/>
                <w:b/>
                <w:bCs/>
                <w:sz w:val="20"/>
                <w:szCs w:val="20"/>
              </w:rPr>
              <w:t>TOTAL OF THE REGION</w:t>
            </w:r>
          </w:p>
        </w:tc>
        <w:tc>
          <w:tcPr>
            <w:tcW w:w="1091" w:type="dxa"/>
            <w:tcBorders>
              <w:top w:val="single" w:sz="12" w:space="0" w:color="auto"/>
              <w:left w:val="nil"/>
              <w:bottom w:val="nil"/>
              <w:right w:val="nil"/>
            </w:tcBorders>
            <w:vAlign w:val="center"/>
          </w:tcPr>
          <w:p w14:paraId="11D42B1C" w14:textId="77777777" w:rsidR="007B379F" w:rsidRPr="00DF5115" w:rsidRDefault="007B379F" w:rsidP="007A05C6">
            <w:pPr>
              <w:jc w:val="center"/>
              <w:rPr>
                <w:rFonts w:ascii="Arial" w:eastAsia="Arial" w:hAnsi="Arial" w:cs="Arial"/>
              </w:rPr>
            </w:pPr>
            <w:r w:rsidRPr="00DF5115">
              <w:rPr>
                <w:rFonts w:ascii="Arial" w:hAnsi="Arial" w:cs="Arial"/>
                <w:color w:val="000000"/>
              </w:rPr>
              <w:t>44.378</w:t>
            </w:r>
          </w:p>
        </w:tc>
        <w:tc>
          <w:tcPr>
            <w:tcW w:w="1257" w:type="dxa"/>
            <w:tcBorders>
              <w:top w:val="single" w:sz="12" w:space="0" w:color="auto"/>
              <w:left w:val="nil"/>
              <w:bottom w:val="nil"/>
              <w:right w:val="nil"/>
            </w:tcBorders>
            <w:vAlign w:val="center"/>
          </w:tcPr>
          <w:p w14:paraId="138689E5" w14:textId="77777777" w:rsidR="007B379F" w:rsidRPr="00DF5115" w:rsidRDefault="007B379F" w:rsidP="007A05C6">
            <w:pPr>
              <w:jc w:val="center"/>
              <w:rPr>
                <w:rFonts w:ascii="Arial" w:eastAsia="Arial" w:hAnsi="Arial" w:cs="Arial"/>
              </w:rPr>
            </w:pPr>
            <w:r w:rsidRPr="00DF5115">
              <w:rPr>
                <w:rFonts w:ascii="Arial" w:hAnsi="Arial" w:cs="Arial"/>
                <w:color w:val="000000"/>
              </w:rPr>
              <w:t>222.366</w:t>
            </w:r>
          </w:p>
        </w:tc>
        <w:tc>
          <w:tcPr>
            <w:tcW w:w="1297" w:type="dxa"/>
            <w:tcBorders>
              <w:top w:val="single" w:sz="12" w:space="0" w:color="auto"/>
              <w:left w:val="nil"/>
              <w:bottom w:val="nil"/>
              <w:right w:val="nil"/>
            </w:tcBorders>
            <w:vAlign w:val="center"/>
          </w:tcPr>
          <w:p w14:paraId="2B64DCED" w14:textId="77777777" w:rsidR="007B379F" w:rsidRPr="00DF5115" w:rsidRDefault="007B379F" w:rsidP="007A05C6">
            <w:pPr>
              <w:jc w:val="center"/>
              <w:rPr>
                <w:rFonts w:ascii="Arial" w:eastAsia="Arial" w:hAnsi="Arial" w:cs="Arial"/>
              </w:rPr>
            </w:pPr>
            <w:r w:rsidRPr="00DF5115">
              <w:rPr>
                <w:rFonts w:ascii="Arial" w:hAnsi="Arial" w:cs="Arial"/>
                <w:color w:val="000000"/>
              </w:rPr>
              <w:t>1.250.375</w:t>
            </w:r>
          </w:p>
        </w:tc>
        <w:tc>
          <w:tcPr>
            <w:tcW w:w="1129" w:type="dxa"/>
            <w:tcBorders>
              <w:top w:val="single" w:sz="12" w:space="0" w:color="auto"/>
              <w:left w:val="nil"/>
              <w:bottom w:val="nil"/>
              <w:right w:val="nil"/>
            </w:tcBorders>
            <w:vAlign w:val="center"/>
          </w:tcPr>
          <w:p w14:paraId="577C358E" w14:textId="77777777" w:rsidR="007B379F" w:rsidRPr="00DF5115" w:rsidRDefault="007B379F" w:rsidP="007A05C6">
            <w:pPr>
              <w:jc w:val="center"/>
              <w:rPr>
                <w:rFonts w:ascii="Arial" w:eastAsia="Arial" w:hAnsi="Arial" w:cs="Arial"/>
              </w:rPr>
            </w:pPr>
            <w:r w:rsidRPr="00DF5115">
              <w:rPr>
                <w:rFonts w:ascii="Arial" w:hAnsi="Arial" w:cs="Arial"/>
                <w:color w:val="000000"/>
              </w:rPr>
              <w:t>421.771</w:t>
            </w:r>
          </w:p>
        </w:tc>
        <w:tc>
          <w:tcPr>
            <w:tcW w:w="1129" w:type="dxa"/>
            <w:tcBorders>
              <w:top w:val="single" w:sz="12" w:space="0" w:color="auto"/>
              <w:left w:val="nil"/>
              <w:bottom w:val="nil"/>
              <w:right w:val="nil"/>
            </w:tcBorders>
            <w:vAlign w:val="center"/>
          </w:tcPr>
          <w:p w14:paraId="531F7109" w14:textId="77777777" w:rsidR="007B379F" w:rsidRPr="00DF5115" w:rsidRDefault="007B379F" w:rsidP="007A05C6">
            <w:pPr>
              <w:jc w:val="center"/>
              <w:rPr>
                <w:rFonts w:ascii="Arial" w:eastAsia="Arial" w:hAnsi="Arial" w:cs="Arial"/>
              </w:rPr>
            </w:pPr>
            <w:r w:rsidRPr="00DF5115">
              <w:rPr>
                <w:rFonts w:ascii="Arial" w:hAnsi="Arial" w:cs="Arial"/>
                <w:color w:val="000000"/>
              </w:rPr>
              <w:t>314.136</w:t>
            </w:r>
          </w:p>
        </w:tc>
        <w:tc>
          <w:tcPr>
            <w:tcW w:w="1284" w:type="dxa"/>
            <w:tcBorders>
              <w:top w:val="single" w:sz="12" w:space="0" w:color="auto"/>
              <w:left w:val="nil"/>
              <w:bottom w:val="nil"/>
              <w:right w:val="nil"/>
            </w:tcBorders>
            <w:vAlign w:val="center"/>
          </w:tcPr>
          <w:p w14:paraId="7840480C" w14:textId="77777777" w:rsidR="007B379F" w:rsidRPr="00DF5115" w:rsidRDefault="007B379F" w:rsidP="007A05C6">
            <w:pPr>
              <w:jc w:val="center"/>
              <w:rPr>
                <w:rFonts w:ascii="Arial" w:eastAsia="Arial" w:hAnsi="Arial" w:cs="Arial"/>
              </w:rPr>
            </w:pPr>
            <w:r w:rsidRPr="00DF5115">
              <w:rPr>
                <w:rFonts w:ascii="Arial" w:hAnsi="Arial" w:cs="Arial"/>
                <w:color w:val="000000"/>
              </w:rPr>
              <w:t>2.253.026</w:t>
            </w:r>
          </w:p>
        </w:tc>
      </w:tr>
      <w:tr w:rsidR="00DF5115" w:rsidRPr="00DF5115" w14:paraId="663191A3" w14:textId="77777777" w:rsidTr="007A05C6">
        <w:tc>
          <w:tcPr>
            <w:tcW w:w="9848" w:type="dxa"/>
            <w:gridSpan w:val="7"/>
            <w:tcBorders>
              <w:top w:val="nil"/>
              <w:left w:val="nil"/>
              <w:bottom w:val="nil"/>
              <w:right w:val="nil"/>
            </w:tcBorders>
          </w:tcPr>
          <w:p w14:paraId="39A76745" w14:textId="42F09D8E" w:rsidR="00DF5115" w:rsidRPr="004E17FD" w:rsidRDefault="00DF5115" w:rsidP="00DF5115">
            <w:pPr>
              <w:rPr>
                <w:rFonts w:ascii="Arial" w:eastAsia="Arial" w:hAnsi="Arial" w:cs="Arial"/>
                <w:b/>
                <w:bCs/>
              </w:rPr>
            </w:pPr>
            <w:r w:rsidRPr="004E17FD">
              <w:rPr>
                <w:b/>
                <w:bCs/>
              </w:rPr>
              <w:t>Hospitalization</w:t>
            </w:r>
          </w:p>
        </w:tc>
      </w:tr>
      <w:tr w:rsidR="00DF5115" w:rsidRPr="00DF5115" w14:paraId="50BA971A" w14:textId="77777777" w:rsidTr="00DF5115">
        <w:tc>
          <w:tcPr>
            <w:tcW w:w="2661" w:type="dxa"/>
            <w:tcBorders>
              <w:top w:val="nil"/>
              <w:left w:val="nil"/>
              <w:bottom w:val="nil"/>
              <w:right w:val="nil"/>
            </w:tcBorders>
          </w:tcPr>
          <w:p w14:paraId="16AD16AC" w14:textId="5B1B41D7" w:rsidR="00DF5115" w:rsidRPr="00DF5115" w:rsidRDefault="00DF5115" w:rsidP="00DF5115">
            <w:pPr>
              <w:rPr>
                <w:rFonts w:ascii="Arial" w:eastAsia="Arial" w:hAnsi="Arial" w:cs="Arial"/>
              </w:rPr>
            </w:pPr>
            <w:r w:rsidRPr="0031661B">
              <w:t>- Unknown</w:t>
            </w:r>
          </w:p>
        </w:tc>
        <w:tc>
          <w:tcPr>
            <w:tcW w:w="1091" w:type="dxa"/>
            <w:tcBorders>
              <w:top w:val="nil"/>
              <w:left w:val="nil"/>
              <w:bottom w:val="nil"/>
              <w:right w:val="nil"/>
            </w:tcBorders>
            <w:vAlign w:val="center"/>
          </w:tcPr>
          <w:p w14:paraId="094B9303" w14:textId="77777777" w:rsidR="00DF5115" w:rsidRPr="00DF5115" w:rsidRDefault="00DF5115" w:rsidP="00DF5115">
            <w:pPr>
              <w:jc w:val="center"/>
              <w:rPr>
                <w:rFonts w:ascii="Arial" w:eastAsia="Arial" w:hAnsi="Arial" w:cs="Arial"/>
              </w:rPr>
            </w:pPr>
            <w:r w:rsidRPr="00DF5115">
              <w:rPr>
                <w:rFonts w:ascii="Arial" w:hAnsi="Arial" w:cs="Arial"/>
                <w:color w:val="000000"/>
              </w:rPr>
              <w:t>10.871</w:t>
            </w:r>
          </w:p>
        </w:tc>
        <w:tc>
          <w:tcPr>
            <w:tcW w:w="1257" w:type="dxa"/>
            <w:tcBorders>
              <w:top w:val="nil"/>
              <w:left w:val="nil"/>
              <w:bottom w:val="nil"/>
              <w:right w:val="nil"/>
            </w:tcBorders>
            <w:vAlign w:val="center"/>
          </w:tcPr>
          <w:p w14:paraId="33539B5A" w14:textId="77777777" w:rsidR="00DF5115" w:rsidRPr="00DF5115" w:rsidRDefault="00DF5115" w:rsidP="00DF5115">
            <w:pPr>
              <w:jc w:val="center"/>
              <w:rPr>
                <w:rFonts w:ascii="Arial" w:eastAsia="Arial" w:hAnsi="Arial" w:cs="Arial"/>
              </w:rPr>
            </w:pPr>
            <w:r w:rsidRPr="00DF5115">
              <w:rPr>
                <w:rFonts w:ascii="Arial" w:hAnsi="Arial" w:cs="Arial"/>
                <w:color w:val="000000"/>
              </w:rPr>
              <w:t>91.262</w:t>
            </w:r>
          </w:p>
        </w:tc>
        <w:tc>
          <w:tcPr>
            <w:tcW w:w="1297" w:type="dxa"/>
            <w:tcBorders>
              <w:top w:val="nil"/>
              <w:left w:val="nil"/>
              <w:bottom w:val="nil"/>
              <w:right w:val="nil"/>
            </w:tcBorders>
            <w:vAlign w:val="center"/>
          </w:tcPr>
          <w:p w14:paraId="297BAD8E" w14:textId="77777777" w:rsidR="00DF5115" w:rsidRPr="00DF5115" w:rsidRDefault="00DF5115" w:rsidP="00DF5115">
            <w:pPr>
              <w:jc w:val="center"/>
              <w:rPr>
                <w:rFonts w:ascii="Arial" w:eastAsia="Arial" w:hAnsi="Arial" w:cs="Arial"/>
              </w:rPr>
            </w:pPr>
            <w:r w:rsidRPr="00DF5115">
              <w:rPr>
                <w:rFonts w:ascii="Arial" w:hAnsi="Arial" w:cs="Arial"/>
                <w:color w:val="000000"/>
              </w:rPr>
              <w:t>372.447</w:t>
            </w:r>
          </w:p>
        </w:tc>
        <w:tc>
          <w:tcPr>
            <w:tcW w:w="1129" w:type="dxa"/>
            <w:tcBorders>
              <w:top w:val="nil"/>
              <w:left w:val="nil"/>
              <w:bottom w:val="nil"/>
              <w:right w:val="nil"/>
            </w:tcBorders>
            <w:vAlign w:val="center"/>
          </w:tcPr>
          <w:p w14:paraId="08BDDC9B" w14:textId="77777777" w:rsidR="00DF5115" w:rsidRPr="00DF5115" w:rsidRDefault="00DF5115" w:rsidP="00DF5115">
            <w:pPr>
              <w:jc w:val="center"/>
              <w:rPr>
                <w:rFonts w:ascii="Arial" w:eastAsia="Arial" w:hAnsi="Arial" w:cs="Arial"/>
              </w:rPr>
            </w:pPr>
            <w:r w:rsidRPr="00DF5115">
              <w:rPr>
                <w:rFonts w:ascii="Arial" w:hAnsi="Arial" w:cs="Arial"/>
                <w:color w:val="000000"/>
              </w:rPr>
              <w:t>103.707</w:t>
            </w:r>
          </w:p>
        </w:tc>
        <w:tc>
          <w:tcPr>
            <w:tcW w:w="1129" w:type="dxa"/>
            <w:tcBorders>
              <w:top w:val="nil"/>
              <w:left w:val="nil"/>
              <w:bottom w:val="nil"/>
              <w:right w:val="nil"/>
            </w:tcBorders>
            <w:vAlign w:val="center"/>
          </w:tcPr>
          <w:p w14:paraId="76C4ECBD" w14:textId="77777777" w:rsidR="00DF5115" w:rsidRPr="00DF5115" w:rsidRDefault="00DF5115" w:rsidP="00DF5115">
            <w:pPr>
              <w:jc w:val="center"/>
              <w:rPr>
                <w:rFonts w:ascii="Arial" w:eastAsia="Arial" w:hAnsi="Arial" w:cs="Arial"/>
              </w:rPr>
            </w:pPr>
            <w:r w:rsidRPr="00DF5115">
              <w:rPr>
                <w:rFonts w:ascii="Arial" w:hAnsi="Arial" w:cs="Arial"/>
                <w:color w:val="000000"/>
              </w:rPr>
              <w:t>96.855</w:t>
            </w:r>
          </w:p>
        </w:tc>
        <w:tc>
          <w:tcPr>
            <w:tcW w:w="1284" w:type="dxa"/>
            <w:tcBorders>
              <w:top w:val="nil"/>
              <w:left w:val="nil"/>
              <w:bottom w:val="nil"/>
              <w:right w:val="nil"/>
            </w:tcBorders>
            <w:vAlign w:val="center"/>
          </w:tcPr>
          <w:p w14:paraId="7BBB04F8" w14:textId="77777777" w:rsidR="00DF5115" w:rsidRPr="00DF5115" w:rsidRDefault="00DF5115" w:rsidP="00DF5115">
            <w:pPr>
              <w:jc w:val="center"/>
              <w:rPr>
                <w:rFonts w:ascii="Arial" w:eastAsia="Arial" w:hAnsi="Arial" w:cs="Arial"/>
              </w:rPr>
            </w:pPr>
            <w:r w:rsidRPr="00DF5115">
              <w:rPr>
                <w:rFonts w:ascii="Arial" w:hAnsi="Arial" w:cs="Arial"/>
                <w:color w:val="000000"/>
              </w:rPr>
              <w:t>675.142</w:t>
            </w:r>
          </w:p>
        </w:tc>
      </w:tr>
      <w:tr w:rsidR="00DF5115" w:rsidRPr="00DF5115" w14:paraId="0D9DF28E" w14:textId="77777777" w:rsidTr="00DF5115">
        <w:tc>
          <w:tcPr>
            <w:tcW w:w="2661" w:type="dxa"/>
            <w:tcBorders>
              <w:top w:val="nil"/>
              <w:left w:val="nil"/>
              <w:bottom w:val="nil"/>
              <w:right w:val="nil"/>
            </w:tcBorders>
          </w:tcPr>
          <w:p w14:paraId="2143A7C6" w14:textId="53C3B134" w:rsidR="00DF5115" w:rsidRPr="00DF5115" w:rsidRDefault="00DF5115" w:rsidP="00DF5115">
            <w:pPr>
              <w:rPr>
                <w:rFonts w:ascii="Arial" w:eastAsia="Arial" w:hAnsi="Arial" w:cs="Arial"/>
              </w:rPr>
            </w:pPr>
            <w:r w:rsidRPr="0031661B">
              <w:t>- Yes</w:t>
            </w:r>
          </w:p>
        </w:tc>
        <w:tc>
          <w:tcPr>
            <w:tcW w:w="1091" w:type="dxa"/>
            <w:tcBorders>
              <w:top w:val="nil"/>
              <w:left w:val="nil"/>
              <w:bottom w:val="nil"/>
              <w:right w:val="nil"/>
            </w:tcBorders>
            <w:vAlign w:val="center"/>
          </w:tcPr>
          <w:p w14:paraId="3B881CEA" w14:textId="77777777" w:rsidR="00DF5115" w:rsidRPr="004E17FD" w:rsidRDefault="00DF5115" w:rsidP="00DF5115">
            <w:pPr>
              <w:jc w:val="center"/>
              <w:rPr>
                <w:rFonts w:ascii="Arial" w:eastAsia="Arial" w:hAnsi="Arial" w:cs="Arial"/>
                <w:i/>
                <w:iCs/>
                <w:u w:val="single"/>
              </w:rPr>
            </w:pPr>
            <w:r w:rsidRPr="004E17FD">
              <w:rPr>
                <w:rFonts w:ascii="Arial" w:hAnsi="Arial" w:cs="Arial"/>
                <w:i/>
                <w:iCs/>
                <w:color w:val="000000"/>
                <w:u w:val="single"/>
              </w:rPr>
              <w:t>2.845</w:t>
            </w:r>
          </w:p>
        </w:tc>
        <w:tc>
          <w:tcPr>
            <w:tcW w:w="1257" w:type="dxa"/>
            <w:tcBorders>
              <w:top w:val="nil"/>
              <w:left w:val="nil"/>
              <w:bottom w:val="nil"/>
              <w:right w:val="nil"/>
            </w:tcBorders>
            <w:vAlign w:val="center"/>
          </w:tcPr>
          <w:p w14:paraId="6FCA0982" w14:textId="77777777" w:rsidR="00DF5115" w:rsidRPr="004E17FD" w:rsidRDefault="00DF5115" w:rsidP="00DF5115">
            <w:pPr>
              <w:jc w:val="center"/>
              <w:rPr>
                <w:rFonts w:ascii="Arial" w:eastAsia="Arial" w:hAnsi="Arial" w:cs="Arial"/>
                <w:i/>
                <w:iCs/>
                <w:u w:val="single"/>
              </w:rPr>
            </w:pPr>
            <w:r w:rsidRPr="004E17FD">
              <w:rPr>
                <w:rFonts w:ascii="Arial" w:hAnsi="Arial" w:cs="Arial"/>
                <w:i/>
                <w:iCs/>
                <w:color w:val="000000"/>
                <w:u w:val="single"/>
              </w:rPr>
              <w:t>14.499</w:t>
            </w:r>
          </w:p>
        </w:tc>
        <w:tc>
          <w:tcPr>
            <w:tcW w:w="1297" w:type="dxa"/>
            <w:tcBorders>
              <w:top w:val="nil"/>
              <w:left w:val="nil"/>
              <w:bottom w:val="nil"/>
              <w:right w:val="nil"/>
            </w:tcBorders>
            <w:vAlign w:val="center"/>
          </w:tcPr>
          <w:p w14:paraId="34DBAB86" w14:textId="77777777" w:rsidR="00DF5115" w:rsidRPr="004E17FD" w:rsidRDefault="00DF5115" w:rsidP="00DF5115">
            <w:pPr>
              <w:jc w:val="center"/>
              <w:rPr>
                <w:rFonts w:ascii="Arial" w:eastAsia="Arial" w:hAnsi="Arial" w:cs="Arial"/>
                <w:i/>
                <w:iCs/>
                <w:u w:val="single"/>
              </w:rPr>
            </w:pPr>
            <w:r w:rsidRPr="004E17FD">
              <w:rPr>
                <w:rFonts w:ascii="Arial" w:hAnsi="Arial" w:cs="Arial"/>
                <w:i/>
                <w:iCs/>
                <w:color w:val="000000"/>
                <w:u w:val="single"/>
              </w:rPr>
              <w:t>29.115</w:t>
            </w:r>
          </w:p>
        </w:tc>
        <w:tc>
          <w:tcPr>
            <w:tcW w:w="1129" w:type="dxa"/>
            <w:tcBorders>
              <w:top w:val="nil"/>
              <w:left w:val="nil"/>
              <w:bottom w:val="nil"/>
              <w:right w:val="nil"/>
            </w:tcBorders>
            <w:vAlign w:val="center"/>
          </w:tcPr>
          <w:p w14:paraId="6A5011B6" w14:textId="77777777" w:rsidR="00DF5115" w:rsidRPr="004E17FD" w:rsidRDefault="00DF5115" w:rsidP="00DF5115">
            <w:pPr>
              <w:jc w:val="center"/>
              <w:rPr>
                <w:rFonts w:ascii="Arial" w:eastAsia="Arial" w:hAnsi="Arial" w:cs="Arial"/>
                <w:i/>
                <w:iCs/>
                <w:u w:val="single"/>
              </w:rPr>
            </w:pPr>
            <w:r w:rsidRPr="004E17FD">
              <w:rPr>
                <w:rFonts w:ascii="Arial" w:hAnsi="Arial" w:cs="Arial"/>
                <w:i/>
                <w:iCs/>
                <w:color w:val="000000"/>
                <w:u w:val="single"/>
              </w:rPr>
              <w:t>10.656</w:t>
            </w:r>
          </w:p>
        </w:tc>
        <w:tc>
          <w:tcPr>
            <w:tcW w:w="1129" w:type="dxa"/>
            <w:tcBorders>
              <w:top w:val="nil"/>
              <w:left w:val="nil"/>
              <w:bottom w:val="nil"/>
              <w:right w:val="nil"/>
            </w:tcBorders>
            <w:vAlign w:val="center"/>
          </w:tcPr>
          <w:p w14:paraId="1CC471C0" w14:textId="77777777" w:rsidR="00DF5115" w:rsidRPr="004E17FD" w:rsidRDefault="00DF5115" w:rsidP="00DF5115">
            <w:pPr>
              <w:jc w:val="center"/>
              <w:rPr>
                <w:rFonts w:ascii="Arial" w:eastAsia="Arial" w:hAnsi="Arial" w:cs="Arial"/>
                <w:i/>
                <w:iCs/>
                <w:u w:val="single"/>
              </w:rPr>
            </w:pPr>
            <w:r w:rsidRPr="004E17FD">
              <w:rPr>
                <w:rFonts w:ascii="Arial" w:hAnsi="Arial" w:cs="Arial"/>
                <w:i/>
                <w:iCs/>
                <w:color w:val="000000"/>
                <w:u w:val="single"/>
              </w:rPr>
              <w:t>15.647</w:t>
            </w:r>
          </w:p>
        </w:tc>
        <w:tc>
          <w:tcPr>
            <w:tcW w:w="1284" w:type="dxa"/>
            <w:tcBorders>
              <w:top w:val="nil"/>
              <w:left w:val="nil"/>
              <w:bottom w:val="nil"/>
              <w:right w:val="nil"/>
            </w:tcBorders>
            <w:vAlign w:val="center"/>
          </w:tcPr>
          <w:p w14:paraId="374C852D" w14:textId="77777777" w:rsidR="00DF5115" w:rsidRPr="004E17FD" w:rsidRDefault="00DF5115" w:rsidP="00DF5115">
            <w:pPr>
              <w:jc w:val="center"/>
              <w:rPr>
                <w:rFonts w:ascii="Arial" w:eastAsia="Arial" w:hAnsi="Arial" w:cs="Arial"/>
                <w:i/>
                <w:iCs/>
                <w:u w:val="single"/>
              </w:rPr>
            </w:pPr>
            <w:r w:rsidRPr="004E17FD">
              <w:rPr>
                <w:rFonts w:ascii="Arial" w:hAnsi="Arial" w:cs="Arial"/>
                <w:i/>
                <w:iCs/>
                <w:color w:val="000000"/>
                <w:u w:val="single"/>
              </w:rPr>
              <w:t>72.762</w:t>
            </w:r>
          </w:p>
        </w:tc>
      </w:tr>
      <w:tr w:rsidR="00DF5115" w:rsidRPr="00DF5115" w14:paraId="12F3A628" w14:textId="77777777" w:rsidTr="00DF5115">
        <w:tc>
          <w:tcPr>
            <w:tcW w:w="2661" w:type="dxa"/>
            <w:tcBorders>
              <w:top w:val="nil"/>
              <w:left w:val="nil"/>
              <w:bottom w:val="nil"/>
              <w:right w:val="nil"/>
            </w:tcBorders>
          </w:tcPr>
          <w:p w14:paraId="7F6EF7F1" w14:textId="4FC09FB1" w:rsidR="00DF5115" w:rsidRPr="00DF5115" w:rsidRDefault="00DF5115" w:rsidP="00DF5115">
            <w:pPr>
              <w:rPr>
                <w:rFonts w:ascii="Arial" w:eastAsia="Arial" w:hAnsi="Arial" w:cs="Arial"/>
              </w:rPr>
            </w:pPr>
            <w:r w:rsidRPr="0031661B">
              <w:t>- No</w:t>
            </w:r>
          </w:p>
        </w:tc>
        <w:tc>
          <w:tcPr>
            <w:tcW w:w="1091" w:type="dxa"/>
            <w:tcBorders>
              <w:top w:val="nil"/>
              <w:left w:val="nil"/>
              <w:bottom w:val="nil"/>
              <w:right w:val="nil"/>
            </w:tcBorders>
            <w:vAlign w:val="center"/>
          </w:tcPr>
          <w:p w14:paraId="5F2AC7E5" w14:textId="77777777" w:rsidR="00DF5115" w:rsidRPr="00DF5115" w:rsidRDefault="00DF5115" w:rsidP="00DF5115">
            <w:pPr>
              <w:jc w:val="center"/>
              <w:rPr>
                <w:rFonts w:ascii="Arial" w:eastAsia="Arial" w:hAnsi="Arial" w:cs="Arial"/>
              </w:rPr>
            </w:pPr>
            <w:r w:rsidRPr="00DF5115">
              <w:rPr>
                <w:rFonts w:ascii="Arial" w:hAnsi="Arial" w:cs="Arial"/>
                <w:color w:val="000000"/>
              </w:rPr>
              <w:t>30.662</w:t>
            </w:r>
          </w:p>
        </w:tc>
        <w:tc>
          <w:tcPr>
            <w:tcW w:w="1257" w:type="dxa"/>
            <w:tcBorders>
              <w:top w:val="nil"/>
              <w:left w:val="nil"/>
              <w:bottom w:val="nil"/>
              <w:right w:val="nil"/>
            </w:tcBorders>
            <w:vAlign w:val="center"/>
          </w:tcPr>
          <w:p w14:paraId="07437309" w14:textId="77777777" w:rsidR="00DF5115" w:rsidRPr="00DF5115" w:rsidRDefault="00DF5115" w:rsidP="00DF5115">
            <w:pPr>
              <w:jc w:val="center"/>
              <w:rPr>
                <w:rFonts w:ascii="Arial" w:eastAsia="Arial" w:hAnsi="Arial" w:cs="Arial"/>
              </w:rPr>
            </w:pPr>
            <w:r w:rsidRPr="00DF5115">
              <w:rPr>
                <w:rFonts w:ascii="Arial" w:hAnsi="Arial" w:cs="Arial"/>
                <w:color w:val="000000"/>
              </w:rPr>
              <w:t>116.605</w:t>
            </w:r>
          </w:p>
        </w:tc>
        <w:tc>
          <w:tcPr>
            <w:tcW w:w="1297" w:type="dxa"/>
            <w:tcBorders>
              <w:top w:val="nil"/>
              <w:left w:val="nil"/>
              <w:bottom w:val="nil"/>
              <w:right w:val="nil"/>
            </w:tcBorders>
            <w:vAlign w:val="center"/>
          </w:tcPr>
          <w:p w14:paraId="41A0E7C0" w14:textId="77777777" w:rsidR="00DF5115" w:rsidRPr="00DF5115" w:rsidRDefault="00DF5115" w:rsidP="00DF5115">
            <w:pPr>
              <w:jc w:val="center"/>
              <w:rPr>
                <w:rFonts w:ascii="Arial" w:eastAsia="Arial" w:hAnsi="Arial" w:cs="Arial"/>
              </w:rPr>
            </w:pPr>
            <w:r w:rsidRPr="00DF5115">
              <w:rPr>
                <w:rFonts w:ascii="Arial" w:hAnsi="Arial" w:cs="Arial"/>
                <w:color w:val="000000"/>
              </w:rPr>
              <w:t>848.813</w:t>
            </w:r>
          </w:p>
        </w:tc>
        <w:tc>
          <w:tcPr>
            <w:tcW w:w="1129" w:type="dxa"/>
            <w:tcBorders>
              <w:top w:val="nil"/>
              <w:left w:val="nil"/>
              <w:bottom w:val="nil"/>
              <w:right w:val="nil"/>
            </w:tcBorders>
            <w:vAlign w:val="center"/>
          </w:tcPr>
          <w:p w14:paraId="54E79587" w14:textId="77777777" w:rsidR="00DF5115" w:rsidRPr="00DF5115" w:rsidRDefault="00DF5115" w:rsidP="00DF5115">
            <w:pPr>
              <w:jc w:val="center"/>
              <w:rPr>
                <w:rFonts w:ascii="Arial" w:eastAsia="Arial" w:hAnsi="Arial" w:cs="Arial"/>
              </w:rPr>
            </w:pPr>
            <w:r w:rsidRPr="00DF5115">
              <w:rPr>
                <w:rFonts w:ascii="Arial" w:hAnsi="Arial" w:cs="Arial"/>
                <w:color w:val="000000"/>
              </w:rPr>
              <w:t>307.408</w:t>
            </w:r>
          </w:p>
        </w:tc>
        <w:tc>
          <w:tcPr>
            <w:tcW w:w="1129" w:type="dxa"/>
            <w:tcBorders>
              <w:top w:val="nil"/>
              <w:left w:val="nil"/>
              <w:bottom w:val="nil"/>
              <w:right w:val="nil"/>
            </w:tcBorders>
            <w:vAlign w:val="center"/>
          </w:tcPr>
          <w:p w14:paraId="536041A5" w14:textId="77777777" w:rsidR="00DF5115" w:rsidRPr="00DF5115" w:rsidRDefault="00DF5115" w:rsidP="00DF5115">
            <w:pPr>
              <w:jc w:val="center"/>
              <w:rPr>
                <w:rFonts w:ascii="Arial" w:eastAsia="Arial" w:hAnsi="Arial" w:cs="Arial"/>
              </w:rPr>
            </w:pPr>
            <w:r w:rsidRPr="00DF5115">
              <w:rPr>
                <w:rFonts w:ascii="Arial" w:hAnsi="Arial" w:cs="Arial"/>
                <w:color w:val="000000"/>
              </w:rPr>
              <w:t>201.634</w:t>
            </w:r>
          </w:p>
        </w:tc>
        <w:tc>
          <w:tcPr>
            <w:tcW w:w="1284" w:type="dxa"/>
            <w:tcBorders>
              <w:top w:val="nil"/>
              <w:left w:val="nil"/>
              <w:bottom w:val="nil"/>
              <w:right w:val="nil"/>
            </w:tcBorders>
            <w:vAlign w:val="center"/>
          </w:tcPr>
          <w:p w14:paraId="2EC33C78" w14:textId="77777777" w:rsidR="00DF5115" w:rsidRPr="00DF5115" w:rsidRDefault="00DF5115" w:rsidP="00DF5115">
            <w:pPr>
              <w:jc w:val="center"/>
              <w:rPr>
                <w:rFonts w:ascii="Arial" w:eastAsia="Arial" w:hAnsi="Arial" w:cs="Arial"/>
              </w:rPr>
            </w:pPr>
            <w:r w:rsidRPr="00DF5115">
              <w:rPr>
                <w:rFonts w:ascii="Arial" w:hAnsi="Arial" w:cs="Arial"/>
                <w:color w:val="000000"/>
              </w:rPr>
              <w:t>1.505.122</w:t>
            </w:r>
          </w:p>
        </w:tc>
      </w:tr>
      <w:tr w:rsidR="00DF5115" w:rsidRPr="00DF5115" w14:paraId="55724F23" w14:textId="77777777" w:rsidTr="007A05C6">
        <w:tc>
          <w:tcPr>
            <w:tcW w:w="9848" w:type="dxa"/>
            <w:gridSpan w:val="7"/>
            <w:tcBorders>
              <w:top w:val="nil"/>
              <w:left w:val="nil"/>
              <w:bottom w:val="nil"/>
              <w:right w:val="nil"/>
            </w:tcBorders>
          </w:tcPr>
          <w:p w14:paraId="283A08DA" w14:textId="44B5F3F5" w:rsidR="00DF5115" w:rsidRPr="004E17FD" w:rsidRDefault="00DF5115" w:rsidP="00DF5115">
            <w:pPr>
              <w:rPr>
                <w:rFonts w:ascii="Arial" w:eastAsia="Arial" w:hAnsi="Arial" w:cs="Arial"/>
                <w:b/>
                <w:bCs/>
              </w:rPr>
            </w:pPr>
            <w:r w:rsidRPr="004E17FD">
              <w:rPr>
                <w:b/>
                <w:bCs/>
              </w:rPr>
              <w:t>Confirmed</w:t>
            </w:r>
          </w:p>
        </w:tc>
      </w:tr>
      <w:tr w:rsidR="00DF5115" w:rsidRPr="00DF5115" w14:paraId="3D57C5D4" w14:textId="77777777" w:rsidTr="00DF5115">
        <w:tc>
          <w:tcPr>
            <w:tcW w:w="2661" w:type="dxa"/>
            <w:tcBorders>
              <w:top w:val="nil"/>
              <w:left w:val="nil"/>
              <w:bottom w:val="nil"/>
              <w:right w:val="nil"/>
            </w:tcBorders>
          </w:tcPr>
          <w:p w14:paraId="1D52D78B" w14:textId="6CA60191" w:rsidR="00DF5115" w:rsidRPr="00DF5115" w:rsidRDefault="00DF5115" w:rsidP="00DF5115">
            <w:pPr>
              <w:rPr>
                <w:rFonts w:ascii="Arial" w:eastAsia="Arial" w:hAnsi="Arial" w:cs="Arial"/>
              </w:rPr>
            </w:pPr>
            <w:r w:rsidRPr="0031661B">
              <w:t>- Unknown</w:t>
            </w:r>
          </w:p>
        </w:tc>
        <w:tc>
          <w:tcPr>
            <w:tcW w:w="1091" w:type="dxa"/>
            <w:tcBorders>
              <w:top w:val="nil"/>
              <w:left w:val="nil"/>
              <w:bottom w:val="nil"/>
              <w:right w:val="nil"/>
            </w:tcBorders>
          </w:tcPr>
          <w:p w14:paraId="0E23C392" w14:textId="77777777" w:rsidR="00DF5115" w:rsidRPr="00DF5115" w:rsidRDefault="00DF5115" w:rsidP="00DF5115">
            <w:pPr>
              <w:jc w:val="center"/>
              <w:rPr>
                <w:rFonts w:ascii="Arial" w:eastAsia="Arial" w:hAnsi="Arial" w:cs="Arial"/>
              </w:rPr>
            </w:pPr>
            <w:r w:rsidRPr="00DF5115">
              <w:rPr>
                <w:rFonts w:ascii="Arial" w:hAnsi="Arial" w:cs="Arial"/>
                <w:color w:val="000000"/>
              </w:rPr>
              <w:t>4.535</w:t>
            </w:r>
          </w:p>
        </w:tc>
        <w:tc>
          <w:tcPr>
            <w:tcW w:w="1257" w:type="dxa"/>
            <w:tcBorders>
              <w:top w:val="nil"/>
              <w:left w:val="nil"/>
              <w:bottom w:val="nil"/>
              <w:right w:val="nil"/>
            </w:tcBorders>
          </w:tcPr>
          <w:p w14:paraId="0D1263E0" w14:textId="77777777" w:rsidR="00DF5115" w:rsidRPr="00DF5115" w:rsidRDefault="00DF5115" w:rsidP="00DF5115">
            <w:pPr>
              <w:jc w:val="center"/>
              <w:rPr>
                <w:rFonts w:ascii="Arial" w:eastAsia="Arial" w:hAnsi="Arial" w:cs="Arial"/>
              </w:rPr>
            </w:pPr>
            <w:r w:rsidRPr="00DF5115">
              <w:rPr>
                <w:rFonts w:ascii="Arial" w:hAnsi="Arial" w:cs="Arial"/>
                <w:color w:val="000000"/>
              </w:rPr>
              <w:t>54.872</w:t>
            </w:r>
          </w:p>
        </w:tc>
        <w:tc>
          <w:tcPr>
            <w:tcW w:w="1297" w:type="dxa"/>
            <w:tcBorders>
              <w:top w:val="nil"/>
              <w:left w:val="nil"/>
              <w:bottom w:val="nil"/>
              <w:right w:val="nil"/>
            </w:tcBorders>
          </w:tcPr>
          <w:p w14:paraId="158E45D2" w14:textId="77777777" w:rsidR="00DF5115" w:rsidRPr="00DF5115" w:rsidRDefault="00DF5115" w:rsidP="00DF5115">
            <w:pPr>
              <w:jc w:val="center"/>
              <w:rPr>
                <w:rFonts w:ascii="Arial" w:eastAsia="Arial" w:hAnsi="Arial" w:cs="Arial"/>
              </w:rPr>
            </w:pPr>
            <w:r w:rsidRPr="00DF5115">
              <w:rPr>
                <w:rFonts w:ascii="Arial" w:hAnsi="Arial" w:cs="Arial"/>
                <w:color w:val="000000"/>
              </w:rPr>
              <w:t>107.766</w:t>
            </w:r>
          </w:p>
        </w:tc>
        <w:tc>
          <w:tcPr>
            <w:tcW w:w="1129" w:type="dxa"/>
            <w:tcBorders>
              <w:top w:val="nil"/>
              <w:left w:val="nil"/>
              <w:bottom w:val="nil"/>
              <w:right w:val="nil"/>
            </w:tcBorders>
          </w:tcPr>
          <w:p w14:paraId="0E193AAC" w14:textId="77777777" w:rsidR="00DF5115" w:rsidRPr="00DF5115" w:rsidRDefault="00DF5115" w:rsidP="00DF5115">
            <w:pPr>
              <w:jc w:val="center"/>
              <w:rPr>
                <w:rFonts w:ascii="Arial" w:eastAsia="Arial" w:hAnsi="Arial" w:cs="Arial"/>
              </w:rPr>
            </w:pPr>
            <w:r w:rsidRPr="00DF5115">
              <w:rPr>
                <w:rFonts w:ascii="Arial" w:hAnsi="Arial" w:cs="Arial"/>
                <w:color w:val="000000"/>
              </w:rPr>
              <w:t>32.059</w:t>
            </w:r>
          </w:p>
        </w:tc>
        <w:tc>
          <w:tcPr>
            <w:tcW w:w="1129" w:type="dxa"/>
            <w:tcBorders>
              <w:top w:val="nil"/>
              <w:left w:val="nil"/>
              <w:bottom w:val="nil"/>
              <w:right w:val="nil"/>
            </w:tcBorders>
          </w:tcPr>
          <w:p w14:paraId="78EC807E" w14:textId="77777777" w:rsidR="00DF5115" w:rsidRPr="00DF5115" w:rsidRDefault="00DF5115" w:rsidP="00DF5115">
            <w:pPr>
              <w:jc w:val="center"/>
              <w:rPr>
                <w:rFonts w:ascii="Arial" w:eastAsia="Arial" w:hAnsi="Arial" w:cs="Arial"/>
              </w:rPr>
            </w:pPr>
            <w:r w:rsidRPr="00DF5115">
              <w:rPr>
                <w:rFonts w:ascii="Arial" w:hAnsi="Arial" w:cs="Arial"/>
                <w:color w:val="000000"/>
              </w:rPr>
              <w:t>35.465</w:t>
            </w:r>
          </w:p>
        </w:tc>
        <w:tc>
          <w:tcPr>
            <w:tcW w:w="1284" w:type="dxa"/>
            <w:tcBorders>
              <w:top w:val="nil"/>
              <w:left w:val="nil"/>
              <w:bottom w:val="nil"/>
              <w:right w:val="nil"/>
            </w:tcBorders>
          </w:tcPr>
          <w:p w14:paraId="240A61D4" w14:textId="77777777" w:rsidR="00DF5115" w:rsidRPr="00DF5115" w:rsidRDefault="00DF5115" w:rsidP="00DF5115">
            <w:pPr>
              <w:jc w:val="center"/>
              <w:rPr>
                <w:rFonts w:ascii="Arial" w:eastAsia="Arial" w:hAnsi="Arial" w:cs="Arial"/>
              </w:rPr>
            </w:pPr>
            <w:r w:rsidRPr="00DF5115">
              <w:rPr>
                <w:rFonts w:ascii="Arial" w:hAnsi="Arial" w:cs="Arial"/>
                <w:color w:val="000000"/>
              </w:rPr>
              <w:t>234.697</w:t>
            </w:r>
          </w:p>
        </w:tc>
      </w:tr>
      <w:tr w:rsidR="00DF5115" w:rsidRPr="00DF5115" w14:paraId="65A62B93" w14:textId="77777777" w:rsidTr="00DF5115">
        <w:tc>
          <w:tcPr>
            <w:tcW w:w="2661" w:type="dxa"/>
            <w:tcBorders>
              <w:top w:val="nil"/>
              <w:left w:val="nil"/>
              <w:bottom w:val="nil"/>
              <w:right w:val="nil"/>
            </w:tcBorders>
          </w:tcPr>
          <w:p w14:paraId="6B4D1840" w14:textId="3AB561E6" w:rsidR="00DF5115" w:rsidRPr="00DF5115" w:rsidRDefault="00DF5115" w:rsidP="00DF5115">
            <w:pPr>
              <w:rPr>
                <w:rFonts w:ascii="Arial" w:eastAsia="Arial" w:hAnsi="Arial" w:cs="Arial"/>
              </w:rPr>
            </w:pPr>
            <w:r w:rsidRPr="0031661B">
              <w:t>- Laboratory</w:t>
            </w:r>
          </w:p>
        </w:tc>
        <w:tc>
          <w:tcPr>
            <w:tcW w:w="1091" w:type="dxa"/>
            <w:tcBorders>
              <w:top w:val="nil"/>
              <w:left w:val="nil"/>
              <w:bottom w:val="nil"/>
              <w:right w:val="nil"/>
            </w:tcBorders>
          </w:tcPr>
          <w:p w14:paraId="07A83EF9" w14:textId="77777777" w:rsidR="00DF5115" w:rsidRPr="00DF5115" w:rsidRDefault="00DF5115" w:rsidP="00DF5115">
            <w:pPr>
              <w:jc w:val="center"/>
              <w:rPr>
                <w:rFonts w:ascii="Arial" w:eastAsia="Arial" w:hAnsi="Arial" w:cs="Arial"/>
              </w:rPr>
            </w:pPr>
            <w:r w:rsidRPr="00DF5115">
              <w:rPr>
                <w:rFonts w:ascii="Arial" w:hAnsi="Arial" w:cs="Arial"/>
                <w:color w:val="000000"/>
              </w:rPr>
              <w:t>22.170</w:t>
            </w:r>
          </w:p>
        </w:tc>
        <w:tc>
          <w:tcPr>
            <w:tcW w:w="1257" w:type="dxa"/>
            <w:tcBorders>
              <w:top w:val="nil"/>
              <w:left w:val="nil"/>
              <w:bottom w:val="nil"/>
              <w:right w:val="nil"/>
            </w:tcBorders>
          </w:tcPr>
          <w:p w14:paraId="5C848356" w14:textId="77777777" w:rsidR="00DF5115" w:rsidRPr="00DF5115" w:rsidRDefault="00DF5115" w:rsidP="00DF5115">
            <w:pPr>
              <w:jc w:val="center"/>
              <w:rPr>
                <w:rFonts w:ascii="Arial" w:eastAsia="Arial" w:hAnsi="Arial" w:cs="Arial"/>
              </w:rPr>
            </w:pPr>
            <w:r w:rsidRPr="00DF5115">
              <w:rPr>
                <w:rFonts w:ascii="Arial" w:hAnsi="Arial" w:cs="Arial"/>
                <w:color w:val="000000"/>
              </w:rPr>
              <w:t>48.010</w:t>
            </w:r>
          </w:p>
        </w:tc>
        <w:tc>
          <w:tcPr>
            <w:tcW w:w="1297" w:type="dxa"/>
            <w:tcBorders>
              <w:top w:val="nil"/>
              <w:left w:val="nil"/>
              <w:bottom w:val="nil"/>
              <w:right w:val="nil"/>
            </w:tcBorders>
          </w:tcPr>
          <w:p w14:paraId="62AF72E0" w14:textId="77777777" w:rsidR="00DF5115" w:rsidRPr="00DF5115" w:rsidRDefault="00DF5115" w:rsidP="00DF5115">
            <w:pPr>
              <w:jc w:val="center"/>
              <w:rPr>
                <w:rFonts w:ascii="Arial" w:eastAsia="Arial" w:hAnsi="Arial" w:cs="Arial"/>
              </w:rPr>
            </w:pPr>
            <w:r w:rsidRPr="00DF5115">
              <w:rPr>
                <w:rFonts w:ascii="Arial" w:hAnsi="Arial" w:cs="Arial"/>
                <w:color w:val="000000"/>
              </w:rPr>
              <w:t>436.553</w:t>
            </w:r>
          </w:p>
        </w:tc>
        <w:tc>
          <w:tcPr>
            <w:tcW w:w="1129" w:type="dxa"/>
            <w:tcBorders>
              <w:top w:val="nil"/>
              <w:left w:val="nil"/>
              <w:bottom w:val="nil"/>
              <w:right w:val="nil"/>
            </w:tcBorders>
          </w:tcPr>
          <w:p w14:paraId="7FD6E625" w14:textId="77777777" w:rsidR="00DF5115" w:rsidRPr="00DF5115" w:rsidRDefault="00DF5115" w:rsidP="00DF5115">
            <w:pPr>
              <w:jc w:val="center"/>
              <w:rPr>
                <w:rFonts w:ascii="Arial" w:eastAsia="Arial" w:hAnsi="Arial" w:cs="Arial"/>
              </w:rPr>
            </w:pPr>
            <w:r w:rsidRPr="00DF5115">
              <w:rPr>
                <w:rFonts w:ascii="Arial" w:hAnsi="Arial" w:cs="Arial"/>
                <w:color w:val="000000"/>
              </w:rPr>
              <w:t>142.981</w:t>
            </w:r>
          </w:p>
        </w:tc>
        <w:tc>
          <w:tcPr>
            <w:tcW w:w="1129" w:type="dxa"/>
            <w:tcBorders>
              <w:top w:val="nil"/>
              <w:left w:val="nil"/>
              <w:bottom w:val="nil"/>
              <w:right w:val="nil"/>
            </w:tcBorders>
          </w:tcPr>
          <w:p w14:paraId="7248136C" w14:textId="77777777" w:rsidR="00DF5115" w:rsidRPr="00DF5115" w:rsidRDefault="00DF5115" w:rsidP="00DF5115">
            <w:pPr>
              <w:jc w:val="center"/>
              <w:rPr>
                <w:rFonts w:ascii="Arial" w:eastAsia="Arial" w:hAnsi="Arial" w:cs="Arial"/>
              </w:rPr>
            </w:pPr>
            <w:r w:rsidRPr="00DF5115">
              <w:rPr>
                <w:rFonts w:ascii="Arial" w:hAnsi="Arial" w:cs="Arial"/>
                <w:color w:val="000000"/>
              </w:rPr>
              <w:t>113.216</w:t>
            </w:r>
          </w:p>
        </w:tc>
        <w:tc>
          <w:tcPr>
            <w:tcW w:w="1284" w:type="dxa"/>
            <w:tcBorders>
              <w:top w:val="nil"/>
              <w:left w:val="nil"/>
              <w:bottom w:val="nil"/>
              <w:right w:val="nil"/>
            </w:tcBorders>
          </w:tcPr>
          <w:p w14:paraId="521E0B59" w14:textId="77777777" w:rsidR="00DF5115" w:rsidRPr="00DF5115" w:rsidRDefault="00DF5115" w:rsidP="00DF5115">
            <w:pPr>
              <w:jc w:val="center"/>
              <w:rPr>
                <w:rFonts w:ascii="Arial" w:eastAsia="Arial" w:hAnsi="Arial" w:cs="Arial"/>
              </w:rPr>
            </w:pPr>
            <w:r w:rsidRPr="00DF5115">
              <w:rPr>
                <w:rFonts w:ascii="Arial" w:hAnsi="Arial" w:cs="Arial"/>
                <w:color w:val="000000"/>
              </w:rPr>
              <w:t>762.930</w:t>
            </w:r>
          </w:p>
        </w:tc>
      </w:tr>
      <w:tr w:rsidR="00DF5115" w:rsidRPr="00DF5115" w14:paraId="3F88C901" w14:textId="77777777" w:rsidTr="00DF5115">
        <w:tc>
          <w:tcPr>
            <w:tcW w:w="2661" w:type="dxa"/>
            <w:tcBorders>
              <w:top w:val="nil"/>
              <w:left w:val="nil"/>
              <w:bottom w:val="nil"/>
              <w:right w:val="nil"/>
            </w:tcBorders>
          </w:tcPr>
          <w:p w14:paraId="32E282DD" w14:textId="617828F0" w:rsidR="00DF5115" w:rsidRPr="00DF5115" w:rsidRDefault="00DF5115" w:rsidP="00DF5115">
            <w:pPr>
              <w:rPr>
                <w:rFonts w:ascii="Arial" w:eastAsia="Arial" w:hAnsi="Arial" w:cs="Arial"/>
              </w:rPr>
            </w:pPr>
            <w:r w:rsidRPr="0031661B">
              <w:t>- Clinical epidemiology</w:t>
            </w:r>
          </w:p>
        </w:tc>
        <w:tc>
          <w:tcPr>
            <w:tcW w:w="1091" w:type="dxa"/>
            <w:tcBorders>
              <w:top w:val="nil"/>
              <w:left w:val="nil"/>
              <w:bottom w:val="nil"/>
              <w:right w:val="nil"/>
            </w:tcBorders>
          </w:tcPr>
          <w:p w14:paraId="36C337AB" w14:textId="77777777" w:rsidR="00DF5115" w:rsidRPr="00D16A75" w:rsidRDefault="00DF5115" w:rsidP="00DF5115">
            <w:pPr>
              <w:jc w:val="center"/>
              <w:rPr>
                <w:rFonts w:ascii="Arial" w:eastAsia="Arial" w:hAnsi="Arial" w:cs="Arial"/>
                <w:u w:val="single"/>
              </w:rPr>
            </w:pPr>
            <w:r w:rsidRPr="00D16A75">
              <w:rPr>
                <w:rFonts w:ascii="Arial" w:hAnsi="Arial" w:cs="Arial"/>
                <w:color w:val="000000"/>
                <w:u w:val="single"/>
              </w:rPr>
              <w:t>17.387</w:t>
            </w:r>
          </w:p>
        </w:tc>
        <w:tc>
          <w:tcPr>
            <w:tcW w:w="1257" w:type="dxa"/>
            <w:tcBorders>
              <w:top w:val="nil"/>
              <w:left w:val="nil"/>
              <w:bottom w:val="nil"/>
              <w:right w:val="nil"/>
            </w:tcBorders>
          </w:tcPr>
          <w:p w14:paraId="7A3B7DB9" w14:textId="77777777" w:rsidR="00DF5115" w:rsidRPr="00D16A75" w:rsidRDefault="00DF5115" w:rsidP="00DF5115">
            <w:pPr>
              <w:jc w:val="center"/>
              <w:rPr>
                <w:rFonts w:ascii="Arial" w:eastAsia="Arial" w:hAnsi="Arial" w:cs="Arial"/>
                <w:u w:val="single"/>
              </w:rPr>
            </w:pPr>
            <w:r w:rsidRPr="00D16A75">
              <w:rPr>
                <w:rFonts w:ascii="Arial" w:hAnsi="Arial" w:cs="Arial"/>
                <w:color w:val="000000"/>
                <w:u w:val="single"/>
              </w:rPr>
              <w:t>112.984</w:t>
            </w:r>
          </w:p>
        </w:tc>
        <w:tc>
          <w:tcPr>
            <w:tcW w:w="1297" w:type="dxa"/>
            <w:tcBorders>
              <w:top w:val="nil"/>
              <w:left w:val="nil"/>
              <w:bottom w:val="nil"/>
              <w:right w:val="nil"/>
            </w:tcBorders>
          </w:tcPr>
          <w:p w14:paraId="575323E8" w14:textId="77777777" w:rsidR="00DF5115" w:rsidRPr="00D16A75" w:rsidRDefault="00DF5115" w:rsidP="00DF5115">
            <w:pPr>
              <w:jc w:val="center"/>
              <w:rPr>
                <w:rFonts w:ascii="Arial" w:eastAsia="Arial" w:hAnsi="Arial" w:cs="Arial"/>
                <w:u w:val="single"/>
              </w:rPr>
            </w:pPr>
            <w:r w:rsidRPr="00D16A75">
              <w:rPr>
                <w:rFonts w:ascii="Arial" w:hAnsi="Arial" w:cs="Arial"/>
                <w:color w:val="000000"/>
                <w:u w:val="single"/>
              </w:rPr>
              <w:t>693.093</w:t>
            </w:r>
          </w:p>
        </w:tc>
        <w:tc>
          <w:tcPr>
            <w:tcW w:w="1129" w:type="dxa"/>
            <w:tcBorders>
              <w:top w:val="nil"/>
              <w:left w:val="nil"/>
              <w:bottom w:val="nil"/>
              <w:right w:val="nil"/>
            </w:tcBorders>
          </w:tcPr>
          <w:p w14:paraId="2B95654E" w14:textId="77777777" w:rsidR="00DF5115" w:rsidRPr="00D16A75" w:rsidRDefault="00DF5115" w:rsidP="00DF5115">
            <w:pPr>
              <w:jc w:val="center"/>
              <w:rPr>
                <w:rFonts w:ascii="Arial" w:eastAsia="Arial" w:hAnsi="Arial" w:cs="Arial"/>
                <w:u w:val="single"/>
              </w:rPr>
            </w:pPr>
            <w:r w:rsidRPr="00D16A75">
              <w:rPr>
                <w:rFonts w:ascii="Arial" w:hAnsi="Arial" w:cs="Arial"/>
                <w:color w:val="000000"/>
                <w:u w:val="single"/>
              </w:rPr>
              <w:t>244.349</w:t>
            </w:r>
          </w:p>
        </w:tc>
        <w:tc>
          <w:tcPr>
            <w:tcW w:w="1129" w:type="dxa"/>
            <w:tcBorders>
              <w:top w:val="nil"/>
              <w:left w:val="nil"/>
              <w:bottom w:val="nil"/>
              <w:right w:val="nil"/>
            </w:tcBorders>
          </w:tcPr>
          <w:p w14:paraId="1D5C3C00" w14:textId="77777777" w:rsidR="00DF5115" w:rsidRPr="00D16A75" w:rsidRDefault="00DF5115" w:rsidP="00DF5115">
            <w:pPr>
              <w:jc w:val="center"/>
              <w:rPr>
                <w:rFonts w:ascii="Arial" w:eastAsia="Arial" w:hAnsi="Arial" w:cs="Arial"/>
                <w:u w:val="single"/>
              </w:rPr>
            </w:pPr>
            <w:r w:rsidRPr="00D16A75">
              <w:rPr>
                <w:rFonts w:ascii="Arial" w:hAnsi="Arial" w:cs="Arial"/>
                <w:color w:val="000000"/>
                <w:u w:val="single"/>
              </w:rPr>
              <w:t>161.692</w:t>
            </w:r>
          </w:p>
        </w:tc>
        <w:tc>
          <w:tcPr>
            <w:tcW w:w="1284" w:type="dxa"/>
            <w:tcBorders>
              <w:top w:val="nil"/>
              <w:left w:val="nil"/>
              <w:bottom w:val="nil"/>
              <w:right w:val="nil"/>
            </w:tcBorders>
          </w:tcPr>
          <w:p w14:paraId="76769D98" w14:textId="77777777" w:rsidR="00DF5115" w:rsidRPr="00D16A75" w:rsidRDefault="00DF5115" w:rsidP="00DF5115">
            <w:pPr>
              <w:jc w:val="center"/>
              <w:rPr>
                <w:rFonts w:ascii="Arial" w:eastAsia="Arial" w:hAnsi="Arial" w:cs="Arial"/>
                <w:u w:val="single"/>
              </w:rPr>
            </w:pPr>
            <w:r w:rsidRPr="00D16A75">
              <w:rPr>
                <w:rFonts w:ascii="Arial" w:hAnsi="Arial" w:cs="Arial"/>
                <w:color w:val="000000"/>
                <w:u w:val="single"/>
              </w:rPr>
              <w:t>1.229.505</w:t>
            </w:r>
          </w:p>
        </w:tc>
      </w:tr>
      <w:tr w:rsidR="00DF5115" w:rsidRPr="00DF5115" w14:paraId="015CA02E" w14:textId="77777777" w:rsidTr="00DF5115">
        <w:tc>
          <w:tcPr>
            <w:tcW w:w="2661" w:type="dxa"/>
            <w:tcBorders>
              <w:top w:val="nil"/>
              <w:left w:val="nil"/>
              <w:bottom w:val="nil"/>
              <w:right w:val="nil"/>
            </w:tcBorders>
          </w:tcPr>
          <w:p w14:paraId="7D93FDB5" w14:textId="54525DCD" w:rsidR="00DF5115" w:rsidRPr="00DF5115" w:rsidRDefault="00DF5115" w:rsidP="00DF5115">
            <w:pPr>
              <w:rPr>
                <w:rFonts w:ascii="Arial" w:eastAsia="Arial" w:hAnsi="Arial" w:cs="Arial"/>
              </w:rPr>
            </w:pPr>
            <w:r w:rsidRPr="0031661B">
              <w:t>- Under investigation</w:t>
            </w:r>
          </w:p>
        </w:tc>
        <w:tc>
          <w:tcPr>
            <w:tcW w:w="1091" w:type="dxa"/>
            <w:tcBorders>
              <w:top w:val="nil"/>
              <w:left w:val="nil"/>
              <w:bottom w:val="nil"/>
              <w:right w:val="nil"/>
            </w:tcBorders>
          </w:tcPr>
          <w:p w14:paraId="3178FA7F" w14:textId="77777777" w:rsidR="00DF5115" w:rsidRPr="00DF5115" w:rsidRDefault="00DF5115" w:rsidP="00DF5115">
            <w:pPr>
              <w:jc w:val="center"/>
              <w:rPr>
                <w:rFonts w:ascii="Arial" w:eastAsia="Arial" w:hAnsi="Arial" w:cs="Arial"/>
              </w:rPr>
            </w:pPr>
            <w:r w:rsidRPr="00DF5115">
              <w:rPr>
                <w:rFonts w:ascii="Arial" w:hAnsi="Arial" w:cs="Arial"/>
                <w:color w:val="000000"/>
              </w:rPr>
              <w:t>286</w:t>
            </w:r>
          </w:p>
        </w:tc>
        <w:tc>
          <w:tcPr>
            <w:tcW w:w="1257" w:type="dxa"/>
            <w:tcBorders>
              <w:top w:val="nil"/>
              <w:left w:val="nil"/>
              <w:bottom w:val="nil"/>
              <w:right w:val="nil"/>
            </w:tcBorders>
          </w:tcPr>
          <w:p w14:paraId="092EA9CA" w14:textId="77777777" w:rsidR="00DF5115" w:rsidRPr="00DF5115" w:rsidRDefault="00DF5115" w:rsidP="00DF5115">
            <w:pPr>
              <w:jc w:val="center"/>
              <w:rPr>
                <w:rFonts w:ascii="Arial" w:eastAsia="Arial" w:hAnsi="Arial" w:cs="Arial"/>
              </w:rPr>
            </w:pPr>
            <w:r w:rsidRPr="00DF5115">
              <w:rPr>
                <w:rFonts w:ascii="Arial" w:hAnsi="Arial" w:cs="Arial"/>
                <w:color w:val="000000"/>
              </w:rPr>
              <w:t>6.500</w:t>
            </w:r>
          </w:p>
        </w:tc>
        <w:tc>
          <w:tcPr>
            <w:tcW w:w="1297" w:type="dxa"/>
            <w:tcBorders>
              <w:top w:val="nil"/>
              <w:left w:val="nil"/>
              <w:bottom w:val="nil"/>
              <w:right w:val="nil"/>
            </w:tcBorders>
          </w:tcPr>
          <w:p w14:paraId="5E346114" w14:textId="77777777" w:rsidR="00DF5115" w:rsidRPr="00DF5115" w:rsidRDefault="00DF5115" w:rsidP="00DF5115">
            <w:pPr>
              <w:jc w:val="center"/>
              <w:rPr>
                <w:rFonts w:ascii="Arial" w:eastAsia="Arial" w:hAnsi="Arial" w:cs="Arial"/>
              </w:rPr>
            </w:pPr>
            <w:r w:rsidRPr="00DF5115">
              <w:rPr>
                <w:rFonts w:ascii="Arial" w:hAnsi="Arial" w:cs="Arial"/>
                <w:color w:val="000000"/>
              </w:rPr>
              <w:t>12.963</w:t>
            </w:r>
          </w:p>
        </w:tc>
        <w:tc>
          <w:tcPr>
            <w:tcW w:w="1129" w:type="dxa"/>
            <w:tcBorders>
              <w:top w:val="nil"/>
              <w:left w:val="nil"/>
              <w:bottom w:val="nil"/>
              <w:right w:val="nil"/>
            </w:tcBorders>
          </w:tcPr>
          <w:p w14:paraId="1A7D2D09" w14:textId="77777777" w:rsidR="00DF5115" w:rsidRPr="00DF5115" w:rsidRDefault="00DF5115" w:rsidP="00DF5115">
            <w:pPr>
              <w:jc w:val="center"/>
              <w:rPr>
                <w:rFonts w:ascii="Arial" w:eastAsia="Arial" w:hAnsi="Arial" w:cs="Arial"/>
              </w:rPr>
            </w:pPr>
            <w:r w:rsidRPr="00DF5115">
              <w:rPr>
                <w:rFonts w:ascii="Arial" w:hAnsi="Arial" w:cs="Arial"/>
                <w:color w:val="000000"/>
              </w:rPr>
              <w:t>2.382</w:t>
            </w:r>
          </w:p>
        </w:tc>
        <w:tc>
          <w:tcPr>
            <w:tcW w:w="1129" w:type="dxa"/>
            <w:tcBorders>
              <w:top w:val="nil"/>
              <w:left w:val="nil"/>
              <w:bottom w:val="nil"/>
              <w:right w:val="nil"/>
            </w:tcBorders>
          </w:tcPr>
          <w:p w14:paraId="4F3573E8" w14:textId="77777777" w:rsidR="00DF5115" w:rsidRPr="00DF5115" w:rsidRDefault="00DF5115" w:rsidP="00DF5115">
            <w:pPr>
              <w:jc w:val="center"/>
              <w:rPr>
                <w:rFonts w:ascii="Arial" w:eastAsia="Arial" w:hAnsi="Arial" w:cs="Arial"/>
              </w:rPr>
            </w:pPr>
            <w:r w:rsidRPr="00DF5115">
              <w:rPr>
                <w:rFonts w:ascii="Arial" w:hAnsi="Arial" w:cs="Arial"/>
                <w:color w:val="000000"/>
              </w:rPr>
              <w:t>3.763</w:t>
            </w:r>
          </w:p>
        </w:tc>
        <w:tc>
          <w:tcPr>
            <w:tcW w:w="1284" w:type="dxa"/>
            <w:tcBorders>
              <w:top w:val="nil"/>
              <w:left w:val="nil"/>
              <w:bottom w:val="nil"/>
              <w:right w:val="nil"/>
            </w:tcBorders>
          </w:tcPr>
          <w:p w14:paraId="50AC699E" w14:textId="77777777" w:rsidR="00DF5115" w:rsidRPr="00DF5115" w:rsidRDefault="00DF5115" w:rsidP="00DF5115">
            <w:pPr>
              <w:jc w:val="center"/>
              <w:rPr>
                <w:rFonts w:ascii="Arial" w:eastAsia="Arial" w:hAnsi="Arial" w:cs="Arial"/>
              </w:rPr>
            </w:pPr>
            <w:r w:rsidRPr="00DF5115">
              <w:rPr>
                <w:rFonts w:ascii="Arial" w:hAnsi="Arial" w:cs="Arial"/>
                <w:color w:val="000000"/>
              </w:rPr>
              <w:t>25.894</w:t>
            </w:r>
          </w:p>
        </w:tc>
      </w:tr>
      <w:tr w:rsidR="00DF5115" w:rsidRPr="00DF5115" w14:paraId="2AFB3960" w14:textId="77777777" w:rsidTr="007A05C6">
        <w:tc>
          <w:tcPr>
            <w:tcW w:w="9848" w:type="dxa"/>
            <w:gridSpan w:val="7"/>
            <w:tcBorders>
              <w:top w:val="nil"/>
              <w:left w:val="nil"/>
              <w:bottom w:val="nil"/>
              <w:right w:val="nil"/>
            </w:tcBorders>
          </w:tcPr>
          <w:p w14:paraId="5979A6A7" w14:textId="5B81D47A" w:rsidR="00DF5115" w:rsidRPr="004E17FD" w:rsidRDefault="00DF5115" w:rsidP="00DF5115">
            <w:pPr>
              <w:rPr>
                <w:rFonts w:ascii="Arial" w:eastAsia="Arial" w:hAnsi="Arial" w:cs="Arial"/>
                <w:b/>
                <w:bCs/>
              </w:rPr>
            </w:pPr>
            <w:r w:rsidRPr="004E17FD">
              <w:rPr>
                <w:b/>
                <w:bCs/>
              </w:rPr>
              <w:t>Diagnosis</w:t>
            </w:r>
          </w:p>
        </w:tc>
      </w:tr>
      <w:tr w:rsidR="00DF5115" w:rsidRPr="00DF5115" w14:paraId="6A517C75" w14:textId="77777777" w:rsidTr="00DF5115">
        <w:tc>
          <w:tcPr>
            <w:tcW w:w="2661" w:type="dxa"/>
            <w:tcBorders>
              <w:top w:val="nil"/>
              <w:left w:val="nil"/>
              <w:bottom w:val="nil"/>
              <w:right w:val="nil"/>
            </w:tcBorders>
          </w:tcPr>
          <w:p w14:paraId="02D4DB9D" w14:textId="770954B6" w:rsidR="00DF5115" w:rsidRPr="00DF5115" w:rsidRDefault="00DF5115" w:rsidP="00DF5115">
            <w:pPr>
              <w:rPr>
                <w:rFonts w:ascii="Arial" w:eastAsia="Arial" w:hAnsi="Arial" w:cs="Arial"/>
                <w:sz w:val="22"/>
                <w:szCs w:val="22"/>
              </w:rPr>
            </w:pPr>
            <w:r w:rsidRPr="0031661B">
              <w:t>- Unknown</w:t>
            </w:r>
          </w:p>
        </w:tc>
        <w:tc>
          <w:tcPr>
            <w:tcW w:w="1091" w:type="dxa"/>
            <w:tcBorders>
              <w:top w:val="nil"/>
              <w:left w:val="nil"/>
              <w:bottom w:val="nil"/>
              <w:right w:val="nil"/>
            </w:tcBorders>
          </w:tcPr>
          <w:p w14:paraId="3AF9D14E" w14:textId="77777777" w:rsidR="00DF5115" w:rsidRPr="00DF5115" w:rsidRDefault="00DF5115" w:rsidP="00DF5115">
            <w:pPr>
              <w:jc w:val="center"/>
              <w:rPr>
                <w:rFonts w:ascii="Arial" w:eastAsia="Arial" w:hAnsi="Arial" w:cs="Arial"/>
              </w:rPr>
            </w:pPr>
            <w:r w:rsidRPr="00DF5115">
              <w:rPr>
                <w:rFonts w:ascii="Arial" w:hAnsi="Arial" w:cs="Arial"/>
                <w:color w:val="000000"/>
              </w:rPr>
              <w:t>89</w:t>
            </w:r>
          </w:p>
        </w:tc>
        <w:tc>
          <w:tcPr>
            <w:tcW w:w="1257" w:type="dxa"/>
            <w:tcBorders>
              <w:top w:val="nil"/>
              <w:left w:val="nil"/>
              <w:bottom w:val="nil"/>
              <w:right w:val="nil"/>
            </w:tcBorders>
          </w:tcPr>
          <w:p w14:paraId="1CDF6AD1" w14:textId="77777777" w:rsidR="00DF5115" w:rsidRPr="00DF5115" w:rsidRDefault="00DF5115" w:rsidP="00DF5115">
            <w:pPr>
              <w:jc w:val="center"/>
              <w:rPr>
                <w:rFonts w:ascii="Arial" w:eastAsia="Arial" w:hAnsi="Arial" w:cs="Arial"/>
              </w:rPr>
            </w:pPr>
            <w:r w:rsidRPr="00DF5115">
              <w:rPr>
                <w:rFonts w:ascii="Arial" w:hAnsi="Arial" w:cs="Arial"/>
                <w:color w:val="000000"/>
              </w:rPr>
              <w:t>729</w:t>
            </w:r>
          </w:p>
        </w:tc>
        <w:tc>
          <w:tcPr>
            <w:tcW w:w="1297" w:type="dxa"/>
            <w:tcBorders>
              <w:top w:val="nil"/>
              <w:left w:val="nil"/>
              <w:bottom w:val="nil"/>
              <w:right w:val="nil"/>
            </w:tcBorders>
          </w:tcPr>
          <w:p w14:paraId="4211975D" w14:textId="77777777" w:rsidR="00DF5115" w:rsidRPr="00DF5115" w:rsidRDefault="00DF5115" w:rsidP="00DF5115">
            <w:pPr>
              <w:jc w:val="center"/>
              <w:rPr>
                <w:rFonts w:ascii="Arial" w:eastAsia="Arial" w:hAnsi="Arial" w:cs="Arial"/>
              </w:rPr>
            </w:pPr>
            <w:r w:rsidRPr="00DF5115">
              <w:rPr>
                <w:rFonts w:ascii="Arial" w:hAnsi="Arial" w:cs="Arial"/>
                <w:color w:val="000000"/>
              </w:rPr>
              <w:t>1.950</w:t>
            </w:r>
          </w:p>
        </w:tc>
        <w:tc>
          <w:tcPr>
            <w:tcW w:w="1129" w:type="dxa"/>
            <w:tcBorders>
              <w:top w:val="nil"/>
              <w:left w:val="nil"/>
              <w:bottom w:val="nil"/>
              <w:right w:val="nil"/>
            </w:tcBorders>
          </w:tcPr>
          <w:p w14:paraId="37E8908B" w14:textId="77777777" w:rsidR="00DF5115" w:rsidRPr="00DF5115" w:rsidRDefault="00DF5115" w:rsidP="00DF5115">
            <w:pPr>
              <w:jc w:val="center"/>
              <w:rPr>
                <w:rFonts w:ascii="Arial" w:eastAsia="Arial" w:hAnsi="Arial" w:cs="Arial"/>
              </w:rPr>
            </w:pPr>
            <w:r w:rsidRPr="00DF5115">
              <w:rPr>
                <w:rFonts w:ascii="Arial" w:hAnsi="Arial" w:cs="Arial"/>
                <w:color w:val="000000"/>
              </w:rPr>
              <w:t>523</w:t>
            </w:r>
          </w:p>
        </w:tc>
        <w:tc>
          <w:tcPr>
            <w:tcW w:w="1129" w:type="dxa"/>
            <w:tcBorders>
              <w:top w:val="nil"/>
              <w:left w:val="nil"/>
              <w:bottom w:val="nil"/>
              <w:right w:val="nil"/>
            </w:tcBorders>
          </w:tcPr>
          <w:p w14:paraId="6FFE0274" w14:textId="77777777" w:rsidR="00DF5115" w:rsidRPr="00DF5115" w:rsidRDefault="00DF5115" w:rsidP="00DF5115">
            <w:pPr>
              <w:jc w:val="center"/>
              <w:rPr>
                <w:rFonts w:ascii="Arial" w:eastAsia="Arial" w:hAnsi="Arial" w:cs="Arial"/>
              </w:rPr>
            </w:pPr>
            <w:r w:rsidRPr="00DF5115">
              <w:rPr>
                <w:rFonts w:ascii="Arial" w:hAnsi="Arial" w:cs="Arial"/>
                <w:color w:val="000000"/>
              </w:rPr>
              <w:t>355</w:t>
            </w:r>
          </w:p>
        </w:tc>
        <w:tc>
          <w:tcPr>
            <w:tcW w:w="1284" w:type="dxa"/>
            <w:tcBorders>
              <w:top w:val="nil"/>
              <w:left w:val="nil"/>
              <w:bottom w:val="nil"/>
              <w:right w:val="nil"/>
            </w:tcBorders>
          </w:tcPr>
          <w:p w14:paraId="7EB113CC" w14:textId="77777777" w:rsidR="00DF5115" w:rsidRPr="00DF5115" w:rsidRDefault="00DF5115" w:rsidP="00DF5115">
            <w:pPr>
              <w:jc w:val="center"/>
              <w:rPr>
                <w:rFonts w:ascii="Arial" w:eastAsia="Arial" w:hAnsi="Arial" w:cs="Arial"/>
              </w:rPr>
            </w:pPr>
            <w:r w:rsidRPr="00DF5115">
              <w:rPr>
                <w:rFonts w:ascii="Arial" w:hAnsi="Arial" w:cs="Arial"/>
                <w:color w:val="000000"/>
              </w:rPr>
              <w:t>3.646</w:t>
            </w:r>
          </w:p>
        </w:tc>
      </w:tr>
      <w:tr w:rsidR="00DF5115" w:rsidRPr="00DF5115" w14:paraId="30C0F02C" w14:textId="77777777" w:rsidTr="00DF5115">
        <w:tc>
          <w:tcPr>
            <w:tcW w:w="2661" w:type="dxa"/>
            <w:tcBorders>
              <w:top w:val="nil"/>
              <w:left w:val="nil"/>
              <w:bottom w:val="nil"/>
              <w:right w:val="nil"/>
            </w:tcBorders>
          </w:tcPr>
          <w:p w14:paraId="53207E60" w14:textId="79D9ED7F" w:rsidR="00DF5115" w:rsidRPr="00DF5115" w:rsidRDefault="00DF5115" w:rsidP="00DF5115">
            <w:pPr>
              <w:rPr>
                <w:rFonts w:ascii="Arial" w:eastAsia="Arial" w:hAnsi="Arial" w:cs="Arial"/>
                <w:sz w:val="22"/>
                <w:szCs w:val="22"/>
              </w:rPr>
            </w:pPr>
            <w:r w:rsidRPr="0031661B">
              <w:t>- Inconclusive</w:t>
            </w:r>
          </w:p>
        </w:tc>
        <w:tc>
          <w:tcPr>
            <w:tcW w:w="1091" w:type="dxa"/>
            <w:tcBorders>
              <w:top w:val="nil"/>
              <w:left w:val="nil"/>
              <w:bottom w:val="nil"/>
              <w:right w:val="nil"/>
            </w:tcBorders>
          </w:tcPr>
          <w:p w14:paraId="209D1BF8" w14:textId="77777777" w:rsidR="00DF5115" w:rsidRPr="00DF5115" w:rsidRDefault="00DF5115" w:rsidP="00DF5115">
            <w:pPr>
              <w:jc w:val="center"/>
              <w:rPr>
                <w:rFonts w:ascii="Arial" w:eastAsia="Arial" w:hAnsi="Arial" w:cs="Arial"/>
              </w:rPr>
            </w:pPr>
            <w:r w:rsidRPr="00DF5115">
              <w:rPr>
                <w:rFonts w:ascii="Arial" w:hAnsi="Arial" w:cs="Arial"/>
                <w:color w:val="000000"/>
              </w:rPr>
              <w:t>4.685</w:t>
            </w:r>
          </w:p>
        </w:tc>
        <w:tc>
          <w:tcPr>
            <w:tcW w:w="1257" w:type="dxa"/>
            <w:tcBorders>
              <w:top w:val="nil"/>
              <w:left w:val="nil"/>
              <w:bottom w:val="nil"/>
              <w:right w:val="nil"/>
            </w:tcBorders>
          </w:tcPr>
          <w:p w14:paraId="4646AC92" w14:textId="77777777" w:rsidR="00DF5115" w:rsidRPr="00DF5115" w:rsidRDefault="00DF5115" w:rsidP="00DF5115">
            <w:pPr>
              <w:jc w:val="center"/>
              <w:rPr>
                <w:rFonts w:ascii="Arial" w:eastAsia="Arial" w:hAnsi="Arial" w:cs="Arial"/>
              </w:rPr>
            </w:pPr>
            <w:r w:rsidRPr="00DF5115">
              <w:rPr>
                <w:rFonts w:ascii="Arial" w:hAnsi="Arial" w:cs="Arial"/>
                <w:color w:val="000000"/>
              </w:rPr>
              <w:t>57.445</w:t>
            </w:r>
          </w:p>
        </w:tc>
        <w:tc>
          <w:tcPr>
            <w:tcW w:w="1297" w:type="dxa"/>
            <w:tcBorders>
              <w:top w:val="nil"/>
              <w:left w:val="nil"/>
              <w:bottom w:val="nil"/>
              <w:right w:val="nil"/>
            </w:tcBorders>
          </w:tcPr>
          <w:p w14:paraId="20572EB7" w14:textId="77777777" w:rsidR="00DF5115" w:rsidRPr="00DF5115" w:rsidRDefault="00DF5115" w:rsidP="00DF5115">
            <w:pPr>
              <w:jc w:val="center"/>
              <w:rPr>
                <w:rFonts w:ascii="Arial" w:eastAsia="Arial" w:hAnsi="Arial" w:cs="Arial"/>
              </w:rPr>
            </w:pPr>
            <w:r w:rsidRPr="00DF5115">
              <w:rPr>
                <w:rFonts w:ascii="Arial" w:hAnsi="Arial" w:cs="Arial"/>
                <w:color w:val="000000"/>
              </w:rPr>
              <w:t>114.195</w:t>
            </w:r>
          </w:p>
        </w:tc>
        <w:tc>
          <w:tcPr>
            <w:tcW w:w="1129" w:type="dxa"/>
            <w:tcBorders>
              <w:top w:val="nil"/>
              <w:left w:val="nil"/>
              <w:bottom w:val="nil"/>
              <w:right w:val="nil"/>
            </w:tcBorders>
          </w:tcPr>
          <w:p w14:paraId="4BA7D582" w14:textId="77777777" w:rsidR="00DF5115" w:rsidRPr="00DF5115" w:rsidRDefault="00DF5115" w:rsidP="00DF5115">
            <w:pPr>
              <w:jc w:val="center"/>
              <w:rPr>
                <w:rFonts w:ascii="Arial" w:eastAsia="Arial" w:hAnsi="Arial" w:cs="Arial"/>
              </w:rPr>
            </w:pPr>
            <w:r w:rsidRPr="00DF5115">
              <w:rPr>
                <w:rFonts w:ascii="Arial" w:hAnsi="Arial" w:cs="Arial"/>
                <w:color w:val="000000"/>
              </w:rPr>
              <w:t>33.941</w:t>
            </w:r>
          </w:p>
        </w:tc>
        <w:tc>
          <w:tcPr>
            <w:tcW w:w="1129" w:type="dxa"/>
            <w:tcBorders>
              <w:top w:val="nil"/>
              <w:left w:val="nil"/>
              <w:bottom w:val="nil"/>
              <w:right w:val="nil"/>
            </w:tcBorders>
          </w:tcPr>
          <w:p w14:paraId="00B6AA75" w14:textId="77777777" w:rsidR="00DF5115" w:rsidRPr="00DF5115" w:rsidRDefault="00DF5115" w:rsidP="00DF5115">
            <w:pPr>
              <w:jc w:val="center"/>
              <w:rPr>
                <w:rFonts w:ascii="Arial" w:eastAsia="Arial" w:hAnsi="Arial" w:cs="Arial"/>
              </w:rPr>
            </w:pPr>
            <w:r w:rsidRPr="00DF5115">
              <w:rPr>
                <w:rFonts w:ascii="Arial" w:hAnsi="Arial" w:cs="Arial"/>
                <w:color w:val="000000"/>
              </w:rPr>
              <w:t>36.285</w:t>
            </w:r>
          </w:p>
        </w:tc>
        <w:tc>
          <w:tcPr>
            <w:tcW w:w="1284" w:type="dxa"/>
            <w:tcBorders>
              <w:top w:val="nil"/>
              <w:left w:val="nil"/>
              <w:bottom w:val="nil"/>
              <w:right w:val="nil"/>
            </w:tcBorders>
          </w:tcPr>
          <w:p w14:paraId="7AB5EFE4" w14:textId="77777777" w:rsidR="00DF5115" w:rsidRPr="00DF5115" w:rsidRDefault="00DF5115" w:rsidP="00DF5115">
            <w:pPr>
              <w:jc w:val="center"/>
              <w:rPr>
                <w:rFonts w:ascii="Arial" w:eastAsia="Arial" w:hAnsi="Arial" w:cs="Arial"/>
              </w:rPr>
            </w:pPr>
            <w:r w:rsidRPr="00DF5115">
              <w:rPr>
                <w:rFonts w:ascii="Arial" w:hAnsi="Arial" w:cs="Arial"/>
                <w:color w:val="000000"/>
              </w:rPr>
              <w:t>246.551</w:t>
            </w:r>
          </w:p>
        </w:tc>
      </w:tr>
      <w:tr w:rsidR="00DF5115" w:rsidRPr="004E17FD" w14:paraId="53A1C2D4" w14:textId="77777777" w:rsidTr="00DF5115">
        <w:tc>
          <w:tcPr>
            <w:tcW w:w="2661" w:type="dxa"/>
            <w:tcBorders>
              <w:top w:val="nil"/>
              <w:left w:val="nil"/>
              <w:bottom w:val="nil"/>
              <w:right w:val="nil"/>
            </w:tcBorders>
          </w:tcPr>
          <w:p w14:paraId="74CA8E0A" w14:textId="19238263" w:rsidR="00DF5115" w:rsidRPr="00DF5115" w:rsidRDefault="00DF5115" w:rsidP="00DF5115">
            <w:pPr>
              <w:rPr>
                <w:rFonts w:ascii="Arial" w:eastAsia="Arial" w:hAnsi="Arial" w:cs="Arial"/>
                <w:sz w:val="22"/>
                <w:szCs w:val="22"/>
              </w:rPr>
            </w:pPr>
            <w:r w:rsidRPr="0031661B">
              <w:t>- Dengue</w:t>
            </w:r>
          </w:p>
        </w:tc>
        <w:tc>
          <w:tcPr>
            <w:tcW w:w="1091" w:type="dxa"/>
            <w:tcBorders>
              <w:top w:val="nil"/>
              <w:left w:val="nil"/>
              <w:bottom w:val="nil"/>
              <w:right w:val="nil"/>
            </w:tcBorders>
          </w:tcPr>
          <w:p w14:paraId="19B80F78" w14:textId="77777777" w:rsidR="00DF5115" w:rsidRPr="004E17FD" w:rsidRDefault="00DF5115" w:rsidP="00DF5115">
            <w:pPr>
              <w:jc w:val="center"/>
              <w:rPr>
                <w:rFonts w:ascii="Arial" w:eastAsia="Arial" w:hAnsi="Arial" w:cs="Arial"/>
                <w:i/>
                <w:iCs/>
                <w:u w:val="single"/>
              </w:rPr>
            </w:pPr>
            <w:r w:rsidRPr="004E17FD">
              <w:rPr>
                <w:rFonts w:ascii="Arial" w:hAnsi="Arial" w:cs="Arial"/>
                <w:i/>
                <w:iCs/>
                <w:color w:val="000000"/>
                <w:u w:val="single"/>
              </w:rPr>
              <w:t>38.923</w:t>
            </w:r>
          </w:p>
        </w:tc>
        <w:tc>
          <w:tcPr>
            <w:tcW w:w="1257" w:type="dxa"/>
            <w:tcBorders>
              <w:top w:val="nil"/>
              <w:left w:val="nil"/>
              <w:bottom w:val="nil"/>
              <w:right w:val="nil"/>
            </w:tcBorders>
          </w:tcPr>
          <w:p w14:paraId="45362F8E" w14:textId="77777777" w:rsidR="00DF5115" w:rsidRPr="004E17FD" w:rsidRDefault="00DF5115" w:rsidP="00DF5115">
            <w:pPr>
              <w:jc w:val="center"/>
              <w:rPr>
                <w:rFonts w:ascii="Arial" w:eastAsia="Arial" w:hAnsi="Arial" w:cs="Arial"/>
                <w:i/>
                <w:iCs/>
                <w:u w:val="single"/>
              </w:rPr>
            </w:pPr>
            <w:r w:rsidRPr="004E17FD">
              <w:rPr>
                <w:rFonts w:ascii="Arial" w:hAnsi="Arial" w:cs="Arial"/>
                <w:i/>
                <w:iCs/>
                <w:color w:val="000000"/>
                <w:u w:val="single"/>
              </w:rPr>
              <w:t>158.597</w:t>
            </w:r>
          </w:p>
        </w:tc>
        <w:tc>
          <w:tcPr>
            <w:tcW w:w="1297" w:type="dxa"/>
            <w:tcBorders>
              <w:top w:val="nil"/>
              <w:left w:val="nil"/>
              <w:bottom w:val="nil"/>
              <w:right w:val="nil"/>
            </w:tcBorders>
          </w:tcPr>
          <w:p w14:paraId="4ACB46EF" w14:textId="77777777" w:rsidR="00DF5115" w:rsidRPr="004E17FD" w:rsidRDefault="00DF5115" w:rsidP="00DF5115">
            <w:pPr>
              <w:jc w:val="center"/>
              <w:rPr>
                <w:rFonts w:ascii="Arial" w:eastAsia="Arial" w:hAnsi="Arial" w:cs="Arial"/>
                <w:i/>
                <w:iCs/>
                <w:u w:val="single"/>
              </w:rPr>
            </w:pPr>
            <w:r w:rsidRPr="004E17FD">
              <w:rPr>
                <w:rFonts w:ascii="Arial" w:hAnsi="Arial" w:cs="Arial"/>
                <w:i/>
                <w:iCs/>
                <w:color w:val="000000"/>
                <w:u w:val="single"/>
              </w:rPr>
              <w:t>1.121.084</w:t>
            </w:r>
          </w:p>
        </w:tc>
        <w:tc>
          <w:tcPr>
            <w:tcW w:w="1129" w:type="dxa"/>
            <w:tcBorders>
              <w:top w:val="nil"/>
              <w:left w:val="nil"/>
              <w:bottom w:val="nil"/>
              <w:right w:val="nil"/>
            </w:tcBorders>
          </w:tcPr>
          <w:p w14:paraId="736D0B53" w14:textId="77777777" w:rsidR="00DF5115" w:rsidRPr="004E17FD" w:rsidRDefault="00DF5115" w:rsidP="00DF5115">
            <w:pPr>
              <w:jc w:val="center"/>
              <w:rPr>
                <w:rFonts w:ascii="Arial" w:eastAsia="Arial" w:hAnsi="Arial" w:cs="Arial"/>
                <w:i/>
                <w:iCs/>
                <w:u w:val="single"/>
              </w:rPr>
            </w:pPr>
            <w:r w:rsidRPr="004E17FD">
              <w:rPr>
                <w:rFonts w:ascii="Arial" w:hAnsi="Arial" w:cs="Arial"/>
                <w:i/>
                <w:iCs/>
                <w:color w:val="000000"/>
                <w:u w:val="single"/>
              </w:rPr>
              <w:t>380.689</w:t>
            </w:r>
          </w:p>
        </w:tc>
        <w:tc>
          <w:tcPr>
            <w:tcW w:w="1129" w:type="dxa"/>
            <w:tcBorders>
              <w:top w:val="nil"/>
              <w:left w:val="nil"/>
              <w:bottom w:val="nil"/>
              <w:right w:val="nil"/>
            </w:tcBorders>
          </w:tcPr>
          <w:p w14:paraId="39585A73" w14:textId="77777777" w:rsidR="00DF5115" w:rsidRPr="004E17FD" w:rsidRDefault="00DF5115" w:rsidP="00DF5115">
            <w:pPr>
              <w:jc w:val="center"/>
              <w:rPr>
                <w:rFonts w:ascii="Arial" w:eastAsia="Arial" w:hAnsi="Arial" w:cs="Arial"/>
                <w:i/>
                <w:iCs/>
                <w:u w:val="single"/>
              </w:rPr>
            </w:pPr>
            <w:r w:rsidRPr="004E17FD">
              <w:rPr>
                <w:rFonts w:ascii="Arial" w:hAnsi="Arial" w:cs="Arial"/>
                <w:i/>
                <w:iCs/>
                <w:color w:val="000000"/>
                <w:u w:val="single"/>
              </w:rPr>
              <w:t>269.016</w:t>
            </w:r>
          </w:p>
        </w:tc>
        <w:tc>
          <w:tcPr>
            <w:tcW w:w="1284" w:type="dxa"/>
            <w:tcBorders>
              <w:top w:val="nil"/>
              <w:left w:val="nil"/>
              <w:bottom w:val="nil"/>
              <w:right w:val="nil"/>
            </w:tcBorders>
          </w:tcPr>
          <w:p w14:paraId="0D92CBD1" w14:textId="77777777" w:rsidR="00DF5115" w:rsidRPr="004E17FD" w:rsidRDefault="00DF5115" w:rsidP="00DF5115">
            <w:pPr>
              <w:jc w:val="center"/>
              <w:rPr>
                <w:rFonts w:ascii="Arial" w:eastAsia="Arial" w:hAnsi="Arial" w:cs="Arial"/>
                <w:i/>
                <w:iCs/>
                <w:u w:val="single"/>
              </w:rPr>
            </w:pPr>
            <w:r w:rsidRPr="004E17FD">
              <w:rPr>
                <w:rFonts w:ascii="Arial" w:hAnsi="Arial" w:cs="Arial"/>
                <w:i/>
                <w:iCs/>
                <w:color w:val="000000"/>
                <w:u w:val="single"/>
              </w:rPr>
              <w:t>1.968.309</w:t>
            </w:r>
          </w:p>
        </w:tc>
      </w:tr>
      <w:tr w:rsidR="00DF5115" w:rsidRPr="00DF5115" w14:paraId="4C4F2ED1" w14:textId="77777777" w:rsidTr="00DF5115">
        <w:tc>
          <w:tcPr>
            <w:tcW w:w="2661" w:type="dxa"/>
            <w:tcBorders>
              <w:top w:val="nil"/>
              <w:left w:val="nil"/>
              <w:bottom w:val="single" w:sz="12" w:space="0" w:color="auto"/>
              <w:right w:val="nil"/>
            </w:tcBorders>
          </w:tcPr>
          <w:p w14:paraId="7FBC17CD" w14:textId="7FE48E77" w:rsidR="00DF5115" w:rsidRPr="00DF5115" w:rsidRDefault="00DF5115" w:rsidP="00DF5115">
            <w:pPr>
              <w:rPr>
                <w:rFonts w:ascii="Arial" w:eastAsia="Arial" w:hAnsi="Arial" w:cs="Arial"/>
                <w:sz w:val="22"/>
                <w:szCs w:val="22"/>
              </w:rPr>
            </w:pPr>
            <w:r w:rsidRPr="0031661B">
              <w:t>- With warning signs</w:t>
            </w:r>
          </w:p>
        </w:tc>
        <w:tc>
          <w:tcPr>
            <w:tcW w:w="1091" w:type="dxa"/>
            <w:tcBorders>
              <w:top w:val="nil"/>
              <w:left w:val="nil"/>
              <w:bottom w:val="single" w:sz="12" w:space="0" w:color="auto"/>
              <w:right w:val="nil"/>
            </w:tcBorders>
          </w:tcPr>
          <w:p w14:paraId="6DEA1D0A" w14:textId="77777777" w:rsidR="00DF5115" w:rsidRPr="00DF5115" w:rsidRDefault="00DF5115" w:rsidP="00DF5115">
            <w:pPr>
              <w:jc w:val="center"/>
              <w:rPr>
                <w:rFonts w:ascii="Arial" w:eastAsia="Arial" w:hAnsi="Arial" w:cs="Arial"/>
              </w:rPr>
            </w:pPr>
            <w:r w:rsidRPr="00DF5115">
              <w:rPr>
                <w:rFonts w:ascii="Arial" w:hAnsi="Arial" w:cs="Arial"/>
                <w:color w:val="000000"/>
              </w:rPr>
              <w:t>648</w:t>
            </w:r>
          </w:p>
        </w:tc>
        <w:tc>
          <w:tcPr>
            <w:tcW w:w="1257" w:type="dxa"/>
            <w:tcBorders>
              <w:top w:val="nil"/>
              <w:left w:val="nil"/>
              <w:bottom w:val="single" w:sz="12" w:space="0" w:color="auto"/>
              <w:right w:val="nil"/>
            </w:tcBorders>
          </w:tcPr>
          <w:p w14:paraId="4968F55B" w14:textId="77777777" w:rsidR="00DF5115" w:rsidRPr="00DF5115" w:rsidRDefault="00DF5115" w:rsidP="00DF5115">
            <w:pPr>
              <w:jc w:val="center"/>
              <w:rPr>
                <w:rFonts w:ascii="Arial" w:eastAsia="Arial" w:hAnsi="Arial" w:cs="Arial"/>
              </w:rPr>
            </w:pPr>
            <w:r w:rsidRPr="00DF5115">
              <w:rPr>
                <w:rFonts w:ascii="Arial" w:hAnsi="Arial" w:cs="Arial"/>
                <w:color w:val="000000"/>
              </w:rPr>
              <w:t>5.160</w:t>
            </w:r>
          </w:p>
        </w:tc>
        <w:tc>
          <w:tcPr>
            <w:tcW w:w="1297" w:type="dxa"/>
            <w:tcBorders>
              <w:top w:val="nil"/>
              <w:left w:val="nil"/>
              <w:bottom w:val="single" w:sz="12" w:space="0" w:color="auto"/>
              <w:right w:val="nil"/>
            </w:tcBorders>
          </w:tcPr>
          <w:p w14:paraId="5A996D1D" w14:textId="77777777" w:rsidR="00DF5115" w:rsidRPr="00DF5115" w:rsidRDefault="00DF5115" w:rsidP="00DF5115">
            <w:pPr>
              <w:jc w:val="center"/>
              <w:rPr>
                <w:rFonts w:ascii="Arial" w:eastAsia="Arial" w:hAnsi="Arial" w:cs="Arial"/>
              </w:rPr>
            </w:pPr>
            <w:r w:rsidRPr="00DF5115">
              <w:rPr>
                <w:rFonts w:ascii="Arial" w:hAnsi="Arial" w:cs="Arial"/>
                <w:color w:val="000000"/>
              </w:rPr>
              <w:t>12.457</w:t>
            </w:r>
          </w:p>
        </w:tc>
        <w:tc>
          <w:tcPr>
            <w:tcW w:w="1129" w:type="dxa"/>
            <w:tcBorders>
              <w:top w:val="nil"/>
              <w:left w:val="nil"/>
              <w:bottom w:val="single" w:sz="12" w:space="0" w:color="auto"/>
              <w:right w:val="nil"/>
            </w:tcBorders>
          </w:tcPr>
          <w:p w14:paraId="4AFBCF32" w14:textId="77777777" w:rsidR="00DF5115" w:rsidRPr="00DF5115" w:rsidRDefault="00DF5115" w:rsidP="00DF5115">
            <w:pPr>
              <w:jc w:val="center"/>
              <w:rPr>
                <w:rFonts w:ascii="Arial" w:eastAsia="Arial" w:hAnsi="Arial" w:cs="Arial"/>
              </w:rPr>
            </w:pPr>
            <w:r w:rsidRPr="00DF5115">
              <w:rPr>
                <w:rFonts w:ascii="Arial" w:hAnsi="Arial" w:cs="Arial"/>
                <w:color w:val="000000"/>
              </w:rPr>
              <w:t>6.433</w:t>
            </w:r>
          </w:p>
        </w:tc>
        <w:tc>
          <w:tcPr>
            <w:tcW w:w="1129" w:type="dxa"/>
            <w:tcBorders>
              <w:top w:val="nil"/>
              <w:left w:val="nil"/>
              <w:bottom w:val="single" w:sz="12" w:space="0" w:color="auto"/>
              <w:right w:val="nil"/>
            </w:tcBorders>
          </w:tcPr>
          <w:p w14:paraId="39488CF4" w14:textId="77777777" w:rsidR="00DF5115" w:rsidRPr="00DF5115" w:rsidRDefault="00DF5115" w:rsidP="00DF5115">
            <w:pPr>
              <w:jc w:val="center"/>
              <w:rPr>
                <w:rFonts w:ascii="Arial" w:eastAsia="Arial" w:hAnsi="Arial" w:cs="Arial"/>
              </w:rPr>
            </w:pPr>
            <w:r w:rsidRPr="00DF5115">
              <w:rPr>
                <w:rFonts w:ascii="Arial" w:hAnsi="Arial" w:cs="Arial"/>
                <w:color w:val="000000"/>
              </w:rPr>
              <w:t>8.148</w:t>
            </w:r>
          </w:p>
        </w:tc>
        <w:tc>
          <w:tcPr>
            <w:tcW w:w="1284" w:type="dxa"/>
            <w:tcBorders>
              <w:top w:val="nil"/>
              <w:left w:val="nil"/>
              <w:bottom w:val="single" w:sz="12" w:space="0" w:color="auto"/>
              <w:right w:val="nil"/>
            </w:tcBorders>
          </w:tcPr>
          <w:p w14:paraId="2F5433AD" w14:textId="77777777" w:rsidR="00DF5115" w:rsidRPr="00DF5115" w:rsidRDefault="00DF5115" w:rsidP="00DF5115">
            <w:pPr>
              <w:jc w:val="center"/>
              <w:rPr>
                <w:rFonts w:ascii="Arial" w:eastAsia="Arial" w:hAnsi="Arial" w:cs="Arial"/>
              </w:rPr>
            </w:pPr>
            <w:r w:rsidRPr="00DF5115">
              <w:rPr>
                <w:rFonts w:ascii="Arial" w:hAnsi="Arial" w:cs="Arial"/>
                <w:color w:val="000000"/>
              </w:rPr>
              <w:t>32.846</w:t>
            </w:r>
          </w:p>
        </w:tc>
      </w:tr>
    </w:tbl>
    <w:p w14:paraId="4FF50BE7" w14:textId="77777777" w:rsidR="00DF5115" w:rsidRPr="00DF5115" w:rsidRDefault="00DF5115" w:rsidP="00DF5115">
      <w:pPr>
        <w:spacing w:after="0" w:line="360" w:lineRule="auto"/>
        <w:jc w:val="both"/>
        <w:rPr>
          <w:rFonts w:ascii="Arial" w:eastAsia="Arial" w:hAnsi="Arial" w:cs="Arial"/>
        </w:rPr>
      </w:pPr>
      <w:r w:rsidRPr="00DF5115">
        <w:rPr>
          <w:rFonts w:ascii="Arial" w:eastAsia="Arial" w:hAnsi="Arial" w:cs="Arial"/>
          <w:b/>
          <w:bCs/>
        </w:rPr>
        <w:t>Source</w:t>
      </w:r>
      <w:r w:rsidRPr="00DF5115">
        <w:rPr>
          <w:rFonts w:ascii="Arial" w:eastAsia="Arial" w:hAnsi="Arial" w:cs="Arial"/>
        </w:rPr>
        <w:t>: Ministry of Health/SVSA, Brazil - Notifiable Diseases Information System - Sinan Net</w:t>
      </w:r>
    </w:p>
    <w:p w14:paraId="6DEE0B67" w14:textId="77777777" w:rsidR="009111E8" w:rsidRDefault="009111E8" w:rsidP="00AF3D1E">
      <w:pPr>
        <w:jc w:val="both"/>
        <w:rPr>
          <w:rFonts w:ascii="Arial" w:hAnsi="Arial" w:cs="Arial"/>
          <w:b/>
          <w:bCs/>
        </w:rPr>
      </w:pPr>
    </w:p>
    <w:p w14:paraId="6DE7E22F" w14:textId="77777777" w:rsidR="009D4965" w:rsidRDefault="009D4965" w:rsidP="00AF3D1E">
      <w:pPr>
        <w:jc w:val="both"/>
        <w:rPr>
          <w:rFonts w:ascii="Arial" w:hAnsi="Arial" w:cs="Arial"/>
          <w:b/>
          <w:bCs/>
        </w:rPr>
      </w:pPr>
    </w:p>
    <w:p w14:paraId="04C0F3FE" w14:textId="77777777" w:rsidR="009D4965" w:rsidRDefault="009D4965" w:rsidP="00AF3D1E">
      <w:pPr>
        <w:jc w:val="both"/>
        <w:rPr>
          <w:rFonts w:ascii="Arial" w:hAnsi="Arial" w:cs="Arial"/>
          <w:b/>
          <w:bCs/>
        </w:rPr>
      </w:pPr>
    </w:p>
    <w:p w14:paraId="036C22AA" w14:textId="77777777" w:rsidR="009D4965" w:rsidRDefault="009D4965" w:rsidP="00AF3D1E">
      <w:pPr>
        <w:jc w:val="both"/>
        <w:rPr>
          <w:rFonts w:ascii="Arial" w:hAnsi="Arial" w:cs="Arial"/>
          <w:b/>
          <w:bCs/>
        </w:rPr>
      </w:pPr>
    </w:p>
    <w:p w14:paraId="062154C8" w14:textId="77777777" w:rsidR="009D4965" w:rsidRDefault="009D4965" w:rsidP="00AF3D1E">
      <w:pPr>
        <w:jc w:val="both"/>
        <w:rPr>
          <w:rFonts w:ascii="Arial" w:hAnsi="Arial" w:cs="Arial"/>
          <w:b/>
          <w:bCs/>
        </w:rPr>
      </w:pPr>
    </w:p>
    <w:p w14:paraId="67CA88B1" w14:textId="77777777" w:rsidR="009D4965" w:rsidRDefault="009D4965" w:rsidP="00AF3D1E">
      <w:pPr>
        <w:jc w:val="both"/>
        <w:rPr>
          <w:rFonts w:ascii="Arial" w:hAnsi="Arial" w:cs="Arial"/>
          <w:b/>
          <w:bCs/>
        </w:rPr>
      </w:pPr>
    </w:p>
    <w:p w14:paraId="5076B76F" w14:textId="77777777" w:rsidR="009D4965" w:rsidRDefault="009D4965" w:rsidP="00AF3D1E">
      <w:pPr>
        <w:jc w:val="both"/>
        <w:rPr>
          <w:rFonts w:ascii="Arial" w:hAnsi="Arial" w:cs="Arial"/>
          <w:b/>
          <w:bCs/>
        </w:rPr>
      </w:pPr>
    </w:p>
    <w:p w14:paraId="326A81F2" w14:textId="77777777" w:rsidR="009D4965" w:rsidRDefault="009D4965" w:rsidP="00AF3D1E">
      <w:pPr>
        <w:jc w:val="both"/>
        <w:rPr>
          <w:rFonts w:ascii="Arial" w:hAnsi="Arial" w:cs="Arial"/>
          <w:b/>
          <w:bCs/>
        </w:rPr>
      </w:pPr>
    </w:p>
    <w:p w14:paraId="3A9921E4" w14:textId="77777777" w:rsidR="009D4965" w:rsidRDefault="009D4965" w:rsidP="00AF3D1E">
      <w:pPr>
        <w:jc w:val="both"/>
        <w:rPr>
          <w:rFonts w:ascii="Arial" w:hAnsi="Arial" w:cs="Arial"/>
          <w:b/>
          <w:bCs/>
        </w:rPr>
      </w:pPr>
    </w:p>
    <w:p w14:paraId="24930CFC" w14:textId="77777777" w:rsidR="009D4965" w:rsidRDefault="009D4965" w:rsidP="00AF3D1E">
      <w:pPr>
        <w:jc w:val="both"/>
        <w:rPr>
          <w:rFonts w:ascii="Arial" w:hAnsi="Arial" w:cs="Arial"/>
          <w:b/>
          <w:bCs/>
        </w:rPr>
      </w:pPr>
    </w:p>
    <w:p w14:paraId="38263EC8" w14:textId="77777777" w:rsidR="009D4965" w:rsidRDefault="009D4965" w:rsidP="00AF3D1E">
      <w:pPr>
        <w:jc w:val="both"/>
        <w:rPr>
          <w:rFonts w:ascii="Arial" w:hAnsi="Arial" w:cs="Arial"/>
          <w:b/>
          <w:bCs/>
        </w:rPr>
      </w:pPr>
    </w:p>
    <w:p w14:paraId="64E6BD00" w14:textId="77777777" w:rsidR="009D4965" w:rsidRDefault="009D4965" w:rsidP="00AF3D1E">
      <w:pPr>
        <w:jc w:val="both"/>
        <w:rPr>
          <w:rFonts w:ascii="Arial" w:hAnsi="Arial" w:cs="Arial"/>
          <w:b/>
          <w:bCs/>
        </w:rPr>
      </w:pPr>
    </w:p>
    <w:p w14:paraId="71BD8A5B" w14:textId="77777777" w:rsidR="009D4965" w:rsidRDefault="009D4965" w:rsidP="00AF3D1E">
      <w:pPr>
        <w:jc w:val="both"/>
        <w:rPr>
          <w:rFonts w:ascii="Arial" w:hAnsi="Arial" w:cs="Arial"/>
          <w:b/>
          <w:bCs/>
        </w:rPr>
      </w:pPr>
    </w:p>
    <w:p w14:paraId="30E683D2" w14:textId="77777777" w:rsidR="00A43D33" w:rsidRPr="00DF5115" w:rsidRDefault="00A43D33" w:rsidP="00A43D33">
      <w:pPr>
        <w:rPr>
          <w:rFonts w:ascii="Arial" w:hAnsi="Arial" w:cs="Arial"/>
          <w:b/>
          <w:bCs/>
        </w:rPr>
      </w:pPr>
      <w:r w:rsidRPr="00A43D33">
        <w:rPr>
          <w:rFonts w:ascii="Arial" w:hAnsi="Arial" w:cs="Arial"/>
          <w:b/>
          <w:bCs/>
        </w:rPr>
        <w:lastRenderedPageBreak/>
        <w:t>Discussion</w:t>
      </w:r>
    </w:p>
    <w:p w14:paraId="30E24C84" w14:textId="77777777" w:rsidR="00A43D33" w:rsidRPr="00A43D33" w:rsidRDefault="00A43D33" w:rsidP="00A43D33">
      <w:pPr>
        <w:rPr>
          <w:rFonts w:ascii="Arial" w:hAnsi="Arial" w:cs="Arial"/>
          <w:b/>
          <w:bCs/>
        </w:rPr>
      </w:pPr>
    </w:p>
    <w:p w14:paraId="7743BD39" w14:textId="77777777" w:rsidR="00437CCE" w:rsidRDefault="00437CCE" w:rsidP="00437CCE">
      <w:pPr>
        <w:spacing w:line="360" w:lineRule="auto"/>
        <w:ind w:firstLine="708"/>
        <w:jc w:val="both"/>
        <w:rPr>
          <w:rFonts w:ascii="Arial" w:hAnsi="Arial" w:cs="Arial"/>
        </w:rPr>
      </w:pPr>
      <w:r w:rsidRPr="00437CCE">
        <w:rPr>
          <w:rFonts w:ascii="Arial" w:hAnsi="Arial" w:cs="Arial"/>
        </w:rPr>
        <w:t>The limitations of DATASUS data stem from gaps, missing information, and variable data reliability, which can obscure the true epidemiological picture. However, despite these limitations, DATASUS offers the advantage of broad representation of the Brazilian population using SUS services, allowing for geographically comprehensive analyses.</w:t>
      </w:r>
    </w:p>
    <w:p w14:paraId="448952C0" w14:textId="77777777" w:rsidR="00437CCE" w:rsidRDefault="00437CCE" w:rsidP="00437CCE">
      <w:pPr>
        <w:spacing w:line="360" w:lineRule="auto"/>
        <w:ind w:firstLine="708"/>
        <w:jc w:val="both"/>
        <w:rPr>
          <w:rFonts w:ascii="Arial" w:hAnsi="Arial" w:cs="Arial"/>
        </w:rPr>
      </w:pPr>
      <w:r w:rsidRPr="00437CCE">
        <w:rPr>
          <w:rFonts w:ascii="Arial" w:hAnsi="Arial" w:cs="Arial"/>
        </w:rPr>
        <w:t>Furthermore, when used with methodological caution, it is useful for formulating public health strategies, allocating resources, formulating public health policies, as well as for improving the system for research purposes. It is also important to emphasize that this study is important because it analyzes the most used serological methods for diagnosing dengue fever in children throughout Brazil, highlighting the challenges physicians face in obtaining rapid and accurate results.</w:t>
      </w:r>
    </w:p>
    <w:p w14:paraId="348BE7B5" w14:textId="509D7D5C" w:rsidR="00437CCE" w:rsidRDefault="00437CCE" w:rsidP="00437CCE">
      <w:pPr>
        <w:spacing w:line="360" w:lineRule="auto"/>
        <w:ind w:firstLine="708"/>
        <w:jc w:val="both"/>
        <w:rPr>
          <w:rFonts w:ascii="Arial" w:hAnsi="Arial" w:cs="Arial"/>
        </w:rPr>
      </w:pPr>
      <w:r w:rsidRPr="00437CCE">
        <w:rPr>
          <w:rFonts w:ascii="Arial" w:hAnsi="Arial" w:cs="Arial"/>
        </w:rPr>
        <w:t>By utilizing a large amount of national data, the study helps us understand the performance of these tests in real-life situations. The results may help improve dengue diagnosis in children, leading to better treatment and more stringent public health measures to control the disease.</w:t>
      </w:r>
      <w:r w:rsidR="00D16A75">
        <w:rPr>
          <w:rFonts w:ascii="Arial" w:hAnsi="Arial" w:cs="Arial"/>
        </w:rPr>
        <w:t xml:space="preserve"> </w:t>
      </w:r>
      <w:r w:rsidR="00A43D33" w:rsidRPr="00A43D33">
        <w:rPr>
          <w:rFonts w:ascii="Arial" w:hAnsi="Arial" w:cs="Arial"/>
        </w:rPr>
        <w:t xml:space="preserve">IgM and </w:t>
      </w:r>
      <w:r w:rsidR="00A43D33" w:rsidRPr="00DF5115">
        <w:rPr>
          <w:rFonts w:ascii="Arial" w:hAnsi="Arial" w:cs="Arial"/>
        </w:rPr>
        <w:t>IgG</w:t>
      </w:r>
      <w:r w:rsidR="00A43D33" w:rsidRPr="00A43D33">
        <w:rPr>
          <w:rFonts w:ascii="Arial" w:hAnsi="Arial" w:cs="Arial"/>
        </w:rPr>
        <w:t xml:space="preserve"> tests help identify both recent (IgM) and past or secondary infections (IgG), making them useful for population serological surveillance and immune response monitoring (</w:t>
      </w:r>
      <w:bookmarkStart w:id="11" w:name="_Hlk205130002"/>
      <w:proofErr w:type="spellStart"/>
      <w:r w:rsidR="00A43D33" w:rsidRPr="00A43D33">
        <w:rPr>
          <w:rFonts w:ascii="Arial" w:hAnsi="Arial" w:cs="Arial"/>
        </w:rPr>
        <w:t>Kinanti</w:t>
      </w:r>
      <w:proofErr w:type="spellEnd"/>
      <w:r w:rsidR="00A43D33" w:rsidRPr="00A43D33">
        <w:rPr>
          <w:rFonts w:ascii="Arial" w:hAnsi="Arial" w:cs="Arial"/>
        </w:rPr>
        <w:t xml:space="preserve"> et al., 2024; Jama et al., 2024</w:t>
      </w:r>
      <w:bookmarkEnd w:id="11"/>
      <w:r w:rsidR="00A43D33" w:rsidRPr="00A43D33">
        <w:rPr>
          <w:rFonts w:ascii="Arial" w:hAnsi="Arial" w:cs="Arial"/>
        </w:rPr>
        <w:t>).</w:t>
      </w:r>
      <w:r>
        <w:rPr>
          <w:rFonts w:ascii="Arial" w:hAnsi="Arial" w:cs="Arial"/>
        </w:rPr>
        <w:t xml:space="preserve"> </w:t>
      </w:r>
    </w:p>
    <w:p w14:paraId="48B8A6F5" w14:textId="77777777" w:rsidR="00437CCE" w:rsidRDefault="00A43D33" w:rsidP="00437CCE">
      <w:pPr>
        <w:spacing w:line="360" w:lineRule="auto"/>
        <w:ind w:firstLine="708"/>
        <w:jc w:val="both"/>
        <w:rPr>
          <w:rFonts w:ascii="Arial" w:hAnsi="Arial" w:cs="Arial"/>
        </w:rPr>
      </w:pPr>
      <w:r w:rsidRPr="00A43D33">
        <w:rPr>
          <w:rFonts w:ascii="Arial" w:hAnsi="Arial" w:cs="Arial"/>
        </w:rPr>
        <w:t xml:space="preserve">This study also stimulates research in the country, as the tests </w:t>
      </w:r>
      <w:r w:rsidRPr="00DF5115">
        <w:rPr>
          <w:rFonts w:ascii="Arial" w:hAnsi="Arial" w:cs="Arial"/>
        </w:rPr>
        <w:t>demonstrate</w:t>
      </w:r>
      <w:r w:rsidRPr="00A43D33">
        <w:rPr>
          <w:rFonts w:ascii="Arial" w:hAnsi="Arial" w:cs="Arial"/>
        </w:rPr>
        <w:t xml:space="preserve"> ease of application and accessibility. Rapid tests based on immunoassays, such as lateral flow assays (LFIA), are easy to use, require minimal laboratory infrastructure, and are suitable for low-resource settings (</w:t>
      </w:r>
      <w:bookmarkStart w:id="12" w:name="_Hlk205130027"/>
      <w:r w:rsidRPr="00A43D33">
        <w:rPr>
          <w:rFonts w:ascii="Arial" w:hAnsi="Arial" w:cs="Arial"/>
        </w:rPr>
        <w:t>Sukumaran et al., 2024; Jama et al., 2024</w:t>
      </w:r>
      <w:bookmarkEnd w:id="12"/>
      <w:r w:rsidRPr="00A43D33">
        <w:rPr>
          <w:rFonts w:ascii="Arial" w:hAnsi="Arial" w:cs="Arial"/>
        </w:rPr>
        <w:t>).</w:t>
      </w:r>
      <w:r w:rsidR="00437CCE">
        <w:rPr>
          <w:rFonts w:ascii="Arial" w:hAnsi="Arial" w:cs="Arial"/>
        </w:rPr>
        <w:t xml:space="preserve"> </w:t>
      </w:r>
    </w:p>
    <w:p w14:paraId="3B83EC64" w14:textId="77777777" w:rsidR="00437CCE" w:rsidRDefault="00A43D33" w:rsidP="00437CCE">
      <w:pPr>
        <w:spacing w:line="360" w:lineRule="auto"/>
        <w:ind w:firstLine="708"/>
        <w:jc w:val="both"/>
        <w:rPr>
          <w:rFonts w:ascii="Arial" w:hAnsi="Arial" w:cs="Arial"/>
        </w:rPr>
      </w:pPr>
      <w:r w:rsidRPr="00A43D33">
        <w:rPr>
          <w:rFonts w:ascii="Arial" w:hAnsi="Arial" w:cs="Arial"/>
        </w:rPr>
        <w:t>The evaluated tests are important due to their rapid response time. Serological tests, especially rapid ones, provide results in approximately 15 to 30 minutes, aiding in emergency clinical screenings (</w:t>
      </w:r>
      <w:bookmarkStart w:id="13" w:name="_Hlk205130048"/>
      <w:r w:rsidRPr="00A43D33">
        <w:rPr>
          <w:rFonts w:ascii="Arial" w:hAnsi="Arial" w:cs="Arial"/>
        </w:rPr>
        <w:t>Arruda et al., 2024</w:t>
      </w:r>
      <w:bookmarkEnd w:id="13"/>
      <w:r w:rsidRPr="00A43D33">
        <w:rPr>
          <w:rFonts w:ascii="Arial" w:hAnsi="Arial" w:cs="Arial"/>
        </w:rPr>
        <w:t>).</w:t>
      </w:r>
      <w:r w:rsidR="00437CCE">
        <w:rPr>
          <w:rFonts w:ascii="Arial" w:hAnsi="Arial" w:cs="Arial"/>
        </w:rPr>
        <w:t xml:space="preserve"> </w:t>
      </w:r>
      <w:r w:rsidRPr="00A43D33">
        <w:rPr>
          <w:rFonts w:ascii="Arial" w:hAnsi="Arial" w:cs="Arial"/>
        </w:rPr>
        <w:t>Another advantage is their relatively low cost. Compared to PCR, serological tests are generally less expensive, making them viable in public health settings with financial constraints (</w:t>
      </w:r>
      <w:bookmarkStart w:id="14" w:name="_Hlk205130061"/>
      <w:proofErr w:type="spellStart"/>
      <w:r w:rsidRPr="00A43D33">
        <w:rPr>
          <w:rFonts w:ascii="Arial" w:hAnsi="Arial" w:cs="Arial"/>
        </w:rPr>
        <w:t>Kinanti</w:t>
      </w:r>
      <w:proofErr w:type="spellEnd"/>
      <w:r w:rsidRPr="00A43D33">
        <w:rPr>
          <w:rFonts w:ascii="Arial" w:hAnsi="Arial" w:cs="Arial"/>
        </w:rPr>
        <w:t xml:space="preserve"> et al., 2024</w:t>
      </w:r>
      <w:bookmarkEnd w:id="14"/>
      <w:r w:rsidRPr="00A43D33">
        <w:rPr>
          <w:rFonts w:ascii="Arial" w:hAnsi="Arial" w:cs="Arial"/>
        </w:rPr>
        <w:t>).</w:t>
      </w:r>
    </w:p>
    <w:p w14:paraId="73A6078C" w14:textId="77777777" w:rsidR="00437CCE" w:rsidRDefault="00A43D33" w:rsidP="00437CCE">
      <w:pPr>
        <w:spacing w:line="360" w:lineRule="auto"/>
        <w:ind w:firstLine="708"/>
        <w:jc w:val="both"/>
        <w:rPr>
          <w:rFonts w:ascii="Arial" w:hAnsi="Arial" w:cs="Arial"/>
        </w:rPr>
      </w:pPr>
      <w:r w:rsidRPr="00A43D33">
        <w:rPr>
          <w:rFonts w:ascii="Arial" w:hAnsi="Arial" w:cs="Arial"/>
        </w:rPr>
        <w:lastRenderedPageBreak/>
        <w:t>On the other hand, serological tests for dengue also have drawbacks. Cross-reactivity with other flaviviruses is one of the main challenges, potentially leading to false positives when viruses such as Zika or West Nile are present (</w:t>
      </w:r>
      <w:bookmarkStart w:id="15" w:name="_Hlk205130082"/>
      <w:r w:rsidRPr="00A43D33">
        <w:rPr>
          <w:rFonts w:ascii="Arial" w:hAnsi="Arial" w:cs="Arial"/>
        </w:rPr>
        <w:t>Arruda et al., 2024; Sukumaran et al., 2024</w:t>
      </w:r>
      <w:bookmarkEnd w:id="15"/>
      <w:r w:rsidRPr="00A43D33">
        <w:rPr>
          <w:rFonts w:ascii="Arial" w:hAnsi="Arial" w:cs="Arial"/>
        </w:rPr>
        <w:t>). There is also low sensitivity in the early days of infection. Detectable antibody (IgM) production generally starts around the 5th day of infection, reducing the accuracy of early diagnosis (</w:t>
      </w:r>
      <w:bookmarkStart w:id="16" w:name="_Hlk205130100"/>
      <w:proofErr w:type="spellStart"/>
      <w:r w:rsidRPr="00A43D33">
        <w:rPr>
          <w:rFonts w:ascii="Arial" w:hAnsi="Arial" w:cs="Arial"/>
        </w:rPr>
        <w:t>Kinanti</w:t>
      </w:r>
      <w:proofErr w:type="spellEnd"/>
      <w:r w:rsidRPr="00A43D33">
        <w:rPr>
          <w:rFonts w:ascii="Arial" w:hAnsi="Arial" w:cs="Arial"/>
        </w:rPr>
        <w:t xml:space="preserve"> et al., 2024; Hossain et al., 2025</w:t>
      </w:r>
      <w:bookmarkEnd w:id="16"/>
      <w:r w:rsidRPr="00A43D33">
        <w:rPr>
          <w:rFonts w:ascii="Arial" w:hAnsi="Arial" w:cs="Arial"/>
        </w:rPr>
        <w:t>).</w:t>
      </w:r>
    </w:p>
    <w:p w14:paraId="75DF1074" w14:textId="6E2BA1F8" w:rsidR="00A43D33" w:rsidRDefault="00CA410E" w:rsidP="00437CCE">
      <w:pPr>
        <w:spacing w:line="360" w:lineRule="auto"/>
        <w:ind w:firstLine="708"/>
        <w:jc w:val="both"/>
        <w:rPr>
          <w:rFonts w:ascii="Arial" w:hAnsi="Arial" w:cs="Arial"/>
        </w:rPr>
      </w:pPr>
      <w:r w:rsidRPr="00CA410E">
        <w:rPr>
          <w:rFonts w:ascii="Arial" w:hAnsi="Arial" w:cs="Arial"/>
        </w:rPr>
        <w:t>Another difficulty is distinguishing between current and past infections. Isolated IgG presence may indicate a previous, not necessarily active, infection—complicating diagnosis in endemic areas (</w:t>
      </w:r>
      <w:bookmarkStart w:id="17" w:name="_Hlk205130121"/>
      <w:proofErr w:type="spellStart"/>
      <w:r w:rsidRPr="00CA410E">
        <w:rPr>
          <w:rFonts w:ascii="Arial" w:hAnsi="Arial" w:cs="Arial"/>
        </w:rPr>
        <w:t>Arankalle</w:t>
      </w:r>
      <w:proofErr w:type="spellEnd"/>
      <w:r w:rsidRPr="00CA410E">
        <w:rPr>
          <w:rFonts w:ascii="Arial" w:hAnsi="Arial" w:cs="Arial"/>
        </w:rPr>
        <w:t xml:space="preserve"> et al., 2024</w:t>
      </w:r>
      <w:bookmarkEnd w:id="17"/>
      <w:r w:rsidRPr="00CA410E">
        <w:rPr>
          <w:rFonts w:ascii="Arial" w:hAnsi="Arial" w:cs="Arial"/>
        </w:rPr>
        <w:t xml:space="preserve">). Furthermore, there is </w:t>
      </w:r>
      <w:r w:rsidR="00624401" w:rsidRPr="00CA410E">
        <w:rPr>
          <w:rFonts w:ascii="Arial" w:hAnsi="Arial" w:cs="Arial"/>
        </w:rPr>
        <w:t>a variability</w:t>
      </w:r>
      <w:r w:rsidRPr="00CA410E">
        <w:rPr>
          <w:rFonts w:ascii="Arial" w:hAnsi="Arial" w:cs="Arial"/>
        </w:rPr>
        <w:t xml:space="preserve"> in sensitivity among commercial kits. Diagnostic accuracy can vary widely between manufacturers, compromising reproducibility and reliability (</w:t>
      </w:r>
      <w:bookmarkStart w:id="18" w:name="_Hlk205130149"/>
      <w:r w:rsidRPr="00CA410E">
        <w:rPr>
          <w:rFonts w:ascii="Arial" w:hAnsi="Arial" w:cs="Arial"/>
        </w:rPr>
        <w:t>Sukumaran et al., 2024</w:t>
      </w:r>
      <w:bookmarkEnd w:id="18"/>
      <w:r w:rsidRPr="00CA410E">
        <w:rPr>
          <w:rFonts w:ascii="Arial" w:hAnsi="Arial" w:cs="Arial"/>
        </w:rPr>
        <w:t>).</w:t>
      </w:r>
    </w:p>
    <w:p w14:paraId="17A38E6E" w14:textId="77777777" w:rsidR="00437CCE" w:rsidRPr="00A43D33" w:rsidRDefault="00437CCE" w:rsidP="00437CCE">
      <w:pPr>
        <w:spacing w:line="360" w:lineRule="auto"/>
        <w:ind w:firstLine="708"/>
        <w:jc w:val="both"/>
        <w:rPr>
          <w:rFonts w:ascii="Arial" w:hAnsi="Arial" w:cs="Arial"/>
          <w:b/>
          <w:bCs/>
        </w:rPr>
      </w:pPr>
    </w:p>
    <w:p w14:paraId="09871D5E" w14:textId="77777777" w:rsidR="00A43D33" w:rsidRPr="00A43D33" w:rsidRDefault="00A43D33" w:rsidP="00A43D33">
      <w:pPr>
        <w:rPr>
          <w:rFonts w:ascii="Arial" w:hAnsi="Arial" w:cs="Arial"/>
          <w:b/>
          <w:bCs/>
        </w:rPr>
      </w:pPr>
      <w:r w:rsidRPr="00A43D33">
        <w:rPr>
          <w:rFonts w:ascii="Arial" w:hAnsi="Arial" w:cs="Arial"/>
          <w:b/>
          <w:bCs/>
        </w:rPr>
        <w:t>Conclusion</w:t>
      </w:r>
    </w:p>
    <w:p w14:paraId="1F7E4FEE" w14:textId="46A5EF90" w:rsidR="00A43D33" w:rsidRDefault="00A43D33" w:rsidP="00F478E4">
      <w:pPr>
        <w:spacing w:line="360" w:lineRule="auto"/>
        <w:jc w:val="both"/>
        <w:rPr>
          <w:rFonts w:ascii="Arial" w:hAnsi="Arial" w:cs="Arial"/>
        </w:rPr>
      </w:pPr>
      <w:r w:rsidRPr="00A43D33">
        <w:rPr>
          <w:rFonts w:ascii="Arial" w:hAnsi="Arial" w:cs="Arial"/>
        </w:rPr>
        <w:t>Serological tests are essential tools in dengue diagnosis, especially for epidemiological surveillance and in settings with limited laboratory infrastructure. Their main advantages include rapid result turnaround, ease of use, low cost, and the ability to distinguish primary from secondary infections through IgM and IgG detection. However, they also present important limitations such as potential cross-reactivity with other flaviviruses, low sensitivity in the early stages of infection, difficulty differentiating active from past infections, and inability to determine the viral serotype. Therefore, while serological tests are valuable in both clinical and public health contexts, their use should be complemented by molecular methods such as RT-PCR, especially in suspected cases during the early stages of disease, to ensure greater diagnostic accuracy and improved patient management.</w:t>
      </w:r>
    </w:p>
    <w:p w14:paraId="70DD9D59" w14:textId="77777777" w:rsidR="0004645F" w:rsidRPr="00A43D33" w:rsidRDefault="0004645F" w:rsidP="0004645F">
      <w:pPr>
        <w:jc w:val="both"/>
        <w:rPr>
          <w:rFonts w:ascii="Arial" w:hAnsi="Arial" w:cs="Arial"/>
        </w:rPr>
      </w:pPr>
    </w:p>
    <w:p w14:paraId="662A4A46" w14:textId="77777777" w:rsidR="00D00D6C" w:rsidRPr="00495ADB" w:rsidRDefault="00D00D6C" w:rsidP="00D00D6C">
      <w:pPr>
        <w:jc w:val="both"/>
        <w:rPr>
          <w:rFonts w:asciiTheme="majorHAnsi" w:hAnsiTheme="majorHAnsi"/>
          <w:b/>
          <w:bCs/>
          <w:sz w:val="28"/>
          <w:szCs w:val="28"/>
        </w:rPr>
      </w:pPr>
      <w:r w:rsidRPr="00495ADB">
        <w:rPr>
          <w:rFonts w:asciiTheme="majorHAnsi" w:hAnsiTheme="majorHAnsi"/>
          <w:b/>
          <w:bCs/>
          <w:sz w:val="28"/>
          <w:szCs w:val="28"/>
        </w:rPr>
        <w:t>Generative Artificial Intelligence Use Statement</w:t>
      </w:r>
    </w:p>
    <w:p w14:paraId="7F704AB9" w14:textId="77777777" w:rsidR="00D00D6C" w:rsidRPr="00495ADB" w:rsidRDefault="00D00D6C" w:rsidP="00D00D6C">
      <w:pPr>
        <w:jc w:val="both"/>
        <w:rPr>
          <w:rFonts w:asciiTheme="majorHAnsi" w:hAnsiTheme="majorHAnsi"/>
          <w:b/>
          <w:bCs/>
        </w:rPr>
      </w:pPr>
    </w:p>
    <w:p w14:paraId="11EF9F9C" w14:textId="77777777" w:rsidR="00D00D6C" w:rsidRPr="00495ADB" w:rsidRDefault="00D00D6C" w:rsidP="00D00D6C">
      <w:pPr>
        <w:jc w:val="both"/>
        <w:rPr>
          <w:rFonts w:ascii="Arial" w:hAnsi="Arial" w:cs="Arial"/>
        </w:rPr>
      </w:pPr>
      <w:r w:rsidRPr="00495ADB">
        <w:rPr>
          <w:rFonts w:ascii="Arial" w:hAnsi="Arial" w:cs="Arial"/>
        </w:rPr>
        <w:lastRenderedPageBreak/>
        <w:t>During the writing, review, and/or editing of the manuscript entitled "Serological Surveillance and Diagnostic Performance of Dengue Tests in Brazilian Pediatric Populations (2022–2024)," generative AI technologies were used for linguistic assistance, textual enhancement, and technical review.</w:t>
      </w:r>
    </w:p>
    <w:p w14:paraId="30CAD5A6" w14:textId="77777777" w:rsidR="00D00D6C" w:rsidRPr="00495ADB" w:rsidRDefault="00D00D6C" w:rsidP="00D00D6C">
      <w:pPr>
        <w:jc w:val="both"/>
        <w:rPr>
          <w:rFonts w:ascii="Arial" w:hAnsi="Arial" w:cs="Arial"/>
        </w:rPr>
      </w:pPr>
      <w:r w:rsidRPr="00495ADB">
        <w:rPr>
          <w:rFonts w:ascii="Arial" w:hAnsi="Arial" w:cs="Arial"/>
          <w:b/>
          <w:bCs/>
        </w:rPr>
        <w:t>Name of generative AI technology used</w:t>
      </w:r>
      <w:r w:rsidRPr="00495ADB">
        <w:rPr>
          <w:rFonts w:ascii="Arial" w:hAnsi="Arial" w:cs="Arial"/>
        </w:rPr>
        <w:t xml:space="preserve">: </w:t>
      </w:r>
      <w:proofErr w:type="spellStart"/>
      <w:r w:rsidRPr="00495ADB">
        <w:rPr>
          <w:rFonts w:ascii="Arial" w:hAnsi="Arial" w:cs="Arial"/>
        </w:rPr>
        <w:t>ChatGPT</w:t>
      </w:r>
      <w:proofErr w:type="spellEnd"/>
    </w:p>
    <w:p w14:paraId="7073210F" w14:textId="77777777" w:rsidR="00D00D6C" w:rsidRPr="00495ADB" w:rsidRDefault="00D00D6C" w:rsidP="00D00D6C">
      <w:pPr>
        <w:jc w:val="both"/>
        <w:rPr>
          <w:rFonts w:ascii="Arial" w:hAnsi="Arial" w:cs="Arial"/>
        </w:rPr>
      </w:pPr>
      <w:r w:rsidRPr="00495ADB">
        <w:rPr>
          <w:rFonts w:ascii="Arial" w:hAnsi="Arial" w:cs="Arial"/>
          <w:b/>
          <w:bCs/>
        </w:rPr>
        <w:t>Version and model</w:t>
      </w:r>
      <w:r w:rsidRPr="00495ADB">
        <w:rPr>
          <w:rFonts w:ascii="Arial" w:hAnsi="Arial" w:cs="Arial"/>
        </w:rPr>
        <w:t>: GPT-4o (</w:t>
      </w:r>
      <w:proofErr w:type="spellStart"/>
      <w:r w:rsidRPr="00495ADB">
        <w:rPr>
          <w:rFonts w:ascii="Arial" w:hAnsi="Arial" w:cs="Arial"/>
        </w:rPr>
        <w:t>OpenAI</w:t>
      </w:r>
      <w:proofErr w:type="spellEnd"/>
      <w:r w:rsidRPr="00495ADB">
        <w:rPr>
          <w:rFonts w:ascii="Arial" w:hAnsi="Arial" w:cs="Arial"/>
        </w:rPr>
        <w:t>)</w:t>
      </w:r>
    </w:p>
    <w:p w14:paraId="0BC841E6" w14:textId="77777777" w:rsidR="00D00D6C" w:rsidRPr="00495ADB" w:rsidRDefault="00D00D6C" w:rsidP="00D00D6C">
      <w:pPr>
        <w:jc w:val="both"/>
        <w:rPr>
          <w:rFonts w:ascii="Arial" w:hAnsi="Arial" w:cs="Arial"/>
        </w:rPr>
      </w:pPr>
      <w:r w:rsidRPr="00495ADB">
        <w:rPr>
          <w:rFonts w:ascii="Arial" w:hAnsi="Arial" w:cs="Arial"/>
          <w:b/>
          <w:bCs/>
        </w:rPr>
        <w:t>Source</w:t>
      </w:r>
      <w:r w:rsidRPr="00495ADB">
        <w:rPr>
          <w:rFonts w:ascii="Arial" w:hAnsi="Arial" w:cs="Arial"/>
        </w:rPr>
        <w:t>: https://chat.openai.com</w:t>
      </w:r>
    </w:p>
    <w:p w14:paraId="1C94DB5D" w14:textId="77777777" w:rsidR="00D00D6C" w:rsidRPr="00495ADB" w:rsidRDefault="00D00D6C" w:rsidP="00D00D6C">
      <w:pPr>
        <w:jc w:val="both"/>
        <w:rPr>
          <w:rFonts w:ascii="Arial" w:hAnsi="Arial" w:cs="Arial"/>
        </w:rPr>
      </w:pPr>
      <w:r w:rsidRPr="00495ADB">
        <w:rPr>
          <w:rFonts w:ascii="Arial" w:hAnsi="Arial" w:cs="Arial"/>
          <w:b/>
          <w:bCs/>
        </w:rPr>
        <w:t>Technical manager</w:t>
      </w:r>
      <w:r w:rsidRPr="00495ADB">
        <w:rPr>
          <w:rFonts w:ascii="Arial" w:hAnsi="Arial" w:cs="Arial"/>
        </w:rPr>
        <w:t xml:space="preserve">: </w:t>
      </w:r>
      <w:proofErr w:type="spellStart"/>
      <w:r w:rsidRPr="00495ADB">
        <w:rPr>
          <w:rFonts w:ascii="Arial" w:hAnsi="Arial" w:cs="Arial"/>
        </w:rPr>
        <w:t>OpenAI</w:t>
      </w:r>
      <w:proofErr w:type="spellEnd"/>
      <w:r w:rsidRPr="00495ADB">
        <w:rPr>
          <w:rFonts w:ascii="Arial" w:hAnsi="Arial" w:cs="Arial"/>
        </w:rPr>
        <w:t>, San Francisco, CA, USA</w:t>
      </w:r>
    </w:p>
    <w:p w14:paraId="15B04B37" w14:textId="77777777" w:rsidR="00D00D6C" w:rsidRPr="00495ADB" w:rsidRDefault="00D00D6C" w:rsidP="00D00D6C">
      <w:pPr>
        <w:jc w:val="both"/>
        <w:rPr>
          <w:rFonts w:ascii="Arial" w:hAnsi="Arial" w:cs="Arial"/>
        </w:rPr>
      </w:pPr>
      <w:r w:rsidRPr="00495ADB">
        <w:rPr>
          <w:rFonts w:ascii="Arial" w:hAnsi="Arial" w:cs="Arial"/>
          <w:b/>
          <w:bCs/>
        </w:rPr>
        <w:t>Date of use</w:t>
      </w:r>
      <w:r w:rsidRPr="00495ADB">
        <w:rPr>
          <w:rFonts w:ascii="Arial" w:hAnsi="Arial" w:cs="Arial"/>
        </w:rPr>
        <w:t>: Between July and August 2025</w:t>
      </w:r>
    </w:p>
    <w:p w14:paraId="27423AF3" w14:textId="77777777" w:rsidR="00D00D6C" w:rsidRPr="00495ADB" w:rsidRDefault="00D00D6C" w:rsidP="00D00D6C">
      <w:pPr>
        <w:jc w:val="both"/>
        <w:rPr>
          <w:rFonts w:ascii="Arial" w:hAnsi="Arial" w:cs="Arial"/>
        </w:rPr>
      </w:pPr>
      <w:r w:rsidRPr="00495ADB">
        <w:rPr>
          <w:rFonts w:ascii="Arial" w:hAnsi="Arial" w:cs="Arial"/>
          <w:b/>
          <w:bCs/>
        </w:rPr>
        <w:t>Purpose of use</w:t>
      </w:r>
      <w:r w:rsidRPr="00495ADB">
        <w:rPr>
          <w:rFonts w:ascii="Arial" w:hAnsi="Arial" w:cs="Arial"/>
        </w:rPr>
        <w:t>:</w:t>
      </w:r>
    </w:p>
    <w:p w14:paraId="32DC3812" w14:textId="77777777" w:rsidR="00D00D6C" w:rsidRPr="00495ADB" w:rsidRDefault="00D00D6C" w:rsidP="00D00D6C">
      <w:pPr>
        <w:jc w:val="both"/>
        <w:rPr>
          <w:rFonts w:ascii="Arial" w:hAnsi="Arial" w:cs="Arial"/>
        </w:rPr>
      </w:pPr>
      <w:r w:rsidRPr="00495ADB">
        <w:rPr>
          <w:rFonts w:ascii="Arial" w:hAnsi="Arial" w:cs="Arial"/>
        </w:rPr>
        <w:t>• Assistance in the translation and correction of academic excerpts from Portuguese to English.</w:t>
      </w:r>
    </w:p>
    <w:p w14:paraId="455FE26E" w14:textId="77777777" w:rsidR="00D00D6C" w:rsidRPr="00495ADB" w:rsidRDefault="00D00D6C" w:rsidP="00D00D6C">
      <w:pPr>
        <w:jc w:val="both"/>
        <w:rPr>
          <w:rFonts w:ascii="Arial" w:hAnsi="Arial" w:cs="Arial"/>
        </w:rPr>
      </w:pPr>
      <w:r w:rsidRPr="00495ADB">
        <w:rPr>
          <w:rFonts w:ascii="Arial" w:hAnsi="Arial" w:cs="Arial"/>
        </w:rPr>
        <w:t>• Suggestions for restructuring paragraphs for improved clarity, flow, and textual cohesion in English.</w:t>
      </w:r>
    </w:p>
    <w:p w14:paraId="0A7E7247" w14:textId="77777777" w:rsidR="00D00D6C" w:rsidRPr="00495ADB" w:rsidRDefault="00D00D6C" w:rsidP="00D00D6C">
      <w:pPr>
        <w:jc w:val="both"/>
        <w:rPr>
          <w:rFonts w:ascii="Arial" w:hAnsi="Arial" w:cs="Arial"/>
        </w:rPr>
      </w:pPr>
      <w:r w:rsidRPr="00495ADB">
        <w:rPr>
          <w:rFonts w:ascii="Arial" w:hAnsi="Arial" w:cs="Arial"/>
        </w:rPr>
        <w:t>• Grammar and spelling review.</w:t>
      </w:r>
    </w:p>
    <w:p w14:paraId="2FF2B8E1" w14:textId="77777777" w:rsidR="00D00D6C" w:rsidRPr="00495ADB" w:rsidRDefault="00D00D6C" w:rsidP="00D00D6C">
      <w:pPr>
        <w:jc w:val="both"/>
        <w:rPr>
          <w:rFonts w:ascii="Arial" w:hAnsi="Arial" w:cs="Arial"/>
        </w:rPr>
      </w:pPr>
      <w:r w:rsidRPr="00495ADB">
        <w:rPr>
          <w:rFonts w:ascii="Arial" w:hAnsi="Arial" w:cs="Arial"/>
        </w:rPr>
        <w:t>• Support in formatting according to editorial standards.</w:t>
      </w:r>
    </w:p>
    <w:p w14:paraId="0DAB543A" w14:textId="77777777" w:rsidR="00D00D6C" w:rsidRPr="00495ADB" w:rsidRDefault="00D00D6C" w:rsidP="00D00D6C">
      <w:pPr>
        <w:jc w:val="both"/>
        <w:rPr>
          <w:rFonts w:ascii="Arial" w:hAnsi="Arial" w:cs="Arial"/>
        </w:rPr>
      </w:pPr>
    </w:p>
    <w:p w14:paraId="00CAE94D" w14:textId="77777777" w:rsidR="00D00D6C" w:rsidRPr="00495ADB" w:rsidRDefault="00D00D6C" w:rsidP="00D00D6C">
      <w:pPr>
        <w:jc w:val="both"/>
        <w:rPr>
          <w:rFonts w:ascii="Arial" w:hAnsi="Arial" w:cs="Arial"/>
          <w:b/>
          <w:bCs/>
        </w:rPr>
      </w:pPr>
      <w:r w:rsidRPr="00495ADB">
        <w:rPr>
          <w:rFonts w:ascii="Arial" w:hAnsi="Arial" w:cs="Arial"/>
          <w:b/>
          <w:bCs/>
        </w:rPr>
        <w:t>Input prompts provided to the AI (representative examples):</w:t>
      </w:r>
    </w:p>
    <w:p w14:paraId="0364D33E" w14:textId="77777777" w:rsidR="00D00D6C" w:rsidRPr="00495ADB" w:rsidRDefault="00D00D6C" w:rsidP="00D00D6C">
      <w:pPr>
        <w:jc w:val="both"/>
        <w:rPr>
          <w:rFonts w:ascii="Arial" w:hAnsi="Arial" w:cs="Arial"/>
        </w:rPr>
      </w:pPr>
      <w:r w:rsidRPr="00495ADB">
        <w:rPr>
          <w:rFonts w:ascii="Arial" w:hAnsi="Arial" w:cs="Arial"/>
        </w:rPr>
        <w:t>1. "Please translate the excerpt below from Portuguese into academic English."</w:t>
      </w:r>
    </w:p>
    <w:p w14:paraId="4E08A1B4" w14:textId="77777777" w:rsidR="00D00D6C" w:rsidRPr="00495ADB" w:rsidRDefault="00D00D6C" w:rsidP="00D00D6C">
      <w:pPr>
        <w:jc w:val="both"/>
        <w:rPr>
          <w:rFonts w:ascii="Arial" w:hAnsi="Arial" w:cs="Arial"/>
        </w:rPr>
      </w:pPr>
      <w:r w:rsidRPr="00495ADB">
        <w:rPr>
          <w:rFonts w:ascii="Arial" w:hAnsi="Arial" w:cs="Arial"/>
        </w:rPr>
        <w:t>2. "Revise this paragraph in English using clear and objective scientific language."</w:t>
      </w:r>
    </w:p>
    <w:p w14:paraId="3C3053DC" w14:textId="77777777" w:rsidR="00D00D6C" w:rsidRPr="00495ADB" w:rsidRDefault="00D00D6C" w:rsidP="00D00D6C">
      <w:pPr>
        <w:jc w:val="both"/>
        <w:rPr>
          <w:rFonts w:ascii="Arial" w:hAnsi="Arial" w:cs="Arial"/>
        </w:rPr>
      </w:pPr>
      <w:r w:rsidRPr="00495ADB">
        <w:rPr>
          <w:rFonts w:ascii="Arial" w:hAnsi="Arial" w:cs="Arial"/>
        </w:rPr>
        <w:t>3. "Rewrite this summary with fluidity and cohesion, maintaining the technical content."</w:t>
      </w:r>
    </w:p>
    <w:p w14:paraId="250DF4DE" w14:textId="77777777" w:rsidR="00D00D6C" w:rsidRPr="00495ADB" w:rsidRDefault="00D00D6C" w:rsidP="00D00D6C">
      <w:pPr>
        <w:jc w:val="both"/>
        <w:rPr>
          <w:rFonts w:ascii="Arial" w:hAnsi="Arial" w:cs="Arial"/>
        </w:rPr>
      </w:pPr>
      <w:r w:rsidRPr="00495ADB">
        <w:rPr>
          <w:rFonts w:ascii="Arial" w:hAnsi="Arial" w:cs="Arial"/>
        </w:rPr>
        <w:t>4. "Correct any grammatical errors and improve the academic style in the text below."</w:t>
      </w:r>
    </w:p>
    <w:p w14:paraId="2377A93D" w14:textId="77777777" w:rsidR="00D00D6C" w:rsidRPr="00495ADB" w:rsidRDefault="00D00D6C" w:rsidP="00D00D6C">
      <w:pPr>
        <w:jc w:val="both"/>
        <w:rPr>
          <w:rFonts w:ascii="Arial" w:hAnsi="Arial" w:cs="Arial"/>
        </w:rPr>
      </w:pPr>
      <w:r w:rsidRPr="00495ADB">
        <w:rPr>
          <w:rFonts w:ascii="Arial" w:hAnsi="Arial" w:cs="Arial"/>
        </w:rPr>
        <w:t>5. "Please provide an appropriate conclusion for this article on serological testing for dengue fever?"</w:t>
      </w:r>
    </w:p>
    <w:p w14:paraId="40A452AA" w14:textId="77777777" w:rsidR="00D00D6C" w:rsidRPr="00495ADB" w:rsidRDefault="00D00D6C" w:rsidP="00D00D6C">
      <w:pPr>
        <w:jc w:val="both"/>
        <w:rPr>
          <w:rFonts w:ascii="Arial" w:hAnsi="Arial" w:cs="Arial"/>
        </w:rPr>
      </w:pPr>
      <w:r w:rsidRPr="00495ADB">
        <w:rPr>
          <w:rFonts w:ascii="Arial" w:hAnsi="Arial" w:cs="Arial"/>
          <w:b/>
          <w:bCs/>
        </w:rPr>
        <w:t>Important</w:t>
      </w:r>
      <w:r w:rsidRPr="00495ADB">
        <w:rPr>
          <w:rFonts w:ascii="Arial" w:hAnsi="Arial" w:cs="Arial"/>
        </w:rPr>
        <w:t>:</w:t>
      </w:r>
    </w:p>
    <w:p w14:paraId="7B0424DD" w14:textId="77777777" w:rsidR="00D00D6C" w:rsidRPr="00495ADB" w:rsidRDefault="00D00D6C" w:rsidP="00D00D6C">
      <w:pPr>
        <w:jc w:val="both"/>
        <w:rPr>
          <w:rFonts w:ascii="Arial" w:hAnsi="Arial" w:cs="Arial"/>
        </w:rPr>
      </w:pPr>
      <w:r w:rsidRPr="00495ADB">
        <w:rPr>
          <w:rFonts w:ascii="Arial" w:hAnsi="Arial" w:cs="Arial"/>
        </w:rPr>
        <w:t>All production was subsequently reviewed by human authors with technical and scientific training in the field, who performed the appropriate validations, content corrections, and stylistic adjustments. The use of AI was limited to linguistic and editorial support, with no interference in data analysis, interpretation of results, or the</w:t>
      </w:r>
      <w:r w:rsidRPr="00495ADB">
        <w:rPr>
          <w:rFonts w:ascii="Arial" w:hAnsi="Arial" w:cs="Arial"/>
          <w:b/>
          <w:bCs/>
        </w:rPr>
        <w:t xml:space="preserve"> </w:t>
      </w:r>
      <w:r w:rsidRPr="00495ADB">
        <w:rPr>
          <w:rFonts w:ascii="Arial" w:hAnsi="Arial" w:cs="Arial"/>
        </w:rPr>
        <w:t>development of original</w:t>
      </w:r>
      <w:r w:rsidRPr="00495ADB">
        <w:rPr>
          <w:rFonts w:ascii="Arial" w:hAnsi="Arial" w:cs="Arial"/>
          <w:b/>
          <w:bCs/>
        </w:rPr>
        <w:t xml:space="preserve"> </w:t>
      </w:r>
      <w:r w:rsidRPr="00495ADB">
        <w:rPr>
          <w:rFonts w:ascii="Arial" w:hAnsi="Arial" w:cs="Arial"/>
        </w:rPr>
        <w:t>scientific content.</w:t>
      </w:r>
    </w:p>
    <w:p w14:paraId="7666C6B0" w14:textId="77777777" w:rsidR="00F478E4" w:rsidRDefault="00F478E4" w:rsidP="00AF3D1E">
      <w:pPr>
        <w:rPr>
          <w:b/>
          <w:bCs/>
        </w:rPr>
      </w:pPr>
    </w:p>
    <w:p w14:paraId="5EF02A4F" w14:textId="77777777" w:rsidR="00F478E4" w:rsidRDefault="00F478E4" w:rsidP="00AF3D1E">
      <w:pPr>
        <w:rPr>
          <w:b/>
          <w:bCs/>
        </w:rPr>
      </w:pPr>
    </w:p>
    <w:p w14:paraId="509ADDF6" w14:textId="77777777" w:rsidR="00F478E4" w:rsidRDefault="00F478E4" w:rsidP="00AF3D1E">
      <w:pPr>
        <w:rPr>
          <w:b/>
          <w:bCs/>
        </w:rPr>
      </w:pPr>
    </w:p>
    <w:p w14:paraId="78309346" w14:textId="3E940BF0" w:rsidR="00AF3D1E" w:rsidRPr="00DF5115" w:rsidRDefault="00AF3D1E" w:rsidP="00AF3D1E">
      <w:pPr>
        <w:rPr>
          <w:b/>
          <w:bCs/>
        </w:rPr>
      </w:pPr>
      <w:r w:rsidRPr="00DF5115">
        <w:rPr>
          <w:b/>
          <w:bCs/>
        </w:rPr>
        <w:t>REFERÊNCIAS</w:t>
      </w:r>
    </w:p>
    <w:p w14:paraId="59100A32" w14:textId="77777777" w:rsidR="00B065C9" w:rsidRPr="00DF5115" w:rsidRDefault="00B065C9" w:rsidP="007A2143">
      <w:pPr>
        <w:ind w:left="360"/>
        <w:jc w:val="both"/>
      </w:pPr>
    </w:p>
    <w:p w14:paraId="46E25AB0" w14:textId="212B7F84" w:rsidR="004D1B15" w:rsidRPr="008014F3" w:rsidRDefault="004D1B15" w:rsidP="004D1B15">
      <w:pPr>
        <w:jc w:val="both"/>
        <w:rPr>
          <w:rFonts w:ascii="Arial" w:hAnsi="Arial" w:cs="Arial"/>
          <w:sz w:val="20"/>
          <w:szCs w:val="20"/>
        </w:rPr>
      </w:pPr>
      <w:proofErr w:type="spellStart"/>
      <w:r w:rsidRPr="008014F3">
        <w:rPr>
          <w:rFonts w:ascii="Arial" w:hAnsi="Arial" w:cs="Arial"/>
          <w:sz w:val="20"/>
          <w:szCs w:val="20"/>
        </w:rPr>
        <w:t>Arankalle</w:t>
      </w:r>
      <w:proofErr w:type="spellEnd"/>
      <w:r w:rsidRPr="008014F3">
        <w:rPr>
          <w:rFonts w:ascii="Arial" w:hAnsi="Arial" w:cs="Arial"/>
          <w:sz w:val="20"/>
          <w:szCs w:val="20"/>
        </w:rPr>
        <w:t xml:space="preserve"> V, et al. Dengue in Pune city, India (2017–2019). </w:t>
      </w:r>
      <w:r w:rsidRPr="008014F3">
        <w:rPr>
          <w:rFonts w:ascii="Arial" w:hAnsi="Arial" w:cs="Arial"/>
          <w:i/>
          <w:iCs/>
          <w:sz w:val="20"/>
          <w:szCs w:val="20"/>
        </w:rPr>
        <w:t>Front Public Health</w:t>
      </w:r>
      <w:r w:rsidRPr="008014F3">
        <w:rPr>
          <w:rFonts w:ascii="Arial" w:hAnsi="Arial" w:cs="Arial"/>
          <w:sz w:val="20"/>
          <w:szCs w:val="20"/>
        </w:rPr>
        <w:t xml:space="preserve">. </w:t>
      </w:r>
      <w:proofErr w:type="gramStart"/>
      <w:r w:rsidRPr="008014F3">
        <w:rPr>
          <w:rFonts w:ascii="Arial" w:hAnsi="Arial" w:cs="Arial"/>
          <w:sz w:val="20"/>
          <w:szCs w:val="20"/>
        </w:rPr>
        <w:t>2024;12:1354510</w:t>
      </w:r>
      <w:proofErr w:type="gramEnd"/>
      <w:r w:rsidRPr="008014F3">
        <w:rPr>
          <w:rFonts w:ascii="Arial" w:hAnsi="Arial" w:cs="Arial"/>
          <w:sz w:val="20"/>
          <w:szCs w:val="20"/>
        </w:rPr>
        <w:t>.</w:t>
      </w:r>
      <w:r w:rsidR="00CB7A46" w:rsidRPr="008014F3">
        <w:rPr>
          <w:rFonts w:ascii="Arial" w:hAnsi="Arial" w:cs="Arial"/>
          <w:sz w:val="20"/>
          <w:szCs w:val="20"/>
        </w:rPr>
        <w:t xml:space="preserve"> In https://www.frontiersin.org/journals/public-health/articles/10.3389/fpubh.2024.1354510/full.</w:t>
      </w:r>
    </w:p>
    <w:p w14:paraId="74BDE2A2" w14:textId="73F53628" w:rsidR="004D1B15" w:rsidRPr="008014F3" w:rsidRDefault="004D1B15" w:rsidP="004D1B15">
      <w:pPr>
        <w:jc w:val="both"/>
        <w:rPr>
          <w:rFonts w:ascii="Arial" w:hAnsi="Arial" w:cs="Arial"/>
          <w:sz w:val="20"/>
          <w:szCs w:val="20"/>
        </w:rPr>
      </w:pPr>
      <w:r w:rsidRPr="008014F3">
        <w:rPr>
          <w:rFonts w:ascii="Arial" w:hAnsi="Arial" w:cs="Arial"/>
          <w:sz w:val="20"/>
          <w:szCs w:val="20"/>
        </w:rPr>
        <w:t xml:space="preserve">Arruda VO, et al. Aptamer colorimetric RT-LAMP for DENV. </w:t>
      </w:r>
      <w:r w:rsidRPr="008014F3">
        <w:rPr>
          <w:rFonts w:ascii="Arial" w:hAnsi="Arial" w:cs="Arial"/>
          <w:i/>
          <w:iCs/>
          <w:sz w:val="20"/>
          <w:szCs w:val="20"/>
        </w:rPr>
        <w:t xml:space="preserve">Microbiol </w:t>
      </w:r>
      <w:proofErr w:type="spellStart"/>
      <w:r w:rsidRPr="008014F3">
        <w:rPr>
          <w:rFonts w:ascii="Arial" w:hAnsi="Arial" w:cs="Arial"/>
          <w:i/>
          <w:iCs/>
          <w:sz w:val="20"/>
          <w:szCs w:val="20"/>
        </w:rPr>
        <w:t>Spectr</w:t>
      </w:r>
      <w:proofErr w:type="spellEnd"/>
      <w:r w:rsidRPr="008014F3">
        <w:rPr>
          <w:rFonts w:ascii="Arial" w:hAnsi="Arial" w:cs="Arial"/>
          <w:sz w:val="20"/>
          <w:szCs w:val="20"/>
        </w:rPr>
        <w:t>. 2024;12(9</w:t>
      </w:r>
      <w:proofErr w:type="gramStart"/>
      <w:r w:rsidRPr="008014F3">
        <w:rPr>
          <w:rFonts w:ascii="Arial" w:hAnsi="Arial" w:cs="Arial"/>
          <w:sz w:val="20"/>
          <w:szCs w:val="20"/>
        </w:rPr>
        <w:t>):e</w:t>
      </w:r>
      <w:proofErr w:type="gramEnd"/>
      <w:r w:rsidRPr="008014F3">
        <w:rPr>
          <w:rFonts w:ascii="Arial" w:hAnsi="Arial" w:cs="Arial"/>
          <w:sz w:val="20"/>
          <w:szCs w:val="20"/>
        </w:rPr>
        <w:t>03583-23.</w:t>
      </w:r>
      <w:r w:rsidR="00CB7A46" w:rsidRPr="008014F3">
        <w:rPr>
          <w:rFonts w:ascii="Arial" w:hAnsi="Arial" w:cs="Arial"/>
          <w:sz w:val="20"/>
          <w:szCs w:val="20"/>
        </w:rPr>
        <w:t xml:space="preserve"> In https://journals.asm.org/doi/full/10.1128/spectrum.03583-23.</w:t>
      </w:r>
    </w:p>
    <w:p w14:paraId="33AC52BE" w14:textId="02334A5B" w:rsidR="004D1B15" w:rsidRPr="008014F3" w:rsidRDefault="004D1B15" w:rsidP="004D1B15">
      <w:pPr>
        <w:jc w:val="both"/>
        <w:rPr>
          <w:rFonts w:ascii="Arial" w:hAnsi="Arial" w:cs="Arial"/>
          <w:sz w:val="20"/>
          <w:szCs w:val="20"/>
        </w:rPr>
      </w:pPr>
      <w:r w:rsidRPr="008014F3">
        <w:rPr>
          <w:rFonts w:ascii="Arial" w:hAnsi="Arial" w:cs="Arial"/>
          <w:sz w:val="20"/>
          <w:szCs w:val="20"/>
        </w:rPr>
        <w:t xml:space="preserve">Day ME, et al. CBC values during dengue epidemic in Dominican Republic. </w:t>
      </w:r>
      <w:r w:rsidRPr="008014F3">
        <w:rPr>
          <w:rFonts w:ascii="Arial" w:hAnsi="Arial" w:cs="Arial"/>
          <w:i/>
          <w:iCs/>
          <w:sz w:val="20"/>
          <w:szCs w:val="20"/>
        </w:rPr>
        <w:t>Biomed Res Int</w:t>
      </w:r>
      <w:r w:rsidRPr="008014F3">
        <w:rPr>
          <w:rFonts w:ascii="Arial" w:hAnsi="Arial" w:cs="Arial"/>
          <w:sz w:val="20"/>
          <w:szCs w:val="20"/>
        </w:rPr>
        <w:t>. 2024;2024(1):3716786.</w:t>
      </w:r>
      <w:r w:rsidR="00CB7A46" w:rsidRPr="008014F3">
        <w:rPr>
          <w:rFonts w:ascii="Arial" w:hAnsi="Arial" w:cs="Arial"/>
          <w:sz w:val="20"/>
          <w:szCs w:val="20"/>
        </w:rPr>
        <w:t xml:space="preserve"> In </w:t>
      </w:r>
      <w:hyperlink r:id="rId9" w:history="1">
        <w:r w:rsidR="008014F3" w:rsidRPr="008014F3">
          <w:rPr>
            <w:rStyle w:val="Hyperlink"/>
            <w:rFonts w:ascii="Arial" w:hAnsi="Arial" w:cs="Arial"/>
            <w:color w:val="auto"/>
            <w:sz w:val="20"/>
            <w:szCs w:val="20"/>
            <w:u w:val="none"/>
          </w:rPr>
          <w:t>https://www.sciencedirect.com/science/article/</w:t>
        </w:r>
      </w:hyperlink>
      <w:r w:rsidR="00CB7A46" w:rsidRPr="008014F3">
        <w:rPr>
          <w:rFonts w:ascii="Arial" w:hAnsi="Arial" w:cs="Arial"/>
          <w:sz w:val="20"/>
          <w:szCs w:val="20"/>
        </w:rPr>
        <w:t>pii/</w:t>
      </w:r>
      <w:r w:rsidR="008014F3" w:rsidRPr="008014F3">
        <w:rPr>
          <w:rFonts w:ascii="Arial" w:hAnsi="Arial" w:cs="Arial"/>
          <w:sz w:val="20"/>
          <w:szCs w:val="20"/>
        </w:rPr>
        <w:t xml:space="preserve"> </w:t>
      </w:r>
      <w:r w:rsidR="00CB7A46" w:rsidRPr="008014F3">
        <w:rPr>
          <w:rFonts w:ascii="Arial" w:hAnsi="Arial" w:cs="Arial"/>
          <w:sz w:val="20"/>
          <w:szCs w:val="20"/>
        </w:rPr>
        <w:t>S2352340925003944.</w:t>
      </w:r>
      <w:r w:rsidR="008014F3" w:rsidRPr="008014F3">
        <w:rPr>
          <w:rFonts w:ascii="Arial" w:hAnsi="Arial" w:cs="Arial"/>
          <w:sz w:val="20"/>
          <w:szCs w:val="20"/>
        </w:rPr>
        <w:t xml:space="preserve"> </w:t>
      </w:r>
      <w:hyperlink r:id="rId10" w:tgtFrame="_blank" w:tooltip="Persistent link using digital object identifier" w:history="1">
        <w:r w:rsidR="008014F3" w:rsidRPr="008014F3">
          <w:rPr>
            <w:rStyle w:val="Hyperlink"/>
            <w:rFonts w:ascii="Arial" w:hAnsi="Arial" w:cs="Arial"/>
            <w:color w:val="auto"/>
            <w:sz w:val="20"/>
            <w:szCs w:val="20"/>
            <w:u w:val="none"/>
          </w:rPr>
          <w:t>https://doi.org/10.1016/j.dib.2025.111664</w:t>
        </w:r>
      </w:hyperlink>
    </w:p>
    <w:p w14:paraId="74EF2075" w14:textId="648B7EB1" w:rsidR="004D1B15" w:rsidRPr="008014F3" w:rsidRDefault="004D1B15" w:rsidP="004D1B15">
      <w:pPr>
        <w:jc w:val="both"/>
        <w:rPr>
          <w:rFonts w:ascii="Arial" w:hAnsi="Arial" w:cs="Arial"/>
          <w:sz w:val="20"/>
          <w:szCs w:val="20"/>
        </w:rPr>
      </w:pPr>
      <w:r w:rsidRPr="008014F3">
        <w:rPr>
          <w:rFonts w:ascii="Arial" w:hAnsi="Arial" w:cs="Arial"/>
          <w:sz w:val="20"/>
          <w:szCs w:val="20"/>
        </w:rPr>
        <w:t xml:space="preserve">Hasan MR, et al. QR-enabled multiplex-immunosensor for DENV. </w:t>
      </w:r>
      <w:proofErr w:type="spellStart"/>
      <w:r w:rsidRPr="008014F3">
        <w:rPr>
          <w:rFonts w:ascii="Arial" w:hAnsi="Arial" w:cs="Arial"/>
          <w:i/>
          <w:iCs/>
          <w:sz w:val="20"/>
          <w:szCs w:val="20"/>
        </w:rPr>
        <w:t>Biosens</w:t>
      </w:r>
      <w:proofErr w:type="spellEnd"/>
      <w:r w:rsidRPr="008014F3">
        <w:rPr>
          <w:rFonts w:ascii="Arial" w:hAnsi="Arial" w:cs="Arial"/>
          <w:i/>
          <w:iCs/>
          <w:sz w:val="20"/>
          <w:szCs w:val="20"/>
        </w:rPr>
        <w:t xml:space="preserve"> </w:t>
      </w:r>
      <w:proofErr w:type="spellStart"/>
      <w:r w:rsidRPr="008014F3">
        <w:rPr>
          <w:rFonts w:ascii="Arial" w:hAnsi="Arial" w:cs="Arial"/>
          <w:i/>
          <w:iCs/>
          <w:sz w:val="20"/>
          <w:szCs w:val="20"/>
        </w:rPr>
        <w:t>Bioelectron</w:t>
      </w:r>
      <w:proofErr w:type="spellEnd"/>
      <w:r w:rsidRPr="008014F3">
        <w:rPr>
          <w:rFonts w:ascii="Arial" w:hAnsi="Arial" w:cs="Arial"/>
          <w:sz w:val="20"/>
          <w:szCs w:val="20"/>
        </w:rPr>
        <w:t xml:space="preserve">. </w:t>
      </w:r>
      <w:proofErr w:type="gramStart"/>
      <w:r w:rsidRPr="008014F3">
        <w:rPr>
          <w:rFonts w:ascii="Arial" w:hAnsi="Arial" w:cs="Arial"/>
          <w:sz w:val="20"/>
          <w:szCs w:val="20"/>
        </w:rPr>
        <w:t>2024;263:116561</w:t>
      </w:r>
      <w:proofErr w:type="gramEnd"/>
      <w:r w:rsidRPr="008014F3">
        <w:rPr>
          <w:rFonts w:ascii="Arial" w:hAnsi="Arial" w:cs="Arial"/>
          <w:sz w:val="20"/>
          <w:szCs w:val="20"/>
        </w:rPr>
        <w:t>.</w:t>
      </w:r>
      <w:r w:rsidR="00CB7A46" w:rsidRPr="008014F3">
        <w:rPr>
          <w:rFonts w:ascii="Arial" w:hAnsi="Arial" w:cs="Arial"/>
          <w:sz w:val="20"/>
          <w:szCs w:val="20"/>
        </w:rPr>
        <w:t xml:space="preserve"> </w:t>
      </w:r>
      <w:r w:rsidR="008014F3" w:rsidRPr="008014F3">
        <w:rPr>
          <w:rFonts w:ascii="Arial" w:hAnsi="Arial" w:cs="Arial"/>
          <w:sz w:val="20"/>
          <w:szCs w:val="20"/>
        </w:rPr>
        <w:t xml:space="preserve">In </w:t>
      </w:r>
      <w:hyperlink r:id="rId11" w:history="1">
        <w:r w:rsidR="008014F3" w:rsidRPr="008014F3">
          <w:rPr>
            <w:rStyle w:val="Hyperlink"/>
            <w:rFonts w:ascii="Arial" w:hAnsi="Arial" w:cs="Arial"/>
            <w:color w:val="auto"/>
            <w:sz w:val="20"/>
            <w:szCs w:val="20"/>
            <w:u w:val="none"/>
          </w:rPr>
          <w:t>https://www.sciencedirect.com/science/article/abs/pii/</w:t>
        </w:r>
      </w:hyperlink>
      <w:r w:rsidR="008014F3" w:rsidRPr="008014F3">
        <w:rPr>
          <w:rFonts w:ascii="Arial" w:hAnsi="Arial" w:cs="Arial"/>
          <w:sz w:val="20"/>
          <w:szCs w:val="20"/>
        </w:rPr>
        <w:t xml:space="preserve"> </w:t>
      </w:r>
      <w:r w:rsidR="00CB7A46" w:rsidRPr="008014F3">
        <w:rPr>
          <w:rFonts w:ascii="Arial" w:hAnsi="Arial" w:cs="Arial"/>
          <w:sz w:val="20"/>
          <w:szCs w:val="20"/>
        </w:rPr>
        <w:t>S0956566324005669.</w:t>
      </w:r>
      <w:r w:rsidR="008014F3" w:rsidRPr="008014F3">
        <w:rPr>
          <w:rFonts w:ascii="Arial" w:hAnsi="Arial" w:cs="Arial"/>
          <w:sz w:val="20"/>
          <w:szCs w:val="20"/>
        </w:rPr>
        <w:t xml:space="preserve"> </w:t>
      </w:r>
      <w:hyperlink r:id="rId12" w:tgtFrame="_blank" w:tooltip="Persistent link using digital object identifier" w:history="1">
        <w:r w:rsidR="008014F3" w:rsidRPr="008014F3">
          <w:rPr>
            <w:rStyle w:val="Hyperlink"/>
            <w:rFonts w:ascii="Arial" w:hAnsi="Arial" w:cs="Arial"/>
            <w:color w:val="auto"/>
            <w:sz w:val="20"/>
            <w:szCs w:val="20"/>
            <w:u w:val="none"/>
          </w:rPr>
          <w:t>https://doi.org/10.1016/j.bios.2024.116561</w:t>
        </w:r>
      </w:hyperlink>
    </w:p>
    <w:p w14:paraId="17E87C6F" w14:textId="3AFCB1DF" w:rsidR="008014F3" w:rsidRPr="008014F3" w:rsidRDefault="004D1B15" w:rsidP="004D1B15">
      <w:pPr>
        <w:jc w:val="both"/>
        <w:rPr>
          <w:rFonts w:ascii="Arial" w:hAnsi="Arial" w:cs="Arial"/>
          <w:sz w:val="20"/>
          <w:szCs w:val="20"/>
        </w:rPr>
      </w:pPr>
      <w:r w:rsidRPr="008014F3">
        <w:rPr>
          <w:rFonts w:ascii="Arial" w:hAnsi="Arial" w:cs="Arial"/>
          <w:sz w:val="20"/>
          <w:szCs w:val="20"/>
        </w:rPr>
        <w:t xml:space="preserve">Hossain F, et al. </w:t>
      </w:r>
      <w:r w:rsidR="008014F3" w:rsidRPr="008014F3">
        <w:rPr>
          <w:rFonts w:ascii="Arial" w:hAnsi="Arial" w:cs="Arial"/>
          <w:sz w:val="20"/>
          <w:szCs w:val="20"/>
        </w:rPr>
        <w:t>Evaluating a rapid molecular assay in a mobile laboratory for improved diagnosis of dengue in Bangladesh</w:t>
      </w:r>
      <w:r w:rsidRPr="008014F3">
        <w:rPr>
          <w:rFonts w:ascii="Arial" w:hAnsi="Arial" w:cs="Arial"/>
          <w:sz w:val="20"/>
          <w:szCs w:val="20"/>
        </w:rPr>
        <w:t xml:space="preserve">. </w:t>
      </w:r>
      <w:r w:rsidRPr="008014F3">
        <w:rPr>
          <w:rFonts w:ascii="Arial" w:hAnsi="Arial" w:cs="Arial"/>
          <w:i/>
          <w:iCs/>
          <w:sz w:val="20"/>
          <w:szCs w:val="20"/>
        </w:rPr>
        <w:t>Int J Infect Dis</w:t>
      </w:r>
      <w:r w:rsidRPr="008014F3">
        <w:rPr>
          <w:rFonts w:ascii="Arial" w:hAnsi="Arial" w:cs="Arial"/>
          <w:sz w:val="20"/>
          <w:szCs w:val="20"/>
        </w:rPr>
        <w:t xml:space="preserve">. </w:t>
      </w:r>
      <w:proofErr w:type="gramStart"/>
      <w:r w:rsidRPr="008014F3">
        <w:rPr>
          <w:rFonts w:ascii="Arial" w:hAnsi="Arial" w:cs="Arial"/>
          <w:sz w:val="20"/>
          <w:szCs w:val="20"/>
        </w:rPr>
        <w:t>2025;150:107299</w:t>
      </w:r>
      <w:proofErr w:type="gramEnd"/>
      <w:r w:rsidRPr="008014F3">
        <w:rPr>
          <w:rFonts w:ascii="Arial" w:hAnsi="Arial" w:cs="Arial"/>
          <w:sz w:val="20"/>
          <w:szCs w:val="20"/>
        </w:rPr>
        <w:t>.</w:t>
      </w:r>
      <w:r w:rsidR="00CB7A46" w:rsidRPr="008014F3">
        <w:rPr>
          <w:rFonts w:ascii="Arial" w:hAnsi="Arial" w:cs="Arial"/>
          <w:sz w:val="20"/>
          <w:szCs w:val="20"/>
        </w:rPr>
        <w:t xml:space="preserve"> In </w:t>
      </w:r>
      <w:hyperlink r:id="rId13" w:history="1">
        <w:r w:rsidR="008014F3" w:rsidRPr="008014F3">
          <w:rPr>
            <w:rStyle w:val="Hyperlink"/>
            <w:rFonts w:ascii="Arial" w:hAnsi="Arial" w:cs="Arial"/>
            <w:color w:val="auto"/>
            <w:sz w:val="20"/>
            <w:szCs w:val="20"/>
            <w:u w:val="none"/>
          </w:rPr>
          <w:t>https://www.sciencedirect.com/science/article/pii/S1201971224003758</w:t>
        </w:r>
      </w:hyperlink>
      <w:r w:rsidR="008014F3" w:rsidRPr="008014F3">
        <w:rPr>
          <w:rFonts w:ascii="Arial" w:hAnsi="Arial" w:cs="Arial"/>
          <w:sz w:val="20"/>
          <w:szCs w:val="20"/>
        </w:rPr>
        <w:t xml:space="preserve"> https://doi.org/10.1016/j.ijid.2024.107299 </w:t>
      </w:r>
    </w:p>
    <w:p w14:paraId="34F83A4C" w14:textId="51621B56" w:rsidR="004D1B15" w:rsidRPr="009D605E" w:rsidRDefault="004D1B15" w:rsidP="004D1B15">
      <w:pPr>
        <w:jc w:val="both"/>
        <w:rPr>
          <w:rFonts w:ascii="Arial" w:hAnsi="Arial" w:cs="Arial"/>
          <w:sz w:val="20"/>
          <w:szCs w:val="20"/>
        </w:rPr>
      </w:pPr>
      <w:r w:rsidRPr="009D605E">
        <w:rPr>
          <w:rFonts w:ascii="Arial" w:hAnsi="Arial" w:cs="Arial"/>
          <w:sz w:val="20"/>
          <w:szCs w:val="20"/>
        </w:rPr>
        <w:t xml:space="preserve">Jama SS, et al. Dengue outbreak in Puntland, Somalia. </w:t>
      </w:r>
      <w:r w:rsidRPr="009D605E">
        <w:rPr>
          <w:rFonts w:ascii="Arial" w:hAnsi="Arial" w:cs="Arial"/>
          <w:i/>
          <w:iCs/>
          <w:sz w:val="20"/>
          <w:szCs w:val="20"/>
        </w:rPr>
        <w:t>BMC Infect Dis</w:t>
      </w:r>
      <w:r w:rsidRPr="009D605E">
        <w:rPr>
          <w:rFonts w:ascii="Arial" w:hAnsi="Arial" w:cs="Arial"/>
          <w:sz w:val="20"/>
          <w:szCs w:val="20"/>
        </w:rPr>
        <w:t>. 2024;24(1):735.</w:t>
      </w:r>
      <w:r w:rsidR="00332A76" w:rsidRPr="009D605E">
        <w:rPr>
          <w:rFonts w:ascii="Arial" w:hAnsi="Arial" w:cs="Arial"/>
          <w:sz w:val="20"/>
          <w:szCs w:val="20"/>
        </w:rPr>
        <w:t xml:space="preserve"> In </w:t>
      </w:r>
      <w:hyperlink r:id="rId14" w:history="1">
        <w:r w:rsidR="009D605E" w:rsidRPr="009D605E">
          <w:rPr>
            <w:rStyle w:val="Hyperlink"/>
            <w:rFonts w:ascii="Arial" w:hAnsi="Arial" w:cs="Arial"/>
            <w:color w:val="auto"/>
            <w:sz w:val="20"/>
            <w:szCs w:val="20"/>
            <w:u w:val="none"/>
          </w:rPr>
          <w:t>https://link.springer.com/article/10.1186/s12879-024-09552-1</w:t>
        </w:r>
      </w:hyperlink>
      <w:r w:rsidR="009D605E" w:rsidRPr="009D605E">
        <w:rPr>
          <w:rFonts w:ascii="Arial" w:hAnsi="Arial" w:cs="Arial"/>
          <w:sz w:val="20"/>
          <w:szCs w:val="20"/>
        </w:rPr>
        <w:t>. https://doi.org/10.1186/s12879-024-09552-1</w:t>
      </w:r>
    </w:p>
    <w:p w14:paraId="31E13D64" w14:textId="3EF88351" w:rsidR="004D1B15" w:rsidRPr="009D605E" w:rsidRDefault="004D1B15" w:rsidP="004D1B15">
      <w:pPr>
        <w:jc w:val="both"/>
        <w:rPr>
          <w:rFonts w:ascii="Arial" w:hAnsi="Arial" w:cs="Arial"/>
          <w:sz w:val="20"/>
          <w:szCs w:val="20"/>
        </w:rPr>
      </w:pPr>
      <w:proofErr w:type="spellStart"/>
      <w:r w:rsidRPr="009D605E">
        <w:rPr>
          <w:rFonts w:ascii="Arial" w:hAnsi="Arial" w:cs="Arial"/>
          <w:sz w:val="20"/>
          <w:szCs w:val="20"/>
        </w:rPr>
        <w:t>Kinanti</w:t>
      </w:r>
      <w:proofErr w:type="spellEnd"/>
      <w:r w:rsidRPr="009D605E">
        <w:rPr>
          <w:rFonts w:ascii="Arial" w:hAnsi="Arial" w:cs="Arial"/>
          <w:sz w:val="20"/>
          <w:szCs w:val="20"/>
        </w:rPr>
        <w:t xml:space="preserve"> DR, et al. Evaluation of in-house dengue real-time PCR in Indonesia. </w:t>
      </w:r>
      <w:proofErr w:type="spellStart"/>
      <w:r w:rsidRPr="009D605E">
        <w:rPr>
          <w:rFonts w:ascii="Arial" w:hAnsi="Arial" w:cs="Arial"/>
          <w:i/>
          <w:iCs/>
          <w:sz w:val="20"/>
          <w:szCs w:val="20"/>
        </w:rPr>
        <w:t>PeerJ</w:t>
      </w:r>
      <w:proofErr w:type="spellEnd"/>
      <w:r w:rsidRPr="009D605E">
        <w:rPr>
          <w:rFonts w:ascii="Arial" w:hAnsi="Arial" w:cs="Arial"/>
          <w:sz w:val="20"/>
          <w:szCs w:val="20"/>
        </w:rPr>
        <w:t>. 2024;</w:t>
      </w:r>
      <w:proofErr w:type="gramStart"/>
      <w:r w:rsidRPr="009D605E">
        <w:rPr>
          <w:rFonts w:ascii="Arial" w:hAnsi="Arial" w:cs="Arial"/>
          <w:sz w:val="20"/>
          <w:szCs w:val="20"/>
        </w:rPr>
        <w:t>12:e</w:t>
      </w:r>
      <w:proofErr w:type="gramEnd"/>
      <w:r w:rsidRPr="009D605E">
        <w:rPr>
          <w:rFonts w:ascii="Arial" w:hAnsi="Arial" w:cs="Arial"/>
          <w:sz w:val="20"/>
          <w:szCs w:val="20"/>
        </w:rPr>
        <w:t>17758.</w:t>
      </w:r>
      <w:r w:rsidR="00332A76" w:rsidRPr="009D605E">
        <w:rPr>
          <w:rFonts w:ascii="Arial" w:hAnsi="Arial" w:cs="Arial"/>
          <w:sz w:val="20"/>
          <w:szCs w:val="20"/>
        </w:rPr>
        <w:t xml:space="preserve"> In </w:t>
      </w:r>
      <w:hyperlink r:id="rId15" w:history="1">
        <w:r w:rsidR="00E71461" w:rsidRPr="009D605E">
          <w:rPr>
            <w:rStyle w:val="Hyperlink"/>
            <w:rFonts w:ascii="Arial" w:hAnsi="Arial" w:cs="Arial"/>
            <w:color w:val="auto"/>
            <w:sz w:val="20"/>
            <w:szCs w:val="20"/>
            <w:u w:val="none"/>
          </w:rPr>
          <w:t>https://peerj.com/articles/17758/</w:t>
        </w:r>
      </w:hyperlink>
      <w:r w:rsidR="00E71461" w:rsidRPr="009D605E">
        <w:rPr>
          <w:rFonts w:ascii="Arial" w:hAnsi="Arial" w:cs="Arial"/>
          <w:sz w:val="20"/>
          <w:szCs w:val="20"/>
        </w:rPr>
        <w:t>.</w:t>
      </w:r>
      <w:r w:rsidR="009D605E" w:rsidRPr="009D605E">
        <w:rPr>
          <w:rFonts w:ascii="Arial" w:hAnsi="Arial" w:cs="Arial"/>
          <w:sz w:val="20"/>
          <w:szCs w:val="20"/>
        </w:rPr>
        <w:t xml:space="preserve"> https://doi.org/10.7717/peerj.17758</w:t>
      </w:r>
    </w:p>
    <w:p w14:paraId="0876FA80" w14:textId="467F4ECC" w:rsidR="00E71461" w:rsidRPr="009D605E" w:rsidRDefault="00E71461" w:rsidP="00E71461">
      <w:pPr>
        <w:spacing w:after="0" w:line="240" w:lineRule="auto"/>
        <w:jc w:val="both"/>
        <w:rPr>
          <w:rFonts w:ascii="Arial" w:hAnsi="Arial" w:cs="Arial"/>
          <w:sz w:val="20"/>
          <w:szCs w:val="20"/>
          <w:lang w:val="pt-BR"/>
        </w:rPr>
      </w:pPr>
      <w:r w:rsidRPr="009D605E">
        <w:rPr>
          <w:rFonts w:ascii="Arial" w:hAnsi="Arial" w:cs="Arial"/>
          <w:sz w:val="20"/>
          <w:szCs w:val="20"/>
        </w:rPr>
        <w:t>Mohapatra, Diksha, et al. "Concordance of Dengue viral load with disease severity and different clinical manifestations: A Systematic Review and Meta-Analysis." </w:t>
      </w:r>
      <w:r w:rsidRPr="009D605E">
        <w:rPr>
          <w:rFonts w:ascii="Arial" w:hAnsi="Arial" w:cs="Arial"/>
          <w:i/>
          <w:iCs/>
          <w:sz w:val="20"/>
          <w:szCs w:val="20"/>
        </w:rPr>
        <w:t>Indian Journal of Medical Microbiology</w:t>
      </w:r>
      <w:r w:rsidRPr="009D605E">
        <w:rPr>
          <w:rFonts w:ascii="Arial" w:hAnsi="Arial" w:cs="Arial"/>
          <w:sz w:val="20"/>
          <w:szCs w:val="20"/>
        </w:rPr>
        <w:t> (2025): 100852.</w:t>
      </w:r>
      <w:r w:rsidR="009D605E" w:rsidRPr="009D605E">
        <w:rPr>
          <w:rFonts w:ascii="Arial" w:hAnsi="Arial" w:cs="Arial"/>
          <w:sz w:val="20"/>
          <w:szCs w:val="20"/>
        </w:rPr>
        <w:t xml:space="preserve"> In </w:t>
      </w:r>
      <w:r w:rsidRPr="009D605E">
        <w:rPr>
          <w:rFonts w:ascii="Arial" w:hAnsi="Arial" w:cs="Arial"/>
          <w:sz w:val="20"/>
          <w:szCs w:val="20"/>
        </w:rPr>
        <w:t xml:space="preserve"> </w:t>
      </w:r>
      <w:hyperlink r:id="rId16" w:tgtFrame="_blank" w:history="1">
        <w:r w:rsidRPr="009D605E">
          <w:rPr>
            <w:rStyle w:val="Hyperlink"/>
            <w:rFonts w:ascii="Arial" w:hAnsi="Arial" w:cs="Arial"/>
            <w:color w:val="auto"/>
            <w:sz w:val="20"/>
            <w:szCs w:val="20"/>
            <w:u w:val="none"/>
            <w:lang w:val="pt-BR"/>
          </w:rPr>
          <w:t>10.1016/j.ijmmb.2025.100852</w:t>
        </w:r>
      </w:hyperlink>
      <w:r w:rsidR="009D605E" w:rsidRPr="009D605E">
        <w:rPr>
          <w:rFonts w:ascii="Arial" w:hAnsi="Arial" w:cs="Arial"/>
          <w:sz w:val="20"/>
          <w:szCs w:val="20"/>
        </w:rPr>
        <w:t xml:space="preserve">. </w:t>
      </w:r>
      <w:hyperlink r:id="rId17" w:tgtFrame="_blank" w:tooltip="Persistent link using digital object identifier" w:history="1">
        <w:r w:rsidR="009D605E" w:rsidRPr="009D605E">
          <w:rPr>
            <w:rStyle w:val="Hyperlink"/>
            <w:rFonts w:ascii="Arial" w:hAnsi="Arial" w:cs="Arial"/>
            <w:color w:val="auto"/>
            <w:sz w:val="20"/>
            <w:szCs w:val="20"/>
            <w:u w:val="none"/>
          </w:rPr>
          <w:t>https://doi.org/10.1016/j.ijmmb.2025.100852</w:t>
        </w:r>
      </w:hyperlink>
    </w:p>
    <w:p w14:paraId="450C8094" w14:textId="77777777" w:rsidR="009D605E" w:rsidRDefault="009D605E" w:rsidP="004D1B15">
      <w:pPr>
        <w:jc w:val="both"/>
        <w:rPr>
          <w:rFonts w:ascii="Arial" w:hAnsi="Arial" w:cs="Arial"/>
          <w:sz w:val="20"/>
          <w:szCs w:val="20"/>
        </w:rPr>
      </w:pPr>
    </w:p>
    <w:p w14:paraId="28FCFF9E" w14:textId="056B6C8E" w:rsidR="004D1B15" w:rsidRPr="008014F3" w:rsidRDefault="004D1B15" w:rsidP="004D1B15">
      <w:pPr>
        <w:jc w:val="both"/>
        <w:rPr>
          <w:rFonts w:ascii="Arial" w:hAnsi="Arial" w:cs="Arial"/>
          <w:sz w:val="20"/>
          <w:szCs w:val="20"/>
        </w:rPr>
      </w:pPr>
      <w:proofErr w:type="spellStart"/>
      <w:r w:rsidRPr="008014F3">
        <w:rPr>
          <w:rFonts w:ascii="Arial" w:hAnsi="Arial" w:cs="Arial"/>
          <w:sz w:val="20"/>
          <w:szCs w:val="20"/>
        </w:rPr>
        <w:t>Napit</w:t>
      </w:r>
      <w:proofErr w:type="spellEnd"/>
      <w:r w:rsidRPr="008014F3">
        <w:rPr>
          <w:rFonts w:ascii="Arial" w:hAnsi="Arial" w:cs="Arial"/>
          <w:sz w:val="20"/>
          <w:szCs w:val="20"/>
        </w:rPr>
        <w:t xml:space="preserve"> R, et al. On-site whole genome sequences from Nepal outbreak. </w:t>
      </w:r>
      <w:r w:rsidRPr="008014F3">
        <w:rPr>
          <w:rFonts w:ascii="Arial" w:hAnsi="Arial" w:cs="Arial"/>
          <w:i/>
          <w:iCs/>
          <w:sz w:val="20"/>
          <w:szCs w:val="20"/>
        </w:rPr>
        <w:t>BMC Genomics</w:t>
      </w:r>
      <w:r w:rsidRPr="008014F3">
        <w:rPr>
          <w:rFonts w:ascii="Arial" w:hAnsi="Arial" w:cs="Arial"/>
          <w:sz w:val="20"/>
          <w:szCs w:val="20"/>
        </w:rPr>
        <w:t>. 2024;25(1):998.</w:t>
      </w:r>
      <w:r w:rsidR="00332A76" w:rsidRPr="008014F3">
        <w:rPr>
          <w:rFonts w:ascii="Arial" w:hAnsi="Arial" w:cs="Arial"/>
          <w:sz w:val="20"/>
          <w:szCs w:val="20"/>
        </w:rPr>
        <w:t xml:space="preserve"> In </w:t>
      </w:r>
      <w:hyperlink r:id="rId18" w:history="1">
        <w:r w:rsidR="009D605E" w:rsidRPr="00AD7E74">
          <w:rPr>
            <w:rStyle w:val="Hyperlink"/>
            <w:rFonts w:ascii="Arial" w:hAnsi="Arial" w:cs="Arial"/>
            <w:sz w:val="20"/>
            <w:szCs w:val="20"/>
          </w:rPr>
          <w:t>https://link.springer.com/article/10.1186/s12864-024-10879-x</w:t>
        </w:r>
      </w:hyperlink>
      <w:r w:rsidR="009D605E">
        <w:rPr>
          <w:rFonts w:ascii="Arial" w:hAnsi="Arial" w:cs="Arial"/>
          <w:sz w:val="20"/>
          <w:szCs w:val="20"/>
        </w:rPr>
        <w:t xml:space="preserve">. </w:t>
      </w:r>
      <w:r w:rsidR="009D605E" w:rsidRPr="009D605E">
        <w:rPr>
          <w:rFonts w:ascii="Arial" w:hAnsi="Arial" w:cs="Arial"/>
          <w:sz w:val="20"/>
          <w:szCs w:val="20"/>
        </w:rPr>
        <w:t>https://doi.org/10.1186/s12864-024-10879-x</w:t>
      </w:r>
    </w:p>
    <w:p w14:paraId="0CE72585" w14:textId="104800A7" w:rsidR="004D1B15" w:rsidRPr="009D605E" w:rsidRDefault="004D1B15" w:rsidP="004D1B15">
      <w:pPr>
        <w:jc w:val="both"/>
        <w:rPr>
          <w:rFonts w:ascii="Arial" w:hAnsi="Arial" w:cs="Arial"/>
          <w:sz w:val="20"/>
          <w:szCs w:val="20"/>
        </w:rPr>
      </w:pPr>
      <w:proofErr w:type="spellStart"/>
      <w:r w:rsidRPr="009D605E">
        <w:rPr>
          <w:rFonts w:ascii="Arial" w:hAnsi="Arial" w:cs="Arial"/>
          <w:sz w:val="20"/>
          <w:szCs w:val="20"/>
        </w:rPr>
        <w:t>Phanhkongsy</w:t>
      </w:r>
      <w:proofErr w:type="spellEnd"/>
      <w:r w:rsidRPr="009D605E">
        <w:rPr>
          <w:rFonts w:ascii="Arial" w:hAnsi="Arial" w:cs="Arial"/>
          <w:sz w:val="20"/>
          <w:szCs w:val="20"/>
        </w:rPr>
        <w:t xml:space="preserve"> S, et al. Spatial analysis of dengue serotypes in Laos. </w:t>
      </w:r>
      <w:r w:rsidRPr="009D605E">
        <w:rPr>
          <w:rFonts w:ascii="Arial" w:hAnsi="Arial" w:cs="Arial"/>
          <w:i/>
          <w:iCs/>
          <w:sz w:val="20"/>
          <w:szCs w:val="20"/>
        </w:rPr>
        <w:t>Acta Trop</w:t>
      </w:r>
      <w:r w:rsidRPr="009D605E">
        <w:rPr>
          <w:rFonts w:ascii="Arial" w:hAnsi="Arial" w:cs="Arial"/>
          <w:sz w:val="20"/>
          <w:szCs w:val="20"/>
        </w:rPr>
        <w:t xml:space="preserve">. </w:t>
      </w:r>
      <w:proofErr w:type="gramStart"/>
      <w:r w:rsidRPr="009D605E">
        <w:rPr>
          <w:rFonts w:ascii="Arial" w:hAnsi="Arial" w:cs="Arial"/>
          <w:sz w:val="20"/>
          <w:szCs w:val="20"/>
        </w:rPr>
        <w:t>2024;256:107229</w:t>
      </w:r>
      <w:proofErr w:type="gramEnd"/>
      <w:r w:rsidRPr="009D605E">
        <w:rPr>
          <w:rFonts w:ascii="Arial" w:hAnsi="Arial" w:cs="Arial"/>
          <w:sz w:val="20"/>
          <w:szCs w:val="20"/>
        </w:rPr>
        <w:t>.</w:t>
      </w:r>
      <w:r w:rsidR="00332A76" w:rsidRPr="009D605E">
        <w:rPr>
          <w:rFonts w:ascii="Arial" w:hAnsi="Arial" w:cs="Arial"/>
          <w:sz w:val="20"/>
          <w:szCs w:val="20"/>
        </w:rPr>
        <w:t xml:space="preserve"> In </w:t>
      </w:r>
      <w:hyperlink r:id="rId19" w:history="1">
        <w:r w:rsidR="00F478E4" w:rsidRPr="009D605E">
          <w:rPr>
            <w:rStyle w:val="Hyperlink"/>
            <w:rFonts w:ascii="Arial" w:hAnsi="Arial" w:cs="Arial"/>
            <w:color w:val="auto"/>
            <w:sz w:val="20"/>
            <w:szCs w:val="20"/>
            <w:u w:val="none"/>
          </w:rPr>
          <w:t>https://www.sciencedirect.com/science/article/abs/pii/S0001706X24001116</w:t>
        </w:r>
      </w:hyperlink>
      <w:r w:rsidR="00332A76" w:rsidRPr="009D605E">
        <w:rPr>
          <w:rFonts w:ascii="Arial" w:hAnsi="Arial" w:cs="Arial"/>
          <w:sz w:val="20"/>
          <w:szCs w:val="20"/>
        </w:rPr>
        <w:t>.</w:t>
      </w:r>
      <w:r w:rsidR="009D605E" w:rsidRPr="009D605E">
        <w:rPr>
          <w:rFonts w:ascii="Arial" w:hAnsi="Arial" w:cs="Arial"/>
          <w:sz w:val="20"/>
          <w:szCs w:val="20"/>
        </w:rPr>
        <w:t xml:space="preserve"> </w:t>
      </w:r>
      <w:hyperlink r:id="rId20" w:tgtFrame="_blank" w:tooltip="Persistent link using digital object identifier" w:history="1">
        <w:r w:rsidR="009D605E" w:rsidRPr="009D605E">
          <w:rPr>
            <w:rStyle w:val="Hyperlink"/>
            <w:rFonts w:ascii="Arial" w:hAnsi="Arial" w:cs="Arial"/>
            <w:color w:val="auto"/>
            <w:sz w:val="20"/>
            <w:szCs w:val="20"/>
            <w:u w:val="none"/>
          </w:rPr>
          <w:t>https://doi.org/10.1016/j.actatropica.2024.107229</w:t>
        </w:r>
      </w:hyperlink>
    </w:p>
    <w:p w14:paraId="2DF40410" w14:textId="4D1A2B5E" w:rsidR="00F478E4" w:rsidRPr="009D605E" w:rsidRDefault="00F478E4" w:rsidP="00F478E4">
      <w:pPr>
        <w:spacing w:after="0" w:line="240" w:lineRule="auto"/>
        <w:jc w:val="both"/>
        <w:rPr>
          <w:rFonts w:ascii="Arial" w:hAnsi="Arial" w:cs="Arial"/>
          <w:sz w:val="20"/>
          <w:szCs w:val="20"/>
        </w:rPr>
      </w:pPr>
      <w:r w:rsidRPr="009D605E">
        <w:rPr>
          <w:rFonts w:ascii="Arial" w:hAnsi="Arial" w:cs="Arial"/>
          <w:sz w:val="20"/>
          <w:szCs w:val="20"/>
        </w:rPr>
        <w:t xml:space="preserve">Pillay, </w:t>
      </w:r>
      <w:proofErr w:type="spellStart"/>
      <w:r w:rsidRPr="009D605E">
        <w:rPr>
          <w:rFonts w:ascii="Arial" w:hAnsi="Arial" w:cs="Arial"/>
          <w:sz w:val="20"/>
          <w:szCs w:val="20"/>
        </w:rPr>
        <w:t>Kamla</w:t>
      </w:r>
      <w:proofErr w:type="spellEnd"/>
      <w:r w:rsidRPr="009D605E">
        <w:rPr>
          <w:rFonts w:ascii="Arial" w:hAnsi="Arial" w:cs="Arial"/>
          <w:sz w:val="20"/>
          <w:szCs w:val="20"/>
        </w:rPr>
        <w:t>, et al. "Evaluating the performance of common reference laboratory tests for acute dengue diagnosis: a systematic review and meta-analysis of RT-PCR, NS1 ELISA, and IgM ELISA." </w:t>
      </w:r>
      <w:r w:rsidRPr="009D605E">
        <w:rPr>
          <w:rFonts w:ascii="Arial" w:hAnsi="Arial" w:cs="Arial"/>
          <w:i/>
          <w:iCs/>
          <w:sz w:val="20"/>
          <w:szCs w:val="20"/>
        </w:rPr>
        <w:t>The Lancet Microbe</w:t>
      </w:r>
      <w:r w:rsidRPr="009D605E">
        <w:rPr>
          <w:rFonts w:ascii="Arial" w:hAnsi="Arial" w:cs="Arial"/>
          <w:sz w:val="20"/>
          <w:szCs w:val="20"/>
        </w:rPr>
        <w:t xml:space="preserve"> (2025). </w:t>
      </w:r>
      <w:r w:rsidR="009D605E" w:rsidRPr="009D605E">
        <w:rPr>
          <w:rFonts w:ascii="Arial" w:hAnsi="Arial" w:cs="Arial"/>
          <w:sz w:val="20"/>
          <w:szCs w:val="20"/>
        </w:rPr>
        <w:t xml:space="preserve">In </w:t>
      </w:r>
      <w:hyperlink r:id="rId21" w:history="1">
        <w:r w:rsidR="009D605E" w:rsidRPr="009D605E">
          <w:rPr>
            <w:rStyle w:val="Hyperlink"/>
            <w:rFonts w:ascii="Arial" w:hAnsi="Arial" w:cs="Arial"/>
            <w:color w:val="auto"/>
            <w:sz w:val="20"/>
            <w:szCs w:val="20"/>
            <w:u w:val="none"/>
          </w:rPr>
          <w:t>https://www.thelancet.com/journals/lanmic/ article/ PIIS2666-5247(25)00016-3/fulltext</w:t>
        </w:r>
      </w:hyperlink>
      <w:r w:rsidR="009D605E" w:rsidRPr="009D605E">
        <w:rPr>
          <w:rFonts w:ascii="Arial" w:hAnsi="Arial" w:cs="Arial"/>
          <w:sz w:val="20"/>
          <w:szCs w:val="20"/>
        </w:rPr>
        <w:t>. https://doi.org/</w:t>
      </w:r>
      <w:hyperlink r:id="rId22" w:tgtFrame="_blank" w:history="1">
        <w:r w:rsidRPr="009D605E">
          <w:rPr>
            <w:rStyle w:val="Hyperlink"/>
            <w:rFonts w:ascii="Arial" w:hAnsi="Arial" w:cs="Arial"/>
            <w:color w:val="auto"/>
            <w:sz w:val="20"/>
            <w:szCs w:val="20"/>
            <w:u w:val="none"/>
            <w:lang w:val="pt-BR"/>
          </w:rPr>
          <w:t>10.1016/j.lanmic.2025.101088</w:t>
        </w:r>
      </w:hyperlink>
    </w:p>
    <w:p w14:paraId="46FB0F24" w14:textId="77777777" w:rsidR="009D605E" w:rsidRPr="008014F3" w:rsidRDefault="009D605E" w:rsidP="00F478E4">
      <w:pPr>
        <w:spacing w:after="0" w:line="240" w:lineRule="auto"/>
        <w:jc w:val="both"/>
        <w:rPr>
          <w:rFonts w:ascii="Arial" w:hAnsi="Arial" w:cs="Arial"/>
          <w:sz w:val="20"/>
          <w:szCs w:val="20"/>
          <w:lang w:val="pt-BR"/>
        </w:rPr>
      </w:pPr>
    </w:p>
    <w:p w14:paraId="77A0D03B" w14:textId="2909770A" w:rsidR="00001E67" w:rsidRPr="00001E67" w:rsidRDefault="004D1B15" w:rsidP="004D1B15">
      <w:pPr>
        <w:jc w:val="both"/>
        <w:rPr>
          <w:rFonts w:ascii="Arial" w:hAnsi="Arial" w:cs="Arial"/>
          <w:sz w:val="20"/>
          <w:szCs w:val="20"/>
        </w:rPr>
      </w:pPr>
      <w:r w:rsidRPr="00001E67">
        <w:rPr>
          <w:rFonts w:ascii="Arial" w:hAnsi="Arial" w:cs="Arial"/>
          <w:sz w:val="20"/>
          <w:szCs w:val="20"/>
        </w:rPr>
        <w:t xml:space="preserve">Sukumaran A, et al. Diagnostic accuracy of NS1 lateral flow. </w:t>
      </w:r>
      <w:r w:rsidRPr="00001E67">
        <w:rPr>
          <w:rFonts w:ascii="Arial" w:hAnsi="Arial" w:cs="Arial"/>
          <w:i/>
          <w:iCs/>
          <w:sz w:val="20"/>
          <w:szCs w:val="20"/>
        </w:rPr>
        <w:t xml:space="preserve">J </w:t>
      </w:r>
      <w:proofErr w:type="spellStart"/>
      <w:r w:rsidRPr="00001E67">
        <w:rPr>
          <w:rFonts w:ascii="Arial" w:hAnsi="Arial" w:cs="Arial"/>
          <w:i/>
          <w:iCs/>
          <w:sz w:val="20"/>
          <w:szCs w:val="20"/>
        </w:rPr>
        <w:t>Virol</w:t>
      </w:r>
      <w:proofErr w:type="spellEnd"/>
      <w:r w:rsidRPr="00001E67">
        <w:rPr>
          <w:rFonts w:ascii="Arial" w:hAnsi="Arial" w:cs="Arial"/>
          <w:i/>
          <w:iCs/>
          <w:sz w:val="20"/>
          <w:szCs w:val="20"/>
        </w:rPr>
        <w:t xml:space="preserve"> Methods</w:t>
      </w:r>
      <w:r w:rsidRPr="00001E67">
        <w:rPr>
          <w:rFonts w:ascii="Arial" w:hAnsi="Arial" w:cs="Arial"/>
          <w:sz w:val="20"/>
          <w:szCs w:val="20"/>
        </w:rPr>
        <w:t xml:space="preserve">. </w:t>
      </w:r>
      <w:proofErr w:type="gramStart"/>
      <w:r w:rsidRPr="00001E67">
        <w:rPr>
          <w:rFonts w:ascii="Arial" w:hAnsi="Arial" w:cs="Arial"/>
          <w:sz w:val="20"/>
          <w:szCs w:val="20"/>
        </w:rPr>
        <w:t>2024;329:114991</w:t>
      </w:r>
      <w:proofErr w:type="gramEnd"/>
      <w:r w:rsidRPr="00001E67">
        <w:rPr>
          <w:rFonts w:ascii="Arial" w:hAnsi="Arial" w:cs="Arial"/>
          <w:sz w:val="20"/>
          <w:szCs w:val="20"/>
        </w:rPr>
        <w:t>.</w:t>
      </w:r>
      <w:r w:rsidR="00332A76" w:rsidRPr="00001E67">
        <w:rPr>
          <w:rFonts w:ascii="Arial" w:hAnsi="Arial" w:cs="Arial"/>
          <w:sz w:val="20"/>
          <w:szCs w:val="20"/>
        </w:rPr>
        <w:t xml:space="preserve"> In </w:t>
      </w:r>
      <w:hyperlink r:id="rId23" w:history="1">
        <w:r w:rsidR="00001E67" w:rsidRPr="00001E67">
          <w:rPr>
            <w:rStyle w:val="Hyperlink"/>
            <w:rFonts w:ascii="Arial" w:hAnsi="Arial" w:cs="Arial"/>
            <w:color w:val="auto"/>
            <w:sz w:val="20"/>
            <w:szCs w:val="20"/>
            <w:u w:val="none"/>
          </w:rPr>
          <w:t>https://www.sciencedirect.com/science/article/abs/pii/S0166093424001150</w:t>
        </w:r>
      </w:hyperlink>
      <w:r w:rsidR="00001E67" w:rsidRPr="00001E67">
        <w:rPr>
          <w:rFonts w:ascii="Arial" w:hAnsi="Arial" w:cs="Arial"/>
          <w:sz w:val="20"/>
          <w:szCs w:val="20"/>
        </w:rPr>
        <w:t xml:space="preserve">. </w:t>
      </w:r>
      <w:hyperlink r:id="rId24" w:tgtFrame="_blank" w:tooltip="Persistent link using digital object identifier" w:history="1">
        <w:r w:rsidR="00001E67" w:rsidRPr="00001E67">
          <w:rPr>
            <w:rStyle w:val="Hyperlink"/>
            <w:rFonts w:ascii="Arial" w:hAnsi="Arial" w:cs="Arial"/>
            <w:color w:val="auto"/>
            <w:sz w:val="20"/>
            <w:szCs w:val="20"/>
            <w:u w:val="none"/>
          </w:rPr>
          <w:t>https://doi.org/10.1016/j.jviromet.2024.114991</w:t>
        </w:r>
      </w:hyperlink>
      <w:r w:rsidR="00001E67">
        <w:rPr>
          <w:rFonts w:ascii="Arial" w:hAnsi="Arial" w:cs="Arial"/>
          <w:sz w:val="20"/>
          <w:szCs w:val="20"/>
        </w:rPr>
        <w:t>.</w:t>
      </w:r>
    </w:p>
    <w:p w14:paraId="32B2B0A8" w14:textId="433E0584" w:rsidR="004D1B15" w:rsidRDefault="00001E67" w:rsidP="004D1B15">
      <w:pPr>
        <w:jc w:val="both"/>
        <w:rPr>
          <w:rFonts w:ascii="Arial" w:hAnsi="Arial" w:cs="Arial"/>
          <w:sz w:val="20"/>
          <w:szCs w:val="20"/>
        </w:rPr>
      </w:pPr>
      <w:r w:rsidRPr="00001E67">
        <w:rPr>
          <w:rFonts w:ascii="Arial" w:hAnsi="Arial" w:cs="Arial"/>
          <w:sz w:val="20"/>
          <w:szCs w:val="20"/>
        </w:rPr>
        <w:lastRenderedPageBreak/>
        <w:t xml:space="preserve">Tan SSX, </w:t>
      </w:r>
      <w:proofErr w:type="spellStart"/>
      <w:r w:rsidRPr="00001E67">
        <w:rPr>
          <w:rFonts w:ascii="Arial" w:hAnsi="Arial" w:cs="Arial"/>
          <w:sz w:val="20"/>
          <w:szCs w:val="20"/>
        </w:rPr>
        <w:t>Nordin</w:t>
      </w:r>
      <w:proofErr w:type="spellEnd"/>
      <w:r w:rsidRPr="00001E67">
        <w:rPr>
          <w:rFonts w:ascii="Arial" w:hAnsi="Arial" w:cs="Arial"/>
          <w:sz w:val="20"/>
          <w:szCs w:val="20"/>
        </w:rPr>
        <w:t xml:space="preserve"> SB, Tan CK, Tan TT, Chung SJ, Chan KS, Tan BH. Donor-derived dengue infections - A review of screening protocol and outcomes in an endemic country. </w:t>
      </w:r>
      <w:proofErr w:type="spellStart"/>
      <w:r w:rsidRPr="00001E67">
        <w:rPr>
          <w:rFonts w:ascii="Arial" w:hAnsi="Arial" w:cs="Arial"/>
          <w:sz w:val="20"/>
          <w:szCs w:val="20"/>
        </w:rPr>
        <w:t>Transpl</w:t>
      </w:r>
      <w:proofErr w:type="spellEnd"/>
      <w:r w:rsidRPr="00001E67">
        <w:rPr>
          <w:rFonts w:ascii="Arial" w:hAnsi="Arial" w:cs="Arial"/>
          <w:sz w:val="20"/>
          <w:szCs w:val="20"/>
        </w:rPr>
        <w:t xml:space="preserve"> Infect Dis. 2024 Nov;26 Suppl </w:t>
      </w:r>
      <w:proofErr w:type="gramStart"/>
      <w:r w:rsidRPr="00001E67">
        <w:rPr>
          <w:rFonts w:ascii="Arial" w:hAnsi="Arial" w:cs="Arial"/>
          <w:sz w:val="20"/>
          <w:szCs w:val="20"/>
        </w:rPr>
        <w:t>1:e</w:t>
      </w:r>
      <w:proofErr w:type="gramEnd"/>
      <w:r w:rsidRPr="00001E67">
        <w:rPr>
          <w:rFonts w:ascii="Arial" w:hAnsi="Arial" w:cs="Arial"/>
          <w:sz w:val="20"/>
          <w:szCs w:val="20"/>
        </w:rPr>
        <w:t>14356.</w:t>
      </w:r>
      <w:r>
        <w:rPr>
          <w:rFonts w:ascii="Arial" w:hAnsi="Arial" w:cs="Arial"/>
          <w:sz w:val="20"/>
          <w:szCs w:val="20"/>
        </w:rPr>
        <w:t xml:space="preserve"> In </w:t>
      </w:r>
      <w:hyperlink r:id="rId25" w:history="1">
        <w:r w:rsidRPr="00AD7E74">
          <w:rPr>
            <w:rStyle w:val="Hyperlink"/>
            <w:rFonts w:ascii="Arial" w:hAnsi="Arial" w:cs="Arial"/>
            <w:sz w:val="20"/>
            <w:szCs w:val="20"/>
          </w:rPr>
          <w:t>https://onlinelibrary.wiley.com/doi/abs/10.1111/tid.14356</w:t>
        </w:r>
      </w:hyperlink>
      <w:r w:rsidR="00332A76" w:rsidRPr="008014F3">
        <w:rPr>
          <w:rFonts w:ascii="Arial" w:hAnsi="Arial" w:cs="Arial"/>
          <w:sz w:val="20"/>
          <w:szCs w:val="20"/>
        </w:rPr>
        <w:t>.</w:t>
      </w:r>
      <w:r>
        <w:rPr>
          <w:rFonts w:ascii="Arial" w:hAnsi="Arial" w:cs="Arial"/>
          <w:sz w:val="20"/>
          <w:szCs w:val="20"/>
        </w:rPr>
        <w:t xml:space="preserve"> </w:t>
      </w:r>
      <w:r w:rsidRPr="00001E67">
        <w:rPr>
          <w:rFonts w:ascii="Arial" w:hAnsi="Arial" w:cs="Arial"/>
          <w:sz w:val="20"/>
          <w:szCs w:val="20"/>
        </w:rPr>
        <w:t>https://doi.org/10.1111/tid.14356.</w:t>
      </w:r>
    </w:p>
    <w:p w14:paraId="0C2FFA05" w14:textId="13C80D91" w:rsidR="004D1B15" w:rsidRPr="001D4214" w:rsidRDefault="004D1B15" w:rsidP="004D1B15">
      <w:pPr>
        <w:jc w:val="both"/>
        <w:rPr>
          <w:rFonts w:ascii="Arial" w:hAnsi="Arial" w:cs="Arial"/>
          <w:sz w:val="20"/>
          <w:szCs w:val="20"/>
        </w:rPr>
      </w:pPr>
      <w:r w:rsidRPr="001D4214">
        <w:rPr>
          <w:rFonts w:ascii="Arial" w:hAnsi="Arial" w:cs="Arial"/>
          <w:sz w:val="20"/>
          <w:szCs w:val="20"/>
        </w:rPr>
        <w:t xml:space="preserve">Tian G, et al. </w:t>
      </w:r>
      <w:r w:rsidR="001D4214" w:rsidRPr="001D4214">
        <w:rPr>
          <w:rFonts w:ascii="Arial" w:hAnsi="Arial" w:cs="Arial"/>
          <w:sz w:val="20"/>
          <w:szCs w:val="20"/>
          <w:lang w:val="pt-BR"/>
        </w:rPr>
        <w:t xml:space="preserve">Field-deployable viral diagnostic tools for dengue virus based on Cas13a and Cas12a. </w:t>
      </w:r>
      <w:r w:rsidRPr="001D4214">
        <w:rPr>
          <w:rFonts w:ascii="Arial" w:hAnsi="Arial" w:cs="Arial"/>
          <w:i/>
          <w:iCs/>
          <w:sz w:val="20"/>
          <w:szCs w:val="20"/>
        </w:rPr>
        <w:t xml:space="preserve">Anal </w:t>
      </w:r>
      <w:proofErr w:type="spellStart"/>
      <w:r w:rsidRPr="001D4214">
        <w:rPr>
          <w:rFonts w:ascii="Arial" w:hAnsi="Arial" w:cs="Arial"/>
          <w:i/>
          <w:iCs/>
          <w:sz w:val="20"/>
          <w:szCs w:val="20"/>
        </w:rPr>
        <w:t>Chim</w:t>
      </w:r>
      <w:proofErr w:type="spellEnd"/>
      <w:r w:rsidRPr="001D4214">
        <w:rPr>
          <w:rFonts w:ascii="Arial" w:hAnsi="Arial" w:cs="Arial"/>
          <w:i/>
          <w:iCs/>
          <w:sz w:val="20"/>
          <w:szCs w:val="20"/>
        </w:rPr>
        <w:t xml:space="preserve"> Acta</w:t>
      </w:r>
      <w:r w:rsidRPr="001D4214">
        <w:rPr>
          <w:rFonts w:ascii="Arial" w:hAnsi="Arial" w:cs="Arial"/>
          <w:sz w:val="20"/>
          <w:szCs w:val="20"/>
        </w:rPr>
        <w:t xml:space="preserve">. </w:t>
      </w:r>
      <w:proofErr w:type="gramStart"/>
      <w:r w:rsidRPr="001D4214">
        <w:rPr>
          <w:rFonts w:ascii="Arial" w:hAnsi="Arial" w:cs="Arial"/>
          <w:sz w:val="20"/>
          <w:szCs w:val="20"/>
        </w:rPr>
        <w:t>2024;1316:342838</w:t>
      </w:r>
      <w:proofErr w:type="gramEnd"/>
      <w:r w:rsidRPr="001D4214">
        <w:rPr>
          <w:rFonts w:ascii="Arial" w:hAnsi="Arial" w:cs="Arial"/>
          <w:sz w:val="20"/>
          <w:szCs w:val="20"/>
        </w:rPr>
        <w:t>.</w:t>
      </w:r>
      <w:r w:rsidR="001D4214" w:rsidRPr="001D4214">
        <w:rPr>
          <w:rFonts w:ascii="Arial" w:hAnsi="Arial" w:cs="Arial"/>
          <w:sz w:val="20"/>
          <w:szCs w:val="20"/>
        </w:rPr>
        <w:t xml:space="preserve"> In https://www.sciencedirect. com/science /article/abs/</w:t>
      </w:r>
      <w:proofErr w:type="spellStart"/>
      <w:r w:rsidR="001D4214" w:rsidRPr="001D4214">
        <w:rPr>
          <w:rFonts w:ascii="Arial" w:hAnsi="Arial" w:cs="Arial"/>
          <w:sz w:val="20"/>
          <w:szCs w:val="20"/>
        </w:rPr>
        <w:t>pii</w:t>
      </w:r>
      <w:proofErr w:type="spellEnd"/>
      <w:r w:rsidR="001D4214" w:rsidRPr="001D4214">
        <w:rPr>
          <w:rFonts w:ascii="Arial" w:hAnsi="Arial" w:cs="Arial"/>
          <w:sz w:val="20"/>
          <w:szCs w:val="20"/>
        </w:rPr>
        <w:t xml:space="preserve">/S0003267024006391. </w:t>
      </w:r>
      <w:hyperlink r:id="rId26" w:tgtFrame="_blank" w:tooltip="Persistent link using digital object identifier" w:history="1">
        <w:r w:rsidR="001D4214" w:rsidRPr="001D4214">
          <w:rPr>
            <w:rStyle w:val="Hyperlink"/>
            <w:rFonts w:ascii="Arial" w:hAnsi="Arial" w:cs="Arial"/>
            <w:color w:val="auto"/>
            <w:sz w:val="20"/>
            <w:szCs w:val="20"/>
            <w:u w:val="none"/>
          </w:rPr>
          <w:t>https://doi.org/10.1016/j.aca.2024.342838</w:t>
        </w:r>
      </w:hyperlink>
    </w:p>
    <w:p w14:paraId="27975541" w14:textId="386D205F" w:rsidR="004D1B15" w:rsidRPr="001D4214" w:rsidRDefault="004D1B15" w:rsidP="004D1B15">
      <w:pPr>
        <w:jc w:val="both"/>
        <w:rPr>
          <w:rFonts w:ascii="Arial" w:hAnsi="Arial" w:cs="Arial"/>
          <w:sz w:val="20"/>
          <w:szCs w:val="20"/>
        </w:rPr>
      </w:pPr>
      <w:r w:rsidRPr="001D4214">
        <w:rPr>
          <w:rFonts w:ascii="Arial" w:hAnsi="Arial" w:cs="Arial"/>
          <w:sz w:val="20"/>
          <w:szCs w:val="20"/>
        </w:rPr>
        <w:t xml:space="preserve">Vita S, et al. Autochthonous dengue in Italy: clinical and </w:t>
      </w:r>
      <w:proofErr w:type="spellStart"/>
      <w:r w:rsidRPr="001D4214">
        <w:rPr>
          <w:rFonts w:ascii="Arial" w:hAnsi="Arial" w:cs="Arial"/>
          <w:sz w:val="20"/>
          <w:szCs w:val="20"/>
        </w:rPr>
        <w:t>virological</w:t>
      </w:r>
      <w:proofErr w:type="spellEnd"/>
      <w:r w:rsidRPr="001D4214">
        <w:rPr>
          <w:rFonts w:ascii="Arial" w:hAnsi="Arial" w:cs="Arial"/>
          <w:sz w:val="20"/>
          <w:szCs w:val="20"/>
        </w:rPr>
        <w:t xml:space="preserve">. </w:t>
      </w:r>
      <w:r w:rsidRPr="001D4214">
        <w:rPr>
          <w:rFonts w:ascii="Arial" w:hAnsi="Arial" w:cs="Arial"/>
          <w:i/>
          <w:iCs/>
          <w:sz w:val="20"/>
          <w:szCs w:val="20"/>
        </w:rPr>
        <w:t>Travel Med Infect Dis</w:t>
      </w:r>
      <w:r w:rsidRPr="001D4214">
        <w:rPr>
          <w:rFonts w:ascii="Arial" w:hAnsi="Arial" w:cs="Arial"/>
          <w:sz w:val="20"/>
          <w:szCs w:val="20"/>
        </w:rPr>
        <w:t xml:space="preserve">. </w:t>
      </w:r>
      <w:proofErr w:type="gramStart"/>
      <w:r w:rsidRPr="001D4214">
        <w:rPr>
          <w:rFonts w:ascii="Arial" w:hAnsi="Arial" w:cs="Arial"/>
          <w:sz w:val="20"/>
          <w:szCs w:val="20"/>
        </w:rPr>
        <w:t>2024;62:102762</w:t>
      </w:r>
      <w:proofErr w:type="gramEnd"/>
      <w:r w:rsidRPr="001D4214">
        <w:rPr>
          <w:rFonts w:ascii="Arial" w:hAnsi="Arial" w:cs="Arial"/>
          <w:sz w:val="20"/>
          <w:szCs w:val="20"/>
        </w:rPr>
        <w:t>.</w:t>
      </w:r>
      <w:r w:rsidR="001D4214" w:rsidRPr="001D4214">
        <w:rPr>
          <w:rFonts w:ascii="Arial" w:hAnsi="Arial" w:cs="Arial"/>
          <w:sz w:val="20"/>
          <w:szCs w:val="20"/>
        </w:rPr>
        <w:t xml:space="preserve"> In https://www.sciencedirect.com/science/article/pii/S1477893924000796 </w:t>
      </w:r>
      <w:hyperlink r:id="rId27" w:tgtFrame="_blank" w:tooltip="Persistent link using digital object identifier" w:history="1">
        <w:r w:rsidR="001D4214" w:rsidRPr="001D4214">
          <w:rPr>
            <w:rStyle w:val="Hyperlink"/>
            <w:rFonts w:ascii="Arial" w:hAnsi="Arial" w:cs="Arial"/>
            <w:color w:val="auto"/>
            <w:sz w:val="20"/>
            <w:szCs w:val="20"/>
            <w:u w:val="none"/>
          </w:rPr>
          <w:t>https://doi.org/10.1016/j.tmaid.2024.102762</w:t>
        </w:r>
      </w:hyperlink>
    </w:p>
    <w:p w14:paraId="73AE645E" w14:textId="6B2F3DF6" w:rsidR="004D1B15" w:rsidRPr="001D4214" w:rsidRDefault="004D1B15" w:rsidP="004D1B15">
      <w:pPr>
        <w:jc w:val="both"/>
        <w:rPr>
          <w:rFonts w:ascii="Arial" w:hAnsi="Arial" w:cs="Arial"/>
          <w:sz w:val="20"/>
          <w:szCs w:val="20"/>
        </w:rPr>
      </w:pPr>
      <w:r w:rsidRPr="001D4214">
        <w:rPr>
          <w:rFonts w:ascii="Arial" w:hAnsi="Arial" w:cs="Arial"/>
          <w:sz w:val="20"/>
          <w:szCs w:val="20"/>
        </w:rPr>
        <w:t xml:space="preserve">Yadav AK, et al. </w:t>
      </w:r>
      <w:proofErr w:type="spellStart"/>
      <w:r w:rsidRPr="001D4214">
        <w:rPr>
          <w:rFonts w:ascii="Arial" w:hAnsi="Arial" w:cs="Arial"/>
          <w:sz w:val="20"/>
          <w:szCs w:val="20"/>
        </w:rPr>
        <w:t>Serotypic</w:t>
      </w:r>
      <w:proofErr w:type="spellEnd"/>
      <w:r w:rsidRPr="001D4214">
        <w:rPr>
          <w:rFonts w:ascii="Arial" w:hAnsi="Arial" w:cs="Arial"/>
          <w:sz w:val="20"/>
          <w:szCs w:val="20"/>
        </w:rPr>
        <w:t xml:space="preserve"> and genotypic profile of dengue in India. </w:t>
      </w:r>
      <w:r w:rsidRPr="001D4214">
        <w:rPr>
          <w:rFonts w:ascii="Arial" w:hAnsi="Arial" w:cs="Arial"/>
          <w:i/>
          <w:iCs/>
          <w:sz w:val="20"/>
          <w:szCs w:val="20"/>
        </w:rPr>
        <w:t>J Vector Borne Dis</w:t>
      </w:r>
      <w:r w:rsidRPr="001D4214">
        <w:rPr>
          <w:rFonts w:ascii="Arial" w:hAnsi="Arial" w:cs="Arial"/>
          <w:sz w:val="20"/>
          <w:szCs w:val="20"/>
        </w:rPr>
        <w:t>. 2025;62(2):135–42.</w:t>
      </w:r>
      <w:r w:rsidR="001D4214" w:rsidRPr="001D4214">
        <w:rPr>
          <w:rFonts w:ascii="Arial" w:hAnsi="Arial" w:cs="Arial"/>
          <w:sz w:val="20"/>
          <w:szCs w:val="20"/>
        </w:rPr>
        <w:t xml:space="preserve"> In </w:t>
      </w:r>
      <w:hyperlink r:id="rId28" w:history="1">
        <w:r w:rsidR="009E5458" w:rsidRPr="00AD7E74">
          <w:rPr>
            <w:rStyle w:val="Hyperlink"/>
            <w:rFonts w:ascii="Arial" w:hAnsi="Arial" w:cs="Arial"/>
            <w:sz w:val="20"/>
            <w:szCs w:val="20"/>
          </w:rPr>
          <w:t>https://journals.lww.com/jvbd/fulltext/2025/04000/ serotypic_and_ genotypic_profile_of_dengue_virus.2.aspx</w:t>
        </w:r>
      </w:hyperlink>
      <w:r w:rsidR="001D4214" w:rsidRPr="001D4214">
        <w:rPr>
          <w:rFonts w:ascii="Arial" w:hAnsi="Arial" w:cs="Arial"/>
          <w:sz w:val="20"/>
          <w:szCs w:val="20"/>
        </w:rPr>
        <w:t>. https://doi.org/10.4103/JVBD.JVBD_101_24</w:t>
      </w:r>
    </w:p>
    <w:p w14:paraId="3B9D7882" w14:textId="70FD779B" w:rsidR="00B065C9" w:rsidRPr="008014F3" w:rsidRDefault="00B065C9" w:rsidP="004D1B15">
      <w:pPr>
        <w:jc w:val="both"/>
        <w:rPr>
          <w:rFonts w:ascii="Arial" w:hAnsi="Arial" w:cs="Arial"/>
          <w:sz w:val="20"/>
          <w:szCs w:val="20"/>
        </w:rPr>
      </w:pPr>
    </w:p>
    <w:sectPr w:rsidR="00B065C9" w:rsidRPr="008014F3">
      <w:headerReference w:type="even" r:id="rId29"/>
      <w:headerReference w:type="default" r:id="rId30"/>
      <w:footerReference w:type="even" r:id="rId31"/>
      <w:footerReference w:type="default" r:id="rId32"/>
      <w:headerReference w:type="first" r:id="rId33"/>
      <w:footerReference w:type="first" r:id="rId3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36621F" w14:textId="77777777" w:rsidR="00F17D3F" w:rsidRDefault="00F17D3F" w:rsidP="00D25F66">
      <w:pPr>
        <w:spacing w:after="0" w:line="240" w:lineRule="auto"/>
      </w:pPr>
      <w:r>
        <w:separator/>
      </w:r>
    </w:p>
  </w:endnote>
  <w:endnote w:type="continuationSeparator" w:id="0">
    <w:p w14:paraId="6E9DDFC6" w14:textId="77777777" w:rsidR="00F17D3F" w:rsidRDefault="00F17D3F" w:rsidP="00D25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002AF" w14:textId="77777777" w:rsidR="00D25F66" w:rsidRDefault="00D25F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873D6" w14:textId="77777777" w:rsidR="00D25F66" w:rsidRDefault="00D25F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02A2B" w14:textId="77777777" w:rsidR="00D25F66" w:rsidRDefault="00D25F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3F9A68" w14:textId="77777777" w:rsidR="00F17D3F" w:rsidRDefault="00F17D3F" w:rsidP="00D25F66">
      <w:pPr>
        <w:spacing w:after="0" w:line="240" w:lineRule="auto"/>
      </w:pPr>
      <w:r>
        <w:separator/>
      </w:r>
    </w:p>
  </w:footnote>
  <w:footnote w:type="continuationSeparator" w:id="0">
    <w:p w14:paraId="1B64872A" w14:textId="77777777" w:rsidR="00F17D3F" w:rsidRDefault="00F17D3F" w:rsidP="00D25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2C27B" w14:textId="777B25E8" w:rsidR="00D25F66" w:rsidRDefault="00F17D3F">
    <w:pPr>
      <w:pStyle w:val="Header"/>
    </w:pPr>
    <w:r>
      <w:rPr>
        <w:noProof/>
      </w:rPr>
      <w:pict w14:anchorId="4E0D83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921469" o:spid="_x0000_s2050" type="#_x0000_t136" style="position:absolute;margin-left:0;margin-top:0;width:539.45pt;height:59.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B827F" w14:textId="58BF0F59" w:rsidR="00D25F66" w:rsidRDefault="00F17D3F">
    <w:pPr>
      <w:pStyle w:val="Header"/>
    </w:pPr>
    <w:r>
      <w:rPr>
        <w:noProof/>
      </w:rPr>
      <w:pict w14:anchorId="4370C8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921470" o:spid="_x0000_s2051" type="#_x0000_t136" style="position:absolute;margin-left:0;margin-top:0;width:539.45pt;height:59.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D7275" w14:textId="3AB8AAC0" w:rsidR="00D25F66" w:rsidRDefault="00F17D3F">
    <w:pPr>
      <w:pStyle w:val="Header"/>
    </w:pPr>
    <w:r>
      <w:rPr>
        <w:noProof/>
      </w:rPr>
      <w:pict w14:anchorId="13C9AB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921468" o:spid="_x0000_s2049" type="#_x0000_t136" style="position:absolute;margin-left:0;margin-top:0;width:539.45pt;height:59.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425A78"/>
    <w:multiLevelType w:val="multilevel"/>
    <w:tmpl w:val="FE387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6F12D4"/>
    <w:multiLevelType w:val="multilevel"/>
    <w:tmpl w:val="FD2AC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A64C7D"/>
    <w:multiLevelType w:val="hybridMultilevel"/>
    <w:tmpl w:val="2678474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7E9D1437"/>
    <w:multiLevelType w:val="multilevel"/>
    <w:tmpl w:val="6E08B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D1E"/>
    <w:rsid w:val="00001E67"/>
    <w:rsid w:val="00021B99"/>
    <w:rsid w:val="0004645F"/>
    <w:rsid w:val="00053511"/>
    <w:rsid w:val="00057B0B"/>
    <w:rsid w:val="00071BD0"/>
    <w:rsid w:val="000816C1"/>
    <w:rsid w:val="000B5DCE"/>
    <w:rsid w:val="000C457E"/>
    <w:rsid w:val="0010756B"/>
    <w:rsid w:val="00163EBF"/>
    <w:rsid w:val="00186DA7"/>
    <w:rsid w:val="00187D13"/>
    <w:rsid w:val="00190E64"/>
    <w:rsid w:val="001B5275"/>
    <w:rsid w:val="001D4214"/>
    <w:rsid w:val="001E4F91"/>
    <w:rsid w:val="00227322"/>
    <w:rsid w:val="002478C1"/>
    <w:rsid w:val="00250329"/>
    <w:rsid w:val="002650E1"/>
    <w:rsid w:val="00282525"/>
    <w:rsid w:val="00285703"/>
    <w:rsid w:val="002B605B"/>
    <w:rsid w:val="002B6D51"/>
    <w:rsid w:val="002C12CB"/>
    <w:rsid w:val="00332A76"/>
    <w:rsid w:val="00361907"/>
    <w:rsid w:val="00362C7E"/>
    <w:rsid w:val="003803FF"/>
    <w:rsid w:val="00386FA8"/>
    <w:rsid w:val="003A01E7"/>
    <w:rsid w:val="003D77B1"/>
    <w:rsid w:val="003F5134"/>
    <w:rsid w:val="0040475D"/>
    <w:rsid w:val="00437CCE"/>
    <w:rsid w:val="00482661"/>
    <w:rsid w:val="00482A9C"/>
    <w:rsid w:val="00494B6F"/>
    <w:rsid w:val="004A7AD4"/>
    <w:rsid w:val="004D1B15"/>
    <w:rsid w:val="004D5D61"/>
    <w:rsid w:val="004E17FD"/>
    <w:rsid w:val="004E26BB"/>
    <w:rsid w:val="0050459F"/>
    <w:rsid w:val="00512E72"/>
    <w:rsid w:val="00513F4C"/>
    <w:rsid w:val="00527D6A"/>
    <w:rsid w:val="00542E91"/>
    <w:rsid w:val="005432A8"/>
    <w:rsid w:val="00587F7A"/>
    <w:rsid w:val="005966E6"/>
    <w:rsid w:val="005E58B1"/>
    <w:rsid w:val="006167FE"/>
    <w:rsid w:val="00624401"/>
    <w:rsid w:val="006B1771"/>
    <w:rsid w:val="006C23AF"/>
    <w:rsid w:val="00714AD2"/>
    <w:rsid w:val="007A2143"/>
    <w:rsid w:val="007B379F"/>
    <w:rsid w:val="007D787A"/>
    <w:rsid w:val="00800649"/>
    <w:rsid w:val="008014E6"/>
    <w:rsid w:val="008014F3"/>
    <w:rsid w:val="00846D27"/>
    <w:rsid w:val="00862930"/>
    <w:rsid w:val="00895D7D"/>
    <w:rsid w:val="008A4681"/>
    <w:rsid w:val="008C2EBA"/>
    <w:rsid w:val="008F2A81"/>
    <w:rsid w:val="00903BF2"/>
    <w:rsid w:val="009111E8"/>
    <w:rsid w:val="00942403"/>
    <w:rsid w:val="00946265"/>
    <w:rsid w:val="009C2382"/>
    <w:rsid w:val="009D4965"/>
    <w:rsid w:val="009D605E"/>
    <w:rsid w:val="009E5458"/>
    <w:rsid w:val="009E6315"/>
    <w:rsid w:val="00A00751"/>
    <w:rsid w:val="00A43D33"/>
    <w:rsid w:val="00AB51A9"/>
    <w:rsid w:val="00AF12E5"/>
    <w:rsid w:val="00AF37D9"/>
    <w:rsid w:val="00AF3D1E"/>
    <w:rsid w:val="00B065C9"/>
    <w:rsid w:val="00B13EEB"/>
    <w:rsid w:val="00B30E9E"/>
    <w:rsid w:val="00B34DD8"/>
    <w:rsid w:val="00B36043"/>
    <w:rsid w:val="00B5309B"/>
    <w:rsid w:val="00B7635B"/>
    <w:rsid w:val="00BB3D54"/>
    <w:rsid w:val="00BB4B1C"/>
    <w:rsid w:val="00BD31AD"/>
    <w:rsid w:val="00BE1F21"/>
    <w:rsid w:val="00BF40CA"/>
    <w:rsid w:val="00BF6D58"/>
    <w:rsid w:val="00C54171"/>
    <w:rsid w:val="00C55217"/>
    <w:rsid w:val="00CA410E"/>
    <w:rsid w:val="00CA709C"/>
    <w:rsid w:val="00CB7A46"/>
    <w:rsid w:val="00CF0D49"/>
    <w:rsid w:val="00D00D6C"/>
    <w:rsid w:val="00D04072"/>
    <w:rsid w:val="00D12CFC"/>
    <w:rsid w:val="00D14C54"/>
    <w:rsid w:val="00D16A75"/>
    <w:rsid w:val="00D25F66"/>
    <w:rsid w:val="00D434B2"/>
    <w:rsid w:val="00D50D58"/>
    <w:rsid w:val="00D54BAC"/>
    <w:rsid w:val="00D77662"/>
    <w:rsid w:val="00DF5115"/>
    <w:rsid w:val="00E16552"/>
    <w:rsid w:val="00E71461"/>
    <w:rsid w:val="00F15C93"/>
    <w:rsid w:val="00F17D3F"/>
    <w:rsid w:val="00F478E4"/>
    <w:rsid w:val="00F51C88"/>
    <w:rsid w:val="00F7023F"/>
    <w:rsid w:val="00F73B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5214A3"/>
  <w15:chartTrackingRefBased/>
  <w15:docId w15:val="{AF72E583-24C6-40A4-804A-A441A441F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AF3D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3D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3D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3D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3D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3D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3D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3D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3D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D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3D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3D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3D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3D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3D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3D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3D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3D1E"/>
    <w:rPr>
      <w:rFonts w:eastAsiaTheme="majorEastAsia" w:cstheme="majorBidi"/>
      <w:color w:val="272727" w:themeColor="text1" w:themeTint="D8"/>
    </w:rPr>
  </w:style>
  <w:style w:type="paragraph" w:styleId="Title">
    <w:name w:val="Title"/>
    <w:basedOn w:val="Normal"/>
    <w:next w:val="Normal"/>
    <w:link w:val="TitleChar"/>
    <w:uiPriority w:val="10"/>
    <w:qFormat/>
    <w:rsid w:val="00AF3D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3D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3D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3D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3D1E"/>
    <w:pPr>
      <w:spacing w:before="160"/>
      <w:jc w:val="center"/>
    </w:pPr>
    <w:rPr>
      <w:i/>
      <w:iCs/>
      <w:color w:val="404040" w:themeColor="text1" w:themeTint="BF"/>
    </w:rPr>
  </w:style>
  <w:style w:type="character" w:customStyle="1" w:styleId="QuoteChar">
    <w:name w:val="Quote Char"/>
    <w:basedOn w:val="DefaultParagraphFont"/>
    <w:link w:val="Quote"/>
    <w:uiPriority w:val="29"/>
    <w:rsid w:val="00AF3D1E"/>
    <w:rPr>
      <w:i/>
      <w:iCs/>
      <w:color w:val="404040" w:themeColor="text1" w:themeTint="BF"/>
    </w:rPr>
  </w:style>
  <w:style w:type="paragraph" w:styleId="ListParagraph">
    <w:name w:val="List Paragraph"/>
    <w:basedOn w:val="Normal"/>
    <w:uiPriority w:val="34"/>
    <w:qFormat/>
    <w:rsid w:val="00AF3D1E"/>
    <w:pPr>
      <w:ind w:left="720"/>
      <w:contextualSpacing/>
    </w:pPr>
  </w:style>
  <w:style w:type="character" w:styleId="IntenseEmphasis">
    <w:name w:val="Intense Emphasis"/>
    <w:basedOn w:val="DefaultParagraphFont"/>
    <w:uiPriority w:val="21"/>
    <w:qFormat/>
    <w:rsid w:val="00AF3D1E"/>
    <w:rPr>
      <w:i/>
      <w:iCs/>
      <w:color w:val="0F4761" w:themeColor="accent1" w:themeShade="BF"/>
    </w:rPr>
  </w:style>
  <w:style w:type="paragraph" w:styleId="IntenseQuote">
    <w:name w:val="Intense Quote"/>
    <w:basedOn w:val="Normal"/>
    <w:next w:val="Normal"/>
    <w:link w:val="IntenseQuoteChar"/>
    <w:uiPriority w:val="30"/>
    <w:qFormat/>
    <w:rsid w:val="00AF3D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3D1E"/>
    <w:rPr>
      <w:i/>
      <w:iCs/>
      <w:color w:val="0F4761" w:themeColor="accent1" w:themeShade="BF"/>
    </w:rPr>
  </w:style>
  <w:style w:type="character" w:styleId="IntenseReference">
    <w:name w:val="Intense Reference"/>
    <w:basedOn w:val="DefaultParagraphFont"/>
    <w:uiPriority w:val="32"/>
    <w:qFormat/>
    <w:rsid w:val="00AF3D1E"/>
    <w:rPr>
      <w:b/>
      <w:bCs/>
      <w:smallCaps/>
      <w:color w:val="0F4761" w:themeColor="accent1" w:themeShade="BF"/>
      <w:spacing w:val="5"/>
    </w:rPr>
  </w:style>
  <w:style w:type="table" w:styleId="TableGrid">
    <w:name w:val="Table Grid"/>
    <w:basedOn w:val="TableNormal"/>
    <w:uiPriority w:val="39"/>
    <w:rsid w:val="00BE1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40CA"/>
    <w:rPr>
      <w:color w:val="467886" w:themeColor="hyperlink"/>
      <w:u w:val="single"/>
    </w:rPr>
  </w:style>
  <w:style w:type="character" w:styleId="UnresolvedMention">
    <w:name w:val="Unresolved Mention"/>
    <w:basedOn w:val="DefaultParagraphFont"/>
    <w:uiPriority w:val="99"/>
    <w:semiHidden/>
    <w:unhideWhenUsed/>
    <w:rsid w:val="00BF40CA"/>
    <w:rPr>
      <w:color w:val="605E5C"/>
      <w:shd w:val="clear" w:color="auto" w:fill="E1DFDD"/>
    </w:rPr>
  </w:style>
  <w:style w:type="paragraph" w:styleId="Header">
    <w:name w:val="header"/>
    <w:basedOn w:val="Normal"/>
    <w:link w:val="HeaderChar"/>
    <w:uiPriority w:val="99"/>
    <w:unhideWhenUsed/>
    <w:rsid w:val="00D25F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F66"/>
    <w:rPr>
      <w:lang w:val="en-US"/>
    </w:rPr>
  </w:style>
  <w:style w:type="paragraph" w:styleId="Footer">
    <w:name w:val="footer"/>
    <w:basedOn w:val="Normal"/>
    <w:link w:val="FooterChar"/>
    <w:uiPriority w:val="99"/>
    <w:unhideWhenUsed/>
    <w:rsid w:val="00D25F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F66"/>
    <w:rPr>
      <w:lang w:val="en-US"/>
    </w:rPr>
  </w:style>
  <w:style w:type="paragraph" w:styleId="NormalWeb">
    <w:name w:val="Normal (Web)"/>
    <w:basedOn w:val="Normal"/>
    <w:rsid w:val="004D5D61"/>
    <w:pPr>
      <w:spacing w:before="100" w:beforeAutospacing="1" w:after="100" w:afterAutospacing="1" w:line="240" w:lineRule="auto"/>
    </w:pPr>
    <w:rPr>
      <w:rFonts w:ascii="Arial Unicode MS" w:eastAsia="Arial Unicode MS" w:hAnsi="Arial Unicode MS" w:cs="Arial Unicode MS"/>
      <w:kern w:val="0"/>
      <w14:ligatures w14:val="none"/>
    </w:rPr>
  </w:style>
  <w:style w:type="paragraph" w:styleId="BodyText">
    <w:name w:val="Body Text"/>
    <w:basedOn w:val="Normal"/>
    <w:link w:val="BodyTextChar"/>
    <w:rsid w:val="004D5D61"/>
    <w:pPr>
      <w:spacing w:after="0" w:line="240" w:lineRule="auto"/>
      <w:jc w:val="both"/>
    </w:pPr>
    <w:rPr>
      <w:rFonts w:ascii="Helvetica" w:eastAsia="MS Mincho" w:hAnsi="Helvetica" w:cs="Helvetica"/>
      <w:kern w:val="0"/>
      <w:lang w:val="fr-FR"/>
      <w14:ligatures w14:val="none"/>
    </w:rPr>
  </w:style>
  <w:style w:type="character" w:customStyle="1" w:styleId="BodyTextChar">
    <w:name w:val="Body Text Char"/>
    <w:basedOn w:val="DefaultParagraphFont"/>
    <w:link w:val="BodyText"/>
    <w:rsid w:val="004D5D61"/>
    <w:rPr>
      <w:rFonts w:ascii="Helvetica" w:eastAsia="MS Mincho" w:hAnsi="Helvetica" w:cs="Helvetica"/>
      <w:kern w:val="0"/>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iencedirect.com/science/article/pii/S1201971224003758" TargetMode="External"/><Relationship Id="rId18" Type="http://schemas.openxmlformats.org/officeDocument/2006/relationships/hyperlink" Target="https://link.springer.com/article/10.1186/s12864-024-10879-x" TargetMode="External"/><Relationship Id="rId26" Type="http://schemas.openxmlformats.org/officeDocument/2006/relationships/hyperlink" Target="https://doi.org/10.1016/j.aca.2024.342838" TargetMode="External"/><Relationship Id="rId3" Type="http://schemas.openxmlformats.org/officeDocument/2006/relationships/settings" Target="settings.xml"/><Relationship Id="rId21" Type="http://schemas.openxmlformats.org/officeDocument/2006/relationships/hyperlink" Target="https://www.thelancet.com/journals/lanmic/%20article/%20PIIS2666-5247(25)00016-3/fulltext" TargetMode="External"/><Relationship Id="rId34" Type="http://schemas.openxmlformats.org/officeDocument/2006/relationships/footer" Target="footer3.xml"/><Relationship Id="rId7" Type="http://schemas.openxmlformats.org/officeDocument/2006/relationships/hyperlink" Target="https://datasus.saude.gov.br/informacoes-de-saude-tabnet/" TargetMode="External"/><Relationship Id="rId12" Type="http://schemas.openxmlformats.org/officeDocument/2006/relationships/hyperlink" Target="https://doi.org/10.1016/j.bios.2024.116561" TargetMode="External"/><Relationship Id="rId17" Type="http://schemas.openxmlformats.org/officeDocument/2006/relationships/hyperlink" Target="https://doi.org/10.1016/j.ijmmb.2025.100852" TargetMode="External"/><Relationship Id="rId25" Type="http://schemas.openxmlformats.org/officeDocument/2006/relationships/hyperlink" Target="https://onlinelibrary.wiley.com/doi/abs/10.1111/tid.14356"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16/j.ijmmb.2025.100852" TargetMode="External"/><Relationship Id="rId20" Type="http://schemas.openxmlformats.org/officeDocument/2006/relationships/hyperlink" Target="https://doi.org/10.1016/j.actatropica.2024.107229"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science/article/abs/pii/" TargetMode="External"/><Relationship Id="rId24" Type="http://schemas.openxmlformats.org/officeDocument/2006/relationships/hyperlink" Target="https://doi.org/10.1016/j.jviromet.2024.114991"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peerj.com/articles/17758/" TargetMode="External"/><Relationship Id="rId23" Type="http://schemas.openxmlformats.org/officeDocument/2006/relationships/hyperlink" Target="https://www.sciencedirect.com/science/article/abs/pii/S0166093424001150" TargetMode="External"/><Relationship Id="rId28" Type="http://schemas.openxmlformats.org/officeDocument/2006/relationships/hyperlink" Target="https://journals.lww.com/jvbd/fulltext/2025/04000/%20serotypic_and_%20genotypic_profile_of_dengue_virus.2.aspx" TargetMode="External"/><Relationship Id="rId36" Type="http://schemas.openxmlformats.org/officeDocument/2006/relationships/theme" Target="theme/theme1.xml"/><Relationship Id="rId10" Type="http://schemas.openxmlformats.org/officeDocument/2006/relationships/hyperlink" Target="https://doi.org/10.1016/j.dib.2025.111664" TargetMode="External"/><Relationship Id="rId19" Type="http://schemas.openxmlformats.org/officeDocument/2006/relationships/hyperlink" Target="https://www.sciencedirect.com/science/article/abs/pii/S0001706X24001116"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ciencedirect.com/science/article/" TargetMode="External"/><Relationship Id="rId14" Type="http://schemas.openxmlformats.org/officeDocument/2006/relationships/hyperlink" Target="https://link.springer.com/article/10.1186/s12879-024-09552-1" TargetMode="External"/><Relationship Id="rId22" Type="http://schemas.openxmlformats.org/officeDocument/2006/relationships/hyperlink" Target="https://doi.org/10.1016/j.lanmic.2025.101088" TargetMode="External"/><Relationship Id="rId27" Type="http://schemas.openxmlformats.org/officeDocument/2006/relationships/hyperlink" Target="https://doi.org/10.1016/j.tmaid.2024.102762"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datasus.saude.gov.br/acesso-a-informacao/doencas-e-agravos-de-notificacao-de-2007-em-diante-sinan"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3530</Words>
  <Characters>20121</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IZETE MERIGUETI</dc:creator>
  <cp:keywords/>
  <dc:description/>
  <cp:lastModifiedBy>SDI 1137</cp:lastModifiedBy>
  <cp:revision>4</cp:revision>
  <dcterms:created xsi:type="dcterms:W3CDTF">2025-08-03T21:44:00Z</dcterms:created>
  <dcterms:modified xsi:type="dcterms:W3CDTF">2025-08-04T10:56:00Z</dcterms:modified>
</cp:coreProperties>
</file>