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1FFE" w14:textId="77777777" w:rsidR="00754C9A" w:rsidRDefault="00754C9A" w:rsidP="00627585">
      <w:pPr>
        <w:pStyle w:val="Title"/>
        <w:spacing w:after="0"/>
        <w:jc w:val="both"/>
        <w:rPr>
          <w:rFonts w:ascii="Arial" w:hAnsi="Arial" w:cs="Arial"/>
        </w:rPr>
      </w:pPr>
      <w:bookmarkStart w:id="0" w:name="_GoBack"/>
      <w:bookmarkEnd w:id="0"/>
    </w:p>
    <w:p w14:paraId="6514E50F" w14:textId="77777777" w:rsidR="00AC2CD0" w:rsidRPr="00AC2CD0" w:rsidRDefault="00AC2CD0" w:rsidP="00627585">
      <w:pPr>
        <w:pStyle w:val="Author"/>
        <w:spacing w:line="240" w:lineRule="auto"/>
        <w:jc w:val="both"/>
        <w:rPr>
          <w:rFonts w:ascii="Arial" w:hAnsi="Arial" w:cs="Arial"/>
          <w:bCs/>
          <w:iCs/>
          <w:kern w:val="28"/>
          <w:sz w:val="36"/>
        </w:rPr>
      </w:pPr>
      <w:r w:rsidRPr="00AC2CD0">
        <w:rPr>
          <w:rFonts w:ascii="Arial" w:hAnsi="Arial" w:cs="Arial"/>
          <w:bCs/>
          <w:iCs/>
          <w:kern w:val="28"/>
          <w:sz w:val="36"/>
        </w:rPr>
        <w:t>The impact of dental anxiety on blood pressure measurements in patients at an urgent dental care clinic</w:t>
      </w:r>
    </w:p>
    <w:p w14:paraId="64ED4A60" w14:textId="77777777" w:rsidR="00A258C3" w:rsidRPr="00790ADA" w:rsidRDefault="00A258C3" w:rsidP="00627585">
      <w:pPr>
        <w:pStyle w:val="Author"/>
        <w:spacing w:line="240" w:lineRule="auto"/>
        <w:jc w:val="both"/>
        <w:rPr>
          <w:rFonts w:ascii="Arial" w:hAnsi="Arial" w:cs="Arial"/>
          <w:sz w:val="36"/>
        </w:rPr>
      </w:pPr>
    </w:p>
    <w:p w14:paraId="3A8FF0D6" w14:textId="3C86E679" w:rsidR="00633614" w:rsidRDefault="00633614" w:rsidP="00627585">
      <w:pPr>
        <w:pStyle w:val="Affiliation"/>
        <w:spacing w:after="0" w:line="240" w:lineRule="auto"/>
        <w:jc w:val="both"/>
        <w:rPr>
          <w:rFonts w:ascii="Arial" w:hAnsi="Arial" w:cs="Arial"/>
          <w:i/>
        </w:rPr>
      </w:pPr>
    </w:p>
    <w:p w14:paraId="3F171A4F" w14:textId="77777777" w:rsidR="00790ADA" w:rsidRDefault="00790ADA" w:rsidP="00627585">
      <w:pPr>
        <w:pStyle w:val="Affiliation"/>
        <w:spacing w:after="0" w:line="240" w:lineRule="auto"/>
        <w:jc w:val="both"/>
        <w:rPr>
          <w:rFonts w:ascii="Arial" w:hAnsi="Arial" w:cs="Arial"/>
        </w:rPr>
      </w:pPr>
    </w:p>
    <w:p w14:paraId="745916FF" w14:textId="77777777" w:rsidR="002C57D2" w:rsidRPr="00FB3A86" w:rsidRDefault="002C57D2" w:rsidP="00627585">
      <w:pPr>
        <w:pStyle w:val="Affiliation"/>
        <w:spacing w:after="0" w:line="240" w:lineRule="auto"/>
        <w:jc w:val="both"/>
        <w:rPr>
          <w:rFonts w:ascii="Arial" w:hAnsi="Arial" w:cs="Arial"/>
        </w:rPr>
      </w:pPr>
    </w:p>
    <w:p w14:paraId="18D42DB9" w14:textId="77777777" w:rsidR="00B01FCD" w:rsidRPr="00FB3A86" w:rsidRDefault="00AC2CD0" w:rsidP="00627585">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58CE3D6" wp14:editId="690D6919">
                <wp:extent cx="5303520" cy="635"/>
                <wp:effectExtent l="0" t="12700" r="5080" b="12065"/>
                <wp:docPr id="1780282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30A1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EEADA11" w14:textId="4C080FEA" w:rsidR="00B01FCD" w:rsidRDefault="00B01FCD" w:rsidP="0062758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AC2CD0">
        <w:rPr>
          <w:rFonts w:ascii="Arial" w:hAnsi="Arial" w:cs="Arial"/>
        </w:rPr>
        <w:t xml:space="preserve"> </w:t>
      </w:r>
    </w:p>
    <w:p w14:paraId="32BC7912" w14:textId="77777777" w:rsidR="00790ADA" w:rsidRPr="00FB3A86" w:rsidRDefault="00790ADA" w:rsidP="006275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C045CD" w14:textId="77777777" w:rsidTr="001E44FE">
        <w:tc>
          <w:tcPr>
            <w:tcW w:w="9576" w:type="dxa"/>
            <w:shd w:val="clear" w:color="auto" w:fill="F2F2F2"/>
          </w:tcPr>
          <w:p w14:paraId="5F589038" w14:textId="77777777" w:rsidR="00E3114E" w:rsidRDefault="00E3114E" w:rsidP="00627585">
            <w:pPr>
              <w:pStyle w:val="Body"/>
              <w:spacing w:after="0"/>
              <w:rPr>
                <w:rFonts w:ascii="Arial" w:eastAsia="Calibri" w:hAnsi="Arial" w:cs="Arial"/>
                <w:b/>
                <w:szCs w:val="22"/>
              </w:rPr>
            </w:pPr>
          </w:p>
          <w:p w14:paraId="1A50F807" w14:textId="77777777" w:rsidR="00AC2CD0" w:rsidRPr="00652EF7" w:rsidRDefault="00AC2CD0" w:rsidP="00627585">
            <w:pPr>
              <w:shd w:val="clear" w:color="auto" w:fill="FFFFFF"/>
              <w:spacing w:line="276" w:lineRule="auto"/>
              <w:jc w:val="both"/>
              <w:rPr>
                <w:rFonts w:ascii="Arial" w:hAnsi="Arial" w:cs="Arial"/>
                <w:bCs/>
                <w:color w:val="2F302B"/>
                <w:shd w:val="clear" w:color="auto" w:fill="FFFFFF"/>
              </w:rPr>
            </w:pPr>
            <w:r w:rsidRPr="00652EF7">
              <w:rPr>
                <w:rFonts w:ascii="Arial" w:hAnsi="Arial" w:cs="Arial"/>
                <w:b/>
                <w:bCs/>
                <w:color w:val="2F302B"/>
                <w:shd w:val="clear" w:color="auto" w:fill="FFFFFF"/>
              </w:rPr>
              <w:t>Aims:</w:t>
            </w:r>
            <w:r w:rsidRPr="00652EF7">
              <w:rPr>
                <w:rFonts w:ascii="Arial" w:hAnsi="Arial" w:cs="Arial"/>
                <w:color w:val="2F302B"/>
                <w:shd w:val="clear" w:color="auto" w:fill="FFFFFF"/>
              </w:rPr>
              <w:t xml:space="preserve"> </w:t>
            </w:r>
            <w:r w:rsidRPr="00652EF7">
              <w:rPr>
                <w:rFonts w:ascii="Arial" w:hAnsi="Arial" w:cs="Arial"/>
                <w:bCs/>
                <w:color w:val="2F302B"/>
                <w:shd w:val="clear" w:color="auto" w:fill="FFFFFF"/>
              </w:rPr>
              <w:t xml:space="preserve">This study aimed to assess the fluctuations in blood pressure among patients prior to and during stressful urgent dental interventions in </w:t>
            </w:r>
            <w:proofErr w:type="gramStart"/>
            <w:r w:rsidRPr="00652EF7">
              <w:rPr>
                <w:rFonts w:ascii="Arial" w:hAnsi="Arial" w:cs="Arial"/>
                <w:bCs/>
                <w:color w:val="2F302B"/>
                <w:shd w:val="clear" w:color="auto" w:fill="FFFFFF"/>
              </w:rPr>
              <w:t>an</w:t>
            </w:r>
            <w:proofErr w:type="gramEnd"/>
            <w:r w:rsidRPr="00652EF7">
              <w:rPr>
                <w:rFonts w:ascii="Arial" w:hAnsi="Arial" w:cs="Arial"/>
                <w:bCs/>
                <w:color w:val="2F302B"/>
                <w:shd w:val="clear" w:color="auto" w:fill="FFFFFF"/>
              </w:rPr>
              <w:t xml:space="preserve"> university-based urgent dental care clinic.</w:t>
            </w:r>
          </w:p>
          <w:p w14:paraId="2F47DC24" w14:textId="77777777" w:rsidR="00AC2CD0" w:rsidRPr="00652EF7" w:rsidRDefault="00AC2CD0" w:rsidP="00627585">
            <w:pPr>
              <w:shd w:val="clear" w:color="auto" w:fill="FFFFFF"/>
              <w:spacing w:line="276" w:lineRule="auto"/>
              <w:jc w:val="both"/>
              <w:rPr>
                <w:rFonts w:ascii="Arial" w:hAnsi="Arial" w:cs="Arial"/>
                <w:color w:val="2F302B"/>
                <w:shd w:val="clear" w:color="auto" w:fill="FFFFFF"/>
              </w:rPr>
            </w:pPr>
            <w:r w:rsidRPr="00652EF7">
              <w:rPr>
                <w:rFonts w:ascii="Arial" w:hAnsi="Arial" w:cs="Arial"/>
                <w:b/>
                <w:bCs/>
                <w:color w:val="2F302B"/>
                <w:shd w:val="clear" w:color="auto" w:fill="FFFFFF"/>
              </w:rPr>
              <w:t>Study design:</w:t>
            </w:r>
            <w:r w:rsidRPr="00652EF7">
              <w:rPr>
                <w:rFonts w:ascii="Arial" w:hAnsi="Arial" w:cs="Arial"/>
                <w:color w:val="2F302B"/>
                <w:shd w:val="clear" w:color="auto" w:fill="FFFFFF"/>
              </w:rPr>
              <w:t xml:space="preserve"> </w:t>
            </w:r>
            <w:r w:rsidRPr="00652EF7">
              <w:rPr>
                <w:rFonts w:ascii="Arial" w:hAnsi="Arial" w:cs="Arial"/>
                <w:bCs/>
                <w:color w:val="2F302B"/>
                <w:shd w:val="clear" w:color="auto" w:fill="FFFFFF"/>
              </w:rPr>
              <w:t>This was an observational cross-sectional study. We randomly included patients who were present in the waiting room of a university-based urgent dental care clinic.</w:t>
            </w:r>
            <w:r w:rsidRPr="00652EF7">
              <w:rPr>
                <w:rFonts w:ascii="Arial" w:hAnsi="Arial" w:cs="Arial"/>
                <w:color w:val="2F302B"/>
              </w:rPr>
              <w:br/>
            </w:r>
            <w:r w:rsidRPr="00652EF7">
              <w:rPr>
                <w:rFonts w:ascii="Arial" w:hAnsi="Arial" w:cs="Arial"/>
                <w:b/>
                <w:bCs/>
                <w:color w:val="2F302B"/>
                <w:shd w:val="clear" w:color="auto" w:fill="FFFFFF"/>
              </w:rPr>
              <w:t>Place and Duration of Study:</w:t>
            </w:r>
            <w:r w:rsidRPr="00652EF7">
              <w:rPr>
                <w:rFonts w:ascii="Arial" w:hAnsi="Arial" w:cs="Arial"/>
                <w:color w:val="2F302B"/>
                <w:shd w:val="clear" w:color="auto" w:fill="FFFFFF"/>
              </w:rPr>
              <w:t xml:space="preserve"> Santo Amaro University Dental School with eight months of duration. </w:t>
            </w:r>
          </w:p>
          <w:p w14:paraId="72D5225F" w14:textId="77777777" w:rsidR="00AC2CD0" w:rsidRPr="00652EF7" w:rsidRDefault="00AC2CD0" w:rsidP="00627585">
            <w:pPr>
              <w:shd w:val="clear" w:color="auto" w:fill="FFFFFF"/>
              <w:spacing w:line="276" w:lineRule="auto"/>
              <w:jc w:val="both"/>
              <w:rPr>
                <w:rFonts w:ascii="Arial" w:hAnsi="Arial" w:cs="Arial"/>
                <w:bCs/>
                <w:color w:val="2F302B"/>
                <w:shd w:val="clear" w:color="auto" w:fill="FFFFFF"/>
              </w:rPr>
            </w:pPr>
            <w:r w:rsidRPr="00652EF7">
              <w:rPr>
                <w:rFonts w:ascii="Arial" w:hAnsi="Arial" w:cs="Arial"/>
                <w:color w:val="2F302B"/>
                <w:shd w:val="clear" w:color="auto" w:fill="FFFFFF"/>
              </w:rPr>
              <w:t xml:space="preserve">Methodology:   </w:t>
            </w:r>
            <w:r w:rsidRPr="00652EF7">
              <w:rPr>
                <w:rFonts w:ascii="Arial" w:hAnsi="Arial" w:cs="Arial"/>
                <w:bCs/>
                <w:color w:val="2F302B"/>
                <w:shd w:val="clear" w:color="auto" w:fill="FFFFFF"/>
              </w:rPr>
              <w:t xml:space="preserve">Two calibrated researchers used an aneroid sphygmomanometer to assess study participants before (T1) and after (T2) the dental consultation. The comparison between the variation in BP measurement with the Visual Analog Scale (VAS), dental history, high blood pressure (HBP) and other comorbidities was statistically analyzed. </w:t>
            </w:r>
          </w:p>
          <w:p w14:paraId="759499C8" w14:textId="77777777" w:rsidR="00AC2CD0" w:rsidRPr="00652EF7" w:rsidRDefault="00AC2CD0" w:rsidP="00627585">
            <w:pPr>
              <w:shd w:val="clear" w:color="auto" w:fill="FFFFFF"/>
              <w:spacing w:line="276" w:lineRule="auto"/>
              <w:jc w:val="both"/>
              <w:rPr>
                <w:rFonts w:ascii="Arial" w:eastAsia="Arial" w:hAnsi="Arial" w:cs="Arial"/>
                <w:bCs/>
                <w:color w:val="26282A"/>
              </w:rPr>
            </w:pPr>
            <w:r w:rsidRPr="00652EF7">
              <w:rPr>
                <w:rFonts w:ascii="Arial" w:hAnsi="Arial" w:cs="Arial"/>
                <w:b/>
                <w:color w:val="2F302B"/>
                <w:shd w:val="clear" w:color="auto" w:fill="FFFFFF"/>
              </w:rPr>
              <w:t>Results:</w:t>
            </w:r>
            <w:r w:rsidRPr="00652EF7">
              <w:rPr>
                <w:rFonts w:ascii="Arial" w:hAnsi="Arial" w:cs="Arial"/>
                <w:bCs/>
                <w:color w:val="2F302B"/>
                <w:shd w:val="clear" w:color="auto" w:fill="FFFFFF"/>
              </w:rPr>
              <w:t xml:space="preserve"> </w:t>
            </w:r>
            <w:r w:rsidRPr="00652EF7">
              <w:rPr>
                <w:rFonts w:ascii="Arial" w:eastAsia="Arial" w:hAnsi="Arial" w:cs="Arial"/>
                <w:bCs/>
                <w:color w:val="26282A"/>
              </w:rPr>
              <w:t xml:space="preserve">Among the 75 participants, the mean age was 45.5 ± 12.7 years, and 66.7% were female. Prior to receiving dental care, 78.7% reported experiencing pain, with mean score of 5.2 ± 3.5 on the Visual Analog Scale (VAS), and 38.6%were on </w:t>
            </w:r>
            <w:proofErr w:type="spellStart"/>
            <w:r w:rsidRPr="00652EF7">
              <w:rPr>
                <w:rFonts w:ascii="Arial" w:eastAsia="Arial" w:hAnsi="Arial" w:cs="Arial"/>
                <w:bCs/>
                <w:color w:val="26282A"/>
              </w:rPr>
              <w:t>analgesiscs</w:t>
            </w:r>
            <w:proofErr w:type="spellEnd"/>
            <w:r w:rsidRPr="00652EF7">
              <w:rPr>
                <w:rFonts w:ascii="Arial" w:eastAsia="Arial" w:hAnsi="Arial" w:cs="Arial"/>
                <w:bCs/>
                <w:color w:val="26282A"/>
              </w:rPr>
              <w:t xml:space="preserve">. Additionally, 44.4% of patients reported dental anxiety. Elevated blood pressure (HBP &gt;130 mmHg) was observed in 60% of participants. Familiar history of hypertension was reported by 53.3%, while 28.9% had a formal diagnosis of hypertension; among these, only 50% were regularly using antihypertensive medications. </w:t>
            </w:r>
            <w:r w:rsidRPr="00EB7155">
              <w:rPr>
                <w:rFonts w:ascii="Arial" w:eastAsia="Arial" w:hAnsi="Arial" w:cs="Arial"/>
                <w:bCs/>
                <w:color w:val="26282A"/>
              </w:rPr>
              <w:t>The mean systolic blood pressure (SBP) was 131.9 mmHg, and the mean diastolic blood pressure (DBP) was 90.4 mmHg. The average variation between pre- and post-treatment measurements was a reduction of 3.7 mmHg in SBP and 1.7 mmHg in DBP. However, these changes were not statistically significant</w:t>
            </w:r>
            <w:r w:rsidRPr="00652EF7">
              <w:rPr>
                <w:rFonts w:ascii="Arial" w:eastAsia="Arial" w:hAnsi="Arial" w:cs="Arial"/>
                <w:bCs/>
                <w:color w:val="26282A"/>
              </w:rPr>
              <w:t>.</w:t>
            </w:r>
            <w:r w:rsidRPr="00EB7155">
              <w:rPr>
                <w:rFonts w:ascii="Arial" w:eastAsia="Arial" w:hAnsi="Arial" w:cs="Arial"/>
                <w:bCs/>
                <w:color w:val="26282A"/>
              </w:rPr>
              <w:t xml:space="preserve"> Wilcoxon test yielded a </w:t>
            </w:r>
            <w:r w:rsidRPr="00652EF7">
              <w:rPr>
                <w:rFonts w:ascii="Arial" w:eastAsia="Arial" w:hAnsi="Arial" w:cs="Arial"/>
                <w:bCs/>
                <w:color w:val="26282A"/>
              </w:rPr>
              <w:t>P-</w:t>
            </w:r>
            <w:proofErr w:type="gramStart"/>
            <w:r w:rsidRPr="00652EF7">
              <w:rPr>
                <w:rFonts w:ascii="Arial" w:eastAsia="Arial" w:hAnsi="Arial" w:cs="Arial"/>
                <w:bCs/>
                <w:color w:val="26282A"/>
              </w:rPr>
              <w:t xml:space="preserve">value </w:t>
            </w:r>
            <w:r w:rsidRPr="00EB7155">
              <w:rPr>
                <w:rFonts w:ascii="Arial" w:eastAsia="Arial" w:hAnsi="Arial" w:cs="Arial"/>
                <w:bCs/>
                <w:color w:val="26282A"/>
              </w:rPr>
              <w:t xml:space="preserve"> of</w:t>
            </w:r>
            <w:proofErr w:type="gramEnd"/>
            <w:r w:rsidRPr="00EB7155">
              <w:rPr>
                <w:rFonts w:ascii="Arial" w:eastAsia="Arial" w:hAnsi="Arial" w:cs="Arial"/>
                <w:bCs/>
                <w:color w:val="26282A"/>
              </w:rPr>
              <w:t xml:space="preserve"> 0.0555 for SBP and 0.5480 for DBP</w:t>
            </w:r>
          </w:p>
          <w:p w14:paraId="60DC96D9" w14:textId="77777777" w:rsidR="00AC2CD0" w:rsidRPr="00652EF7" w:rsidRDefault="00AC2CD0" w:rsidP="00627585">
            <w:pPr>
              <w:shd w:val="clear" w:color="auto" w:fill="FFFFFF"/>
              <w:spacing w:line="276" w:lineRule="auto"/>
              <w:jc w:val="both"/>
              <w:rPr>
                <w:rFonts w:ascii="Arial" w:eastAsia="Arial" w:hAnsi="Arial" w:cs="Arial"/>
                <w:color w:val="26282A"/>
              </w:rPr>
            </w:pPr>
            <w:r w:rsidRPr="00652EF7">
              <w:rPr>
                <w:rFonts w:ascii="Arial" w:hAnsi="Arial" w:cs="Arial"/>
                <w:b/>
                <w:bCs/>
                <w:color w:val="2F302B"/>
                <w:shd w:val="clear" w:color="auto" w:fill="FFFFFF"/>
              </w:rPr>
              <w:t>Conclusion:</w:t>
            </w:r>
            <w:r w:rsidRPr="00652EF7">
              <w:rPr>
                <w:rFonts w:ascii="Arial" w:hAnsi="Arial" w:cs="Arial"/>
                <w:color w:val="2F302B"/>
                <w:shd w:val="clear" w:color="auto" w:fill="FFFFFF"/>
              </w:rPr>
              <w:t xml:space="preserve">  </w:t>
            </w:r>
            <w:r w:rsidRPr="00652EF7">
              <w:rPr>
                <w:rFonts w:ascii="Arial" w:eastAsia="Arial" w:hAnsi="Arial" w:cs="Arial"/>
                <w:bCs/>
                <w:color w:val="26282A"/>
              </w:rPr>
              <w:t>We concluded that BP monitoring in the dental clinic is recommended, with most patients presenting HBP before the consultation, but these parameters were not an impediment to urgent dental care.</w:t>
            </w:r>
            <w:r w:rsidRPr="00652EF7">
              <w:rPr>
                <w:rFonts w:ascii="Arial" w:eastAsia="Arial" w:hAnsi="Arial" w:cs="Arial"/>
                <w:color w:val="26282A"/>
              </w:rPr>
              <w:t> </w:t>
            </w:r>
          </w:p>
          <w:p w14:paraId="5ED093BB" w14:textId="472C6D39" w:rsidR="00505F06" w:rsidRPr="00BA1B01" w:rsidRDefault="00AC2CD0" w:rsidP="00627585">
            <w:pPr>
              <w:pStyle w:val="Body"/>
              <w:spacing w:after="0"/>
              <w:rPr>
                <w:rFonts w:ascii="Arial" w:eastAsia="Calibri" w:hAnsi="Arial" w:cs="Arial"/>
                <w:szCs w:val="22"/>
              </w:rPr>
            </w:pPr>
            <w:r w:rsidRPr="00652EF7">
              <w:rPr>
                <w:rFonts w:ascii="Arial" w:eastAsia="Calibri" w:hAnsi="Arial" w:cs="Arial"/>
                <w:sz w:val="18"/>
                <w:szCs w:val="21"/>
              </w:rPr>
              <w:t xml:space="preserve"> </w:t>
            </w:r>
            <w:r w:rsidRPr="00652EF7">
              <w:rPr>
                <w:rFonts w:ascii="Arial" w:eastAsia="Calibri" w:hAnsi="Arial" w:cs="Arial"/>
                <w:color w:val="FF0000"/>
                <w:sz w:val="18"/>
                <w:szCs w:val="21"/>
              </w:rPr>
              <w:t xml:space="preserve"> </w:t>
            </w:r>
          </w:p>
        </w:tc>
      </w:tr>
    </w:tbl>
    <w:p w14:paraId="25428D49" w14:textId="77777777" w:rsidR="00636EB2" w:rsidRDefault="00636EB2" w:rsidP="00627585">
      <w:pPr>
        <w:pStyle w:val="Body"/>
        <w:spacing w:after="0"/>
        <w:rPr>
          <w:rFonts w:ascii="Arial" w:hAnsi="Arial" w:cs="Arial"/>
          <w:i/>
        </w:rPr>
      </w:pPr>
    </w:p>
    <w:p w14:paraId="563A038B" w14:textId="51047CEA" w:rsidR="00652EF7" w:rsidRPr="00652EF7" w:rsidRDefault="00A24E7E" w:rsidP="00627585">
      <w:pPr>
        <w:pStyle w:val="Body"/>
        <w:rPr>
          <w:rFonts w:ascii="Arial" w:hAnsi="Arial" w:cs="Arial"/>
          <w:i/>
        </w:rPr>
      </w:pPr>
      <w:r>
        <w:rPr>
          <w:rFonts w:ascii="Arial" w:hAnsi="Arial" w:cs="Arial"/>
          <w:i/>
        </w:rPr>
        <w:t xml:space="preserve">Keywords: </w:t>
      </w:r>
      <w:r w:rsidR="00652EF7" w:rsidRPr="00652EF7">
        <w:rPr>
          <w:rFonts w:ascii="Arial" w:hAnsi="Arial" w:cs="Arial"/>
          <w:i/>
        </w:rPr>
        <w:t>White coat hypertension</w:t>
      </w:r>
      <w:r w:rsidR="00652EF7">
        <w:rPr>
          <w:rFonts w:ascii="Arial" w:hAnsi="Arial" w:cs="Arial"/>
          <w:i/>
        </w:rPr>
        <w:t>,</w:t>
      </w:r>
      <w:r w:rsidR="00652EF7" w:rsidRPr="00652EF7">
        <w:rPr>
          <w:rFonts w:ascii="Arial" w:hAnsi="Arial" w:cs="Arial"/>
          <w:i/>
        </w:rPr>
        <w:t xml:space="preserve"> Hypertension</w:t>
      </w:r>
      <w:r w:rsidR="00652EF7">
        <w:rPr>
          <w:rFonts w:ascii="Arial" w:hAnsi="Arial" w:cs="Arial"/>
          <w:i/>
        </w:rPr>
        <w:t>,</w:t>
      </w:r>
      <w:r w:rsidR="00652EF7" w:rsidRPr="00652EF7">
        <w:rPr>
          <w:rFonts w:ascii="Arial" w:hAnsi="Arial" w:cs="Arial"/>
          <w:i/>
        </w:rPr>
        <w:t xml:space="preserve"> Dental anxiety, Blood pressure, Dental urgent care</w:t>
      </w:r>
    </w:p>
    <w:p w14:paraId="25A393EE" w14:textId="77777777" w:rsidR="0024282C" w:rsidRDefault="0024282C" w:rsidP="00627585">
      <w:pPr>
        <w:pStyle w:val="Body"/>
        <w:spacing w:after="0"/>
        <w:rPr>
          <w:rFonts w:ascii="Arial" w:hAnsi="Arial" w:cs="Arial"/>
          <w:i/>
          <w:sz w:val="18"/>
        </w:rPr>
      </w:pPr>
    </w:p>
    <w:p w14:paraId="0F6EE7DB" w14:textId="77777777" w:rsidR="00505F06" w:rsidRPr="00A24E7E" w:rsidRDefault="00505F06" w:rsidP="00627585">
      <w:pPr>
        <w:pStyle w:val="Body"/>
        <w:spacing w:after="0"/>
        <w:rPr>
          <w:rFonts w:ascii="Arial" w:hAnsi="Arial" w:cs="Arial"/>
          <w:i/>
        </w:rPr>
      </w:pPr>
    </w:p>
    <w:p w14:paraId="2CC18098" w14:textId="5D594854" w:rsidR="007F7B32" w:rsidRDefault="00902823" w:rsidP="0062758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2275FB">
        <w:rPr>
          <w:rFonts w:ascii="Arial" w:hAnsi="Arial" w:cs="Arial"/>
        </w:rPr>
        <w:t xml:space="preserve"> </w:t>
      </w:r>
    </w:p>
    <w:p w14:paraId="166F1E5D" w14:textId="77777777" w:rsidR="00790ADA" w:rsidRPr="00FB3A86" w:rsidRDefault="00790ADA" w:rsidP="00627585">
      <w:pPr>
        <w:pStyle w:val="AbstHead"/>
        <w:spacing w:after="0"/>
        <w:jc w:val="both"/>
        <w:rPr>
          <w:rFonts w:ascii="Arial" w:hAnsi="Arial" w:cs="Arial"/>
        </w:rPr>
      </w:pPr>
    </w:p>
    <w:p w14:paraId="2BEFCB0B" w14:textId="77777777" w:rsidR="002275FB" w:rsidRPr="002275FB" w:rsidRDefault="002275FB" w:rsidP="00627585">
      <w:pPr>
        <w:pStyle w:val="Body"/>
        <w:rPr>
          <w:rFonts w:ascii="Arial" w:hAnsi="Arial" w:cs="Arial"/>
        </w:rPr>
      </w:pPr>
      <w:r w:rsidRPr="002275FB">
        <w:rPr>
          <w:rFonts w:ascii="Arial" w:hAnsi="Arial" w:cs="Arial"/>
        </w:rPr>
        <w:t xml:space="preserve">Hypertension, or high blood pressure (HBP), is a condition characterized by sustained systolic blood pressure (SBP) above 139 mmHg and/or diastolic blood pressure (DBP) over 39 mmHg. This must be accurately recorded a minimum of two times and subsequently verified following 24-hour ambulatory blood pressure monitoring (ABPM) and home blood pressure </w:t>
      </w:r>
      <w:r w:rsidRPr="002275FB">
        <w:rPr>
          <w:rFonts w:ascii="Arial" w:hAnsi="Arial" w:cs="Arial"/>
        </w:rPr>
        <w:lastRenderedPageBreak/>
        <w:t>monitoring (HBPM). Blood pressure can fluctuate according on the interplay of neuropsychological variables. Age, sex, race, obesity, excessive alcohol use, physical inactivity, along with genetic, behavioral, and environmental factors, are all recognized as contributors to the heightened risk of hypertension. [1,2]</w:t>
      </w:r>
    </w:p>
    <w:p w14:paraId="294D33E6" w14:textId="77777777" w:rsidR="002275FB" w:rsidRPr="002275FB" w:rsidRDefault="002275FB" w:rsidP="00627585">
      <w:pPr>
        <w:pStyle w:val="Body"/>
        <w:rPr>
          <w:rFonts w:ascii="Arial" w:hAnsi="Arial" w:cs="Arial"/>
        </w:rPr>
      </w:pPr>
      <w:r w:rsidRPr="002275FB">
        <w:rPr>
          <w:rFonts w:ascii="Arial" w:hAnsi="Arial" w:cs="Arial"/>
        </w:rPr>
        <w:t>The American College of Cardiology and the American Heart Association (ACC/AHA) define white-coat hypertension (WCH) as the disparity between the blood pressure reading in a clinical setting and the average ambulatory blood pressure monitoring (ABPM) during wakefulness, commonly referred to as home blood pressure monitoring (HBPM) (≥ 130/80 mmHg). The WCH is deemed significant when the variance exceeds 20 mmHg for SBP and 10 mmHg for DBP above the threshold. [2-4]</w:t>
      </w:r>
    </w:p>
    <w:p w14:paraId="11CCBC4C" w14:textId="77777777" w:rsidR="002275FB" w:rsidRPr="002275FB" w:rsidRDefault="002275FB" w:rsidP="00627585">
      <w:pPr>
        <w:pStyle w:val="Body"/>
        <w:rPr>
          <w:rFonts w:ascii="Arial" w:hAnsi="Arial" w:cs="Arial"/>
        </w:rPr>
      </w:pPr>
      <w:r w:rsidRPr="002275FB">
        <w:rPr>
          <w:rFonts w:ascii="Arial" w:hAnsi="Arial" w:cs="Arial"/>
        </w:rPr>
        <w:t>Recent studies suggest that white coat hypertension (WCH) affects around 15–40% of persons, and those with this condition may have an elevated long-term risk of cardiovascular diseases. This relationship, however, remains ambiguous. [3-6]</w:t>
      </w:r>
    </w:p>
    <w:p w14:paraId="6EA2E82C" w14:textId="46472746" w:rsidR="002275FB" w:rsidRPr="002275FB" w:rsidRDefault="002275FB" w:rsidP="00627585">
      <w:pPr>
        <w:pStyle w:val="Body"/>
        <w:rPr>
          <w:rFonts w:ascii="Arial" w:hAnsi="Arial" w:cs="Arial"/>
        </w:rPr>
      </w:pPr>
      <w:r w:rsidRPr="002275FB">
        <w:rPr>
          <w:rFonts w:ascii="Arial" w:hAnsi="Arial" w:cs="Arial"/>
        </w:rPr>
        <w:t xml:space="preserve">Most existing research have predominantly focused on medical or hospital scenarios with insufficient examination of white coat hypertension (WCH) in dental settings, despite the propensity of these situations lead to anxiety and stress that may affect blood pressure. </w:t>
      </w:r>
      <w:r w:rsidR="00627585" w:rsidRPr="002275FB">
        <w:rPr>
          <w:rFonts w:ascii="Arial" w:hAnsi="Arial" w:cs="Arial"/>
        </w:rPr>
        <w:t>[</w:t>
      </w:r>
      <w:r w:rsidR="00627585">
        <w:rPr>
          <w:rFonts w:ascii="Arial" w:hAnsi="Arial" w:cs="Arial"/>
        </w:rPr>
        <w:t>6</w:t>
      </w:r>
      <w:r w:rsidR="00627585" w:rsidRPr="002275FB">
        <w:rPr>
          <w:rFonts w:ascii="Arial" w:hAnsi="Arial" w:cs="Arial"/>
        </w:rPr>
        <w:t>-</w:t>
      </w:r>
      <w:r w:rsidR="00627585">
        <w:rPr>
          <w:rFonts w:ascii="Arial" w:hAnsi="Arial" w:cs="Arial"/>
        </w:rPr>
        <w:t>8</w:t>
      </w:r>
      <w:r w:rsidR="00627585" w:rsidRPr="002275FB">
        <w:rPr>
          <w:rFonts w:ascii="Arial" w:hAnsi="Arial" w:cs="Arial"/>
        </w:rPr>
        <w:t>]</w:t>
      </w:r>
    </w:p>
    <w:p w14:paraId="7AB1E188" w14:textId="73703A48" w:rsidR="002275FB" w:rsidRPr="002275FB" w:rsidRDefault="002275FB" w:rsidP="00627585">
      <w:pPr>
        <w:pStyle w:val="Body"/>
        <w:rPr>
          <w:rFonts w:ascii="Arial" w:hAnsi="Arial" w:cs="Arial"/>
        </w:rPr>
      </w:pPr>
      <w:r w:rsidRPr="002275FB">
        <w:rPr>
          <w:rFonts w:ascii="Arial" w:hAnsi="Arial" w:cs="Arial"/>
        </w:rPr>
        <w:t xml:space="preserve">A recent retrospective study assessed the prevalence of asymptomatic hypertension among patients in a dental school clinic, the frequency of treatment deferral for increased blood pressure, and subsequent modifications in antihypertensive prescription regimens. Among almost 26.000 patients from a dentistry school, approximately 1.265 exhibited high blood pressure readings. Approximately 4.1% of individuals with elevated readings experienced postponement of their dental operations.  </w:t>
      </w:r>
      <w:r w:rsidR="00627585" w:rsidRPr="002275FB">
        <w:rPr>
          <w:rFonts w:ascii="Arial" w:hAnsi="Arial" w:cs="Arial"/>
        </w:rPr>
        <w:t>[</w:t>
      </w:r>
      <w:r w:rsidR="00627585">
        <w:rPr>
          <w:rFonts w:ascii="Arial" w:hAnsi="Arial" w:cs="Arial"/>
        </w:rPr>
        <w:t>8</w:t>
      </w:r>
      <w:r w:rsidR="00627585" w:rsidRPr="002275FB">
        <w:rPr>
          <w:rFonts w:ascii="Arial" w:hAnsi="Arial" w:cs="Arial"/>
        </w:rPr>
        <w:t>]</w:t>
      </w:r>
    </w:p>
    <w:p w14:paraId="4A1D0BA9" w14:textId="4A139088" w:rsidR="00790ADA" w:rsidRPr="00FB3A86" w:rsidRDefault="002275FB" w:rsidP="00627585">
      <w:pPr>
        <w:pStyle w:val="Body"/>
        <w:rPr>
          <w:rFonts w:ascii="Arial" w:hAnsi="Arial" w:cs="Arial"/>
        </w:rPr>
      </w:pPr>
      <w:r w:rsidRPr="002275FB">
        <w:rPr>
          <w:rFonts w:ascii="Arial" w:hAnsi="Arial" w:cs="Arial"/>
        </w:rPr>
        <w:t xml:space="preserve">This study aims to assess the fluctuations in blood pressure among patients prior to and during stressful urgent dental interventions in </w:t>
      </w:r>
      <w:proofErr w:type="gramStart"/>
      <w:r w:rsidRPr="002275FB">
        <w:rPr>
          <w:rFonts w:ascii="Arial" w:hAnsi="Arial" w:cs="Arial"/>
        </w:rPr>
        <w:t>an</w:t>
      </w:r>
      <w:proofErr w:type="gramEnd"/>
      <w:r w:rsidRPr="002275FB">
        <w:rPr>
          <w:rFonts w:ascii="Arial" w:hAnsi="Arial" w:cs="Arial"/>
        </w:rPr>
        <w:t xml:space="preserve"> university dental clinic</w:t>
      </w:r>
    </w:p>
    <w:p w14:paraId="57552B42" w14:textId="41F88105" w:rsidR="007F7B32" w:rsidRDefault="00902823" w:rsidP="0062758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68118B">
        <w:rPr>
          <w:rFonts w:ascii="Arial" w:hAnsi="Arial" w:cs="Arial"/>
        </w:rPr>
        <w:t xml:space="preserve"> </w:t>
      </w:r>
    </w:p>
    <w:p w14:paraId="79696D26" w14:textId="77777777" w:rsidR="00790ADA" w:rsidRPr="00FB3A86" w:rsidRDefault="00790ADA" w:rsidP="00627585">
      <w:pPr>
        <w:pStyle w:val="AbstHead"/>
        <w:spacing w:after="0"/>
        <w:jc w:val="both"/>
        <w:rPr>
          <w:rFonts w:ascii="Arial" w:hAnsi="Arial" w:cs="Arial"/>
        </w:rPr>
      </w:pPr>
    </w:p>
    <w:p w14:paraId="44FB1836" w14:textId="77777777" w:rsidR="0068118B" w:rsidRPr="0068118B" w:rsidRDefault="0068118B" w:rsidP="00627585">
      <w:pPr>
        <w:pStyle w:val="Body"/>
        <w:rPr>
          <w:rFonts w:ascii="Arial" w:hAnsi="Arial" w:cs="Arial"/>
        </w:rPr>
      </w:pPr>
      <w:r w:rsidRPr="0068118B">
        <w:rPr>
          <w:rFonts w:ascii="Arial" w:hAnsi="Arial" w:cs="Arial"/>
        </w:rPr>
        <w:t>This cross-sectional observational study evaluated patients seen at a Brazilian university's dental clinic. After a brief explanation of the study, all patients had read and signed an informed consent form developed for the study (Santo Amaro University IRB number: 68033517.2.0000.0081). This research was conducted ethically in accordance with the code of ethics of the Declaration of Helsinki (World Medical Association).</w:t>
      </w:r>
    </w:p>
    <w:p w14:paraId="6FDC9945" w14:textId="77777777" w:rsidR="0068118B" w:rsidRPr="0068118B" w:rsidRDefault="0068118B" w:rsidP="00627585">
      <w:pPr>
        <w:pStyle w:val="Body"/>
        <w:rPr>
          <w:rFonts w:ascii="Arial" w:hAnsi="Arial" w:cs="Arial"/>
          <w:bCs/>
        </w:rPr>
      </w:pPr>
      <w:r w:rsidRPr="0068118B">
        <w:rPr>
          <w:rFonts w:ascii="Arial" w:hAnsi="Arial" w:cs="Arial"/>
        </w:rPr>
        <w:t xml:space="preserve">This study included adults with known or unknown HBP status. We randomly selected and approached all individuals in this study </w:t>
      </w:r>
      <w:r w:rsidRPr="0068118B">
        <w:rPr>
          <w:rFonts w:ascii="Arial" w:hAnsi="Arial" w:cs="Arial"/>
          <w:bCs/>
        </w:rPr>
        <w:t>in the waiting room of a university-based urgent dental care clinic.</w:t>
      </w:r>
    </w:p>
    <w:p w14:paraId="7CF0DB1B" w14:textId="77777777" w:rsidR="0068118B" w:rsidRPr="0068118B" w:rsidRDefault="0068118B" w:rsidP="00627585">
      <w:pPr>
        <w:pStyle w:val="Body"/>
        <w:rPr>
          <w:rFonts w:ascii="Arial" w:hAnsi="Arial" w:cs="Arial"/>
        </w:rPr>
      </w:pPr>
      <w:r w:rsidRPr="0068118B">
        <w:rPr>
          <w:rFonts w:ascii="Arial" w:hAnsi="Arial" w:cs="Arial"/>
        </w:rPr>
        <w:t xml:space="preserve">Two calibrated researchers evaluated the participants of the study using </w:t>
      </w:r>
      <w:proofErr w:type="gramStart"/>
      <w:r w:rsidRPr="0068118B">
        <w:rPr>
          <w:rFonts w:ascii="Arial" w:hAnsi="Arial" w:cs="Arial"/>
        </w:rPr>
        <w:t>a</w:t>
      </w:r>
      <w:proofErr w:type="gramEnd"/>
      <w:r w:rsidRPr="0068118B">
        <w:rPr>
          <w:rFonts w:ascii="Arial" w:hAnsi="Arial" w:cs="Arial"/>
        </w:rPr>
        <w:t xml:space="preserve"> aneroid sphygmomanometer before (T1) and after (T2) the urgent dental care. Also, the participants answered a questionnaire which included basic sociodemographic and clinical information designed for this study, which included the visual analog pain scale (VAS), whose values ranged from 0 (no pain) to 10 (severe pain). </w:t>
      </w:r>
    </w:p>
    <w:p w14:paraId="3F12A25B" w14:textId="37D6867E" w:rsidR="0068118B" w:rsidRPr="0068118B" w:rsidRDefault="0068118B" w:rsidP="00627585">
      <w:pPr>
        <w:pStyle w:val="Body"/>
        <w:rPr>
          <w:rFonts w:ascii="Arial" w:hAnsi="Arial" w:cs="Arial"/>
        </w:rPr>
      </w:pPr>
      <w:r w:rsidRPr="0068118B">
        <w:rPr>
          <w:rFonts w:ascii="Arial" w:hAnsi="Arial" w:cs="Arial"/>
        </w:rPr>
        <w:t>In T</w:t>
      </w:r>
      <w:proofErr w:type="gramStart"/>
      <w:r w:rsidRPr="0068118B">
        <w:rPr>
          <w:rFonts w:ascii="Arial" w:hAnsi="Arial" w:cs="Arial"/>
        </w:rPr>
        <w:t>1,  before</w:t>
      </w:r>
      <w:proofErr w:type="gramEnd"/>
      <w:r w:rsidRPr="0068118B">
        <w:rPr>
          <w:rFonts w:ascii="Arial" w:hAnsi="Arial" w:cs="Arial"/>
        </w:rPr>
        <w:t xml:space="preserve"> any clinical intervention, patients were instructed to take a comfortable seat and the interviewer asked the following questions: Do you drink coffee or any other stimulating drink? Are you a smoker? Did you exercise before the consultation? Did you use any medication or illicit drugs before the consultation? Have you emptied your bladder? The BP values used were those recommended by the American Heart Association.</w:t>
      </w:r>
      <w:r w:rsidR="00627585" w:rsidRPr="00627585">
        <w:rPr>
          <w:rFonts w:ascii="Arial" w:hAnsi="Arial" w:cs="Arial"/>
        </w:rPr>
        <w:t xml:space="preserve"> </w:t>
      </w:r>
      <w:r w:rsidR="00627585" w:rsidRPr="002275FB">
        <w:rPr>
          <w:rFonts w:ascii="Arial" w:hAnsi="Arial" w:cs="Arial"/>
        </w:rPr>
        <w:t>[</w:t>
      </w:r>
      <w:r w:rsidR="00627585">
        <w:rPr>
          <w:rFonts w:ascii="Arial" w:hAnsi="Arial" w:cs="Arial"/>
        </w:rPr>
        <w:t>2</w:t>
      </w:r>
      <w:r w:rsidR="00627585" w:rsidRPr="002275FB">
        <w:rPr>
          <w:rFonts w:ascii="Arial" w:hAnsi="Arial" w:cs="Arial"/>
        </w:rPr>
        <w:t>]</w:t>
      </w:r>
    </w:p>
    <w:p w14:paraId="48EB472A" w14:textId="77777777" w:rsidR="0068118B" w:rsidRPr="0068118B" w:rsidRDefault="0068118B" w:rsidP="00627585">
      <w:pPr>
        <w:pStyle w:val="Body"/>
        <w:rPr>
          <w:rFonts w:ascii="Arial" w:hAnsi="Arial" w:cs="Arial"/>
        </w:rPr>
      </w:pPr>
      <w:r w:rsidRPr="0068118B">
        <w:rPr>
          <w:rFonts w:ascii="Arial" w:hAnsi="Arial" w:cs="Arial"/>
        </w:rPr>
        <w:t>The T2 was measurement occurred after the dental urgent consultation, following a brief resting period of approximately 5 minutes.</w:t>
      </w:r>
    </w:p>
    <w:p w14:paraId="0377A826" w14:textId="3CB22232" w:rsidR="00790ADA" w:rsidRPr="00FB3A86" w:rsidRDefault="0068118B" w:rsidP="00627585">
      <w:pPr>
        <w:pStyle w:val="Body"/>
        <w:rPr>
          <w:rFonts w:ascii="Arial" w:hAnsi="Arial" w:cs="Arial"/>
        </w:rPr>
      </w:pPr>
      <w:r w:rsidRPr="0068118B">
        <w:rPr>
          <w:rFonts w:ascii="Arial" w:hAnsi="Arial" w:cs="Arial"/>
        </w:rPr>
        <w:t>We described the results using means, standard deviations, and other summary measures for the BP values and their evolution. To assess whether there was a significant evolution and whether the evolutions were different, the non-parametric Wilcoxon test was used. For the evaluation of the correlations between the evolutions and the continuous measures, we used Pearson's linear correlation index. We used the JMP® Pro software version 13 (SAS Institute Inc., Cary, NC, USA), 1989–2019, for the analysis, with a significance level of 0.05 and 95% confidence.</w:t>
      </w:r>
    </w:p>
    <w:p w14:paraId="213A243D" w14:textId="77777777" w:rsidR="00790ADA" w:rsidRPr="00FB3A86" w:rsidRDefault="00790ADA" w:rsidP="00627585">
      <w:pPr>
        <w:pStyle w:val="Body"/>
        <w:spacing w:after="0"/>
        <w:rPr>
          <w:rFonts w:ascii="Arial" w:hAnsi="Arial" w:cs="Arial"/>
        </w:rPr>
      </w:pPr>
    </w:p>
    <w:p w14:paraId="4E8D0D5A" w14:textId="4D366C7C" w:rsidR="00902823" w:rsidRDefault="00000F8F" w:rsidP="0062758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44623B1" w14:textId="77777777" w:rsidR="00790ADA" w:rsidRPr="00FB3A86" w:rsidRDefault="00790ADA" w:rsidP="00627585">
      <w:pPr>
        <w:pStyle w:val="Head1"/>
        <w:spacing w:after="0"/>
        <w:jc w:val="both"/>
        <w:rPr>
          <w:rFonts w:ascii="Arial" w:hAnsi="Arial" w:cs="Arial"/>
        </w:rPr>
      </w:pPr>
    </w:p>
    <w:p w14:paraId="1125B375" w14:textId="77777777" w:rsidR="00627585" w:rsidRPr="00627585" w:rsidRDefault="00627585" w:rsidP="00627585">
      <w:pPr>
        <w:jc w:val="both"/>
        <w:rPr>
          <w:rFonts w:ascii="Arial" w:hAnsi="Arial" w:cs="Arial"/>
        </w:rPr>
      </w:pPr>
      <w:r w:rsidRPr="00627585">
        <w:rPr>
          <w:rFonts w:ascii="Arial" w:hAnsi="Arial" w:cs="Arial"/>
        </w:rPr>
        <w:t xml:space="preserve">A total of 75 adult patients, aged 18 years and older, were randomly selected from the waiting room of the university’s urgent dental care clinic. Among the total participants (n = 75), 66.7% (n = 50) were female, whereas 33.3% (n = 25) were male. </w:t>
      </w:r>
      <w:r w:rsidRPr="00627585">
        <w:rPr>
          <w:rFonts w:ascii="Arial" w:hAnsi="Arial" w:cs="Arial"/>
        </w:rPr>
        <w:lastRenderedPageBreak/>
        <w:t>The average age was 45.5 ± 12.7 years, with a range from 21 to 70 years. The urgent intervention predominantly involved the management of oral and dental infections in 82.6% of the patients.</w:t>
      </w:r>
    </w:p>
    <w:p w14:paraId="6E62387D" w14:textId="77777777" w:rsidR="00627585" w:rsidRPr="00627585" w:rsidRDefault="00627585" w:rsidP="00627585">
      <w:pPr>
        <w:jc w:val="both"/>
        <w:rPr>
          <w:rFonts w:ascii="Arial" w:hAnsi="Arial" w:cs="Arial"/>
        </w:rPr>
      </w:pPr>
      <w:r w:rsidRPr="00627585">
        <w:rPr>
          <w:rFonts w:ascii="Arial" w:hAnsi="Arial" w:cs="Arial"/>
        </w:rPr>
        <w:t>The patients were categorized into two groups: the first exhibiting increased blood pressure readings (&gt;130 x 90 mmHg) and the second group displaying normal blood pressure levels. Sixty percent of the subjects had hypertension, while forty percent displayed normal levels. Table 1 presents the demographic data.</w:t>
      </w:r>
    </w:p>
    <w:p w14:paraId="491DFAF6" w14:textId="77777777" w:rsidR="00627585" w:rsidRPr="00627585" w:rsidRDefault="00627585" w:rsidP="00627585">
      <w:pPr>
        <w:jc w:val="both"/>
        <w:rPr>
          <w:rFonts w:ascii="Arial" w:hAnsi="Arial" w:cs="Arial"/>
        </w:rPr>
      </w:pPr>
      <w:r w:rsidRPr="00627585">
        <w:rPr>
          <w:rFonts w:ascii="Arial" w:hAnsi="Arial" w:cs="Arial"/>
        </w:rPr>
        <w:t>Regarding the pre-measurement inquiries, eight individuals reported smoking, and three had engaged in physical activity prior to the consultation. Of these, five participants who smoked before to consultation exhibited blood pressure readings exceeding 130 x 90 mmHg.</w:t>
      </w:r>
    </w:p>
    <w:p w14:paraId="1E318A42" w14:textId="77777777" w:rsidR="00627585" w:rsidRPr="00627585" w:rsidRDefault="00627585" w:rsidP="00627585">
      <w:pPr>
        <w:jc w:val="both"/>
        <w:rPr>
          <w:rFonts w:ascii="Arial" w:hAnsi="Arial" w:cs="Arial"/>
        </w:rPr>
      </w:pPr>
      <w:r w:rsidRPr="00627585">
        <w:rPr>
          <w:rFonts w:ascii="Arial" w:hAnsi="Arial" w:cs="Arial"/>
        </w:rPr>
        <w:t>Regarding discomfort, 78.7% (n = 57) reported experiencing pain with a VAS of 5.2 ± 3.5, 42.6% (n = 32) utilized analgesics, and 38.6% (n = 29) expressed anxiety regarding dental visits. Data on blood pressure indicated that 52% (n = 39) of patients possessed a familial history of hypertension; 18.6% (n = 14) had previously received a diagnosis; 14.6% (n = 11) were undergoing antihypertensive medication; and 96% (n = 72) had never undergone blood pressure assessment prior to dental treatment. The average blood pressure was 133 over 90 mmHg. Of the individuals interviewed, 16% (n = 12) were sent to a physician for hypertension (&gt;180 x 110 mmHg).</w:t>
      </w:r>
    </w:p>
    <w:p w14:paraId="6D91C61D" w14:textId="77777777" w:rsidR="00627585" w:rsidRPr="00627585" w:rsidRDefault="00627585" w:rsidP="00627585">
      <w:pPr>
        <w:jc w:val="both"/>
        <w:rPr>
          <w:rFonts w:ascii="Arial" w:hAnsi="Arial" w:cs="Arial"/>
        </w:rPr>
      </w:pPr>
      <w:r w:rsidRPr="00627585">
        <w:rPr>
          <w:rFonts w:ascii="Arial" w:hAnsi="Arial" w:cs="Arial"/>
        </w:rPr>
        <w:t>To evaluate any significant alteration in SBP and DBP values at T1 and T2, we used the non-parametric Wilcoxon test, with a threshold of P-</w:t>
      </w:r>
      <w:proofErr w:type="gramStart"/>
      <w:r w:rsidRPr="00627585">
        <w:rPr>
          <w:rFonts w:ascii="Arial" w:hAnsi="Arial" w:cs="Arial"/>
        </w:rPr>
        <w:t>value  &gt;</w:t>
      </w:r>
      <w:proofErr w:type="gramEnd"/>
      <w:r w:rsidRPr="00627585">
        <w:rPr>
          <w:rFonts w:ascii="Arial" w:hAnsi="Arial" w:cs="Arial"/>
        </w:rPr>
        <w:t xml:space="preserve"> 0.05.</w:t>
      </w:r>
    </w:p>
    <w:p w14:paraId="0C6A32F6" w14:textId="77777777" w:rsidR="00627585" w:rsidRPr="00627585" w:rsidRDefault="00627585" w:rsidP="00627585">
      <w:pPr>
        <w:jc w:val="both"/>
        <w:rPr>
          <w:rFonts w:ascii="Arial" w:hAnsi="Arial" w:cs="Arial"/>
        </w:rPr>
      </w:pPr>
      <w:r w:rsidRPr="00627585">
        <w:rPr>
          <w:rFonts w:ascii="Arial" w:hAnsi="Arial" w:cs="Arial"/>
        </w:rPr>
        <w:t>The SBP variations spanned from -30 mmHg to 80 mmHg in T1 and T2, with a P-</w:t>
      </w:r>
      <w:proofErr w:type="gramStart"/>
      <w:r w:rsidRPr="00627585">
        <w:rPr>
          <w:rFonts w:ascii="Arial" w:hAnsi="Arial" w:cs="Arial"/>
        </w:rPr>
        <w:t>value  of</w:t>
      </w:r>
      <w:proofErr w:type="gramEnd"/>
      <w:r w:rsidRPr="00627585">
        <w:rPr>
          <w:rFonts w:ascii="Arial" w:hAnsi="Arial" w:cs="Arial"/>
        </w:rPr>
        <w:t xml:space="preserve"> 0.0555, approaching significant. There were DBP variations from 20 mmHg to 90 mmHg (P-</w:t>
      </w:r>
      <w:proofErr w:type="gramStart"/>
      <w:r w:rsidRPr="00627585">
        <w:rPr>
          <w:rFonts w:ascii="Arial" w:hAnsi="Arial" w:cs="Arial"/>
        </w:rPr>
        <w:t>value :</w:t>
      </w:r>
      <w:proofErr w:type="gramEnd"/>
      <w:r w:rsidRPr="00627585">
        <w:rPr>
          <w:rFonts w:ascii="Arial" w:hAnsi="Arial" w:cs="Arial"/>
        </w:rPr>
        <w:t xml:space="preserve"> 0.5480).</w:t>
      </w:r>
    </w:p>
    <w:p w14:paraId="6131B48C" w14:textId="77777777" w:rsidR="00627585" w:rsidRPr="00627585" w:rsidRDefault="00627585" w:rsidP="00627585">
      <w:pPr>
        <w:jc w:val="both"/>
        <w:rPr>
          <w:rFonts w:ascii="Arial" w:hAnsi="Arial" w:cs="Arial"/>
        </w:rPr>
      </w:pPr>
      <w:r w:rsidRPr="00627585">
        <w:rPr>
          <w:rFonts w:ascii="Arial" w:hAnsi="Arial" w:cs="Arial"/>
        </w:rPr>
        <w:t>In 36.0% of the patients, there was an increase in SBP, 21.3% exhibited a decrease, and 42.7% maintained normal levels. DBP alterations were observed in 29.3% of patients; however, in T2, blood pressure decreased by 25.3% and remained within normal ranges in 45.3% of instances. Table 2 displays the variations observed following two blood pressure measurements.</w:t>
      </w:r>
    </w:p>
    <w:p w14:paraId="4AE84D01" w14:textId="77777777" w:rsidR="00627585" w:rsidRDefault="00627585" w:rsidP="00627585">
      <w:pPr>
        <w:jc w:val="both"/>
        <w:rPr>
          <w:rFonts w:ascii="Arial" w:hAnsi="Arial" w:cs="Arial"/>
        </w:rPr>
      </w:pPr>
      <w:r w:rsidRPr="00627585">
        <w:rPr>
          <w:rFonts w:ascii="Arial" w:hAnsi="Arial" w:cs="Arial"/>
        </w:rPr>
        <w:t>All 45 patients exhibiting sustained blood pressure over 180/110 mmHg post-intervention and/or displaying symptoms of a hypertensive crisis, such as headaches, dizziness, or visual disturbances, were promptly sent to the emergency room.</w:t>
      </w:r>
    </w:p>
    <w:p w14:paraId="476B6592" w14:textId="77777777" w:rsidR="00627585" w:rsidRDefault="00627585" w:rsidP="00627585">
      <w:pPr>
        <w:jc w:val="both"/>
        <w:rPr>
          <w:rFonts w:ascii="Arial" w:hAnsi="Arial" w:cs="Arial"/>
        </w:rPr>
      </w:pPr>
    </w:p>
    <w:p w14:paraId="7275D459" w14:textId="2F293916" w:rsidR="00627585" w:rsidRDefault="00627585" w:rsidP="00627585">
      <w:pPr>
        <w:pStyle w:val="Head1"/>
        <w:spacing w:after="0"/>
        <w:jc w:val="both"/>
        <w:rPr>
          <w:rFonts w:ascii="Arial" w:hAnsi="Arial" w:cs="Arial"/>
        </w:rPr>
      </w:pPr>
      <w:r>
        <w:rPr>
          <w:rFonts w:ascii="Arial" w:hAnsi="Arial" w:cs="Arial"/>
        </w:rPr>
        <w:t>4. discussion</w:t>
      </w:r>
    </w:p>
    <w:p w14:paraId="2EF9500E" w14:textId="77777777" w:rsidR="00627585" w:rsidRDefault="00627585" w:rsidP="00627585">
      <w:pPr>
        <w:jc w:val="both"/>
        <w:rPr>
          <w:rFonts w:ascii="Arial" w:hAnsi="Arial" w:cs="Arial"/>
        </w:rPr>
      </w:pPr>
    </w:p>
    <w:p w14:paraId="6516E76C" w14:textId="45ABB32B" w:rsidR="00627585" w:rsidRPr="00627585" w:rsidRDefault="00627585" w:rsidP="00627585">
      <w:pPr>
        <w:jc w:val="both"/>
        <w:rPr>
          <w:rFonts w:ascii="Arial" w:hAnsi="Arial" w:cs="Arial"/>
        </w:rPr>
      </w:pPr>
      <w:r w:rsidRPr="00627585">
        <w:rPr>
          <w:rFonts w:ascii="Arial" w:hAnsi="Arial" w:cs="Arial"/>
        </w:rPr>
        <w:t>Hypertension is an insidious disease associated with increased cardiovascular risk and mortality. HBP can lead to sudden death, stroke, acute myocardial infarction, heart failure, peripheral arterial disease, and fatal and non-fatal chronic kidney disease. Therefore, this illness might be regarded one of the major public health crises in the globe.</w:t>
      </w:r>
      <w:r w:rsidRPr="00627585">
        <w:rPr>
          <w:rFonts w:ascii="Arial" w:hAnsi="Arial" w:cs="Arial"/>
          <w:vertAlign w:val="superscript"/>
        </w:rPr>
        <w:t xml:space="preserve"> </w:t>
      </w:r>
      <w:r w:rsidRPr="002275FB">
        <w:rPr>
          <w:rFonts w:ascii="Arial" w:hAnsi="Arial" w:cs="Arial"/>
        </w:rPr>
        <w:t>[</w:t>
      </w:r>
      <w:r>
        <w:rPr>
          <w:rFonts w:ascii="Arial" w:hAnsi="Arial" w:cs="Arial"/>
        </w:rPr>
        <w:t>1</w:t>
      </w:r>
      <w:r w:rsidRPr="002275FB">
        <w:rPr>
          <w:rFonts w:ascii="Arial" w:hAnsi="Arial" w:cs="Arial"/>
        </w:rPr>
        <w:t>]</w:t>
      </w:r>
    </w:p>
    <w:p w14:paraId="3AB908D4" w14:textId="7FC5D1D3" w:rsidR="00627585" w:rsidRPr="00627585" w:rsidRDefault="00627585" w:rsidP="00627585">
      <w:pPr>
        <w:jc w:val="both"/>
        <w:rPr>
          <w:rFonts w:ascii="Arial" w:hAnsi="Arial" w:cs="Arial"/>
        </w:rPr>
      </w:pPr>
      <w:r w:rsidRPr="00627585">
        <w:rPr>
          <w:rFonts w:ascii="Arial" w:hAnsi="Arial" w:cs="Arial"/>
        </w:rPr>
        <w:t xml:space="preserve">           Patients at risk for HBP require specific dental treatment, considering that roughly half of the hypertension patients can be asymptomatic and ignorant of the condition. Dental management must include a full clinical assessment, medical history, and BP monitoring prior to dental procedures. </w:t>
      </w:r>
      <w:r w:rsidRPr="002275FB">
        <w:rPr>
          <w:rFonts w:ascii="Arial" w:hAnsi="Arial" w:cs="Arial"/>
        </w:rPr>
        <w:t>[</w:t>
      </w:r>
      <w:r>
        <w:rPr>
          <w:rFonts w:ascii="Arial" w:hAnsi="Arial" w:cs="Arial"/>
        </w:rPr>
        <w:t>8,11</w:t>
      </w:r>
      <w:r w:rsidRPr="002275FB">
        <w:rPr>
          <w:rFonts w:ascii="Arial" w:hAnsi="Arial" w:cs="Arial"/>
        </w:rPr>
        <w:t>]</w:t>
      </w:r>
    </w:p>
    <w:p w14:paraId="67948AC0" w14:textId="7D1DBDB9" w:rsidR="00627585" w:rsidRPr="00627585" w:rsidRDefault="00627585" w:rsidP="00627585">
      <w:pPr>
        <w:jc w:val="both"/>
        <w:rPr>
          <w:rFonts w:ascii="Arial" w:hAnsi="Arial" w:cs="Arial"/>
        </w:rPr>
      </w:pPr>
      <w:r w:rsidRPr="00627585">
        <w:rPr>
          <w:rFonts w:ascii="Arial" w:hAnsi="Arial" w:cs="Arial"/>
        </w:rPr>
        <w:t xml:space="preserve">Since HBP can be regarded one of Brazil's main public health problems, affecting more than 20% of the population, high BP values are continuously identified in the dentistry clinic during physical examination. Due to the large circulation of individuals and trained professionals, the dentistry clinic is an ideal site for BP screening. Although studies monitoring BP levels in a dental environment are widely addressed in the literature, there is no consensus regarding the optimal timing to treat these individuals. </w:t>
      </w:r>
      <w:r w:rsidRPr="002275FB">
        <w:rPr>
          <w:rFonts w:ascii="Arial" w:hAnsi="Arial" w:cs="Arial"/>
        </w:rPr>
        <w:t>[</w:t>
      </w:r>
      <w:r>
        <w:rPr>
          <w:rFonts w:ascii="Arial" w:hAnsi="Arial" w:cs="Arial"/>
        </w:rPr>
        <w:t>12</w:t>
      </w:r>
      <w:r w:rsidRPr="002275FB">
        <w:rPr>
          <w:rFonts w:ascii="Arial" w:hAnsi="Arial" w:cs="Arial"/>
        </w:rPr>
        <w:t>]</w:t>
      </w:r>
    </w:p>
    <w:p w14:paraId="489BCA81" w14:textId="77777777" w:rsidR="00627585" w:rsidRPr="00627585" w:rsidRDefault="00627585" w:rsidP="00627585">
      <w:pPr>
        <w:jc w:val="both"/>
        <w:rPr>
          <w:rFonts w:ascii="Arial" w:hAnsi="Arial" w:cs="Arial"/>
        </w:rPr>
      </w:pPr>
      <w:r w:rsidRPr="00627585">
        <w:rPr>
          <w:rFonts w:ascii="Arial" w:hAnsi="Arial" w:cs="Arial"/>
        </w:rPr>
        <w:t xml:space="preserve">            Most patients with hypertension have an uncontrolled condition. The dental consultation gives a unique chance to screen individuals for undiagnosed and uncontrolled hypertension, which could contribute to enhanced monitoring and treatment. </w:t>
      </w:r>
    </w:p>
    <w:p w14:paraId="1BB4A024" w14:textId="77777777" w:rsidR="00627585" w:rsidRPr="00627585" w:rsidRDefault="00627585" w:rsidP="00627585">
      <w:pPr>
        <w:jc w:val="both"/>
        <w:rPr>
          <w:rFonts w:ascii="Arial" w:hAnsi="Arial" w:cs="Arial"/>
        </w:rPr>
      </w:pPr>
      <w:r w:rsidRPr="00627585">
        <w:rPr>
          <w:rFonts w:ascii="Arial" w:hAnsi="Arial" w:cs="Arial"/>
        </w:rPr>
        <w:t>The purpose of this study was to determine the average blood pressure of patients before they received urgent dental treatment. We examined 75 patients from the clinic's urgent dental service, and 38.6% of them expressed apprehension about receiving dental treatment. Stress and fear may lead to elevated blood pressure or the identification of an unidentified white coat hypertension (WCH).</w:t>
      </w:r>
    </w:p>
    <w:p w14:paraId="7B70406B" w14:textId="4A2FC635" w:rsidR="00627585" w:rsidRPr="00627585" w:rsidRDefault="00627585" w:rsidP="00627585">
      <w:pPr>
        <w:jc w:val="both"/>
        <w:rPr>
          <w:rFonts w:ascii="Arial" w:hAnsi="Arial" w:cs="Arial"/>
        </w:rPr>
      </w:pPr>
      <w:r w:rsidRPr="00627585">
        <w:rPr>
          <w:rFonts w:ascii="Arial" w:hAnsi="Arial" w:cs="Arial"/>
        </w:rPr>
        <w:t xml:space="preserve">Disagreement persists on the correlation between WCH and long-term cardiac events; however, accumulating evidence suggests that these early indicators may result in a misdiagnosis of hypertension. </w:t>
      </w:r>
      <w:r w:rsidRPr="002275FB">
        <w:rPr>
          <w:rFonts w:ascii="Arial" w:hAnsi="Arial" w:cs="Arial"/>
        </w:rPr>
        <w:t>[</w:t>
      </w:r>
      <w:r>
        <w:rPr>
          <w:rFonts w:ascii="Arial" w:hAnsi="Arial" w:cs="Arial"/>
        </w:rPr>
        <w:t>10-13</w:t>
      </w:r>
      <w:r w:rsidRPr="002275FB">
        <w:rPr>
          <w:rFonts w:ascii="Arial" w:hAnsi="Arial" w:cs="Arial"/>
        </w:rPr>
        <w:t>]</w:t>
      </w:r>
    </w:p>
    <w:p w14:paraId="1C6443AE" w14:textId="10CA46B5" w:rsidR="00627585" w:rsidRPr="00627585" w:rsidRDefault="00627585" w:rsidP="00627585">
      <w:pPr>
        <w:jc w:val="both"/>
        <w:rPr>
          <w:rFonts w:ascii="Arial" w:hAnsi="Arial" w:cs="Arial"/>
        </w:rPr>
      </w:pPr>
      <w:r w:rsidRPr="00627585">
        <w:rPr>
          <w:rFonts w:ascii="Arial" w:hAnsi="Arial" w:cs="Arial"/>
        </w:rPr>
        <w:t xml:space="preserve">Many specialists advocate avoiding elective dental treatments in persons with blood pressure &gt;180/110 mmHg due to the lack of controlled randomized clinical trials. </w:t>
      </w:r>
      <w:r w:rsidRPr="002275FB">
        <w:rPr>
          <w:rFonts w:ascii="Arial" w:hAnsi="Arial" w:cs="Arial"/>
        </w:rPr>
        <w:t>[</w:t>
      </w:r>
      <w:r>
        <w:rPr>
          <w:rFonts w:ascii="Arial" w:hAnsi="Arial" w:cs="Arial"/>
        </w:rPr>
        <w:t>8,13</w:t>
      </w:r>
      <w:r w:rsidRPr="002275FB">
        <w:rPr>
          <w:rFonts w:ascii="Arial" w:hAnsi="Arial" w:cs="Arial"/>
        </w:rPr>
        <w:t>]</w:t>
      </w:r>
    </w:p>
    <w:p w14:paraId="4D8538F6" w14:textId="087057A9" w:rsidR="00627585" w:rsidRPr="00627585" w:rsidRDefault="00627585" w:rsidP="00627585">
      <w:pPr>
        <w:jc w:val="both"/>
        <w:rPr>
          <w:rFonts w:ascii="Arial" w:hAnsi="Arial" w:cs="Arial"/>
        </w:rPr>
      </w:pPr>
      <w:r w:rsidRPr="00627585">
        <w:rPr>
          <w:rFonts w:ascii="Arial" w:hAnsi="Arial" w:cs="Arial"/>
        </w:rPr>
        <w:t xml:space="preserve">WCH can directly influence hemodynamics, leading to significant alterations in blood pressure, heart rate, and myocardial oxygen demand. This anxiety can be mitigated by arranging morning appointments, having concise consultations, managing pain, and reducing stress, which frequently necessitate prescriptions for anxiolytic medications. </w:t>
      </w:r>
      <w:r w:rsidRPr="002275FB">
        <w:rPr>
          <w:rFonts w:ascii="Arial" w:hAnsi="Arial" w:cs="Arial"/>
        </w:rPr>
        <w:t>[</w:t>
      </w:r>
      <w:r>
        <w:rPr>
          <w:rFonts w:ascii="Arial" w:hAnsi="Arial" w:cs="Arial"/>
        </w:rPr>
        <w:t>7,14</w:t>
      </w:r>
      <w:r w:rsidRPr="002275FB">
        <w:rPr>
          <w:rFonts w:ascii="Arial" w:hAnsi="Arial" w:cs="Arial"/>
        </w:rPr>
        <w:t>]</w:t>
      </w:r>
    </w:p>
    <w:p w14:paraId="0AE70B8A" w14:textId="597503F0" w:rsidR="00627585" w:rsidRPr="00627585" w:rsidRDefault="00627585" w:rsidP="00627585">
      <w:pPr>
        <w:jc w:val="both"/>
        <w:rPr>
          <w:rFonts w:ascii="Arial" w:hAnsi="Arial" w:cs="Arial"/>
        </w:rPr>
      </w:pPr>
      <w:r w:rsidRPr="00627585">
        <w:rPr>
          <w:rFonts w:ascii="Arial" w:hAnsi="Arial" w:cs="Arial"/>
        </w:rPr>
        <w:t xml:space="preserve">Individuals with hypertension exhibit a significantly heightened stress response compared to those with normotension. In our study, individuals with a verified diagnosis of hypertension maintained elevated blood pressure levels before and after an urgent dental care. Under these conditions, therapy should incorporate effective anesthetic techniques and the administration of analgesics; otherwise, these operations may elevate blood pressure. </w:t>
      </w:r>
      <w:r w:rsidRPr="002275FB">
        <w:rPr>
          <w:rFonts w:ascii="Arial" w:hAnsi="Arial" w:cs="Arial"/>
        </w:rPr>
        <w:t>[</w:t>
      </w:r>
      <w:r>
        <w:rPr>
          <w:rFonts w:ascii="Arial" w:hAnsi="Arial" w:cs="Arial"/>
        </w:rPr>
        <w:t>8,13,14</w:t>
      </w:r>
      <w:r w:rsidRPr="002275FB">
        <w:rPr>
          <w:rFonts w:ascii="Arial" w:hAnsi="Arial" w:cs="Arial"/>
        </w:rPr>
        <w:t>]</w:t>
      </w:r>
    </w:p>
    <w:p w14:paraId="5CB25C43" w14:textId="19437E81" w:rsidR="00627585" w:rsidRPr="00627585" w:rsidRDefault="00627585" w:rsidP="00627585">
      <w:pPr>
        <w:jc w:val="both"/>
        <w:rPr>
          <w:rFonts w:ascii="Arial" w:hAnsi="Arial" w:cs="Arial"/>
        </w:rPr>
      </w:pPr>
      <w:r w:rsidRPr="00627585">
        <w:rPr>
          <w:rFonts w:ascii="Arial" w:hAnsi="Arial" w:cs="Arial"/>
        </w:rPr>
        <w:t xml:space="preserve">Nonetheless, dental appointments deferral </w:t>
      </w:r>
      <w:proofErr w:type="gramStart"/>
      <w:r w:rsidRPr="00627585">
        <w:rPr>
          <w:rFonts w:ascii="Arial" w:hAnsi="Arial" w:cs="Arial"/>
        </w:rPr>
        <w:t>occur</w:t>
      </w:r>
      <w:proofErr w:type="gramEnd"/>
      <w:r w:rsidRPr="00627585">
        <w:rPr>
          <w:rFonts w:ascii="Arial" w:hAnsi="Arial" w:cs="Arial"/>
        </w:rPr>
        <w:t xml:space="preserve"> frequently when patients exhibit elevated blood pressure readings, despite the absence of clinical indicators of hypertensive crises. This primarily arises from a deficiency of knowledge among professionals regarding WCH or the management of hypertensive patients. Furthermore, there is no empirical evidence demonstrating the benefits of deferring dental treatment in these instances. </w:t>
      </w:r>
      <w:r w:rsidRPr="002275FB">
        <w:rPr>
          <w:rFonts w:ascii="Arial" w:hAnsi="Arial" w:cs="Arial"/>
        </w:rPr>
        <w:t>[</w:t>
      </w:r>
      <w:r>
        <w:rPr>
          <w:rFonts w:ascii="Arial" w:hAnsi="Arial" w:cs="Arial"/>
        </w:rPr>
        <w:t>8,14</w:t>
      </w:r>
      <w:r w:rsidRPr="002275FB">
        <w:rPr>
          <w:rFonts w:ascii="Arial" w:hAnsi="Arial" w:cs="Arial"/>
        </w:rPr>
        <w:t>]</w:t>
      </w:r>
    </w:p>
    <w:p w14:paraId="418A59D8" w14:textId="0772A47D" w:rsidR="00627585" w:rsidRPr="00627585" w:rsidRDefault="00627585" w:rsidP="00627585">
      <w:pPr>
        <w:jc w:val="both"/>
        <w:rPr>
          <w:rFonts w:ascii="Arial" w:hAnsi="Arial" w:cs="Arial"/>
        </w:rPr>
      </w:pPr>
      <w:r w:rsidRPr="00627585">
        <w:rPr>
          <w:rFonts w:ascii="Arial" w:hAnsi="Arial" w:cs="Arial"/>
        </w:rPr>
        <w:lastRenderedPageBreak/>
        <w:t>In a large retrospective study, Sapna Nath and collaborators evaluated the rates of asymptomatic hypertension among patients in a dental school setting. They found that dental care was rarely deferred due to elevated blood pressure readings, and most procedures were successfully completed—even among patients whose blood pressure exceeded the thresholds recommended by the American Dental Association (ADA). According to the ADA, elective dental care should be deferred at blood pressure levels ≥160/100 mmHg, and urgent care at ≥180/110 mmHg. These findings are in line with more recent, less restrictive guidelines, such as those outlined by the American Heart Association (AHA) in its Guideline on the Preoperative Cardiovascular Evaluation and Management of Patients Undergoing Noncardiac Surgery</w:t>
      </w:r>
      <w:r>
        <w:rPr>
          <w:rFonts w:ascii="Arial" w:hAnsi="Arial" w:cs="Arial"/>
        </w:rPr>
        <w:t xml:space="preserve">. </w:t>
      </w:r>
      <w:r w:rsidRPr="002275FB">
        <w:rPr>
          <w:rFonts w:ascii="Arial" w:hAnsi="Arial" w:cs="Arial"/>
        </w:rPr>
        <w:t>[</w:t>
      </w:r>
      <w:r>
        <w:rPr>
          <w:rFonts w:ascii="Arial" w:hAnsi="Arial" w:cs="Arial"/>
        </w:rPr>
        <w:t>8</w:t>
      </w:r>
      <w:r w:rsidRPr="002275FB">
        <w:rPr>
          <w:rFonts w:ascii="Arial" w:hAnsi="Arial" w:cs="Arial"/>
        </w:rPr>
        <w:t>]</w:t>
      </w:r>
    </w:p>
    <w:p w14:paraId="73A595B2" w14:textId="2ED251DA" w:rsidR="00627585" w:rsidRPr="00627585" w:rsidRDefault="00627585" w:rsidP="00627585">
      <w:pPr>
        <w:jc w:val="both"/>
        <w:rPr>
          <w:rFonts w:ascii="Arial" w:hAnsi="Arial" w:cs="Arial"/>
        </w:rPr>
      </w:pPr>
      <w:r w:rsidRPr="00627585">
        <w:rPr>
          <w:rFonts w:ascii="Arial" w:hAnsi="Arial" w:cs="Arial"/>
        </w:rPr>
        <w:t xml:space="preserve">Discomfort, inflammation from oral infections naturally result in higher blood pressure due to the release of endogenous catecholamines. This process will not be stopped if dental care is not provided. </w:t>
      </w:r>
      <w:r w:rsidRPr="002275FB">
        <w:rPr>
          <w:rFonts w:ascii="Arial" w:hAnsi="Arial" w:cs="Arial"/>
        </w:rPr>
        <w:t>[</w:t>
      </w:r>
      <w:r>
        <w:rPr>
          <w:rFonts w:ascii="Arial" w:hAnsi="Arial" w:cs="Arial"/>
        </w:rPr>
        <w:t>13</w:t>
      </w:r>
      <w:r w:rsidRPr="002275FB">
        <w:rPr>
          <w:rFonts w:ascii="Arial" w:hAnsi="Arial" w:cs="Arial"/>
        </w:rPr>
        <w:t>]</w:t>
      </w:r>
      <w:r>
        <w:rPr>
          <w:rFonts w:ascii="Arial" w:hAnsi="Arial" w:cs="Arial"/>
        </w:rPr>
        <w:t xml:space="preserve"> </w:t>
      </w:r>
      <w:r w:rsidRPr="00627585">
        <w:rPr>
          <w:rFonts w:ascii="Arial" w:hAnsi="Arial" w:cs="Arial"/>
        </w:rPr>
        <w:t>In our investigation, only twelve individuals exhibiting modest symptoms were sent for medical follow-up due to persistently elevated values even after immediate dental care (&gt;180 x 110 mmHg).</w:t>
      </w:r>
    </w:p>
    <w:p w14:paraId="326CD2E3" w14:textId="68974B82" w:rsidR="00627585" w:rsidRPr="00627585" w:rsidRDefault="00627585" w:rsidP="00627585">
      <w:pPr>
        <w:jc w:val="both"/>
        <w:rPr>
          <w:rFonts w:ascii="Arial" w:hAnsi="Arial" w:cs="Arial"/>
        </w:rPr>
      </w:pPr>
      <w:r w:rsidRPr="00627585">
        <w:rPr>
          <w:rFonts w:ascii="Arial" w:hAnsi="Arial" w:cs="Arial"/>
        </w:rPr>
        <w:t xml:space="preserve">A systematic review evaluated management strategies for adult patients with dental anxiety in dental clinics, revealing that dental anxiety is prevalent and manifests before, during, or after dental treatment.  The physiological response encompasses an increase in heart rate, blood pressure, breathing rate, and cardiac output.  Anxiety treatment options should be customized to each patient's medical condition, especially in collaboration with their cardiologist or primary healthcare practitioner. </w:t>
      </w:r>
      <w:r w:rsidR="00EA0C0B" w:rsidRPr="002275FB">
        <w:rPr>
          <w:rFonts w:ascii="Arial" w:hAnsi="Arial" w:cs="Arial"/>
        </w:rPr>
        <w:t>[</w:t>
      </w:r>
      <w:r w:rsidR="00EA0C0B">
        <w:rPr>
          <w:rFonts w:ascii="Arial" w:hAnsi="Arial" w:cs="Arial"/>
        </w:rPr>
        <w:t>7</w:t>
      </w:r>
      <w:r w:rsidR="00EA0C0B" w:rsidRPr="002275FB">
        <w:rPr>
          <w:rFonts w:ascii="Arial" w:hAnsi="Arial" w:cs="Arial"/>
        </w:rPr>
        <w:t>]</w:t>
      </w:r>
      <w:r w:rsidR="00EA0C0B">
        <w:rPr>
          <w:rFonts w:ascii="Arial" w:hAnsi="Arial" w:cs="Arial"/>
        </w:rPr>
        <w:t xml:space="preserve"> </w:t>
      </w:r>
      <w:r w:rsidRPr="00627585">
        <w:rPr>
          <w:rFonts w:ascii="Arial" w:hAnsi="Arial" w:cs="Arial"/>
        </w:rPr>
        <w:t xml:space="preserve">Nearly fifty percent of our patients reported experiencing oral anxiety. </w:t>
      </w:r>
    </w:p>
    <w:p w14:paraId="13E326A9" w14:textId="77777777" w:rsidR="00627585" w:rsidRPr="00627585" w:rsidRDefault="00627585" w:rsidP="00627585">
      <w:pPr>
        <w:jc w:val="both"/>
        <w:rPr>
          <w:rFonts w:ascii="Arial" w:hAnsi="Arial" w:cs="Arial"/>
        </w:rPr>
      </w:pPr>
      <w:r w:rsidRPr="00627585">
        <w:rPr>
          <w:rFonts w:ascii="Arial" w:hAnsi="Arial" w:cs="Arial"/>
        </w:rPr>
        <w:tab/>
        <w:t xml:space="preserve">This study offers some strengths. By examining blood-pressure responses during real-world urgent dental interventions in a university clinic, we achieved high ecological validity and addressed a previously overlooked context. Also, the use of a standardized measurement protocol with two calibrated researchers recording readings at clearly defined pre- and post-treatment time points minimized variability, while the integration of objective blood-pressure values with patient-reported sociodemographic data and VAS pain scores allowed the exploration of hemodynamic changes before and after dental urgent care. </w:t>
      </w:r>
    </w:p>
    <w:p w14:paraId="0C4ECCDB" w14:textId="77777777" w:rsidR="00627585" w:rsidRPr="00627585" w:rsidRDefault="00627585" w:rsidP="00627585">
      <w:pPr>
        <w:jc w:val="both"/>
        <w:rPr>
          <w:rFonts w:ascii="Arial" w:hAnsi="Arial" w:cs="Arial"/>
        </w:rPr>
      </w:pPr>
      <w:r w:rsidRPr="00627585">
        <w:rPr>
          <w:rFonts w:ascii="Arial" w:hAnsi="Arial" w:cs="Arial"/>
        </w:rPr>
        <w:t>However, the current work present limitations, particularly regarding dental anxiety and its potential link to WCH. Initially, our cross-sectional, single-center design and modest sample size may underpower detection of subtle anxiety–blood pressure associations and limit generalizability. Also, the use of two blood pressure measurements and the lack of longitudinal follow-up may suggest anxiety rather than a case of white coat hypertension.</w:t>
      </w:r>
    </w:p>
    <w:p w14:paraId="4E961A98" w14:textId="77777777" w:rsidR="00627585" w:rsidRDefault="00627585" w:rsidP="00627585">
      <w:pPr>
        <w:jc w:val="both"/>
        <w:rPr>
          <w:rFonts w:ascii="Arial" w:hAnsi="Arial" w:cs="Arial"/>
        </w:rPr>
      </w:pPr>
    </w:p>
    <w:p w14:paraId="78B171CA" w14:textId="77777777" w:rsidR="00627585" w:rsidRDefault="00627585" w:rsidP="00627585">
      <w:pPr>
        <w:jc w:val="both"/>
        <w:rPr>
          <w:rFonts w:ascii="Arial" w:hAnsi="Arial" w:cs="Arial"/>
        </w:rPr>
      </w:pPr>
    </w:p>
    <w:p w14:paraId="0A128F2E" w14:textId="77777777" w:rsidR="00627585" w:rsidRDefault="00627585" w:rsidP="00627585">
      <w:pPr>
        <w:jc w:val="both"/>
        <w:rPr>
          <w:rFonts w:ascii="Arial" w:hAnsi="Arial" w:cs="Arial"/>
        </w:rPr>
      </w:pPr>
    </w:p>
    <w:p w14:paraId="01318514" w14:textId="77777777" w:rsidR="00627585" w:rsidRDefault="00627585" w:rsidP="00627585">
      <w:pPr>
        <w:jc w:val="both"/>
        <w:rPr>
          <w:rFonts w:ascii="Arial" w:hAnsi="Arial" w:cs="Arial"/>
        </w:rPr>
      </w:pPr>
    </w:p>
    <w:p w14:paraId="5D98949D" w14:textId="77777777" w:rsidR="00627585" w:rsidRDefault="00627585" w:rsidP="00627585">
      <w:pPr>
        <w:jc w:val="both"/>
        <w:rPr>
          <w:rFonts w:ascii="Arial" w:hAnsi="Arial" w:cs="Arial"/>
        </w:rPr>
      </w:pPr>
    </w:p>
    <w:p w14:paraId="4E71D5D4" w14:textId="3E57987B" w:rsidR="00627585" w:rsidRDefault="00BC58E3" w:rsidP="00627585">
      <w:pPr>
        <w:pStyle w:val="Body"/>
        <w:spacing w:after="0"/>
        <w:rPr>
          <w:rFonts w:ascii="Arial" w:hAnsi="Arial" w:cs="Arial"/>
        </w:rPr>
      </w:pPr>
      <w:r>
        <w:rPr>
          <w:rFonts w:ascii="Arial" w:hAnsi="Arial" w:cs="Arial"/>
        </w:rPr>
        <w:t xml:space="preserve"> </w:t>
      </w:r>
    </w:p>
    <w:p w14:paraId="3266BA4D" w14:textId="77777777" w:rsidR="00627585" w:rsidRDefault="00627585" w:rsidP="00627585">
      <w:pPr>
        <w:pStyle w:val="Body"/>
        <w:spacing w:after="0"/>
        <w:rPr>
          <w:rFonts w:ascii="Arial" w:hAnsi="Arial" w:cs="Arial"/>
        </w:rPr>
      </w:pPr>
    </w:p>
    <w:p w14:paraId="2DE303DB" w14:textId="77777777" w:rsidR="00627585" w:rsidRDefault="00627585" w:rsidP="00627585">
      <w:pPr>
        <w:pStyle w:val="Body"/>
        <w:spacing w:after="0"/>
        <w:rPr>
          <w:rFonts w:ascii="Arial" w:hAnsi="Arial" w:cs="Arial"/>
        </w:rPr>
      </w:pPr>
    </w:p>
    <w:p w14:paraId="75364495" w14:textId="77777777" w:rsidR="00627585" w:rsidRDefault="00627585" w:rsidP="00627585">
      <w:pPr>
        <w:pStyle w:val="Body"/>
        <w:spacing w:after="0"/>
        <w:rPr>
          <w:rFonts w:ascii="Arial" w:hAnsi="Arial" w:cs="Arial"/>
        </w:rPr>
      </w:pPr>
    </w:p>
    <w:p w14:paraId="35933429" w14:textId="77777777" w:rsidR="00627585" w:rsidRDefault="00627585" w:rsidP="00627585">
      <w:pPr>
        <w:pStyle w:val="Body"/>
        <w:spacing w:after="0"/>
        <w:rPr>
          <w:rFonts w:ascii="Arial" w:hAnsi="Arial" w:cs="Arial"/>
        </w:rPr>
      </w:pPr>
    </w:p>
    <w:p w14:paraId="4A400F24" w14:textId="77777777" w:rsidR="00627585" w:rsidRDefault="00627585" w:rsidP="00627585">
      <w:pPr>
        <w:pStyle w:val="Body"/>
        <w:spacing w:after="0"/>
        <w:rPr>
          <w:rFonts w:ascii="Arial" w:hAnsi="Arial" w:cs="Arial"/>
        </w:rPr>
      </w:pPr>
    </w:p>
    <w:p w14:paraId="60FBF26B" w14:textId="77777777" w:rsidR="00790ADA" w:rsidRDefault="00790ADA" w:rsidP="00627585">
      <w:pPr>
        <w:pStyle w:val="Body"/>
        <w:spacing w:after="0"/>
        <w:rPr>
          <w:rFonts w:ascii="Arial" w:hAnsi="Arial" w:cs="Arial"/>
        </w:rPr>
      </w:pPr>
    </w:p>
    <w:p w14:paraId="0FE35AF8" w14:textId="77777777" w:rsidR="00BC58E3" w:rsidRDefault="00BC58E3" w:rsidP="00627585">
      <w:pPr>
        <w:pStyle w:val="Body"/>
        <w:spacing w:after="0"/>
        <w:rPr>
          <w:rFonts w:ascii="Arial" w:hAnsi="Arial" w:cs="Arial"/>
        </w:rPr>
      </w:pPr>
    </w:p>
    <w:p w14:paraId="7C934974" w14:textId="77777777" w:rsidR="00BC58E3" w:rsidRDefault="00BC58E3" w:rsidP="00627585">
      <w:pPr>
        <w:pStyle w:val="Body"/>
        <w:spacing w:after="0"/>
        <w:rPr>
          <w:rFonts w:ascii="Arial" w:hAnsi="Arial" w:cs="Arial"/>
        </w:rPr>
      </w:pPr>
    </w:p>
    <w:p w14:paraId="749BC90D" w14:textId="20B9C842" w:rsidR="00863BD3" w:rsidRPr="00DC3180" w:rsidRDefault="009500A6" w:rsidP="00BC58E3">
      <w:pPr>
        <w:tabs>
          <w:tab w:val="left" w:pos="1080"/>
        </w:tabs>
        <w:jc w:val="both"/>
        <w:rPr>
          <w:rFonts w:ascii="Arial" w:hAnsi="Arial"/>
          <w:b/>
        </w:rPr>
      </w:pPr>
      <w:r>
        <w:rPr>
          <w:rFonts w:ascii="Arial" w:hAnsi="Arial"/>
          <w:b/>
        </w:rPr>
        <w:t>Table 1.</w:t>
      </w:r>
      <w:r w:rsidR="00863BD3" w:rsidRPr="00DC3180">
        <w:rPr>
          <w:rFonts w:ascii="Arial" w:hAnsi="Arial"/>
          <w:b/>
        </w:rPr>
        <w:tab/>
      </w:r>
      <w:r w:rsidR="00BC58E3" w:rsidRPr="00BC58E3">
        <w:rPr>
          <w:rFonts w:ascii="Arial" w:hAnsi="Arial"/>
          <w:b/>
        </w:rPr>
        <w:t xml:space="preserve">Demographic and medical data of the two groups: altered and normal BP measurements.  </w:t>
      </w:r>
    </w:p>
    <w:p w14:paraId="26DBAD02" w14:textId="4733FA72" w:rsidR="00902823" w:rsidRDefault="00902823" w:rsidP="00BC58E3">
      <w:pPr>
        <w:pStyle w:val="BodyText3"/>
        <w:tabs>
          <w:tab w:val="left" w:pos="1080"/>
        </w:tabs>
        <w:spacing w:after="0"/>
        <w:ind w:left="1080" w:hanging="1080"/>
        <w:jc w:val="both"/>
        <w:rPr>
          <w:rFonts w:ascii="Arial" w:hAnsi="Arial" w:cs="Arial"/>
        </w:rPr>
      </w:pPr>
    </w:p>
    <w:tbl>
      <w:tblPr>
        <w:tblStyle w:val="Table1"/>
        <w:tblpPr w:leftFromText="141" w:rightFromText="141" w:vertAnchor="text" w:horzAnchor="margin" w:tblpY="206"/>
        <w:tblW w:w="8057" w:type="dxa"/>
        <w:tblInd w:w="0" w:type="dxa"/>
        <w:tblLayout w:type="fixed"/>
        <w:tblLook w:val="0400" w:firstRow="0" w:lastRow="0" w:firstColumn="0" w:lastColumn="0" w:noHBand="0" w:noVBand="1"/>
      </w:tblPr>
      <w:tblGrid>
        <w:gridCol w:w="2552"/>
        <w:gridCol w:w="850"/>
        <w:gridCol w:w="2115"/>
        <w:gridCol w:w="1287"/>
        <w:gridCol w:w="1253"/>
      </w:tblGrid>
      <w:tr w:rsidR="00BC58E3" w:rsidRPr="00DC56BC" w14:paraId="5D0D9835" w14:textId="77777777" w:rsidTr="000873D2">
        <w:trPr>
          <w:trHeight w:val="315"/>
        </w:trPr>
        <w:tc>
          <w:tcPr>
            <w:tcW w:w="2552" w:type="dxa"/>
            <w:tcBorders>
              <w:top w:val="single" w:sz="8" w:space="0" w:color="000000"/>
              <w:left w:val="nil"/>
              <w:bottom w:val="nil"/>
              <w:right w:val="nil"/>
            </w:tcBorders>
            <w:shd w:val="clear" w:color="auto" w:fill="auto"/>
            <w:vAlign w:val="bottom"/>
          </w:tcPr>
          <w:p w14:paraId="7FBB62F5"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 </w:t>
            </w:r>
          </w:p>
        </w:tc>
        <w:tc>
          <w:tcPr>
            <w:tcW w:w="850" w:type="dxa"/>
            <w:tcBorders>
              <w:top w:val="single" w:sz="8" w:space="0" w:color="000000"/>
              <w:left w:val="nil"/>
              <w:bottom w:val="nil"/>
              <w:right w:val="single" w:sz="4" w:space="0" w:color="000000"/>
            </w:tcBorders>
            <w:shd w:val="clear" w:color="auto" w:fill="auto"/>
            <w:vAlign w:val="bottom"/>
          </w:tcPr>
          <w:p w14:paraId="52D058D9"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 </w:t>
            </w:r>
          </w:p>
        </w:tc>
        <w:tc>
          <w:tcPr>
            <w:tcW w:w="3402" w:type="dxa"/>
            <w:gridSpan w:val="2"/>
            <w:tcBorders>
              <w:top w:val="single" w:sz="8" w:space="0" w:color="000000"/>
              <w:left w:val="nil"/>
              <w:bottom w:val="nil"/>
              <w:right w:val="single" w:sz="4" w:space="0" w:color="000000"/>
            </w:tcBorders>
            <w:shd w:val="clear" w:color="auto" w:fill="auto"/>
            <w:vAlign w:val="bottom"/>
          </w:tcPr>
          <w:p w14:paraId="1DED62D0"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BP</w:t>
            </w:r>
          </w:p>
        </w:tc>
        <w:tc>
          <w:tcPr>
            <w:tcW w:w="1253" w:type="dxa"/>
            <w:tcBorders>
              <w:top w:val="single" w:sz="8" w:space="0" w:color="000000"/>
              <w:left w:val="nil"/>
              <w:bottom w:val="nil"/>
              <w:right w:val="nil"/>
            </w:tcBorders>
            <w:shd w:val="clear" w:color="auto" w:fill="auto"/>
            <w:vAlign w:val="bottom"/>
          </w:tcPr>
          <w:p w14:paraId="36F48135"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 </w:t>
            </w:r>
          </w:p>
        </w:tc>
      </w:tr>
      <w:tr w:rsidR="00BC58E3" w:rsidRPr="00DC56BC" w14:paraId="6551220C" w14:textId="77777777" w:rsidTr="000873D2">
        <w:trPr>
          <w:trHeight w:val="315"/>
        </w:trPr>
        <w:tc>
          <w:tcPr>
            <w:tcW w:w="2552" w:type="dxa"/>
            <w:tcBorders>
              <w:top w:val="nil"/>
              <w:left w:val="nil"/>
              <w:bottom w:val="single" w:sz="4" w:space="0" w:color="000000"/>
              <w:right w:val="nil"/>
            </w:tcBorders>
            <w:shd w:val="clear" w:color="auto" w:fill="auto"/>
            <w:vAlign w:val="bottom"/>
          </w:tcPr>
          <w:p w14:paraId="6D950DCE"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Characteristics</w:t>
            </w:r>
          </w:p>
        </w:tc>
        <w:tc>
          <w:tcPr>
            <w:tcW w:w="850" w:type="dxa"/>
            <w:tcBorders>
              <w:top w:val="nil"/>
              <w:left w:val="nil"/>
              <w:bottom w:val="single" w:sz="4" w:space="0" w:color="000000"/>
              <w:right w:val="single" w:sz="4" w:space="0" w:color="000000"/>
            </w:tcBorders>
            <w:shd w:val="clear" w:color="auto" w:fill="auto"/>
            <w:vAlign w:val="bottom"/>
          </w:tcPr>
          <w:p w14:paraId="0A3F8EE7"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 xml:space="preserve"> </w:t>
            </w:r>
          </w:p>
        </w:tc>
        <w:tc>
          <w:tcPr>
            <w:tcW w:w="2115" w:type="dxa"/>
            <w:tcBorders>
              <w:top w:val="nil"/>
              <w:left w:val="nil"/>
              <w:bottom w:val="single" w:sz="4" w:space="0" w:color="000000"/>
              <w:right w:val="nil"/>
            </w:tcBorders>
            <w:shd w:val="clear" w:color="auto" w:fill="auto"/>
            <w:vAlign w:val="bottom"/>
          </w:tcPr>
          <w:p w14:paraId="4359D928"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Altered*</w:t>
            </w:r>
          </w:p>
        </w:tc>
        <w:tc>
          <w:tcPr>
            <w:tcW w:w="1287" w:type="dxa"/>
            <w:tcBorders>
              <w:top w:val="nil"/>
              <w:left w:val="nil"/>
              <w:bottom w:val="single" w:sz="4" w:space="0" w:color="000000"/>
              <w:right w:val="single" w:sz="4" w:space="0" w:color="000000"/>
            </w:tcBorders>
            <w:shd w:val="clear" w:color="auto" w:fill="auto"/>
            <w:vAlign w:val="bottom"/>
          </w:tcPr>
          <w:p w14:paraId="68ECB7EF"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Normal</w:t>
            </w:r>
          </w:p>
        </w:tc>
        <w:tc>
          <w:tcPr>
            <w:tcW w:w="1253" w:type="dxa"/>
            <w:tcBorders>
              <w:top w:val="nil"/>
              <w:left w:val="nil"/>
              <w:bottom w:val="single" w:sz="4" w:space="0" w:color="000000"/>
              <w:right w:val="nil"/>
            </w:tcBorders>
            <w:shd w:val="clear" w:color="auto" w:fill="auto"/>
            <w:vAlign w:val="bottom"/>
          </w:tcPr>
          <w:p w14:paraId="5C5934F2"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 xml:space="preserve">P-value </w:t>
            </w:r>
          </w:p>
        </w:tc>
      </w:tr>
      <w:tr w:rsidR="00BC58E3" w:rsidRPr="00DC56BC" w14:paraId="3DA3F08E" w14:textId="77777777" w:rsidTr="000873D2">
        <w:trPr>
          <w:trHeight w:val="315"/>
        </w:trPr>
        <w:tc>
          <w:tcPr>
            <w:tcW w:w="2552" w:type="dxa"/>
            <w:tcBorders>
              <w:top w:val="nil"/>
              <w:left w:val="nil"/>
              <w:bottom w:val="nil"/>
              <w:right w:val="nil"/>
            </w:tcBorders>
            <w:shd w:val="clear" w:color="auto" w:fill="auto"/>
            <w:vAlign w:val="bottom"/>
          </w:tcPr>
          <w:p w14:paraId="7494030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Pain</w:t>
            </w:r>
          </w:p>
        </w:tc>
        <w:tc>
          <w:tcPr>
            <w:tcW w:w="850" w:type="dxa"/>
            <w:tcBorders>
              <w:top w:val="nil"/>
              <w:left w:val="nil"/>
              <w:bottom w:val="nil"/>
              <w:right w:val="single" w:sz="4" w:space="0" w:color="000000"/>
            </w:tcBorders>
            <w:shd w:val="clear" w:color="auto" w:fill="auto"/>
            <w:vAlign w:val="bottom"/>
          </w:tcPr>
          <w:p w14:paraId="6D45B14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25AF13C4"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36 (80.0%)</w:t>
            </w:r>
          </w:p>
        </w:tc>
        <w:tc>
          <w:tcPr>
            <w:tcW w:w="1287" w:type="dxa"/>
            <w:tcBorders>
              <w:top w:val="nil"/>
              <w:left w:val="nil"/>
              <w:bottom w:val="nil"/>
              <w:right w:val="single" w:sz="4" w:space="0" w:color="000000"/>
            </w:tcBorders>
            <w:shd w:val="clear" w:color="auto" w:fill="auto"/>
            <w:vAlign w:val="bottom"/>
          </w:tcPr>
          <w:p w14:paraId="4895FC6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21 (70.0%)</w:t>
            </w:r>
          </w:p>
        </w:tc>
        <w:tc>
          <w:tcPr>
            <w:tcW w:w="1253" w:type="dxa"/>
            <w:tcBorders>
              <w:top w:val="nil"/>
              <w:left w:val="nil"/>
              <w:bottom w:val="nil"/>
              <w:right w:val="nil"/>
            </w:tcBorders>
            <w:shd w:val="clear" w:color="auto" w:fill="auto"/>
            <w:vAlign w:val="bottom"/>
          </w:tcPr>
          <w:p w14:paraId="3CFFD53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0.4100</w:t>
            </w:r>
          </w:p>
        </w:tc>
      </w:tr>
      <w:tr w:rsidR="00BC58E3" w:rsidRPr="00DC56BC" w14:paraId="6B95EB93" w14:textId="77777777" w:rsidTr="000873D2">
        <w:trPr>
          <w:trHeight w:val="315"/>
        </w:trPr>
        <w:tc>
          <w:tcPr>
            <w:tcW w:w="2552" w:type="dxa"/>
            <w:tcBorders>
              <w:top w:val="nil"/>
              <w:left w:val="nil"/>
              <w:bottom w:val="single" w:sz="4" w:space="0" w:color="000000"/>
              <w:right w:val="nil"/>
            </w:tcBorders>
            <w:shd w:val="clear" w:color="auto" w:fill="auto"/>
            <w:vAlign w:val="bottom"/>
          </w:tcPr>
          <w:p w14:paraId="5550534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598710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44354BB9"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9 (20.0%)</w:t>
            </w:r>
          </w:p>
        </w:tc>
        <w:tc>
          <w:tcPr>
            <w:tcW w:w="1287" w:type="dxa"/>
            <w:tcBorders>
              <w:top w:val="nil"/>
              <w:left w:val="nil"/>
              <w:bottom w:val="single" w:sz="4" w:space="0" w:color="000000"/>
              <w:right w:val="single" w:sz="4" w:space="0" w:color="000000"/>
            </w:tcBorders>
            <w:shd w:val="clear" w:color="auto" w:fill="auto"/>
            <w:vAlign w:val="bottom"/>
          </w:tcPr>
          <w:p w14:paraId="4BA6CFC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9 (30.0%)</w:t>
            </w:r>
          </w:p>
        </w:tc>
        <w:tc>
          <w:tcPr>
            <w:tcW w:w="1253" w:type="dxa"/>
            <w:tcBorders>
              <w:top w:val="nil"/>
              <w:left w:val="nil"/>
              <w:bottom w:val="single" w:sz="4" w:space="0" w:color="000000"/>
              <w:right w:val="nil"/>
            </w:tcBorders>
            <w:shd w:val="clear" w:color="auto" w:fill="auto"/>
            <w:vAlign w:val="bottom"/>
          </w:tcPr>
          <w:p w14:paraId="597EABE9"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65C4603D" w14:textId="77777777" w:rsidTr="000873D2">
        <w:trPr>
          <w:trHeight w:val="315"/>
        </w:trPr>
        <w:tc>
          <w:tcPr>
            <w:tcW w:w="2552" w:type="dxa"/>
            <w:tcBorders>
              <w:top w:val="nil"/>
              <w:left w:val="nil"/>
              <w:bottom w:val="nil"/>
              <w:right w:val="nil"/>
            </w:tcBorders>
            <w:shd w:val="clear" w:color="auto" w:fill="auto"/>
            <w:vAlign w:val="bottom"/>
          </w:tcPr>
          <w:p w14:paraId="717B4FC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xml:space="preserve">Dental Anxiety </w:t>
            </w:r>
          </w:p>
        </w:tc>
        <w:tc>
          <w:tcPr>
            <w:tcW w:w="850" w:type="dxa"/>
            <w:tcBorders>
              <w:top w:val="nil"/>
              <w:left w:val="nil"/>
              <w:bottom w:val="nil"/>
              <w:right w:val="single" w:sz="4" w:space="0" w:color="000000"/>
            </w:tcBorders>
            <w:shd w:val="clear" w:color="auto" w:fill="auto"/>
            <w:vAlign w:val="bottom"/>
          </w:tcPr>
          <w:p w14:paraId="22AF616D"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3D3962F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20 (44.4%)</w:t>
            </w:r>
          </w:p>
        </w:tc>
        <w:tc>
          <w:tcPr>
            <w:tcW w:w="1287" w:type="dxa"/>
            <w:tcBorders>
              <w:top w:val="nil"/>
              <w:left w:val="nil"/>
              <w:bottom w:val="nil"/>
              <w:right w:val="single" w:sz="4" w:space="0" w:color="000000"/>
            </w:tcBorders>
            <w:shd w:val="clear" w:color="auto" w:fill="auto"/>
            <w:vAlign w:val="bottom"/>
          </w:tcPr>
          <w:p w14:paraId="5D97A6A7"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9 (30.0%)</w:t>
            </w:r>
          </w:p>
        </w:tc>
        <w:tc>
          <w:tcPr>
            <w:tcW w:w="1253" w:type="dxa"/>
            <w:tcBorders>
              <w:top w:val="nil"/>
              <w:left w:val="nil"/>
              <w:bottom w:val="nil"/>
              <w:right w:val="nil"/>
            </w:tcBorders>
            <w:shd w:val="clear" w:color="auto" w:fill="auto"/>
            <w:vAlign w:val="bottom"/>
          </w:tcPr>
          <w:p w14:paraId="1DE14297"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0.2352</w:t>
            </w:r>
          </w:p>
        </w:tc>
      </w:tr>
      <w:tr w:rsidR="00BC58E3" w:rsidRPr="00DC56BC" w14:paraId="722C2375" w14:textId="77777777" w:rsidTr="000873D2">
        <w:trPr>
          <w:trHeight w:val="315"/>
        </w:trPr>
        <w:tc>
          <w:tcPr>
            <w:tcW w:w="2552" w:type="dxa"/>
            <w:tcBorders>
              <w:top w:val="nil"/>
              <w:left w:val="nil"/>
              <w:bottom w:val="single" w:sz="4" w:space="0" w:color="000000"/>
              <w:right w:val="nil"/>
            </w:tcBorders>
            <w:shd w:val="clear" w:color="auto" w:fill="auto"/>
            <w:vAlign w:val="bottom"/>
          </w:tcPr>
          <w:p w14:paraId="39ACE5A4"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8F2AA7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50830BB9"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25 (55.6%)</w:t>
            </w:r>
          </w:p>
        </w:tc>
        <w:tc>
          <w:tcPr>
            <w:tcW w:w="1287" w:type="dxa"/>
            <w:tcBorders>
              <w:top w:val="nil"/>
              <w:left w:val="nil"/>
              <w:bottom w:val="single" w:sz="4" w:space="0" w:color="000000"/>
              <w:right w:val="single" w:sz="4" w:space="0" w:color="000000"/>
            </w:tcBorders>
            <w:shd w:val="clear" w:color="auto" w:fill="auto"/>
            <w:vAlign w:val="bottom"/>
          </w:tcPr>
          <w:p w14:paraId="4E65864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21 (70.0%)</w:t>
            </w:r>
          </w:p>
        </w:tc>
        <w:tc>
          <w:tcPr>
            <w:tcW w:w="1253" w:type="dxa"/>
            <w:tcBorders>
              <w:top w:val="nil"/>
              <w:left w:val="nil"/>
              <w:bottom w:val="single" w:sz="4" w:space="0" w:color="000000"/>
              <w:right w:val="nil"/>
            </w:tcBorders>
            <w:shd w:val="clear" w:color="auto" w:fill="auto"/>
            <w:vAlign w:val="bottom"/>
          </w:tcPr>
          <w:p w14:paraId="27DD5C5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3EFC86F4" w14:textId="77777777" w:rsidTr="000873D2">
        <w:trPr>
          <w:trHeight w:val="315"/>
        </w:trPr>
        <w:tc>
          <w:tcPr>
            <w:tcW w:w="2552" w:type="dxa"/>
            <w:tcBorders>
              <w:top w:val="nil"/>
              <w:left w:val="nil"/>
              <w:bottom w:val="nil"/>
              <w:right w:val="nil"/>
            </w:tcBorders>
            <w:shd w:val="clear" w:color="auto" w:fill="auto"/>
            <w:vAlign w:val="bottom"/>
          </w:tcPr>
          <w:p w14:paraId="2259460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Hypertension</w:t>
            </w:r>
          </w:p>
        </w:tc>
        <w:tc>
          <w:tcPr>
            <w:tcW w:w="850" w:type="dxa"/>
            <w:tcBorders>
              <w:top w:val="nil"/>
              <w:left w:val="nil"/>
              <w:bottom w:val="nil"/>
              <w:right w:val="single" w:sz="4" w:space="0" w:color="000000"/>
            </w:tcBorders>
            <w:shd w:val="clear" w:color="auto" w:fill="auto"/>
            <w:vAlign w:val="bottom"/>
          </w:tcPr>
          <w:p w14:paraId="55DF49A3"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7218D1A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13 (28.9%)</w:t>
            </w:r>
          </w:p>
        </w:tc>
        <w:tc>
          <w:tcPr>
            <w:tcW w:w="1287" w:type="dxa"/>
            <w:tcBorders>
              <w:top w:val="nil"/>
              <w:left w:val="nil"/>
              <w:bottom w:val="nil"/>
              <w:right w:val="single" w:sz="4" w:space="0" w:color="000000"/>
            </w:tcBorders>
            <w:shd w:val="clear" w:color="auto" w:fill="auto"/>
            <w:vAlign w:val="bottom"/>
          </w:tcPr>
          <w:p w14:paraId="3D309D0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 (3.3%)</w:t>
            </w:r>
          </w:p>
        </w:tc>
        <w:tc>
          <w:tcPr>
            <w:tcW w:w="1253" w:type="dxa"/>
            <w:tcBorders>
              <w:top w:val="nil"/>
              <w:left w:val="nil"/>
              <w:bottom w:val="nil"/>
              <w:right w:val="nil"/>
            </w:tcBorders>
            <w:shd w:val="clear" w:color="auto" w:fill="auto"/>
            <w:vAlign w:val="bottom"/>
          </w:tcPr>
          <w:p w14:paraId="0D061FBE" w14:textId="77777777" w:rsidR="00BC58E3" w:rsidRPr="00DC56BC" w:rsidRDefault="00BC58E3" w:rsidP="000873D2">
            <w:pPr>
              <w:spacing w:line="360" w:lineRule="auto"/>
              <w:jc w:val="both"/>
              <w:rPr>
                <w:rFonts w:ascii="Arial" w:eastAsia="Calibri" w:hAnsi="Arial" w:cs="Arial"/>
                <w:b/>
                <w:color w:val="000000"/>
                <w:sz w:val="20"/>
                <w:szCs w:val="20"/>
              </w:rPr>
            </w:pPr>
            <w:r w:rsidRPr="00DC56BC">
              <w:rPr>
                <w:rFonts w:ascii="Arial" w:eastAsia="Calibri" w:hAnsi="Arial" w:cs="Arial"/>
                <w:b/>
                <w:color w:val="000000"/>
                <w:sz w:val="20"/>
                <w:szCs w:val="20"/>
              </w:rPr>
              <w:t>0.0057</w:t>
            </w:r>
          </w:p>
        </w:tc>
      </w:tr>
      <w:tr w:rsidR="00BC58E3" w:rsidRPr="00DC56BC" w14:paraId="56F0DC17" w14:textId="77777777" w:rsidTr="000873D2">
        <w:trPr>
          <w:trHeight w:val="315"/>
        </w:trPr>
        <w:tc>
          <w:tcPr>
            <w:tcW w:w="2552" w:type="dxa"/>
            <w:tcBorders>
              <w:top w:val="nil"/>
              <w:left w:val="nil"/>
              <w:bottom w:val="single" w:sz="4" w:space="0" w:color="000000"/>
              <w:right w:val="nil"/>
            </w:tcBorders>
            <w:shd w:val="clear" w:color="auto" w:fill="auto"/>
            <w:vAlign w:val="bottom"/>
          </w:tcPr>
          <w:p w14:paraId="78D20AB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CF11027"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3705789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32 (71.1%)</w:t>
            </w:r>
          </w:p>
        </w:tc>
        <w:tc>
          <w:tcPr>
            <w:tcW w:w="1287" w:type="dxa"/>
            <w:tcBorders>
              <w:top w:val="nil"/>
              <w:left w:val="nil"/>
              <w:bottom w:val="single" w:sz="4" w:space="0" w:color="000000"/>
              <w:right w:val="single" w:sz="4" w:space="0" w:color="000000"/>
            </w:tcBorders>
            <w:shd w:val="clear" w:color="auto" w:fill="auto"/>
            <w:vAlign w:val="bottom"/>
          </w:tcPr>
          <w:p w14:paraId="67EF28B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5CF8FC3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34675BD4" w14:textId="77777777" w:rsidTr="000873D2">
        <w:trPr>
          <w:trHeight w:val="315"/>
        </w:trPr>
        <w:tc>
          <w:tcPr>
            <w:tcW w:w="2552" w:type="dxa"/>
            <w:tcBorders>
              <w:top w:val="nil"/>
              <w:left w:val="nil"/>
              <w:bottom w:val="nil"/>
              <w:right w:val="nil"/>
            </w:tcBorders>
            <w:shd w:val="clear" w:color="auto" w:fill="auto"/>
            <w:vAlign w:val="bottom"/>
          </w:tcPr>
          <w:p w14:paraId="71383FD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Family history</w:t>
            </w:r>
          </w:p>
        </w:tc>
        <w:tc>
          <w:tcPr>
            <w:tcW w:w="850" w:type="dxa"/>
            <w:tcBorders>
              <w:top w:val="nil"/>
              <w:left w:val="nil"/>
              <w:bottom w:val="nil"/>
              <w:right w:val="single" w:sz="4" w:space="0" w:color="000000"/>
            </w:tcBorders>
            <w:shd w:val="clear" w:color="auto" w:fill="auto"/>
            <w:vAlign w:val="bottom"/>
          </w:tcPr>
          <w:p w14:paraId="15F5DAA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13D1C6F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24 (53.3%)</w:t>
            </w:r>
          </w:p>
        </w:tc>
        <w:tc>
          <w:tcPr>
            <w:tcW w:w="1287" w:type="dxa"/>
            <w:tcBorders>
              <w:top w:val="nil"/>
              <w:left w:val="nil"/>
              <w:bottom w:val="nil"/>
              <w:right w:val="single" w:sz="4" w:space="0" w:color="000000"/>
            </w:tcBorders>
            <w:shd w:val="clear" w:color="auto" w:fill="auto"/>
            <w:vAlign w:val="bottom"/>
          </w:tcPr>
          <w:p w14:paraId="71CB5942"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15 (50.0%)</w:t>
            </w:r>
          </w:p>
        </w:tc>
        <w:tc>
          <w:tcPr>
            <w:tcW w:w="1253" w:type="dxa"/>
            <w:tcBorders>
              <w:top w:val="nil"/>
              <w:left w:val="nil"/>
              <w:bottom w:val="nil"/>
              <w:right w:val="nil"/>
            </w:tcBorders>
            <w:shd w:val="clear" w:color="auto" w:fill="auto"/>
            <w:vAlign w:val="bottom"/>
          </w:tcPr>
          <w:p w14:paraId="212C1D2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0.8169</w:t>
            </w:r>
          </w:p>
        </w:tc>
      </w:tr>
      <w:tr w:rsidR="00BC58E3" w:rsidRPr="00DC56BC" w14:paraId="70F6E92F" w14:textId="77777777" w:rsidTr="000873D2">
        <w:trPr>
          <w:trHeight w:val="315"/>
        </w:trPr>
        <w:tc>
          <w:tcPr>
            <w:tcW w:w="2552" w:type="dxa"/>
            <w:tcBorders>
              <w:top w:val="nil"/>
              <w:left w:val="nil"/>
              <w:bottom w:val="single" w:sz="4" w:space="0" w:color="000000"/>
              <w:right w:val="nil"/>
            </w:tcBorders>
            <w:shd w:val="clear" w:color="auto" w:fill="auto"/>
            <w:vAlign w:val="bottom"/>
          </w:tcPr>
          <w:p w14:paraId="7C3A94C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E69878D"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61822B8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21 (46.7%)</w:t>
            </w:r>
          </w:p>
        </w:tc>
        <w:tc>
          <w:tcPr>
            <w:tcW w:w="1287" w:type="dxa"/>
            <w:tcBorders>
              <w:top w:val="nil"/>
              <w:left w:val="nil"/>
              <w:bottom w:val="single" w:sz="4" w:space="0" w:color="000000"/>
              <w:right w:val="single" w:sz="4" w:space="0" w:color="000000"/>
            </w:tcBorders>
            <w:shd w:val="clear" w:color="auto" w:fill="auto"/>
            <w:vAlign w:val="bottom"/>
          </w:tcPr>
          <w:p w14:paraId="59CCA4E5"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15 (50.0%)</w:t>
            </w:r>
          </w:p>
        </w:tc>
        <w:tc>
          <w:tcPr>
            <w:tcW w:w="1253" w:type="dxa"/>
            <w:tcBorders>
              <w:top w:val="nil"/>
              <w:left w:val="nil"/>
              <w:bottom w:val="single" w:sz="4" w:space="0" w:color="000000"/>
              <w:right w:val="nil"/>
            </w:tcBorders>
            <w:shd w:val="clear" w:color="auto" w:fill="auto"/>
            <w:vAlign w:val="bottom"/>
          </w:tcPr>
          <w:p w14:paraId="1ADED0A4"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7E8D0DFD" w14:textId="77777777" w:rsidTr="000873D2">
        <w:trPr>
          <w:trHeight w:val="315"/>
        </w:trPr>
        <w:tc>
          <w:tcPr>
            <w:tcW w:w="2552" w:type="dxa"/>
            <w:tcBorders>
              <w:top w:val="nil"/>
              <w:left w:val="nil"/>
              <w:bottom w:val="nil"/>
              <w:right w:val="nil"/>
            </w:tcBorders>
            <w:shd w:val="clear" w:color="auto" w:fill="auto"/>
            <w:vAlign w:val="bottom"/>
          </w:tcPr>
          <w:p w14:paraId="4B5CA67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Gastritis</w:t>
            </w:r>
          </w:p>
        </w:tc>
        <w:tc>
          <w:tcPr>
            <w:tcW w:w="850" w:type="dxa"/>
            <w:tcBorders>
              <w:top w:val="nil"/>
              <w:left w:val="nil"/>
              <w:bottom w:val="nil"/>
              <w:right w:val="single" w:sz="4" w:space="0" w:color="000000"/>
            </w:tcBorders>
            <w:shd w:val="clear" w:color="auto" w:fill="auto"/>
            <w:vAlign w:val="bottom"/>
          </w:tcPr>
          <w:p w14:paraId="3C6AD66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69B02FF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 (4.4%)</w:t>
            </w:r>
          </w:p>
        </w:tc>
        <w:tc>
          <w:tcPr>
            <w:tcW w:w="1287" w:type="dxa"/>
            <w:tcBorders>
              <w:top w:val="nil"/>
              <w:left w:val="nil"/>
              <w:bottom w:val="nil"/>
              <w:right w:val="single" w:sz="4" w:space="0" w:color="000000"/>
            </w:tcBorders>
            <w:shd w:val="clear" w:color="auto" w:fill="auto"/>
            <w:vAlign w:val="bottom"/>
          </w:tcPr>
          <w:p w14:paraId="272C1A6D"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6 (20.0%)</w:t>
            </w:r>
          </w:p>
        </w:tc>
        <w:tc>
          <w:tcPr>
            <w:tcW w:w="1253" w:type="dxa"/>
            <w:tcBorders>
              <w:top w:val="nil"/>
              <w:left w:val="nil"/>
              <w:bottom w:val="nil"/>
              <w:right w:val="nil"/>
            </w:tcBorders>
            <w:shd w:val="clear" w:color="auto" w:fill="auto"/>
            <w:vAlign w:val="bottom"/>
          </w:tcPr>
          <w:p w14:paraId="61FE9453"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0.0534</w:t>
            </w:r>
          </w:p>
        </w:tc>
      </w:tr>
      <w:tr w:rsidR="00BC58E3" w:rsidRPr="00DC56BC" w14:paraId="4FF0A5EC" w14:textId="77777777" w:rsidTr="000873D2">
        <w:trPr>
          <w:trHeight w:val="315"/>
        </w:trPr>
        <w:tc>
          <w:tcPr>
            <w:tcW w:w="2552" w:type="dxa"/>
            <w:tcBorders>
              <w:top w:val="nil"/>
              <w:left w:val="nil"/>
              <w:bottom w:val="single" w:sz="4" w:space="0" w:color="000000"/>
              <w:right w:val="nil"/>
            </w:tcBorders>
            <w:shd w:val="clear" w:color="auto" w:fill="auto"/>
            <w:vAlign w:val="bottom"/>
          </w:tcPr>
          <w:p w14:paraId="045E9AF3"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C6B0F4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7236F18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43 (95.6%)</w:t>
            </w:r>
          </w:p>
        </w:tc>
        <w:tc>
          <w:tcPr>
            <w:tcW w:w="1287" w:type="dxa"/>
            <w:tcBorders>
              <w:top w:val="nil"/>
              <w:left w:val="nil"/>
              <w:bottom w:val="single" w:sz="4" w:space="0" w:color="000000"/>
              <w:right w:val="single" w:sz="4" w:space="0" w:color="000000"/>
            </w:tcBorders>
            <w:shd w:val="clear" w:color="auto" w:fill="auto"/>
            <w:vAlign w:val="bottom"/>
          </w:tcPr>
          <w:p w14:paraId="40DDED1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1CDC713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75F48AE1" w14:textId="77777777" w:rsidTr="000873D2">
        <w:trPr>
          <w:trHeight w:val="315"/>
        </w:trPr>
        <w:tc>
          <w:tcPr>
            <w:tcW w:w="2552" w:type="dxa"/>
            <w:tcBorders>
              <w:top w:val="nil"/>
              <w:left w:val="nil"/>
              <w:bottom w:val="nil"/>
              <w:right w:val="nil"/>
            </w:tcBorders>
            <w:shd w:val="clear" w:color="auto" w:fill="auto"/>
            <w:vAlign w:val="bottom"/>
          </w:tcPr>
          <w:p w14:paraId="5E1A1F22"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lastRenderedPageBreak/>
              <w:t>Diabetes</w:t>
            </w:r>
          </w:p>
        </w:tc>
        <w:tc>
          <w:tcPr>
            <w:tcW w:w="850" w:type="dxa"/>
            <w:tcBorders>
              <w:top w:val="nil"/>
              <w:left w:val="nil"/>
              <w:bottom w:val="nil"/>
              <w:right w:val="single" w:sz="4" w:space="0" w:color="000000"/>
            </w:tcBorders>
            <w:shd w:val="clear" w:color="auto" w:fill="auto"/>
            <w:vAlign w:val="bottom"/>
          </w:tcPr>
          <w:p w14:paraId="2B29315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6657D11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5 (11.1%)</w:t>
            </w:r>
          </w:p>
        </w:tc>
        <w:tc>
          <w:tcPr>
            <w:tcW w:w="1287" w:type="dxa"/>
            <w:tcBorders>
              <w:top w:val="nil"/>
              <w:left w:val="nil"/>
              <w:bottom w:val="nil"/>
              <w:right w:val="single" w:sz="4" w:space="0" w:color="000000"/>
            </w:tcBorders>
            <w:shd w:val="clear" w:color="auto" w:fill="auto"/>
            <w:vAlign w:val="bottom"/>
          </w:tcPr>
          <w:p w14:paraId="51FC64E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 (3.3%)</w:t>
            </w:r>
          </w:p>
        </w:tc>
        <w:tc>
          <w:tcPr>
            <w:tcW w:w="1253" w:type="dxa"/>
            <w:tcBorders>
              <w:top w:val="nil"/>
              <w:left w:val="nil"/>
              <w:bottom w:val="nil"/>
              <w:right w:val="nil"/>
            </w:tcBorders>
            <w:shd w:val="clear" w:color="auto" w:fill="auto"/>
            <w:vAlign w:val="bottom"/>
          </w:tcPr>
          <w:p w14:paraId="5AB89337"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0.3920</w:t>
            </w:r>
          </w:p>
        </w:tc>
      </w:tr>
      <w:tr w:rsidR="00BC58E3" w:rsidRPr="00DC56BC" w14:paraId="0185BAFE" w14:textId="77777777" w:rsidTr="000873D2">
        <w:trPr>
          <w:trHeight w:val="315"/>
        </w:trPr>
        <w:tc>
          <w:tcPr>
            <w:tcW w:w="2552" w:type="dxa"/>
            <w:tcBorders>
              <w:top w:val="nil"/>
              <w:left w:val="nil"/>
              <w:bottom w:val="single" w:sz="4" w:space="0" w:color="000000"/>
              <w:right w:val="nil"/>
            </w:tcBorders>
            <w:shd w:val="clear" w:color="auto" w:fill="auto"/>
            <w:vAlign w:val="bottom"/>
          </w:tcPr>
          <w:p w14:paraId="4180DB24"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763C23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191F1638"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40 (88.9%)</w:t>
            </w:r>
          </w:p>
        </w:tc>
        <w:tc>
          <w:tcPr>
            <w:tcW w:w="1287" w:type="dxa"/>
            <w:tcBorders>
              <w:top w:val="nil"/>
              <w:left w:val="nil"/>
              <w:bottom w:val="single" w:sz="4" w:space="0" w:color="000000"/>
              <w:right w:val="single" w:sz="4" w:space="0" w:color="000000"/>
            </w:tcBorders>
            <w:shd w:val="clear" w:color="auto" w:fill="auto"/>
            <w:vAlign w:val="bottom"/>
          </w:tcPr>
          <w:p w14:paraId="58A4327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2E2FF98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313AE3FA" w14:textId="77777777" w:rsidTr="000873D2">
        <w:trPr>
          <w:trHeight w:val="315"/>
        </w:trPr>
        <w:tc>
          <w:tcPr>
            <w:tcW w:w="2552" w:type="dxa"/>
            <w:tcBorders>
              <w:top w:val="nil"/>
              <w:left w:val="nil"/>
              <w:bottom w:val="nil"/>
              <w:right w:val="nil"/>
            </w:tcBorders>
            <w:shd w:val="clear" w:color="auto" w:fill="auto"/>
            <w:vAlign w:val="bottom"/>
          </w:tcPr>
          <w:p w14:paraId="0263662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Smoking</w:t>
            </w:r>
          </w:p>
        </w:tc>
        <w:tc>
          <w:tcPr>
            <w:tcW w:w="850" w:type="dxa"/>
            <w:tcBorders>
              <w:top w:val="nil"/>
              <w:left w:val="nil"/>
              <w:bottom w:val="nil"/>
              <w:right w:val="single" w:sz="4" w:space="0" w:color="000000"/>
            </w:tcBorders>
            <w:shd w:val="clear" w:color="auto" w:fill="auto"/>
            <w:vAlign w:val="bottom"/>
          </w:tcPr>
          <w:p w14:paraId="3A52FC1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1C9E422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8 (17.8%)</w:t>
            </w:r>
          </w:p>
        </w:tc>
        <w:tc>
          <w:tcPr>
            <w:tcW w:w="1287" w:type="dxa"/>
            <w:tcBorders>
              <w:top w:val="nil"/>
              <w:left w:val="nil"/>
              <w:bottom w:val="nil"/>
              <w:right w:val="single" w:sz="4" w:space="0" w:color="000000"/>
            </w:tcBorders>
            <w:shd w:val="clear" w:color="auto" w:fill="auto"/>
            <w:vAlign w:val="bottom"/>
          </w:tcPr>
          <w:p w14:paraId="7E5DA9E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6 (20.0%)</w:t>
            </w:r>
          </w:p>
        </w:tc>
        <w:tc>
          <w:tcPr>
            <w:tcW w:w="1253" w:type="dxa"/>
            <w:tcBorders>
              <w:top w:val="nil"/>
              <w:left w:val="nil"/>
              <w:bottom w:val="nil"/>
              <w:right w:val="nil"/>
            </w:tcBorders>
            <w:shd w:val="clear" w:color="auto" w:fill="auto"/>
            <w:vAlign w:val="bottom"/>
          </w:tcPr>
          <w:p w14:paraId="6A4D441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1.0000</w:t>
            </w:r>
          </w:p>
        </w:tc>
      </w:tr>
      <w:tr w:rsidR="00BC58E3" w:rsidRPr="00DC56BC" w14:paraId="230982AE" w14:textId="77777777" w:rsidTr="000873D2">
        <w:trPr>
          <w:trHeight w:val="315"/>
        </w:trPr>
        <w:tc>
          <w:tcPr>
            <w:tcW w:w="2552" w:type="dxa"/>
            <w:tcBorders>
              <w:top w:val="nil"/>
              <w:left w:val="nil"/>
              <w:bottom w:val="single" w:sz="4" w:space="0" w:color="000000"/>
              <w:right w:val="nil"/>
            </w:tcBorders>
            <w:shd w:val="clear" w:color="auto" w:fill="auto"/>
            <w:vAlign w:val="bottom"/>
          </w:tcPr>
          <w:p w14:paraId="3B48C6B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1FB11B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47E4B4FD"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37 (82.2%)</w:t>
            </w:r>
          </w:p>
        </w:tc>
        <w:tc>
          <w:tcPr>
            <w:tcW w:w="1287" w:type="dxa"/>
            <w:tcBorders>
              <w:top w:val="nil"/>
              <w:left w:val="nil"/>
              <w:bottom w:val="single" w:sz="4" w:space="0" w:color="000000"/>
              <w:right w:val="single" w:sz="4" w:space="0" w:color="000000"/>
            </w:tcBorders>
            <w:shd w:val="clear" w:color="auto" w:fill="auto"/>
            <w:vAlign w:val="bottom"/>
          </w:tcPr>
          <w:p w14:paraId="2C001744"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1A895EE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DC0B66" w:rsidRPr="00DC56BC" w14:paraId="30A255F0" w14:textId="77777777" w:rsidTr="000873D2">
        <w:trPr>
          <w:trHeight w:val="315"/>
        </w:trPr>
        <w:tc>
          <w:tcPr>
            <w:tcW w:w="2552" w:type="dxa"/>
            <w:tcBorders>
              <w:top w:val="nil"/>
              <w:left w:val="nil"/>
              <w:bottom w:val="single" w:sz="4" w:space="0" w:color="000000"/>
              <w:right w:val="nil"/>
            </w:tcBorders>
            <w:shd w:val="clear" w:color="auto" w:fill="auto"/>
            <w:vAlign w:val="bottom"/>
          </w:tcPr>
          <w:p w14:paraId="76D2F61C" w14:textId="77777777" w:rsidR="00DC0B66" w:rsidRPr="00DC56BC" w:rsidRDefault="00DC0B66" w:rsidP="000873D2">
            <w:pPr>
              <w:spacing w:line="360" w:lineRule="auto"/>
              <w:jc w:val="both"/>
              <w:rPr>
                <w:rFonts w:ascii="Arial" w:eastAsia="Calibri" w:hAnsi="Arial" w:cs="Arial"/>
                <w:color w:val="000000"/>
              </w:rPr>
            </w:pPr>
          </w:p>
        </w:tc>
        <w:tc>
          <w:tcPr>
            <w:tcW w:w="850" w:type="dxa"/>
            <w:tcBorders>
              <w:top w:val="nil"/>
              <w:left w:val="nil"/>
              <w:bottom w:val="single" w:sz="4" w:space="0" w:color="000000"/>
              <w:right w:val="single" w:sz="4" w:space="0" w:color="000000"/>
            </w:tcBorders>
            <w:shd w:val="clear" w:color="auto" w:fill="auto"/>
            <w:vAlign w:val="bottom"/>
          </w:tcPr>
          <w:p w14:paraId="16387793" w14:textId="77777777" w:rsidR="00DC0B66" w:rsidRPr="00DC56BC" w:rsidRDefault="00DC0B66" w:rsidP="000873D2">
            <w:pPr>
              <w:spacing w:line="360" w:lineRule="auto"/>
              <w:jc w:val="both"/>
              <w:rPr>
                <w:rFonts w:ascii="Arial" w:eastAsia="Calibri" w:hAnsi="Arial" w:cs="Arial"/>
                <w:color w:val="000000"/>
              </w:rPr>
            </w:pPr>
          </w:p>
        </w:tc>
        <w:tc>
          <w:tcPr>
            <w:tcW w:w="2115" w:type="dxa"/>
            <w:tcBorders>
              <w:top w:val="nil"/>
              <w:left w:val="nil"/>
              <w:bottom w:val="single" w:sz="4" w:space="0" w:color="000000"/>
              <w:right w:val="nil"/>
            </w:tcBorders>
            <w:shd w:val="clear" w:color="auto" w:fill="auto"/>
            <w:vAlign w:val="bottom"/>
          </w:tcPr>
          <w:p w14:paraId="0F500F5B" w14:textId="77777777" w:rsidR="00DC0B66" w:rsidRPr="00DC56BC" w:rsidRDefault="00DC0B66" w:rsidP="000873D2">
            <w:pPr>
              <w:spacing w:line="360" w:lineRule="auto"/>
              <w:jc w:val="both"/>
              <w:rPr>
                <w:rFonts w:ascii="Arial" w:eastAsia="Calibri" w:hAnsi="Arial" w:cs="Arial"/>
                <w:color w:val="000000"/>
              </w:rPr>
            </w:pPr>
          </w:p>
        </w:tc>
        <w:tc>
          <w:tcPr>
            <w:tcW w:w="1287" w:type="dxa"/>
            <w:tcBorders>
              <w:top w:val="nil"/>
              <w:left w:val="nil"/>
              <w:bottom w:val="single" w:sz="4" w:space="0" w:color="000000"/>
              <w:right w:val="single" w:sz="4" w:space="0" w:color="000000"/>
            </w:tcBorders>
            <w:shd w:val="clear" w:color="auto" w:fill="auto"/>
            <w:vAlign w:val="bottom"/>
          </w:tcPr>
          <w:p w14:paraId="0D69DE71" w14:textId="77777777" w:rsidR="00DC0B66" w:rsidRPr="00DC56BC" w:rsidRDefault="00DC0B66" w:rsidP="000873D2">
            <w:pPr>
              <w:spacing w:line="360" w:lineRule="auto"/>
              <w:jc w:val="both"/>
              <w:rPr>
                <w:rFonts w:ascii="Arial" w:eastAsia="Calibri" w:hAnsi="Arial" w:cs="Arial"/>
                <w:color w:val="000000"/>
              </w:rPr>
            </w:pPr>
          </w:p>
        </w:tc>
        <w:tc>
          <w:tcPr>
            <w:tcW w:w="1253" w:type="dxa"/>
            <w:tcBorders>
              <w:top w:val="nil"/>
              <w:left w:val="nil"/>
              <w:bottom w:val="single" w:sz="4" w:space="0" w:color="000000"/>
              <w:right w:val="nil"/>
            </w:tcBorders>
            <w:shd w:val="clear" w:color="auto" w:fill="auto"/>
            <w:vAlign w:val="bottom"/>
          </w:tcPr>
          <w:p w14:paraId="31875A5C" w14:textId="77777777" w:rsidR="00DC0B66" w:rsidRPr="00DC56BC" w:rsidRDefault="00DC0B66" w:rsidP="000873D2">
            <w:pPr>
              <w:spacing w:line="360" w:lineRule="auto"/>
              <w:jc w:val="both"/>
              <w:rPr>
                <w:rFonts w:ascii="Arial" w:eastAsia="Calibri" w:hAnsi="Arial" w:cs="Arial"/>
                <w:color w:val="000000"/>
              </w:rPr>
            </w:pPr>
          </w:p>
        </w:tc>
      </w:tr>
      <w:tr w:rsidR="00BC58E3" w:rsidRPr="00DC56BC" w14:paraId="5D9848A7" w14:textId="77777777" w:rsidTr="000873D2">
        <w:trPr>
          <w:trHeight w:val="315"/>
        </w:trPr>
        <w:tc>
          <w:tcPr>
            <w:tcW w:w="2552" w:type="dxa"/>
            <w:tcBorders>
              <w:top w:val="nil"/>
              <w:left w:val="nil"/>
              <w:bottom w:val="nil"/>
              <w:right w:val="nil"/>
            </w:tcBorders>
            <w:shd w:val="clear" w:color="auto" w:fill="auto"/>
            <w:vAlign w:val="bottom"/>
          </w:tcPr>
          <w:p w14:paraId="3EE715B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Alcoholism</w:t>
            </w:r>
          </w:p>
        </w:tc>
        <w:tc>
          <w:tcPr>
            <w:tcW w:w="850" w:type="dxa"/>
            <w:tcBorders>
              <w:top w:val="nil"/>
              <w:left w:val="nil"/>
              <w:bottom w:val="nil"/>
              <w:right w:val="single" w:sz="4" w:space="0" w:color="000000"/>
            </w:tcBorders>
            <w:shd w:val="clear" w:color="auto" w:fill="auto"/>
            <w:vAlign w:val="bottom"/>
          </w:tcPr>
          <w:p w14:paraId="4239ED45"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4350425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790DC803"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7 (23.3%)</w:t>
            </w:r>
          </w:p>
        </w:tc>
        <w:tc>
          <w:tcPr>
            <w:tcW w:w="1253" w:type="dxa"/>
            <w:tcBorders>
              <w:top w:val="nil"/>
              <w:left w:val="nil"/>
              <w:bottom w:val="nil"/>
              <w:right w:val="nil"/>
            </w:tcBorders>
            <w:shd w:val="clear" w:color="auto" w:fill="auto"/>
            <w:vAlign w:val="bottom"/>
          </w:tcPr>
          <w:p w14:paraId="20BF1513"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0.7929</w:t>
            </w:r>
          </w:p>
        </w:tc>
      </w:tr>
      <w:tr w:rsidR="00BC58E3" w:rsidRPr="00DC56BC" w14:paraId="55747EF1" w14:textId="77777777" w:rsidTr="000873D2">
        <w:trPr>
          <w:trHeight w:val="315"/>
        </w:trPr>
        <w:tc>
          <w:tcPr>
            <w:tcW w:w="2552" w:type="dxa"/>
            <w:tcBorders>
              <w:top w:val="nil"/>
              <w:left w:val="nil"/>
              <w:bottom w:val="single" w:sz="4" w:space="0" w:color="000000"/>
              <w:right w:val="nil"/>
            </w:tcBorders>
            <w:shd w:val="clear" w:color="auto" w:fill="auto"/>
            <w:vAlign w:val="bottom"/>
          </w:tcPr>
          <w:p w14:paraId="362804D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84E5B3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310EF04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25259C35"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23 (76.7%)</w:t>
            </w:r>
          </w:p>
        </w:tc>
        <w:tc>
          <w:tcPr>
            <w:tcW w:w="1253" w:type="dxa"/>
            <w:tcBorders>
              <w:top w:val="nil"/>
              <w:left w:val="nil"/>
              <w:bottom w:val="single" w:sz="4" w:space="0" w:color="000000"/>
              <w:right w:val="nil"/>
            </w:tcBorders>
            <w:shd w:val="clear" w:color="auto" w:fill="auto"/>
            <w:vAlign w:val="bottom"/>
          </w:tcPr>
          <w:p w14:paraId="2EE655C0"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BC58E3" w:rsidRPr="00DC56BC" w14:paraId="3EA513CC" w14:textId="77777777" w:rsidTr="000873D2">
        <w:trPr>
          <w:trHeight w:val="315"/>
        </w:trPr>
        <w:tc>
          <w:tcPr>
            <w:tcW w:w="2552" w:type="dxa"/>
            <w:tcBorders>
              <w:top w:val="nil"/>
              <w:left w:val="nil"/>
              <w:bottom w:val="nil"/>
              <w:right w:val="nil"/>
            </w:tcBorders>
            <w:shd w:val="clear" w:color="auto" w:fill="auto"/>
          </w:tcPr>
          <w:p w14:paraId="7136B55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sz w:val="20"/>
                <w:szCs w:val="20"/>
              </w:rPr>
              <w:t>Regular physical activity</w:t>
            </w:r>
          </w:p>
        </w:tc>
        <w:tc>
          <w:tcPr>
            <w:tcW w:w="850" w:type="dxa"/>
            <w:tcBorders>
              <w:top w:val="nil"/>
              <w:left w:val="nil"/>
              <w:bottom w:val="nil"/>
              <w:right w:val="single" w:sz="4" w:space="0" w:color="000000"/>
            </w:tcBorders>
            <w:shd w:val="clear" w:color="auto" w:fill="auto"/>
            <w:vAlign w:val="bottom"/>
          </w:tcPr>
          <w:p w14:paraId="5AD8E4D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4DCFD22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38BE68B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 (10.0%)</w:t>
            </w:r>
          </w:p>
        </w:tc>
        <w:tc>
          <w:tcPr>
            <w:tcW w:w="1253" w:type="dxa"/>
            <w:tcBorders>
              <w:top w:val="nil"/>
              <w:left w:val="nil"/>
              <w:bottom w:val="nil"/>
              <w:right w:val="nil"/>
            </w:tcBorders>
            <w:shd w:val="clear" w:color="auto" w:fill="auto"/>
            <w:vAlign w:val="bottom"/>
          </w:tcPr>
          <w:p w14:paraId="7BC48EB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0.1389</w:t>
            </w:r>
          </w:p>
        </w:tc>
      </w:tr>
      <w:tr w:rsidR="00BC58E3" w:rsidRPr="00DC56BC" w14:paraId="5B646E55" w14:textId="77777777" w:rsidTr="000873D2">
        <w:trPr>
          <w:trHeight w:val="315"/>
        </w:trPr>
        <w:tc>
          <w:tcPr>
            <w:tcW w:w="2552" w:type="dxa"/>
            <w:tcBorders>
              <w:top w:val="nil"/>
              <w:left w:val="nil"/>
              <w:bottom w:val="single" w:sz="4" w:space="0" w:color="000000"/>
              <w:right w:val="nil"/>
            </w:tcBorders>
            <w:shd w:val="clear" w:color="auto" w:fill="auto"/>
            <w:vAlign w:val="bottom"/>
          </w:tcPr>
          <w:p w14:paraId="5DF54DDA"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6B88EB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4" w:space="0" w:color="000000"/>
              <w:right w:val="nil"/>
            </w:tcBorders>
            <w:shd w:val="clear" w:color="auto" w:fill="auto"/>
            <w:vAlign w:val="bottom"/>
          </w:tcPr>
          <w:p w14:paraId="1148F41B"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36C9648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27 (90.0%)</w:t>
            </w:r>
          </w:p>
        </w:tc>
        <w:tc>
          <w:tcPr>
            <w:tcW w:w="1253" w:type="dxa"/>
            <w:tcBorders>
              <w:top w:val="nil"/>
              <w:left w:val="nil"/>
              <w:bottom w:val="single" w:sz="4" w:space="0" w:color="000000"/>
              <w:right w:val="nil"/>
            </w:tcBorders>
            <w:shd w:val="clear" w:color="auto" w:fill="auto"/>
            <w:vAlign w:val="bottom"/>
          </w:tcPr>
          <w:p w14:paraId="672396FE"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r w:rsidR="00DC0B66" w:rsidRPr="00DC56BC" w14:paraId="787BD445" w14:textId="77777777" w:rsidTr="000873D2">
        <w:trPr>
          <w:trHeight w:val="315"/>
        </w:trPr>
        <w:tc>
          <w:tcPr>
            <w:tcW w:w="2552" w:type="dxa"/>
            <w:tcBorders>
              <w:top w:val="nil"/>
              <w:left w:val="nil"/>
              <w:bottom w:val="single" w:sz="4" w:space="0" w:color="000000"/>
              <w:right w:val="nil"/>
            </w:tcBorders>
            <w:shd w:val="clear" w:color="auto" w:fill="auto"/>
            <w:vAlign w:val="bottom"/>
          </w:tcPr>
          <w:p w14:paraId="7271D79E" w14:textId="77777777" w:rsidR="00DC0B66" w:rsidRPr="00DC56BC" w:rsidRDefault="00DC0B66" w:rsidP="000873D2">
            <w:pPr>
              <w:spacing w:line="360" w:lineRule="auto"/>
              <w:jc w:val="both"/>
              <w:rPr>
                <w:rFonts w:ascii="Arial" w:eastAsia="Calibri" w:hAnsi="Arial" w:cs="Arial"/>
                <w:color w:val="000000"/>
              </w:rPr>
            </w:pPr>
          </w:p>
        </w:tc>
        <w:tc>
          <w:tcPr>
            <w:tcW w:w="850" w:type="dxa"/>
            <w:tcBorders>
              <w:top w:val="nil"/>
              <w:left w:val="nil"/>
              <w:bottom w:val="single" w:sz="4" w:space="0" w:color="000000"/>
              <w:right w:val="single" w:sz="4" w:space="0" w:color="000000"/>
            </w:tcBorders>
            <w:shd w:val="clear" w:color="auto" w:fill="auto"/>
            <w:vAlign w:val="bottom"/>
          </w:tcPr>
          <w:p w14:paraId="1469C3A9" w14:textId="77777777" w:rsidR="00DC0B66" w:rsidRPr="00DC56BC" w:rsidRDefault="00DC0B66" w:rsidP="000873D2">
            <w:pPr>
              <w:spacing w:line="360" w:lineRule="auto"/>
              <w:jc w:val="both"/>
              <w:rPr>
                <w:rFonts w:ascii="Arial" w:eastAsia="Calibri" w:hAnsi="Arial" w:cs="Arial"/>
                <w:color w:val="000000"/>
              </w:rPr>
            </w:pPr>
          </w:p>
        </w:tc>
        <w:tc>
          <w:tcPr>
            <w:tcW w:w="2115" w:type="dxa"/>
            <w:tcBorders>
              <w:top w:val="nil"/>
              <w:left w:val="nil"/>
              <w:bottom w:val="single" w:sz="4" w:space="0" w:color="000000"/>
              <w:right w:val="nil"/>
            </w:tcBorders>
            <w:shd w:val="clear" w:color="auto" w:fill="auto"/>
            <w:vAlign w:val="bottom"/>
          </w:tcPr>
          <w:p w14:paraId="3883D63A" w14:textId="77777777" w:rsidR="00DC0B66" w:rsidRPr="00DC56BC" w:rsidRDefault="00DC0B66" w:rsidP="000873D2">
            <w:pPr>
              <w:spacing w:line="360" w:lineRule="auto"/>
              <w:jc w:val="both"/>
              <w:rPr>
                <w:rFonts w:ascii="Arial" w:eastAsia="Calibri" w:hAnsi="Arial" w:cs="Arial"/>
                <w:color w:val="000000"/>
              </w:rPr>
            </w:pPr>
          </w:p>
        </w:tc>
        <w:tc>
          <w:tcPr>
            <w:tcW w:w="1287" w:type="dxa"/>
            <w:tcBorders>
              <w:top w:val="nil"/>
              <w:left w:val="nil"/>
              <w:bottom w:val="single" w:sz="4" w:space="0" w:color="000000"/>
              <w:right w:val="single" w:sz="4" w:space="0" w:color="000000"/>
            </w:tcBorders>
            <w:shd w:val="clear" w:color="auto" w:fill="auto"/>
            <w:vAlign w:val="bottom"/>
          </w:tcPr>
          <w:p w14:paraId="34BE52E0" w14:textId="77777777" w:rsidR="00DC0B66" w:rsidRPr="00DC56BC" w:rsidRDefault="00DC0B66" w:rsidP="000873D2">
            <w:pPr>
              <w:spacing w:line="360" w:lineRule="auto"/>
              <w:jc w:val="both"/>
              <w:rPr>
                <w:rFonts w:ascii="Arial" w:eastAsia="Calibri" w:hAnsi="Arial" w:cs="Arial"/>
                <w:color w:val="000000"/>
              </w:rPr>
            </w:pPr>
          </w:p>
        </w:tc>
        <w:tc>
          <w:tcPr>
            <w:tcW w:w="1253" w:type="dxa"/>
            <w:tcBorders>
              <w:top w:val="nil"/>
              <w:left w:val="nil"/>
              <w:bottom w:val="single" w:sz="4" w:space="0" w:color="000000"/>
              <w:right w:val="nil"/>
            </w:tcBorders>
            <w:shd w:val="clear" w:color="auto" w:fill="auto"/>
            <w:vAlign w:val="bottom"/>
          </w:tcPr>
          <w:p w14:paraId="047E331F" w14:textId="77777777" w:rsidR="00DC0B66" w:rsidRPr="00DC56BC" w:rsidRDefault="00DC0B66" w:rsidP="000873D2">
            <w:pPr>
              <w:spacing w:line="360" w:lineRule="auto"/>
              <w:jc w:val="both"/>
              <w:rPr>
                <w:rFonts w:ascii="Arial" w:eastAsia="Calibri" w:hAnsi="Arial" w:cs="Arial"/>
                <w:color w:val="000000"/>
              </w:rPr>
            </w:pPr>
          </w:p>
        </w:tc>
      </w:tr>
      <w:tr w:rsidR="00BC58E3" w:rsidRPr="00DC56BC" w14:paraId="48040FE6" w14:textId="77777777" w:rsidTr="000873D2">
        <w:trPr>
          <w:trHeight w:val="315"/>
        </w:trPr>
        <w:tc>
          <w:tcPr>
            <w:tcW w:w="2552" w:type="dxa"/>
            <w:tcBorders>
              <w:top w:val="nil"/>
              <w:left w:val="nil"/>
              <w:bottom w:val="nil"/>
              <w:right w:val="nil"/>
            </w:tcBorders>
            <w:shd w:val="clear" w:color="auto" w:fill="auto"/>
            <w:vAlign w:val="bottom"/>
          </w:tcPr>
          <w:p w14:paraId="36E98779"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xml:space="preserve">Weight gain* </w:t>
            </w:r>
          </w:p>
        </w:tc>
        <w:tc>
          <w:tcPr>
            <w:tcW w:w="850" w:type="dxa"/>
            <w:tcBorders>
              <w:top w:val="nil"/>
              <w:left w:val="nil"/>
              <w:bottom w:val="nil"/>
              <w:right w:val="single" w:sz="4" w:space="0" w:color="000000"/>
            </w:tcBorders>
            <w:shd w:val="clear" w:color="auto" w:fill="auto"/>
            <w:vAlign w:val="bottom"/>
          </w:tcPr>
          <w:p w14:paraId="37FF0992"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Yes</w:t>
            </w:r>
          </w:p>
        </w:tc>
        <w:tc>
          <w:tcPr>
            <w:tcW w:w="2115" w:type="dxa"/>
            <w:tcBorders>
              <w:top w:val="nil"/>
              <w:left w:val="nil"/>
              <w:bottom w:val="nil"/>
              <w:right w:val="nil"/>
            </w:tcBorders>
            <w:shd w:val="clear" w:color="auto" w:fill="auto"/>
            <w:vAlign w:val="bottom"/>
          </w:tcPr>
          <w:p w14:paraId="4E1EECF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 (0.0%)</w:t>
            </w:r>
          </w:p>
        </w:tc>
        <w:tc>
          <w:tcPr>
            <w:tcW w:w="1287" w:type="dxa"/>
            <w:tcBorders>
              <w:top w:val="nil"/>
              <w:left w:val="nil"/>
              <w:bottom w:val="nil"/>
              <w:right w:val="single" w:sz="4" w:space="0" w:color="000000"/>
            </w:tcBorders>
            <w:shd w:val="clear" w:color="auto" w:fill="auto"/>
            <w:vAlign w:val="bottom"/>
          </w:tcPr>
          <w:p w14:paraId="1376CD01"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1 (3.3%)</w:t>
            </w:r>
          </w:p>
        </w:tc>
        <w:tc>
          <w:tcPr>
            <w:tcW w:w="1253" w:type="dxa"/>
            <w:tcBorders>
              <w:top w:val="nil"/>
              <w:left w:val="nil"/>
              <w:bottom w:val="nil"/>
              <w:right w:val="nil"/>
            </w:tcBorders>
            <w:shd w:val="clear" w:color="auto" w:fill="auto"/>
            <w:vAlign w:val="bottom"/>
          </w:tcPr>
          <w:p w14:paraId="4FA35516"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0.4000</w:t>
            </w:r>
          </w:p>
        </w:tc>
      </w:tr>
      <w:tr w:rsidR="00BC58E3" w:rsidRPr="00DC56BC" w14:paraId="6F3C95BC" w14:textId="77777777" w:rsidTr="000873D2">
        <w:trPr>
          <w:trHeight w:val="330"/>
        </w:trPr>
        <w:tc>
          <w:tcPr>
            <w:tcW w:w="2552" w:type="dxa"/>
            <w:tcBorders>
              <w:top w:val="nil"/>
              <w:left w:val="nil"/>
              <w:bottom w:val="single" w:sz="8" w:space="0" w:color="000000"/>
              <w:right w:val="nil"/>
            </w:tcBorders>
            <w:shd w:val="clear" w:color="auto" w:fill="auto"/>
            <w:vAlign w:val="bottom"/>
          </w:tcPr>
          <w:p w14:paraId="5EE2BB67"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c>
          <w:tcPr>
            <w:tcW w:w="850" w:type="dxa"/>
            <w:tcBorders>
              <w:top w:val="nil"/>
              <w:left w:val="nil"/>
              <w:bottom w:val="single" w:sz="8" w:space="0" w:color="000000"/>
              <w:right w:val="single" w:sz="4" w:space="0" w:color="000000"/>
            </w:tcBorders>
            <w:shd w:val="clear" w:color="auto" w:fill="auto"/>
            <w:vAlign w:val="bottom"/>
          </w:tcPr>
          <w:p w14:paraId="3B3C37E2"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No</w:t>
            </w:r>
          </w:p>
        </w:tc>
        <w:tc>
          <w:tcPr>
            <w:tcW w:w="2115" w:type="dxa"/>
            <w:tcBorders>
              <w:top w:val="nil"/>
              <w:left w:val="nil"/>
              <w:bottom w:val="single" w:sz="8" w:space="0" w:color="000000"/>
              <w:right w:val="nil"/>
            </w:tcBorders>
            <w:shd w:val="clear" w:color="auto" w:fill="auto"/>
            <w:vAlign w:val="bottom"/>
          </w:tcPr>
          <w:p w14:paraId="1038AE4C"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45 (100.0%)</w:t>
            </w:r>
          </w:p>
        </w:tc>
        <w:tc>
          <w:tcPr>
            <w:tcW w:w="1287" w:type="dxa"/>
            <w:tcBorders>
              <w:top w:val="nil"/>
              <w:left w:val="nil"/>
              <w:bottom w:val="single" w:sz="8" w:space="0" w:color="000000"/>
              <w:right w:val="single" w:sz="4" w:space="0" w:color="000000"/>
            </w:tcBorders>
            <w:shd w:val="clear" w:color="auto" w:fill="auto"/>
            <w:vAlign w:val="bottom"/>
          </w:tcPr>
          <w:p w14:paraId="6983613D"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29 (96.7%)</w:t>
            </w:r>
          </w:p>
        </w:tc>
        <w:tc>
          <w:tcPr>
            <w:tcW w:w="1253" w:type="dxa"/>
            <w:tcBorders>
              <w:top w:val="nil"/>
              <w:left w:val="nil"/>
              <w:bottom w:val="single" w:sz="8" w:space="0" w:color="000000"/>
              <w:right w:val="nil"/>
            </w:tcBorders>
            <w:shd w:val="clear" w:color="auto" w:fill="auto"/>
            <w:vAlign w:val="bottom"/>
          </w:tcPr>
          <w:p w14:paraId="703653DF" w14:textId="77777777" w:rsidR="00BC58E3" w:rsidRPr="00DC56BC" w:rsidRDefault="00BC58E3" w:rsidP="000873D2">
            <w:pPr>
              <w:spacing w:line="360" w:lineRule="auto"/>
              <w:jc w:val="both"/>
              <w:rPr>
                <w:rFonts w:ascii="Arial" w:eastAsia="Calibri" w:hAnsi="Arial" w:cs="Arial"/>
                <w:color w:val="000000"/>
                <w:sz w:val="20"/>
                <w:szCs w:val="20"/>
              </w:rPr>
            </w:pPr>
            <w:r w:rsidRPr="00DC56BC">
              <w:rPr>
                <w:rFonts w:ascii="Arial" w:eastAsia="Calibri" w:hAnsi="Arial" w:cs="Arial"/>
                <w:color w:val="000000"/>
                <w:sz w:val="20"/>
                <w:szCs w:val="20"/>
              </w:rPr>
              <w:t> </w:t>
            </w:r>
          </w:p>
        </w:tc>
      </w:tr>
    </w:tbl>
    <w:p w14:paraId="5488E32B" w14:textId="77777777" w:rsidR="00376BBE" w:rsidRDefault="00376BBE" w:rsidP="00627585">
      <w:pPr>
        <w:pStyle w:val="Body"/>
        <w:spacing w:after="0"/>
        <w:rPr>
          <w:rFonts w:ascii="Arial" w:hAnsi="Arial" w:cs="Arial"/>
        </w:rPr>
      </w:pPr>
    </w:p>
    <w:p w14:paraId="1A5732E2" w14:textId="77777777" w:rsidR="00BC58E3" w:rsidRDefault="00BC58E3" w:rsidP="00627585">
      <w:pPr>
        <w:pStyle w:val="Body"/>
        <w:spacing w:after="0"/>
        <w:rPr>
          <w:rFonts w:ascii="Arial" w:hAnsi="Arial" w:cs="Arial"/>
        </w:rPr>
      </w:pPr>
    </w:p>
    <w:p w14:paraId="0EA0C641" w14:textId="77777777" w:rsidR="00BC58E3" w:rsidRDefault="00BC58E3" w:rsidP="00627585">
      <w:pPr>
        <w:pStyle w:val="Body"/>
        <w:spacing w:after="0"/>
        <w:rPr>
          <w:rFonts w:ascii="Arial" w:hAnsi="Arial" w:cs="Arial"/>
        </w:rPr>
      </w:pPr>
    </w:p>
    <w:p w14:paraId="5697BB99" w14:textId="77777777" w:rsidR="00BC58E3" w:rsidRDefault="00BC58E3" w:rsidP="00627585">
      <w:pPr>
        <w:pStyle w:val="Body"/>
        <w:spacing w:after="0"/>
        <w:rPr>
          <w:rFonts w:ascii="Arial" w:hAnsi="Arial" w:cs="Arial"/>
        </w:rPr>
      </w:pPr>
    </w:p>
    <w:p w14:paraId="73ECF21C" w14:textId="77777777" w:rsidR="00BC58E3" w:rsidRDefault="00BC58E3" w:rsidP="00627585">
      <w:pPr>
        <w:pStyle w:val="Body"/>
        <w:spacing w:after="0"/>
        <w:rPr>
          <w:rFonts w:ascii="Arial" w:hAnsi="Arial" w:cs="Arial"/>
        </w:rPr>
      </w:pPr>
    </w:p>
    <w:p w14:paraId="08234C84" w14:textId="77777777" w:rsidR="00BC58E3" w:rsidRDefault="00BC58E3" w:rsidP="00627585">
      <w:pPr>
        <w:pStyle w:val="Body"/>
        <w:spacing w:after="0"/>
        <w:rPr>
          <w:rFonts w:ascii="Arial" w:hAnsi="Arial" w:cs="Arial"/>
        </w:rPr>
      </w:pPr>
    </w:p>
    <w:p w14:paraId="5FE9971E" w14:textId="77777777" w:rsidR="00BC58E3" w:rsidRDefault="00BC58E3" w:rsidP="00627585">
      <w:pPr>
        <w:pStyle w:val="Body"/>
        <w:spacing w:after="0"/>
        <w:rPr>
          <w:rFonts w:ascii="Arial" w:hAnsi="Arial" w:cs="Arial"/>
        </w:rPr>
      </w:pPr>
    </w:p>
    <w:p w14:paraId="59C0A5A0" w14:textId="77777777" w:rsidR="00BC58E3" w:rsidRDefault="00BC58E3" w:rsidP="00627585">
      <w:pPr>
        <w:pStyle w:val="Body"/>
        <w:spacing w:after="0"/>
        <w:rPr>
          <w:rFonts w:ascii="Arial" w:hAnsi="Arial" w:cs="Arial"/>
        </w:rPr>
      </w:pPr>
    </w:p>
    <w:p w14:paraId="0E5DCF49" w14:textId="77777777" w:rsidR="00BC58E3" w:rsidRDefault="00BC58E3" w:rsidP="00627585">
      <w:pPr>
        <w:pStyle w:val="Body"/>
        <w:spacing w:after="0"/>
        <w:rPr>
          <w:rFonts w:ascii="Arial" w:hAnsi="Arial" w:cs="Arial"/>
        </w:rPr>
      </w:pPr>
    </w:p>
    <w:p w14:paraId="122101F2" w14:textId="77777777" w:rsidR="00BC58E3" w:rsidRDefault="00BC58E3" w:rsidP="00627585">
      <w:pPr>
        <w:pStyle w:val="Body"/>
        <w:spacing w:after="0"/>
        <w:rPr>
          <w:rFonts w:ascii="Arial" w:hAnsi="Arial" w:cs="Arial"/>
        </w:rPr>
      </w:pPr>
    </w:p>
    <w:p w14:paraId="702476D6" w14:textId="77777777" w:rsidR="00BC58E3" w:rsidRDefault="00BC58E3" w:rsidP="00627585">
      <w:pPr>
        <w:pStyle w:val="Body"/>
        <w:spacing w:after="0"/>
        <w:rPr>
          <w:rFonts w:ascii="Arial" w:hAnsi="Arial" w:cs="Arial"/>
        </w:rPr>
      </w:pPr>
    </w:p>
    <w:p w14:paraId="3CCE46B6" w14:textId="77777777" w:rsidR="00BC58E3" w:rsidRDefault="00BC58E3" w:rsidP="00627585">
      <w:pPr>
        <w:pStyle w:val="Body"/>
        <w:spacing w:after="0"/>
        <w:rPr>
          <w:rFonts w:ascii="Arial" w:hAnsi="Arial" w:cs="Arial"/>
        </w:rPr>
      </w:pPr>
    </w:p>
    <w:p w14:paraId="15E3ECE4" w14:textId="77777777" w:rsidR="00BC58E3" w:rsidRDefault="00BC58E3" w:rsidP="00627585">
      <w:pPr>
        <w:pStyle w:val="Body"/>
        <w:spacing w:after="0"/>
        <w:rPr>
          <w:rFonts w:ascii="Arial" w:hAnsi="Arial" w:cs="Arial"/>
        </w:rPr>
      </w:pPr>
    </w:p>
    <w:p w14:paraId="0212C799" w14:textId="77777777" w:rsidR="00BC58E3" w:rsidRDefault="00BC58E3" w:rsidP="00627585">
      <w:pPr>
        <w:pStyle w:val="Body"/>
        <w:spacing w:after="0"/>
        <w:rPr>
          <w:rFonts w:ascii="Arial" w:hAnsi="Arial" w:cs="Arial"/>
        </w:rPr>
      </w:pPr>
    </w:p>
    <w:p w14:paraId="2305D9B7" w14:textId="77777777" w:rsidR="00BC58E3" w:rsidRDefault="00BC58E3" w:rsidP="00627585">
      <w:pPr>
        <w:pStyle w:val="Body"/>
        <w:spacing w:after="0"/>
        <w:rPr>
          <w:rFonts w:ascii="Arial" w:hAnsi="Arial" w:cs="Arial"/>
        </w:rPr>
      </w:pPr>
    </w:p>
    <w:p w14:paraId="0F841A69" w14:textId="77777777" w:rsidR="00DC0B66" w:rsidRDefault="00DC0B66" w:rsidP="00BC58E3">
      <w:pPr>
        <w:tabs>
          <w:tab w:val="left" w:pos="1080"/>
        </w:tabs>
        <w:jc w:val="both"/>
        <w:rPr>
          <w:rFonts w:ascii="Arial" w:hAnsi="Arial"/>
          <w:b/>
        </w:rPr>
      </w:pPr>
    </w:p>
    <w:p w14:paraId="54CF5817" w14:textId="77777777" w:rsidR="00DC0B66" w:rsidRDefault="00DC0B66" w:rsidP="00BC58E3">
      <w:pPr>
        <w:tabs>
          <w:tab w:val="left" w:pos="1080"/>
        </w:tabs>
        <w:jc w:val="both"/>
        <w:rPr>
          <w:rFonts w:ascii="Arial" w:hAnsi="Arial"/>
          <w:b/>
        </w:rPr>
      </w:pPr>
    </w:p>
    <w:p w14:paraId="5831E99F" w14:textId="77777777" w:rsidR="00DC0B66" w:rsidRDefault="00DC0B66" w:rsidP="00BC58E3">
      <w:pPr>
        <w:tabs>
          <w:tab w:val="left" w:pos="1080"/>
        </w:tabs>
        <w:jc w:val="both"/>
        <w:rPr>
          <w:rFonts w:ascii="Arial" w:hAnsi="Arial"/>
          <w:b/>
        </w:rPr>
      </w:pPr>
    </w:p>
    <w:p w14:paraId="19898413" w14:textId="77777777" w:rsidR="00DC0B66" w:rsidRDefault="00DC0B66" w:rsidP="00BC58E3">
      <w:pPr>
        <w:tabs>
          <w:tab w:val="left" w:pos="1080"/>
        </w:tabs>
        <w:jc w:val="both"/>
        <w:rPr>
          <w:rFonts w:ascii="Arial" w:hAnsi="Arial"/>
          <w:b/>
        </w:rPr>
      </w:pPr>
    </w:p>
    <w:p w14:paraId="227FC05D" w14:textId="77777777" w:rsidR="00376BBE" w:rsidRDefault="00376BBE" w:rsidP="00627585">
      <w:pPr>
        <w:pStyle w:val="Body"/>
        <w:spacing w:after="0"/>
        <w:rPr>
          <w:rFonts w:ascii="Arial" w:hAnsi="Arial" w:cs="Arial"/>
        </w:rPr>
      </w:pPr>
    </w:p>
    <w:p w14:paraId="1A037E2A" w14:textId="43EE655B" w:rsidR="00927834" w:rsidRDefault="00927834" w:rsidP="00627585">
      <w:pPr>
        <w:autoSpaceDE w:val="0"/>
        <w:autoSpaceDN w:val="0"/>
        <w:adjustRightInd w:val="0"/>
        <w:jc w:val="both"/>
        <w:rPr>
          <w:rFonts w:ascii="Arial" w:hAnsi="Arial" w:cs="Arial"/>
          <w:b/>
          <w:bCs/>
          <w:sz w:val="22"/>
          <w:szCs w:val="22"/>
        </w:rPr>
      </w:pPr>
    </w:p>
    <w:p w14:paraId="3D719DCE" w14:textId="36C2E90E" w:rsidR="00E053D0" w:rsidRDefault="00BC58E3" w:rsidP="00627585">
      <w:pPr>
        <w:pStyle w:val="Body"/>
        <w:spacing w:after="0"/>
        <w:rPr>
          <w:rFonts w:ascii="Arial" w:hAnsi="Arial" w:cs="Arial"/>
        </w:rPr>
      </w:pPr>
      <w:r>
        <w:rPr>
          <w:rFonts w:ascii="Arial" w:hAnsi="Arial" w:cs="Arial"/>
        </w:rPr>
        <w:t xml:space="preserve"> </w:t>
      </w:r>
    </w:p>
    <w:p w14:paraId="4ABFBDC7" w14:textId="77777777" w:rsidR="00790ADA" w:rsidRPr="00FB3A86" w:rsidRDefault="00790ADA" w:rsidP="00627585">
      <w:pPr>
        <w:pStyle w:val="Body"/>
        <w:spacing w:after="0"/>
        <w:rPr>
          <w:rFonts w:ascii="Arial" w:hAnsi="Arial" w:cs="Arial"/>
        </w:rPr>
      </w:pPr>
    </w:p>
    <w:p w14:paraId="19A827E2" w14:textId="77777777" w:rsidR="00DC0B66" w:rsidRDefault="00DC0B66" w:rsidP="00627585">
      <w:pPr>
        <w:pStyle w:val="ConcHead"/>
        <w:spacing w:after="0"/>
        <w:jc w:val="both"/>
        <w:rPr>
          <w:rFonts w:ascii="Arial" w:hAnsi="Arial" w:cs="Arial"/>
        </w:rPr>
      </w:pPr>
    </w:p>
    <w:p w14:paraId="25E6C384" w14:textId="77777777" w:rsidR="00DC0B66" w:rsidRDefault="00DC0B66" w:rsidP="00627585">
      <w:pPr>
        <w:pStyle w:val="ConcHead"/>
        <w:spacing w:after="0"/>
        <w:jc w:val="both"/>
        <w:rPr>
          <w:rFonts w:ascii="Arial" w:hAnsi="Arial" w:cs="Arial"/>
        </w:rPr>
      </w:pPr>
    </w:p>
    <w:p w14:paraId="2030B3A7" w14:textId="77777777" w:rsidR="00DC0B66" w:rsidRDefault="00DC0B66" w:rsidP="00627585">
      <w:pPr>
        <w:pStyle w:val="ConcHead"/>
        <w:spacing w:after="0"/>
        <w:jc w:val="both"/>
        <w:rPr>
          <w:rFonts w:ascii="Arial" w:hAnsi="Arial" w:cs="Arial"/>
        </w:rPr>
      </w:pPr>
    </w:p>
    <w:p w14:paraId="1D3EF99F" w14:textId="77777777" w:rsidR="00DC0B66" w:rsidRDefault="00DC0B66" w:rsidP="00627585">
      <w:pPr>
        <w:pStyle w:val="ConcHead"/>
        <w:spacing w:after="0"/>
        <w:jc w:val="both"/>
        <w:rPr>
          <w:rFonts w:ascii="Arial" w:hAnsi="Arial" w:cs="Arial"/>
        </w:rPr>
      </w:pPr>
    </w:p>
    <w:p w14:paraId="6CEAA32F" w14:textId="77777777" w:rsidR="00DC0B66" w:rsidRDefault="00DC0B66" w:rsidP="00627585">
      <w:pPr>
        <w:pStyle w:val="ConcHead"/>
        <w:spacing w:after="0"/>
        <w:jc w:val="both"/>
        <w:rPr>
          <w:rFonts w:ascii="Arial" w:hAnsi="Arial" w:cs="Arial"/>
        </w:rPr>
      </w:pPr>
    </w:p>
    <w:p w14:paraId="29530DFE" w14:textId="77777777" w:rsidR="00DC0B66" w:rsidRDefault="00DC0B66" w:rsidP="00627585">
      <w:pPr>
        <w:pStyle w:val="ConcHead"/>
        <w:spacing w:after="0"/>
        <w:jc w:val="both"/>
        <w:rPr>
          <w:rFonts w:ascii="Arial" w:hAnsi="Arial" w:cs="Arial"/>
        </w:rPr>
      </w:pPr>
    </w:p>
    <w:p w14:paraId="7C0871DA" w14:textId="77777777" w:rsidR="00DC0B66" w:rsidRDefault="00DC0B66" w:rsidP="00DC0B66">
      <w:pPr>
        <w:tabs>
          <w:tab w:val="left" w:pos="1080"/>
        </w:tabs>
        <w:jc w:val="both"/>
        <w:rPr>
          <w:rFonts w:ascii="Arial" w:hAnsi="Arial"/>
          <w:b/>
        </w:rPr>
      </w:pPr>
    </w:p>
    <w:p w14:paraId="17BB8594" w14:textId="77777777" w:rsidR="00DC0B66" w:rsidRDefault="00DC0B66" w:rsidP="00DC0B66">
      <w:pPr>
        <w:tabs>
          <w:tab w:val="left" w:pos="1080"/>
        </w:tabs>
        <w:jc w:val="both"/>
        <w:rPr>
          <w:rFonts w:ascii="Arial" w:hAnsi="Arial"/>
          <w:b/>
        </w:rPr>
      </w:pPr>
    </w:p>
    <w:p w14:paraId="0F9701E3" w14:textId="77777777" w:rsidR="00DC0B66" w:rsidRPr="00BC58E3" w:rsidRDefault="00DC0B66" w:rsidP="00DC0B66">
      <w:pPr>
        <w:pStyle w:val="Body"/>
        <w:rPr>
          <w:rFonts w:ascii="Arial" w:hAnsi="Arial" w:cs="Arial"/>
        </w:rPr>
      </w:pPr>
      <w:r w:rsidRPr="00BC58E3">
        <w:rPr>
          <w:rFonts w:ascii="Arial" w:hAnsi="Arial" w:cs="Arial"/>
        </w:rPr>
        <w:t>*In the past six months</w:t>
      </w:r>
    </w:p>
    <w:p w14:paraId="24CACD0D" w14:textId="77777777" w:rsidR="00DC0B66" w:rsidRDefault="00DC0B66" w:rsidP="00DC0B66">
      <w:pPr>
        <w:tabs>
          <w:tab w:val="left" w:pos="1080"/>
        </w:tabs>
        <w:jc w:val="both"/>
        <w:rPr>
          <w:rFonts w:ascii="Arial" w:hAnsi="Arial"/>
          <w:b/>
        </w:rPr>
      </w:pPr>
    </w:p>
    <w:p w14:paraId="3E24B62A" w14:textId="77777777" w:rsidR="00DC0B66" w:rsidRDefault="00DC0B66" w:rsidP="00DC0B66">
      <w:pPr>
        <w:tabs>
          <w:tab w:val="left" w:pos="1080"/>
        </w:tabs>
        <w:jc w:val="both"/>
        <w:rPr>
          <w:rFonts w:ascii="Arial" w:hAnsi="Arial"/>
          <w:b/>
        </w:rPr>
      </w:pPr>
    </w:p>
    <w:p w14:paraId="3B283336" w14:textId="429736F9" w:rsidR="00DC0B66" w:rsidRPr="00DC3180" w:rsidRDefault="00DC0B66" w:rsidP="00DC0B66">
      <w:pPr>
        <w:tabs>
          <w:tab w:val="left" w:pos="1080"/>
        </w:tabs>
        <w:jc w:val="both"/>
        <w:rPr>
          <w:rFonts w:ascii="Arial" w:hAnsi="Arial"/>
          <w:b/>
        </w:rPr>
      </w:pPr>
      <w:r>
        <w:rPr>
          <w:rFonts w:ascii="Arial" w:hAnsi="Arial"/>
          <w:b/>
        </w:rPr>
        <w:t>Table 2.</w:t>
      </w:r>
      <w:r w:rsidRPr="00DC3180">
        <w:rPr>
          <w:rFonts w:ascii="Arial" w:hAnsi="Arial"/>
          <w:b/>
        </w:rPr>
        <w:tab/>
      </w:r>
      <w:r w:rsidRPr="00BC58E3">
        <w:rPr>
          <w:rFonts w:ascii="Arial" w:hAnsi="Arial"/>
          <w:b/>
        </w:rPr>
        <w:t>BP Differences before and after dental urgency care</w:t>
      </w:r>
    </w:p>
    <w:p w14:paraId="669DC84D" w14:textId="77777777" w:rsidR="00DC0B66" w:rsidRDefault="00DC0B66" w:rsidP="00627585">
      <w:pPr>
        <w:pStyle w:val="ConcHead"/>
        <w:spacing w:after="0"/>
        <w:jc w:val="both"/>
        <w:rPr>
          <w:rFonts w:ascii="Arial" w:hAnsi="Arial" w:cs="Arial"/>
        </w:rPr>
      </w:pPr>
    </w:p>
    <w:p w14:paraId="395CD7F8" w14:textId="77777777" w:rsidR="00DC0B66" w:rsidRDefault="00DC0B66" w:rsidP="00627585">
      <w:pPr>
        <w:pStyle w:val="ConcHead"/>
        <w:spacing w:after="0"/>
        <w:jc w:val="both"/>
        <w:rPr>
          <w:rFonts w:ascii="Arial" w:hAnsi="Arial" w:cs="Arial"/>
        </w:rPr>
      </w:pPr>
    </w:p>
    <w:tbl>
      <w:tblPr>
        <w:tblStyle w:val="Table2"/>
        <w:tblpPr w:leftFromText="141" w:rightFromText="141" w:vertAnchor="page" w:horzAnchor="page" w:tblpX="1313" w:tblpY="9965"/>
        <w:tblOverlap w:val="never"/>
        <w:tblW w:w="7575" w:type="dxa"/>
        <w:tblInd w:w="0" w:type="dxa"/>
        <w:tblLayout w:type="fixed"/>
        <w:tblLook w:val="0400" w:firstRow="0" w:lastRow="0" w:firstColumn="0" w:lastColumn="0" w:noHBand="0" w:noVBand="1"/>
      </w:tblPr>
      <w:tblGrid>
        <w:gridCol w:w="1113"/>
        <w:gridCol w:w="1155"/>
        <w:gridCol w:w="1061"/>
        <w:gridCol w:w="1062"/>
        <w:gridCol w:w="1061"/>
        <w:gridCol w:w="1061"/>
        <w:gridCol w:w="1062"/>
      </w:tblGrid>
      <w:tr w:rsidR="00DC0B66" w:rsidRPr="00BC58E3" w14:paraId="63CFD4C8" w14:textId="77777777" w:rsidTr="00DC0B66">
        <w:trPr>
          <w:trHeight w:val="315"/>
        </w:trPr>
        <w:tc>
          <w:tcPr>
            <w:tcW w:w="1113" w:type="dxa"/>
            <w:tcBorders>
              <w:top w:val="single" w:sz="8" w:space="0" w:color="000000"/>
              <w:left w:val="nil"/>
              <w:bottom w:val="single" w:sz="4" w:space="0" w:color="000000"/>
              <w:right w:val="nil"/>
            </w:tcBorders>
            <w:shd w:val="clear" w:color="auto" w:fill="auto"/>
            <w:vAlign w:val="bottom"/>
          </w:tcPr>
          <w:p w14:paraId="5C9E55DB"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BP</w:t>
            </w:r>
          </w:p>
        </w:tc>
        <w:tc>
          <w:tcPr>
            <w:tcW w:w="1155" w:type="dxa"/>
            <w:tcBorders>
              <w:top w:val="single" w:sz="8" w:space="0" w:color="000000"/>
              <w:left w:val="nil"/>
              <w:bottom w:val="single" w:sz="4" w:space="0" w:color="000000"/>
              <w:right w:val="single" w:sz="4" w:space="0" w:color="000000"/>
            </w:tcBorders>
            <w:shd w:val="clear" w:color="auto" w:fill="auto"/>
            <w:vAlign w:val="bottom"/>
          </w:tcPr>
          <w:p w14:paraId="415087D4"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 xml:space="preserve"> Times</w:t>
            </w:r>
          </w:p>
        </w:tc>
        <w:tc>
          <w:tcPr>
            <w:tcW w:w="1061" w:type="dxa"/>
            <w:tcBorders>
              <w:top w:val="single" w:sz="8" w:space="0" w:color="000000"/>
              <w:left w:val="nil"/>
              <w:bottom w:val="single" w:sz="4" w:space="0" w:color="000000"/>
              <w:right w:val="nil"/>
            </w:tcBorders>
            <w:shd w:val="clear" w:color="auto" w:fill="auto"/>
            <w:vAlign w:val="bottom"/>
          </w:tcPr>
          <w:p w14:paraId="49779E9D"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Mean</w:t>
            </w:r>
          </w:p>
        </w:tc>
        <w:tc>
          <w:tcPr>
            <w:tcW w:w="1062" w:type="dxa"/>
            <w:tcBorders>
              <w:top w:val="single" w:sz="8" w:space="0" w:color="000000"/>
              <w:left w:val="nil"/>
              <w:bottom w:val="single" w:sz="4" w:space="0" w:color="000000"/>
              <w:right w:val="nil"/>
            </w:tcBorders>
            <w:shd w:val="clear" w:color="auto" w:fill="auto"/>
            <w:vAlign w:val="bottom"/>
          </w:tcPr>
          <w:p w14:paraId="0D0CDBA2"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SD*</w:t>
            </w:r>
          </w:p>
        </w:tc>
        <w:tc>
          <w:tcPr>
            <w:tcW w:w="1061" w:type="dxa"/>
            <w:tcBorders>
              <w:top w:val="single" w:sz="8" w:space="0" w:color="000000"/>
              <w:left w:val="nil"/>
              <w:bottom w:val="single" w:sz="4" w:space="0" w:color="000000"/>
              <w:right w:val="nil"/>
            </w:tcBorders>
            <w:shd w:val="clear" w:color="auto" w:fill="auto"/>
            <w:vAlign w:val="bottom"/>
          </w:tcPr>
          <w:p w14:paraId="41528D39"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Min</w:t>
            </w:r>
          </w:p>
        </w:tc>
        <w:tc>
          <w:tcPr>
            <w:tcW w:w="1061" w:type="dxa"/>
            <w:tcBorders>
              <w:top w:val="single" w:sz="8" w:space="0" w:color="000000"/>
              <w:left w:val="nil"/>
              <w:bottom w:val="single" w:sz="4" w:space="0" w:color="000000"/>
              <w:right w:val="nil"/>
            </w:tcBorders>
            <w:shd w:val="clear" w:color="auto" w:fill="auto"/>
            <w:vAlign w:val="bottom"/>
          </w:tcPr>
          <w:p w14:paraId="1700A677"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Median</w:t>
            </w:r>
          </w:p>
        </w:tc>
        <w:tc>
          <w:tcPr>
            <w:tcW w:w="1062" w:type="dxa"/>
            <w:tcBorders>
              <w:top w:val="single" w:sz="8" w:space="0" w:color="000000"/>
              <w:left w:val="nil"/>
              <w:bottom w:val="single" w:sz="4" w:space="0" w:color="000000"/>
              <w:right w:val="nil"/>
            </w:tcBorders>
            <w:shd w:val="clear" w:color="auto" w:fill="auto"/>
            <w:vAlign w:val="bottom"/>
          </w:tcPr>
          <w:p w14:paraId="0EFEE625" w14:textId="77777777" w:rsidR="00DC0B66" w:rsidRPr="00BC58E3" w:rsidRDefault="00DC0B66" w:rsidP="00DC0B66">
            <w:pPr>
              <w:spacing w:line="360" w:lineRule="auto"/>
              <w:jc w:val="both"/>
              <w:rPr>
                <w:rFonts w:ascii="Arial" w:eastAsia="Calibri" w:hAnsi="Arial" w:cs="Arial"/>
                <w:b/>
                <w:color w:val="000000"/>
                <w:sz w:val="20"/>
                <w:szCs w:val="20"/>
              </w:rPr>
            </w:pPr>
            <w:r w:rsidRPr="00BC58E3">
              <w:rPr>
                <w:rFonts w:ascii="Arial" w:eastAsia="Calibri" w:hAnsi="Arial" w:cs="Arial"/>
                <w:b/>
                <w:color w:val="000000"/>
                <w:sz w:val="20"/>
                <w:szCs w:val="20"/>
              </w:rPr>
              <w:t>Max</w:t>
            </w:r>
          </w:p>
        </w:tc>
      </w:tr>
      <w:tr w:rsidR="00DC0B66" w:rsidRPr="00BC58E3" w14:paraId="396E2D11" w14:textId="77777777" w:rsidTr="00DC0B66">
        <w:trPr>
          <w:trHeight w:val="315"/>
        </w:trPr>
        <w:tc>
          <w:tcPr>
            <w:tcW w:w="1113" w:type="dxa"/>
            <w:tcBorders>
              <w:top w:val="nil"/>
              <w:left w:val="nil"/>
              <w:bottom w:val="nil"/>
              <w:right w:val="nil"/>
            </w:tcBorders>
            <w:shd w:val="clear" w:color="auto" w:fill="auto"/>
            <w:vAlign w:val="bottom"/>
          </w:tcPr>
          <w:p w14:paraId="3722F777"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SBP</w:t>
            </w:r>
          </w:p>
        </w:tc>
        <w:tc>
          <w:tcPr>
            <w:tcW w:w="1155" w:type="dxa"/>
            <w:tcBorders>
              <w:top w:val="nil"/>
              <w:left w:val="nil"/>
              <w:bottom w:val="nil"/>
              <w:right w:val="single" w:sz="4" w:space="0" w:color="000000"/>
            </w:tcBorders>
            <w:shd w:val="clear" w:color="auto" w:fill="auto"/>
            <w:vAlign w:val="bottom"/>
          </w:tcPr>
          <w:p w14:paraId="537C5EE8"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T1</w:t>
            </w:r>
          </w:p>
        </w:tc>
        <w:tc>
          <w:tcPr>
            <w:tcW w:w="1061" w:type="dxa"/>
            <w:tcBorders>
              <w:top w:val="nil"/>
              <w:left w:val="nil"/>
              <w:bottom w:val="nil"/>
              <w:right w:val="nil"/>
            </w:tcBorders>
            <w:shd w:val="clear" w:color="auto" w:fill="auto"/>
            <w:vAlign w:val="bottom"/>
          </w:tcPr>
          <w:p w14:paraId="6551B97A"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131.9</w:t>
            </w:r>
          </w:p>
        </w:tc>
        <w:tc>
          <w:tcPr>
            <w:tcW w:w="1062" w:type="dxa"/>
            <w:tcBorders>
              <w:top w:val="nil"/>
              <w:left w:val="nil"/>
              <w:bottom w:val="nil"/>
              <w:right w:val="nil"/>
            </w:tcBorders>
            <w:shd w:val="clear" w:color="auto" w:fill="auto"/>
            <w:vAlign w:val="bottom"/>
          </w:tcPr>
          <w:p w14:paraId="0B457D4D"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18.9</w:t>
            </w:r>
          </w:p>
        </w:tc>
        <w:tc>
          <w:tcPr>
            <w:tcW w:w="1061" w:type="dxa"/>
            <w:tcBorders>
              <w:top w:val="nil"/>
              <w:left w:val="nil"/>
              <w:bottom w:val="nil"/>
              <w:right w:val="nil"/>
            </w:tcBorders>
            <w:shd w:val="clear" w:color="auto" w:fill="auto"/>
            <w:vAlign w:val="bottom"/>
          </w:tcPr>
          <w:p w14:paraId="03E4AFBE"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w:t>
            </w:r>
          </w:p>
        </w:tc>
        <w:tc>
          <w:tcPr>
            <w:tcW w:w="1061" w:type="dxa"/>
            <w:tcBorders>
              <w:top w:val="nil"/>
              <w:left w:val="nil"/>
              <w:bottom w:val="nil"/>
              <w:right w:val="nil"/>
            </w:tcBorders>
            <w:shd w:val="clear" w:color="auto" w:fill="auto"/>
            <w:vAlign w:val="bottom"/>
          </w:tcPr>
          <w:p w14:paraId="7736CB69"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130</w:t>
            </w:r>
          </w:p>
        </w:tc>
        <w:tc>
          <w:tcPr>
            <w:tcW w:w="1062" w:type="dxa"/>
            <w:tcBorders>
              <w:top w:val="nil"/>
              <w:left w:val="nil"/>
              <w:bottom w:val="nil"/>
              <w:right w:val="nil"/>
            </w:tcBorders>
            <w:shd w:val="clear" w:color="auto" w:fill="auto"/>
            <w:vAlign w:val="bottom"/>
          </w:tcPr>
          <w:p w14:paraId="0C266E9D"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180</w:t>
            </w:r>
          </w:p>
        </w:tc>
      </w:tr>
      <w:tr w:rsidR="00DC0B66" w:rsidRPr="00BC58E3" w14:paraId="5F1F841C" w14:textId="77777777" w:rsidTr="00DC0B66">
        <w:trPr>
          <w:trHeight w:val="315"/>
        </w:trPr>
        <w:tc>
          <w:tcPr>
            <w:tcW w:w="1113" w:type="dxa"/>
            <w:tcBorders>
              <w:top w:val="nil"/>
              <w:left w:val="nil"/>
              <w:bottom w:val="nil"/>
              <w:right w:val="nil"/>
            </w:tcBorders>
            <w:shd w:val="clear" w:color="auto" w:fill="auto"/>
            <w:vAlign w:val="bottom"/>
          </w:tcPr>
          <w:p w14:paraId="52C3A936" w14:textId="77777777" w:rsidR="00DC0B66" w:rsidRPr="00BC58E3" w:rsidRDefault="00DC0B66" w:rsidP="00DC0B66">
            <w:pPr>
              <w:spacing w:line="360" w:lineRule="auto"/>
              <w:jc w:val="both"/>
              <w:rPr>
                <w:rFonts w:ascii="Arial" w:eastAsia="Calibri" w:hAnsi="Arial" w:cs="Arial"/>
                <w:color w:val="000000"/>
                <w:sz w:val="20"/>
                <w:szCs w:val="20"/>
              </w:rPr>
            </w:pPr>
          </w:p>
        </w:tc>
        <w:tc>
          <w:tcPr>
            <w:tcW w:w="1155" w:type="dxa"/>
            <w:tcBorders>
              <w:top w:val="nil"/>
              <w:left w:val="nil"/>
              <w:bottom w:val="nil"/>
              <w:right w:val="single" w:sz="4" w:space="0" w:color="000000"/>
            </w:tcBorders>
            <w:shd w:val="clear" w:color="auto" w:fill="auto"/>
            <w:vAlign w:val="bottom"/>
          </w:tcPr>
          <w:p w14:paraId="373F53C2"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T2</w:t>
            </w:r>
          </w:p>
        </w:tc>
        <w:tc>
          <w:tcPr>
            <w:tcW w:w="1061" w:type="dxa"/>
            <w:tcBorders>
              <w:top w:val="nil"/>
              <w:left w:val="nil"/>
              <w:bottom w:val="nil"/>
              <w:right w:val="nil"/>
            </w:tcBorders>
            <w:shd w:val="clear" w:color="auto" w:fill="auto"/>
            <w:vAlign w:val="bottom"/>
          </w:tcPr>
          <w:p w14:paraId="137D1CD6"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135.6</w:t>
            </w:r>
          </w:p>
        </w:tc>
        <w:tc>
          <w:tcPr>
            <w:tcW w:w="1062" w:type="dxa"/>
            <w:tcBorders>
              <w:top w:val="nil"/>
              <w:left w:val="nil"/>
              <w:bottom w:val="nil"/>
              <w:right w:val="nil"/>
            </w:tcBorders>
            <w:shd w:val="clear" w:color="auto" w:fill="auto"/>
            <w:vAlign w:val="bottom"/>
          </w:tcPr>
          <w:p w14:paraId="41C7EBAC"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22.4</w:t>
            </w:r>
          </w:p>
        </w:tc>
        <w:tc>
          <w:tcPr>
            <w:tcW w:w="1061" w:type="dxa"/>
            <w:tcBorders>
              <w:top w:val="nil"/>
              <w:left w:val="nil"/>
              <w:bottom w:val="nil"/>
              <w:right w:val="nil"/>
            </w:tcBorders>
            <w:shd w:val="clear" w:color="auto" w:fill="auto"/>
            <w:vAlign w:val="bottom"/>
          </w:tcPr>
          <w:p w14:paraId="2DA90C96"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w:t>
            </w:r>
          </w:p>
        </w:tc>
        <w:tc>
          <w:tcPr>
            <w:tcW w:w="1061" w:type="dxa"/>
            <w:tcBorders>
              <w:top w:val="nil"/>
              <w:left w:val="nil"/>
              <w:bottom w:val="nil"/>
              <w:right w:val="nil"/>
            </w:tcBorders>
            <w:shd w:val="clear" w:color="auto" w:fill="auto"/>
            <w:vAlign w:val="bottom"/>
          </w:tcPr>
          <w:p w14:paraId="4954ADEF"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130</w:t>
            </w:r>
          </w:p>
        </w:tc>
        <w:tc>
          <w:tcPr>
            <w:tcW w:w="1062" w:type="dxa"/>
            <w:tcBorders>
              <w:top w:val="nil"/>
              <w:left w:val="nil"/>
              <w:bottom w:val="nil"/>
              <w:right w:val="nil"/>
            </w:tcBorders>
            <w:shd w:val="clear" w:color="auto" w:fill="auto"/>
            <w:vAlign w:val="bottom"/>
          </w:tcPr>
          <w:p w14:paraId="50A182B0"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210</w:t>
            </w:r>
          </w:p>
        </w:tc>
      </w:tr>
      <w:tr w:rsidR="00DC0B66" w:rsidRPr="00BC58E3" w14:paraId="62CD2C80" w14:textId="77777777" w:rsidTr="00DC0B66">
        <w:trPr>
          <w:trHeight w:val="315"/>
        </w:trPr>
        <w:tc>
          <w:tcPr>
            <w:tcW w:w="1113" w:type="dxa"/>
            <w:tcBorders>
              <w:top w:val="nil"/>
              <w:left w:val="nil"/>
              <w:bottom w:val="single" w:sz="4" w:space="0" w:color="000000"/>
              <w:right w:val="nil"/>
            </w:tcBorders>
            <w:shd w:val="clear" w:color="auto" w:fill="auto"/>
            <w:vAlign w:val="bottom"/>
          </w:tcPr>
          <w:p w14:paraId="571C0EC5"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 </w:t>
            </w:r>
          </w:p>
        </w:tc>
        <w:tc>
          <w:tcPr>
            <w:tcW w:w="1155" w:type="dxa"/>
            <w:tcBorders>
              <w:top w:val="nil"/>
              <w:left w:val="nil"/>
              <w:bottom w:val="single" w:sz="4" w:space="0" w:color="000000"/>
              <w:right w:val="single" w:sz="4" w:space="0" w:color="000000"/>
            </w:tcBorders>
            <w:shd w:val="clear" w:color="auto" w:fill="auto"/>
            <w:vAlign w:val="bottom"/>
          </w:tcPr>
          <w:p w14:paraId="6A6F8B48"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Evolution</w:t>
            </w:r>
          </w:p>
        </w:tc>
        <w:tc>
          <w:tcPr>
            <w:tcW w:w="1061" w:type="dxa"/>
            <w:tcBorders>
              <w:top w:val="nil"/>
              <w:left w:val="nil"/>
              <w:bottom w:val="single" w:sz="4" w:space="0" w:color="000000"/>
              <w:right w:val="nil"/>
            </w:tcBorders>
            <w:shd w:val="clear" w:color="auto" w:fill="auto"/>
            <w:vAlign w:val="bottom"/>
          </w:tcPr>
          <w:p w14:paraId="543F42B0"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3.7</w:t>
            </w:r>
          </w:p>
        </w:tc>
        <w:tc>
          <w:tcPr>
            <w:tcW w:w="1062" w:type="dxa"/>
            <w:tcBorders>
              <w:top w:val="nil"/>
              <w:left w:val="nil"/>
              <w:bottom w:val="single" w:sz="4" w:space="0" w:color="000000"/>
              <w:right w:val="nil"/>
            </w:tcBorders>
            <w:shd w:val="clear" w:color="auto" w:fill="auto"/>
            <w:vAlign w:val="bottom"/>
          </w:tcPr>
          <w:p w14:paraId="19EE4B9B"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14.6</w:t>
            </w:r>
          </w:p>
        </w:tc>
        <w:tc>
          <w:tcPr>
            <w:tcW w:w="1061" w:type="dxa"/>
            <w:tcBorders>
              <w:top w:val="nil"/>
              <w:left w:val="nil"/>
              <w:bottom w:val="single" w:sz="4" w:space="0" w:color="000000"/>
              <w:right w:val="nil"/>
            </w:tcBorders>
            <w:shd w:val="clear" w:color="auto" w:fill="auto"/>
            <w:vAlign w:val="bottom"/>
          </w:tcPr>
          <w:p w14:paraId="65D741D6"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-30</w:t>
            </w:r>
          </w:p>
        </w:tc>
        <w:tc>
          <w:tcPr>
            <w:tcW w:w="1061" w:type="dxa"/>
            <w:tcBorders>
              <w:top w:val="nil"/>
              <w:left w:val="nil"/>
              <w:bottom w:val="single" w:sz="4" w:space="0" w:color="000000"/>
              <w:right w:val="nil"/>
            </w:tcBorders>
            <w:shd w:val="clear" w:color="auto" w:fill="auto"/>
            <w:vAlign w:val="bottom"/>
          </w:tcPr>
          <w:p w14:paraId="0E05A85B"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0</w:t>
            </w:r>
          </w:p>
        </w:tc>
        <w:tc>
          <w:tcPr>
            <w:tcW w:w="1062" w:type="dxa"/>
            <w:tcBorders>
              <w:top w:val="nil"/>
              <w:left w:val="nil"/>
              <w:bottom w:val="single" w:sz="4" w:space="0" w:color="000000"/>
              <w:right w:val="nil"/>
            </w:tcBorders>
            <w:shd w:val="clear" w:color="auto" w:fill="auto"/>
            <w:vAlign w:val="bottom"/>
          </w:tcPr>
          <w:p w14:paraId="0A1856F8"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80</w:t>
            </w:r>
          </w:p>
        </w:tc>
      </w:tr>
      <w:tr w:rsidR="00DC0B66" w:rsidRPr="00BC58E3" w14:paraId="2E776C76" w14:textId="77777777" w:rsidTr="00DC0B66">
        <w:trPr>
          <w:trHeight w:val="315"/>
        </w:trPr>
        <w:tc>
          <w:tcPr>
            <w:tcW w:w="1113" w:type="dxa"/>
            <w:tcBorders>
              <w:top w:val="nil"/>
              <w:left w:val="nil"/>
              <w:bottom w:val="nil"/>
              <w:right w:val="nil"/>
            </w:tcBorders>
            <w:shd w:val="clear" w:color="auto" w:fill="auto"/>
            <w:vAlign w:val="bottom"/>
          </w:tcPr>
          <w:p w14:paraId="7431247B"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DBP</w:t>
            </w:r>
          </w:p>
        </w:tc>
        <w:tc>
          <w:tcPr>
            <w:tcW w:w="1155" w:type="dxa"/>
            <w:tcBorders>
              <w:top w:val="nil"/>
              <w:left w:val="nil"/>
              <w:bottom w:val="nil"/>
              <w:right w:val="single" w:sz="4" w:space="0" w:color="000000"/>
            </w:tcBorders>
            <w:shd w:val="clear" w:color="auto" w:fill="auto"/>
            <w:vAlign w:val="bottom"/>
          </w:tcPr>
          <w:p w14:paraId="1C5177CD"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T1</w:t>
            </w:r>
          </w:p>
        </w:tc>
        <w:tc>
          <w:tcPr>
            <w:tcW w:w="1061" w:type="dxa"/>
            <w:tcBorders>
              <w:top w:val="nil"/>
              <w:left w:val="nil"/>
              <w:bottom w:val="nil"/>
              <w:right w:val="nil"/>
            </w:tcBorders>
            <w:shd w:val="clear" w:color="auto" w:fill="auto"/>
            <w:vAlign w:val="bottom"/>
          </w:tcPr>
          <w:p w14:paraId="7C6DA359"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90.4</w:t>
            </w:r>
          </w:p>
        </w:tc>
        <w:tc>
          <w:tcPr>
            <w:tcW w:w="1062" w:type="dxa"/>
            <w:tcBorders>
              <w:top w:val="nil"/>
              <w:left w:val="nil"/>
              <w:bottom w:val="nil"/>
              <w:right w:val="nil"/>
            </w:tcBorders>
            <w:shd w:val="clear" w:color="auto" w:fill="auto"/>
            <w:vAlign w:val="bottom"/>
          </w:tcPr>
          <w:p w14:paraId="15209029"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15.5</w:t>
            </w:r>
          </w:p>
        </w:tc>
        <w:tc>
          <w:tcPr>
            <w:tcW w:w="1061" w:type="dxa"/>
            <w:tcBorders>
              <w:top w:val="nil"/>
              <w:left w:val="nil"/>
              <w:bottom w:val="nil"/>
              <w:right w:val="nil"/>
            </w:tcBorders>
            <w:shd w:val="clear" w:color="auto" w:fill="auto"/>
            <w:vAlign w:val="bottom"/>
          </w:tcPr>
          <w:p w14:paraId="1D472DEB"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50</w:t>
            </w:r>
          </w:p>
        </w:tc>
        <w:tc>
          <w:tcPr>
            <w:tcW w:w="1061" w:type="dxa"/>
            <w:tcBorders>
              <w:top w:val="nil"/>
              <w:left w:val="nil"/>
              <w:bottom w:val="nil"/>
              <w:right w:val="nil"/>
            </w:tcBorders>
            <w:shd w:val="clear" w:color="auto" w:fill="auto"/>
            <w:vAlign w:val="bottom"/>
          </w:tcPr>
          <w:p w14:paraId="4EB94C9D"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w:t>
            </w:r>
          </w:p>
        </w:tc>
        <w:tc>
          <w:tcPr>
            <w:tcW w:w="1062" w:type="dxa"/>
            <w:tcBorders>
              <w:top w:val="nil"/>
              <w:left w:val="nil"/>
              <w:bottom w:val="nil"/>
              <w:right w:val="nil"/>
            </w:tcBorders>
            <w:shd w:val="clear" w:color="auto" w:fill="auto"/>
            <w:vAlign w:val="bottom"/>
          </w:tcPr>
          <w:p w14:paraId="35BCFE60"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150</w:t>
            </w:r>
          </w:p>
        </w:tc>
      </w:tr>
      <w:tr w:rsidR="00DC0B66" w:rsidRPr="00BC58E3" w14:paraId="5456C78F" w14:textId="77777777" w:rsidTr="00DC0B66">
        <w:trPr>
          <w:trHeight w:val="315"/>
        </w:trPr>
        <w:tc>
          <w:tcPr>
            <w:tcW w:w="1113" w:type="dxa"/>
            <w:tcBorders>
              <w:top w:val="nil"/>
              <w:left w:val="nil"/>
              <w:bottom w:val="nil"/>
              <w:right w:val="nil"/>
            </w:tcBorders>
            <w:shd w:val="clear" w:color="auto" w:fill="auto"/>
            <w:vAlign w:val="bottom"/>
          </w:tcPr>
          <w:p w14:paraId="3688BE90" w14:textId="77777777" w:rsidR="00DC0B66" w:rsidRPr="00BC58E3" w:rsidRDefault="00DC0B66" w:rsidP="00DC0B66">
            <w:pPr>
              <w:spacing w:line="360" w:lineRule="auto"/>
              <w:jc w:val="both"/>
              <w:rPr>
                <w:rFonts w:ascii="Arial" w:eastAsia="Calibri" w:hAnsi="Arial" w:cs="Arial"/>
                <w:color w:val="000000"/>
                <w:sz w:val="20"/>
                <w:szCs w:val="20"/>
              </w:rPr>
            </w:pPr>
          </w:p>
        </w:tc>
        <w:tc>
          <w:tcPr>
            <w:tcW w:w="1155" w:type="dxa"/>
            <w:tcBorders>
              <w:top w:val="nil"/>
              <w:left w:val="nil"/>
              <w:bottom w:val="nil"/>
              <w:right w:val="single" w:sz="4" w:space="0" w:color="000000"/>
            </w:tcBorders>
            <w:shd w:val="clear" w:color="auto" w:fill="auto"/>
            <w:vAlign w:val="bottom"/>
          </w:tcPr>
          <w:p w14:paraId="37037008"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T2</w:t>
            </w:r>
          </w:p>
        </w:tc>
        <w:tc>
          <w:tcPr>
            <w:tcW w:w="1061" w:type="dxa"/>
            <w:tcBorders>
              <w:top w:val="nil"/>
              <w:left w:val="nil"/>
              <w:bottom w:val="nil"/>
              <w:right w:val="nil"/>
            </w:tcBorders>
            <w:shd w:val="clear" w:color="auto" w:fill="auto"/>
            <w:vAlign w:val="bottom"/>
          </w:tcPr>
          <w:p w14:paraId="19EDB4F5"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92.1</w:t>
            </w:r>
          </w:p>
        </w:tc>
        <w:tc>
          <w:tcPr>
            <w:tcW w:w="1062" w:type="dxa"/>
            <w:tcBorders>
              <w:top w:val="nil"/>
              <w:left w:val="nil"/>
              <w:bottom w:val="nil"/>
              <w:right w:val="nil"/>
            </w:tcBorders>
            <w:shd w:val="clear" w:color="auto" w:fill="auto"/>
            <w:vAlign w:val="bottom"/>
          </w:tcPr>
          <w:p w14:paraId="4F43CA82"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17.5</w:t>
            </w:r>
          </w:p>
        </w:tc>
        <w:tc>
          <w:tcPr>
            <w:tcW w:w="1061" w:type="dxa"/>
            <w:tcBorders>
              <w:top w:val="nil"/>
              <w:left w:val="nil"/>
              <w:bottom w:val="nil"/>
              <w:right w:val="nil"/>
            </w:tcBorders>
            <w:shd w:val="clear" w:color="auto" w:fill="auto"/>
            <w:vAlign w:val="bottom"/>
          </w:tcPr>
          <w:p w14:paraId="76BCBD35"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50</w:t>
            </w:r>
          </w:p>
        </w:tc>
        <w:tc>
          <w:tcPr>
            <w:tcW w:w="1061" w:type="dxa"/>
            <w:tcBorders>
              <w:top w:val="nil"/>
              <w:left w:val="nil"/>
              <w:bottom w:val="nil"/>
              <w:right w:val="nil"/>
            </w:tcBorders>
            <w:shd w:val="clear" w:color="auto" w:fill="auto"/>
            <w:vAlign w:val="bottom"/>
          </w:tcPr>
          <w:p w14:paraId="41B38E3E"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w:t>
            </w:r>
          </w:p>
        </w:tc>
        <w:tc>
          <w:tcPr>
            <w:tcW w:w="1062" w:type="dxa"/>
            <w:tcBorders>
              <w:top w:val="nil"/>
              <w:left w:val="nil"/>
              <w:bottom w:val="nil"/>
              <w:right w:val="nil"/>
            </w:tcBorders>
            <w:shd w:val="clear" w:color="auto" w:fill="auto"/>
            <w:vAlign w:val="bottom"/>
          </w:tcPr>
          <w:p w14:paraId="2064C142"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170</w:t>
            </w:r>
          </w:p>
        </w:tc>
      </w:tr>
      <w:tr w:rsidR="00DC0B66" w:rsidRPr="00BC58E3" w14:paraId="2DB107D3" w14:textId="77777777" w:rsidTr="00DC0B66">
        <w:trPr>
          <w:trHeight w:val="330"/>
        </w:trPr>
        <w:tc>
          <w:tcPr>
            <w:tcW w:w="1113" w:type="dxa"/>
            <w:tcBorders>
              <w:top w:val="nil"/>
              <w:left w:val="nil"/>
              <w:bottom w:val="single" w:sz="8" w:space="0" w:color="000000"/>
              <w:right w:val="nil"/>
            </w:tcBorders>
            <w:shd w:val="clear" w:color="auto" w:fill="auto"/>
            <w:vAlign w:val="bottom"/>
          </w:tcPr>
          <w:p w14:paraId="203296D6"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 </w:t>
            </w:r>
          </w:p>
        </w:tc>
        <w:tc>
          <w:tcPr>
            <w:tcW w:w="1155" w:type="dxa"/>
            <w:tcBorders>
              <w:top w:val="nil"/>
              <w:left w:val="nil"/>
              <w:bottom w:val="single" w:sz="8" w:space="0" w:color="000000"/>
              <w:right w:val="single" w:sz="4" w:space="0" w:color="000000"/>
            </w:tcBorders>
            <w:shd w:val="clear" w:color="auto" w:fill="auto"/>
            <w:vAlign w:val="bottom"/>
          </w:tcPr>
          <w:p w14:paraId="4FD15A12"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Evolution</w:t>
            </w:r>
          </w:p>
        </w:tc>
        <w:tc>
          <w:tcPr>
            <w:tcW w:w="1061" w:type="dxa"/>
            <w:tcBorders>
              <w:top w:val="nil"/>
              <w:left w:val="nil"/>
              <w:bottom w:val="single" w:sz="8" w:space="0" w:color="000000"/>
              <w:right w:val="nil"/>
            </w:tcBorders>
            <w:shd w:val="clear" w:color="auto" w:fill="auto"/>
            <w:vAlign w:val="bottom"/>
          </w:tcPr>
          <w:p w14:paraId="2D794593"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1.7</w:t>
            </w:r>
          </w:p>
        </w:tc>
        <w:tc>
          <w:tcPr>
            <w:tcW w:w="1062" w:type="dxa"/>
            <w:tcBorders>
              <w:top w:val="nil"/>
              <w:left w:val="nil"/>
              <w:bottom w:val="single" w:sz="8" w:space="0" w:color="000000"/>
              <w:right w:val="nil"/>
            </w:tcBorders>
            <w:shd w:val="clear" w:color="auto" w:fill="auto"/>
            <w:vAlign w:val="bottom"/>
          </w:tcPr>
          <w:p w14:paraId="206ED47F"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13.9</w:t>
            </w:r>
          </w:p>
        </w:tc>
        <w:tc>
          <w:tcPr>
            <w:tcW w:w="1061" w:type="dxa"/>
            <w:tcBorders>
              <w:top w:val="nil"/>
              <w:left w:val="nil"/>
              <w:bottom w:val="single" w:sz="8" w:space="0" w:color="000000"/>
              <w:right w:val="nil"/>
            </w:tcBorders>
            <w:shd w:val="clear" w:color="auto" w:fill="auto"/>
            <w:vAlign w:val="bottom"/>
          </w:tcPr>
          <w:p w14:paraId="56DAD989"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-20</w:t>
            </w:r>
          </w:p>
        </w:tc>
        <w:tc>
          <w:tcPr>
            <w:tcW w:w="1061" w:type="dxa"/>
            <w:tcBorders>
              <w:top w:val="nil"/>
              <w:left w:val="nil"/>
              <w:bottom w:val="single" w:sz="8" w:space="0" w:color="000000"/>
              <w:right w:val="nil"/>
            </w:tcBorders>
            <w:shd w:val="clear" w:color="auto" w:fill="auto"/>
            <w:vAlign w:val="bottom"/>
          </w:tcPr>
          <w:p w14:paraId="24D84EF6"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0</w:t>
            </w:r>
          </w:p>
        </w:tc>
        <w:tc>
          <w:tcPr>
            <w:tcW w:w="1062" w:type="dxa"/>
            <w:tcBorders>
              <w:top w:val="nil"/>
              <w:left w:val="nil"/>
              <w:bottom w:val="single" w:sz="8" w:space="0" w:color="000000"/>
              <w:right w:val="nil"/>
            </w:tcBorders>
            <w:shd w:val="clear" w:color="auto" w:fill="auto"/>
            <w:vAlign w:val="bottom"/>
          </w:tcPr>
          <w:p w14:paraId="195A0651" w14:textId="77777777" w:rsidR="00DC0B66" w:rsidRPr="00BC58E3" w:rsidRDefault="00DC0B66" w:rsidP="00DC0B66">
            <w:pPr>
              <w:spacing w:line="360" w:lineRule="auto"/>
              <w:jc w:val="both"/>
              <w:rPr>
                <w:rFonts w:ascii="Arial" w:eastAsia="Calibri" w:hAnsi="Arial" w:cs="Arial"/>
                <w:color w:val="000000"/>
                <w:sz w:val="20"/>
                <w:szCs w:val="20"/>
              </w:rPr>
            </w:pPr>
            <w:r w:rsidRPr="00BC58E3">
              <w:rPr>
                <w:rFonts w:ascii="Arial" w:eastAsia="Calibri" w:hAnsi="Arial" w:cs="Arial"/>
                <w:color w:val="000000"/>
                <w:sz w:val="20"/>
                <w:szCs w:val="20"/>
              </w:rPr>
              <w:t>90</w:t>
            </w:r>
          </w:p>
        </w:tc>
      </w:tr>
    </w:tbl>
    <w:p w14:paraId="2E89AC10" w14:textId="77777777" w:rsidR="00DC0B66" w:rsidRDefault="00DC0B66" w:rsidP="00627585">
      <w:pPr>
        <w:pStyle w:val="ConcHead"/>
        <w:spacing w:after="0"/>
        <w:jc w:val="both"/>
        <w:rPr>
          <w:rFonts w:ascii="Arial" w:hAnsi="Arial" w:cs="Arial"/>
        </w:rPr>
      </w:pPr>
    </w:p>
    <w:p w14:paraId="75B738E6" w14:textId="77777777" w:rsidR="00DC0B66" w:rsidRDefault="00DC0B66" w:rsidP="00627585">
      <w:pPr>
        <w:pStyle w:val="ConcHead"/>
        <w:spacing w:after="0"/>
        <w:jc w:val="both"/>
        <w:rPr>
          <w:rFonts w:ascii="Arial" w:hAnsi="Arial" w:cs="Arial"/>
        </w:rPr>
      </w:pPr>
    </w:p>
    <w:p w14:paraId="7601F7CD" w14:textId="77777777" w:rsidR="00DC0B66" w:rsidRDefault="00DC0B66" w:rsidP="00627585">
      <w:pPr>
        <w:pStyle w:val="ConcHead"/>
        <w:spacing w:after="0"/>
        <w:jc w:val="both"/>
        <w:rPr>
          <w:rFonts w:ascii="Arial" w:hAnsi="Arial" w:cs="Arial"/>
        </w:rPr>
      </w:pPr>
    </w:p>
    <w:p w14:paraId="1635B857" w14:textId="77777777" w:rsidR="00DC0B66" w:rsidRDefault="00DC0B66" w:rsidP="00627585">
      <w:pPr>
        <w:pStyle w:val="ConcHead"/>
        <w:spacing w:after="0"/>
        <w:jc w:val="both"/>
        <w:rPr>
          <w:rFonts w:ascii="Arial" w:hAnsi="Arial" w:cs="Arial"/>
        </w:rPr>
      </w:pPr>
    </w:p>
    <w:p w14:paraId="3346E6EC" w14:textId="77777777" w:rsidR="00DC0B66" w:rsidRDefault="00DC0B66" w:rsidP="00627585">
      <w:pPr>
        <w:pStyle w:val="ConcHead"/>
        <w:spacing w:after="0"/>
        <w:jc w:val="both"/>
        <w:rPr>
          <w:rFonts w:ascii="Arial" w:hAnsi="Arial" w:cs="Arial"/>
        </w:rPr>
      </w:pPr>
    </w:p>
    <w:p w14:paraId="7317C8C6" w14:textId="77777777" w:rsidR="00DC0B66" w:rsidRDefault="00DC0B66" w:rsidP="00627585">
      <w:pPr>
        <w:pStyle w:val="ConcHead"/>
        <w:spacing w:after="0"/>
        <w:jc w:val="both"/>
        <w:rPr>
          <w:rFonts w:ascii="Arial" w:hAnsi="Arial" w:cs="Arial"/>
        </w:rPr>
      </w:pPr>
    </w:p>
    <w:p w14:paraId="3114A6AD" w14:textId="77777777" w:rsidR="00DC0B66" w:rsidRDefault="00DC0B66" w:rsidP="00627585">
      <w:pPr>
        <w:pStyle w:val="ConcHead"/>
        <w:spacing w:after="0"/>
        <w:jc w:val="both"/>
        <w:rPr>
          <w:rFonts w:ascii="Arial" w:hAnsi="Arial" w:cs="Arial"/>
        </w:rPr>
      </w:pPr>
    </w:p>
    <w:p w14:paraId="1C56B572" w14:textId="77777777" w:rsidR="00DC0B66" w:rsidRDefault="00DC0B66" w:rsidP="00627585">
      <w:pPr>
        <w:pStyle w:val="ConcHead"/>
        <w:spacing w:after="0"/>
        <w:jc w:val="both"/>
        <w:rPr>
          <w:rFonts w:ascii="Arial" w:hAnsi="Arial" w:cs="Arial"/>
        </w:rPr>
      </w:pPr>
    </w:p>
    <w:p w14:paraId="2EDD466B" w14:textId="77777777" w:rsidR="00DC0B66" w:rsidRDefault="00DC0B66" w:rsidP="00627585">
      <w:pPr>
        <w:pStyle w:val="ConcHead"/>
        <w:spacing w:after="0"/>
        <w:jc w:val="both"/>
        <w:rPr>
          <w:rFonts w:ascii="Arial" w:hAnsi="Arial" w:cs="Arial"/>
        </w:rPr>
      </w:pPr>
    </w:p>
    <w:p w14:paraId="3F3A807B" w14:textId="77777777" w:rsidR="00DC0B66" w:rsidRDefault="00DC0B66" w:rsidP="00627585">
      <w:pPr>
        <w:pStyle w:val="ConcHead"/>
        <w:spacing w:after="0"/>
        <w:jc w:val="both"/>
        <w:rPr>
          <w:rFonts w:ascii="Arial" w:hAnsi="Arial" w:cs="Arial"/>
        </w:rPr>
      </w:pPr>
    </w:p>
    <w:p w14:paraId="06C7292D" w14:textId="77777777" w:rsidR="00DC0B66" w:rsidRDefault="00DC0B66" w:rsidP="00627585">
      <w:pPr>
        <w:pStyle w:val="ConcHead"/>
        <w:spacing w:after="0"/>
        <w:jc w:val="both"/>
        <w:rPr>
          <w:rFonts w:ascii="Arial" w:hAnsi="Arial" w:cs="Arial"/>
        </w:rPr>
      </w:pPr>
    </w:p>
    <w:p w14:paraId="04853415" w14:textId="77777777" w:rsidR="00DC0B66" w:rsidRDefault="00DC0B66" w:rsidP="00627585">
      <w:pPr>
        <w:pStyle w:val="ConcHead"/>
        <w:spacing w:after="0"/>
        <w:jc w:val="both"/>
        <w:rPr>
          <w:rFonts w:ascii="Arial" w:hAnsi="Arial" w:cs="Arial"/>
        </w:rPr>
      </w:pPr>
    </w:p>
    <w:p w14:paraId="78E6571D" w14:textId="77777777" w:rsidR="00DC0B66" w:rsidRPr="00BC58E3" w:rsidRDefault="00DC0B66" w:rsidP="00DC0B66">
      <w:pPr>
        <w:pBdr>
          <w:top w:val="nil"/>
          <w:left w:val="nil"/>
          <w:bottom w:val="nil"/>
          <w:right w:val="nil"/>
          <w:between w:val="nil"/>
        </w:pBdr>
        <w:spacing w:line="360" w:lineRule="auto"/>
        <w:jc w:val="both"/>
        <w:rPr>
          <w:rFonts w:ascii="Arial" w:eastAsia="Arial" w:hAnsi="Arial" w:cs="Arial"/>
          <w:color w:val="000000"/>
        </w:rPr>
      </w:pPr>
      <w:r w:rsidRPr="00BC58E3">
        <w:rPr>
          <w:rFonts w:ascii="Arial" w:eastAsia="Arial" w:hAnsi="Arial" w:cs="Arial"/>
          <w:color w:val="000000"/>
        </w:rPr>
        <w:t>*Standard deviation</w:t>
      </w:r>
    </w:p>
    <w:p w14:paraId="247593D5" w14:textId="77777777" w:rsidR="00DC0B66" w:rsidRDefault="00DC0B66" w:rsidP="00627585">
      <w:pPr>
        <w:pStyle w:val="ConcHead"/>
        <w:spacing w:after="0"/>
        <w:jc w:val="both"/>
        <w:rPr>
          <w:rFonts w:ascii="Arial" w:hAnsi="Arial" w:cs="Arial"/>
        </w:rPr>
      </w:pPr>
    </w:p>
    <w:p w14:paraId="047F1EED" w14:textId="77777777" w:rsidR="00DC0B66" w:rsidRDefault="00DC0B66" w:rsidP="00627585">
      <w:pPr>
        <w:pStyle w:val="ConcHead"/>
        <w:spacing w:after="0"/>
        <w:jc w:val="both"/>
        <w:rPr>
          <w:rFonts w:ascii="Arial" w:hAnsi="Arial" w:cs="Arial"/>
        </w:rPr>
      </w:pPr>
    </w:p>
    <w:p w14:paraId="100CF959" w14:textId="77777777" w:rsidR="00DC0B66" w:rsidRDefault="00DC0B66" w:rsidP="00627585">
      <w:pPr>
        <w:pStyle w:val="ConcHead"/>
        <w:spacing w:after="0"/>
        <w:jc w:val="both"/>
        <w:rPr>
          <w:rFonts w:ascii="Arial" w:hAnsi="Arial" w:cs="Arial"/>
        </w:rPr>
      </w:pPr>
    </w:p>
    <w:p w14:paraId="3F6847AC" w14:textId="77777777" w:rsidR="00DC0B66" w:rsidRDefault="00DC0B66" w:rsidP="00627585">
      <w:pPr>
        <w:pStyle w:val="ConcHead"/>
        <w:spacing w:after="0"/>
        <w:jc w:val="both"/>
        <w:rPr>
          <w:rFonts w:ascii="Arial" w:hAnsi="Arial" w:cs="Arial"/>
        </w:rPr>
      </w:pPr>
    </w:p>
    <w:p w14:paraId="38E0623F" w14:textId="58CE7C58" w:rsidR="00B01FCD" w:rsidRDefault="00BC58E3" w:rsidP="00627585">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25D465" w14:textId="77777777" w:rsidR="00790ADA" w:rsidRPr="00FB3A86" w:rsidRDefault="00790ADA" w:rsidP="00627585">
      <w:pPr>
        <w:pStyle w:val="ConcHead"/>
        <w:spacing w:after="0"/>
        <w:jc w:val="both"/>
        <w:rPr>
          <w:rFonts w:ascii="Arial" w:hAnsi="Arial" w:cs="Arial"/>
        </w:rPr>
      </w:pPr>
    </w:p>
    <w:p w14:paraId="3FCE2AD4" w14:textId="77777777" w:rsidR="00BC58E3" w:rsidRPr="00627585" w:rsidRDefault="00BC58E3" w:rsidP="00BC58E3">
      <w:pPr>
        <w:jc w:val="both"/>
        <w:rPr>
          <w:rFonts w:ascii="Arial" w:hAnsi="Arial" w:cs="Arial"/>
        </w:rPr>
      </w:pPr>
      <w:r w:rsidRPr="00627585">
        <w:rPr>
          <w:rFonts w:ascii="Arial" w:hAnsi="Arial" w:cs="Arial"/>
        </w:rPr>
        <w:t>Pain, anxiety, and the acute stress associated with dental problems seem to induce temporary elevations in blood pressure, highlighting the necessity for systematic monitoring in this context. Our findings underscore the dental clinic as a feasible setting for hypertension screening. Future longitudinal studies are required to assess the effects of dental-based blood pressure screening on patient outcomes and to improve care protocols for hypertensive individuals in dental settings.</w:t>
      </w:r>
    </w:p>
    <w:p w14:paraId="394248C0" w14:textId="77777777" w:rsidR="00790ADA" w:rsidRPr="00FB3A86" w:rsidRDefault="00790ADA" w:rsidP="00627585">
      <w:pPr>
        <w:pStyle w:val="Body"/>
        <w:spacing w:after="0"/>
        <w:rPr>
          <w:rFonts w:ascii="Arial" w:hAnsi="Arial" w:cs="Arial"/>
        </w:rPr>
      </w:pPr>
    </w:p>
    <w:p w14:paraId="66FDFDE3" w14:textId="77777777" w:rsidR="00BC58E3" w:rsidRDefault="00BC58E3" w:rsidP="00627585">
      <w:pPr>
        <w:pStyle w:val="AcknHead"/>
        <w:spacing w:after="0"/>
        <w:jc w:val="both"/>
        <w:rPr>
          <w:rFonts w:ascii="Arial" w:hAnsi="Arial" w:cs="Arial"/>
        </w:rPr>
      </w:pPr>
    </w:p>
    <w:p w14:paraId="3EEDB708" w14:textId="1A8B2458" w:rsidR="00B01FCD" w:rsidRDefault="00B01FCD" w:rsidP="00627585">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0937A1C" w14:textId="77777777" w:rsidR="00790ADA" w:rsidRPr="00FB3A86" w:rsidRDefault="00790ADA" w:rsidP="00627585">
      <w:pPr>
        <w:pStyle w:val="AcknHead"/>
        <w:spacing w:after="0"/>
        <w:jc w:val="both"/>
        <w:rPr>
          <w:rFonts w:ascii="Arial" w:hAnsi="Arial" w:cs="Arial"/>
        </w:rPr>
      </w:pPr>
    </w:p>
    <w:p w14:paraId="1153DCBE" w14:textId="3FC85959" w:rsidR="00315186" w:rsidRPr="00315186" w:rsidRDefault="00BC58E3" w:rsidP="00627585">
      <w:pPr>
        <w:jc w:val="both"/>
      </w:pPr>
      <w:r>
        <w:t xml:space="preserve">This study was supported by the São Paulo Research Foundation (FAPESP), grant number 2020/15533-8. We would also like to express our gratitude to Marcus Vinicius Castro, biostatistician, for his valuable contribution to the data analysis in this study. His professional services were funded through the research grant. </w:t>
      </w:r>
    </w:p>
    <w:p w14:paraId="50579344" w14:textId="77777777" w:rsidR="00BC58E3" w:rsidRDefault="00BC58E3" w:rsidP="00627585">
      <w:pPr>
        <w:pStyle w:val="ReferHead"/>
        <w:spacing w:after="0"/>
        <w:jc w:val="both"/>
        <w:rPr>
          <w:rFonts w:ascii="Arial" w:hAnsi="Arial" w:cs="Arial"/>
          <w:bCs/>
        </w:rPr>
      </w:pPr>
    </w:p>
    <w:p w14:paraId="154D2DFE" w14:textId="19B50398" w:rsidR="00860000" w:rsidRPr="00786D36" w:rsidRDefault="00860000" w:rsidP="00627585">
      <w:pPr>
        <w:pStyle w:val="ReferHead"/>
        <w:spacing w:after="0"/>
        <w:jc w:val="both"/>
        <w:rPr>
          <w:rFonts w:ascii="Arial" w:hAnsi="Arial" w:cs="Arial"/>
          <w:bCs/>
        </w:rPr>
      </w:pPr>
      <w:r w:rsidRPr="00786D36">
        <w:rPr>
          <w:rFonts w:ascii="Arial" w:hAnsi="Arial" w:cs="Arial"/>
          <w:bCs/>
        </w:rPr>
        <w:t>Competing interests</w:t>
      </w:r>
    </w:p>
    <w:p w14:paraId="4CEA2870" w14:textId="77777777" w:rsidR="00860000" w:rsidRPr="00786D36" w:rsidRDefault="00860000" w:rsidP="00627585">
      <w:pPr>
        <w:pStyle w:val="ReferHead"/>
        <w:spacing w:after="0"/>
        <w:jc w:val="both"/>
        <w:rPr>
          <w:rFonts w:ascii="Arial" w:hAnsi="Arial" w:cs="Arial"/>
        </w:rPr>
      </w:pPr>
    </w:p>
    <w:p w14:paraId="4E1E2F3F" w14:textId="4D2BEE14" w:rsidR="00860000" w:rsidRPr="00BC58E3" w:rsidRDefault="00E66E10" w:rsidP="00627585">
      <w:pPr>
        <w:pStyle w:val="ReferHead"/>
        <w:spacing w:after="0"/>
        <w:jc w:val="both"/>
        <w:rPr>
          <w:rFonts w:ascii="Arial" w:hAnsi="Arial" w:cs="Arial"/>
          <w:b w:val="0"/>
          <w:caps w:val="0"/>
          <w:sz w:val="20"/>
        </w:rPr>
      </w:pPr>
      <w:r w:rsidRPr="00BC58E3">
        <w:rPr>
          <w:rFonts w:ascii="Arial" w:hAnsi="Arial" w:cs="Arial"/>
          <w:b w:val="0"/>
          <w:caps w:val="0"/>
          <w:sz w:val="20"/>
        </w:rPr>
        <w:t xml:space="preserve"> “Authors have declared that no competing interests exist.”</w:t>
      </w:r>
    </w:p>
    <w:p w14:paraId="77076690" w14:textId="77777777" w:rsidR="00371FB6" w:rsidRDefault="00371FB6" w:rsidP="00627585">
      <w:pPr>
        <w:pStyle w:val="ReferHead"/>
        <w:spacing w:after="0"/>
        <w:jc w:val="both"/>
        <w:rPr>
          <w:rFonts w:ascii="Arial" w:hAnsi="Arial" w:cs="Arial"/>
          <w:b w:val="0"/>
          <w:caps w:val="0"/>
          <w:sz w:val="20"/>
        </w:rPr>
      </w:pPr>
    </w:p>
    <w:p w14:paraId="69AFC0E0" w14:textId="77777777" w:rsidR="00BC58E3" w:rsidRDefault="00BC58E3" w:rsidP="00627585">
      <w:pPr>
        <w:pStyle w:val="ReferHead"/>
        <w:spacing w:after="0"/>
        <w:jc w:val="both"/>
        <w:rPr>
          <w:rFonts w:ascii="Arial" w:hAnsi="Arial" w:cs="Arial"/>
          <w:bCs/>
        </w:rPr>
      </w:pPr>
    </w:p>
    <w:p w14:paraId="71F6AAFB" w14:textId="7FF80A4A" w:rsidR="00371FB6" w:rsidRDefault="00371FB6" w:rsidP="00627585">
      <w:pPr>
        <w:pStyle w:val="ReferHead"/>
        <w:spacing w:after="0"/>
        <w:jc w:val="both"/>
        <w:rPr>
          <w:rFonts w:ascii="Arial" w:hAnsi="Arial" w:cs="Arial"/>
          <w:bCs/>
        </w:rPr>
      </w:pPr>
      <w:r w:rsidRPr="00371FB6">
        <w:rPr>
          <w:rFonts w:ascii="Arial" w:hAnsi="Arial" w:cs="Arial"/>
          <w:bCs/>
        </w:rPr>
        <w:t>Authors’ Contributions</w:t>
      </w:r>
    </w:p>
    <w:p w14:paraId="1F0A4503" w14:textId="77777777" w:rsidR="00371FB6" w:rsidRPr="00371FB6" w:rsidRDefault="00371FB6" w:rsidP="00627585">
      <w:pPr>
        <w:pStyle w:val="ReferHead"/>
        <w:spacing w:after="0"/>
        <w:jc w:val="both"/>
        <w:rPr>
          <w:rFonts w:ascii="Arial" w:hAnsi="Arial" w:cs="Arial"/>
          <w:bCs/>
        </w:rPr>
      </w:pPr>
    </w:p>
    <w:p w14:paraId="3B488F36"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hAnsi="Arial" w:cs="Arial"/>
          <w:sz w:val="22"/>
          <w:szCs w:val="22"/>
        </w:rPr>
        <w:t xml:space="preserve">DP Elaborated and wrote the manuscript. </w:t>
      </w:r>
    </w:p>
    <w:p w14:paraId="69AAE521"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hAnsi="Arial" w:cs="Arial"/>
          <w:sz w:val="22"/>
          <w:szCs w:val="22"/>
        </w:rPr>
        <w:t xml:space="preserve">LM wrote the </w:t>
      </w:r>
      <w:r w:rsidRPr="003B6D82">
        <w:rPr>
          <w:rFonts w:ascii="Arial" w:eastAsia="Arial" w:hAnsi="Arial" w:cs="Arial"/>
          <w:color w:val="000000"/>
          <w:sz w:val="22"/>
          <w:szCs w:val="22"/>
        </w:rPr>
        <w:t>manuscript draft and data organization for statistics.</w:t>
      </w:r>
    </w:p>
    <w:p w14:paraId="5C250D03"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eastAsia="Arial" w:hAnsi="Arial" w:cs="Arial"/>
          <w:color w:val="000000"/>
          <w:sz w:val="22"/>
          <w:szCs w:val="22"/>
        </w:rPr>
        <w:t xml:space="preserve">JEP collected clinical data, provided urgent dental care.  </w:t>
      </w:r>
    </w:p>
    <w:p w14:paraId="147106C2"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eastAsia="Arial" w:hAnsi="Arial" w:cs="Arial"/>
          <w:color w:val="000000"/>
          <w:sz w:val="22"/>
          <w:szCs w:val="22"/>
        </w:rPr>
        <w:t xml:space="preserve">LC collected clinical data, provided urgent dental care.  </w:t>
      </w:r>
    </w:p>
    <w:p w14:paraId="4F1CEBB6"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eastAsia="Arial" w:hAnsi="Arial" w:cs="Arial"/>
          <w:color w:val="000000"/>
          <w:sz w:val="22"/>
          <w:szCs w:val="22"/>
        </w:rPr>
        <w:t xml:space="preserve">NR collected clinical data, provided urgent dental care.  </w:t>
      </w:r>
    </w:p>
    <w:p w14:paraId="238B778A" w14:textId="77777777" w:rsidR="00BC58E3" w:rsidRPr="003B6D82" w:rsidRDefault="00BC58E3" w:rsidP="00BC58E3">
      <w:pPr>
        <w:numPr>
          <w:ilvl w:val="0"/>
          <w:numId w:val="31"/>
        </w:numPr>
        <w:pBdr>
          <w:top w:val="nil"/>
          <w:left w:val="nil"/>
          <w:bottom w:val="nil"/>
          <w:right w:val="nil"/>
          <w:between w:val="nil"/>
        </w:pBdr>
        <w:spacing w:line="480" w:lineRule="auto"/>
        <w:ind w:left="0" w:right="-7" w:firstLine="0"/>
        <w:jc w:val="both"/>
        <w:rPr>
          <w:rFonts w:ascii="Arial" w:eastAsia="Arial" w:hAnsi="Arial" w:cs="Arial"/>
          <w:color w:val="000000"/>
          <w:sz w:val="22"/>
          <w:szCs w:val="22"/>
        </w:rPr>
      </w:pPr>
      <w:r w:rsidRPr="003B6D82">
        <w:rPr>
          <w:rFonts w:ascii="Arial" w:eastAsia="Arial" w:hAnsi="Arial" w:cs="Arial"/>
          <w:color w:val="000000"/>
          <w:sz w:val="22"/>
          <w:szCs w:val="22"/>
        </w:rPr>
        <w:t xml:space="preserve">FM conceived and designed the analysis, </w:t>
      </w:r>
      <w:r w:rsidRPr="003B6D82">
        <w:rPr>
          <w:rFonts w:ascii="Arial" w:hAnsi="Arial" w:cs="Arial"/>
          <w:sz w:val="22"/>
          <w:szCs w:val="22"/>
        </w:rPr>
        <w:t>manuscript writing and supervision.</w:t>
      </w:r>
    </w:p>
    <w:p w14:paraId="64CBFDE6" w14:textId="77777777" w:rsidR="00BC58E3" w:rsidRDefault="00BC58E3" w:rsidP="00627585">
      <w:pPr>
        <w:pStyle w:val="ReferHead"/>
        <w:spacing w:after="0"/>
        <w:jc w:val="both"/>
        <w:rPr>
          <w:rFonts w:ascii="Arial" w:hAnsi="Arial" w:cs="Arial"/>
          <w:bCs/>
        </w:rPr>
      </w:pPr>
    </w:p>
    <w:p w14:paraId="33D7930D" w14:textId="46F01B70" w:rsidR="002B685A" w:rsidRDefault="002B685A" w:rsidP="0062758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735574">
        <w:rPr>
          <w:rFonts w:ascii="Arial" w:hAnsi="Arial" w:cs="Arial"/>
          <w:bCs/>
        </w:rPr>
        <w:t xml:space="preserve"> </w:t>
      </w:r>
    </w:p>
    <w:p w14:paraId="703131D6" w14:textId="77777777" w:rsidR="002B685A" w:rsidRPr="00735574" w:rsidRDefault="002B685A" w:rsidP="00627585">
      <w:pPr>
        <w:pStyle w:val="ReferHead"/>
        <w:spacing w:after="0"/>
        <w:jc w:val="both"/>
        <w:rPr>
          <w:rFonts w:ascii="Arial" w:hAnsi="Arial" w:cs="Arial"/>
          <w:bCs/>
        </w:rPr>
      </w:pPr>
    </w:p>
    <w:p w14:paraId="2B961CFF" w14:textId="5355C541" w:rsidR="001A29D8" w:rsidRPr="00735574" w:rsidRDefault="001A29D8" w:rsidP="00627585">
      <w:pPr>
        <w:pStyle w:val="ReferHead"/>
        <w:spacing w:after="0"/>
        <w:jc w:val="both"/>
        <w:rPr>
          <w:rFonts w:ascii="Arial" w:hAnsi="Arial" w:cs="Arial"/>
          <w:b w:val="0"/>
          <w:caps w:val="0"/>
          <w:sz w:val="20"/>
        </w:rPr>
      </w:pPr>
      <w:r w:rsidRPr="00735574">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8E32759" w14:textId="77777777" w:rsidR="001A29D8" w:rsidRDefault="001A29D8" w:rsidP="00627585">
      <w:pPr>
        <w:pStyle w:val="ReferHead"/>
        <w:spacing w:after="0"/>
        <w:jc w:val="both"/>
        <w:rPr>
          <w:rFonts w:ascii="Arial" w:hAnsi="Arial" w:cs="Arial"/>
          <w:b w:val="0"/>
          <w:caps w:val="0"/>
          <w:sz w:val="20"/>
        </w:rPr>
      </w:pPr>
    </w:p>
    <w:p w14:paraId="7D694A75" w14:textId="77777777" w:rsidR="005C784C" w:rsidRDefault="005C784C" w:rsidP="00627585">
      <w:pPr>
        <w:pStyle w:val="ReferHead"/>
        <w:spacing w:after="0"/>
        <w:jc w:val="both"/>
        <w:rPr>
          <w:rFonts w:ascii="Arial" w:hAnsi="Arial" w:cs="Arial"/>
          <w:b w:val="0"/>
          <w:caps w:val="0"/>
          <w:sz w:val="20"/>
        </w:rPr>
      </w:pPr>
    </w:p>
    <w:p w14:paraId="4B5A757F" w14:textId="56321594" w:rsidR="005C784C" w:rsidRDefault="005C784C" w:rsidP="00627585">
      <w:pPr>
        <w:pStyle w:val="ReferHead"/>
        <w:spacing w:after="0"/>
        <w:jc w:val="both"/>
        <w:rPr>
          <w:rFonts w:ascii="Arial" w:hAnsi="Arial" w:cs="Arial"/>
          <w:bCs/>
        </w:rPr>
      </w:pPr>
      <w:r>
        <w:rPr>
          <w:rFonts w:ascii="Arial" w:hAnsi="Arial" w:cs="Arial"/>
          <w:bCs/>
        </w:rPr>
        <w:t xml:space="preserve">Ethical approval </w:t>
      </w:r>
      <w:r w:rsidR="00735574">
        <w:rPr>
          <w:rFonts w:ascii="Arial" w:hAnsi="Arial" w:cs="Arial"/>
          <w:bCs/>
        </w:rPr>
        <w:t xml:space="preserve"> </w:t>
      </w:r>
    </w:p>
    <w:p w14:paraId="685A60E0" w14:textId="77777777" w:rsidR="005C784C" w:rsidRPr="002B685A" w:rsidRDefault="005C784C" w:rsidP="00627585">
      <w:pPr>
        <w:pStyle w:val="ReferHead"/>
        <w:spacing w:after="0"/>
        <w:jc w:val="both"/>
        <w:rPr>
          <w:rFonts w:ascii="Arial" w:hAnsi="Arial" w:cs="Arial"/>
          <w:bCs/>
        </w:rPr>
      </w:pPr>
    </w:p>
    <w:p w14:paraId="02505B77" w14:textId="1390B59C" w:rsidR="0041027F" w:rsidRPr="00735574" w:rsidRDefault="001A29D8" w:rsidP="00627585">
      <w:pPr>
        <w:pStyle w:val="ReferHead"/>
        <w:spacing w:after="0"/>
        <w:jc w:val="both"/>
        <w:rPr>
          <w:rFonts w:ascii="Arial" w:hAnsi="Arial" w:cs="Arial"/>
          <w:b w:val="0"/>
          <w:caps w:val="0"/>
          <w:sz w:val="20"/>
        </w:rPr>
      </w:pPr>
      <w:r w:rsidRPr="00735574">
        <w:rPr>
          <w:rFonts w:ascii="Arial" w:hAnsi="Arial" w:cs="Arial"/>
          <w:b w:val="0"/>
          <w:caps w:val="0"/>
          <w:sz w:val="20"/>
        </w:rPr>
        <w:t xml:space="preserve"> “All authors hereby declare that a</w:t>
      </w:r>
      <w:r w:rsidR="0041027F" w:rsidRPr="00735574">
        <w:rPr>
          <w:rFonts w:ascii="Arial" w:hAnsi="Arial" w:cs="Arial"/>
          <w:b w:val="0"/>
          <w:caps w:val="0"/>
          <w:sz w:val="20"/>
        </w:rPr>
        <w:t xml:space="preserve">ll </w:t>
      </w:r>
      <w:r w:rsidR="00F469F0" w:rsidRPr="00735574">
        <w:rPr>
          <w:rFonts w:ascii="Arial" w:hAnsi="Arial" w:cs="Arial"/>
          <w:b w:val="0"/>
          <w:caps w:val="0"/>
          <w:sz w:val="20"/>
        </w:rPr>
        <w:t>experiments</w:t>
      </w:r>
      <w:r w:rsidR="0041027F" w:rsidRPr="00735574">
        <w:rPr>
          <w:rFonts w:ascii="Arial" w:hAnsi="Arial" w:cs="Arial"/>
          <w:b w:val="0"/>
          <w:caps w:val="0"/>
          <w:sz w:val="20"/>
        </w:rPr>
        <w:t xml:space="preserve"> have been examined</w:t>
      </w:r>
      <w:r w:rsidRPr="00735574">
        <w:rPr>
          <w:rFonts w:ascii="Arial" w:hAnsi="Arial" w:cs="Arial"/>
          <w:b w:val="0"/>
          <w:caps w:val="0"/>
          <w:sz w:val="20"/>
        </w:rPr>
        <w:t xml:space="preserve"> and approved</w:t>
      </w:r>
      <w:r w:rsidR="0041027F" w:rsidRPr="00735574">
        <w:rPr>
          <w:rFonts w:ascii="Arial" w:hAnsi="Arial" w:cs="Arial"/>
          <w:b w:val="0"/>
          <w:caps w:val="0"/>
          <w:sz w:val="20"/>
        </w:rPr>
        <w:t xml:space="preserve"> by the appropriate ethics committee and have therefore been performed in accordance with the ethical standards laid down in the 1964 Declaration of Helsinki.</w:t>
      </w:r>
      <w:r w:rsidRPr="00735574">
        <w:rPr>
          <w:rFonts w:ascii="Arial" w:hAnsi="Arial" w:cs="Arial"/>
          <w:b w:val="0"/>
          <w:caps w:val="0"/>
          <w:sz w:val="20"/>
        </w:rPr>
        <w:t>”</w:t>
      </w:r>
    </w:p>
    <w:p w14:paraId="48EB3C1B" w14:textId="77777777" w:rsidR="00225D87" w:rsidRDefault="00225D87" w:rsidP="00225D87">
      <w:r>
        <w:t>‘</w:t>
      </w:r>
    </w:p>
    <w:p w14:paraId="670E0F1B" w14:textId="7FF08354" w:rsidR="00225D87" w:rsidRDefault="00225D87" w:rsidP="00225D87">
      <w:r>
        <w:t>Disclaimer (Artificial intelligence)</w:t>
      </w:r>
    </w:p>
    <w:p w14:paraId="21666B02" w14:textId="77777777" w:rsidR="00225D87" w:rsidRDefault="00225D87" w:rsidP="00225D87">
      <w:r>
        <w:t xml:space="preserve">Option 1: </w:t>
      </w:r>
    </w:p>
    <w:p w14:paraId="7123EA4A" w14:textId="77777777" w:rsidR="00225D87" w:rsidRDefault="00225D87" w:rsidP="00225D8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9E00C6D" w14:textId="77777777" w:rsidR="00225D87" w:rsidRDefault="00225D87" w:rsidP="00225D87">
      <w:r>
        <w:t xml:space="preserve">Option 2: </w:t>
      </w:r>
    </w:p>
    <w:p w14:paraId="734968AB" w14:textId="77777777" w:rsidR="00225D87" w:rsidRDefault="00225D87" w:rsidP="00225D8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41555D" w14:textId="77777777" w:rsidR="00225D87" w:rsidRDefault="00225D87" w:rsidP="00225D87">
      <w:r>
        <w:lastRenderedPageBreak/>
        <w:t>Details of the AI usage are given below:</w:t>
      </w:r>
    </w:p>
    <w:p w14:paraId="7F74CAB1" w14:textId="77777777" w:rsidR="00225D87" w:rsidRDefault="00225D87" w:rsidP="00225D87">
      <w:r>
        <w:t>1.</w:t>
      </w:r>
    </w:p>
    <w:p w14:paraId="3E90D672" w14:textId="77777777" w:rsidR="00225D87" w:rsidRDefault="00225D87" w:rsidP="00225D87">
      <w:r>
        <w:t>2.</w:t>
      </w:r>
    </w:p>
    <w:p w14:paraId="557FADDA" w14:textId="77777777" w:rsidR="00225D87" w:rsidRPr="00D047BB" w:rsidRDefault="00225D87" w:rsidP="00225D87">
      <w:r>
        <w:t>3.</w:t>
      </w:r>
    </w:p>
    <w:p w14:paraId="1E3D6741" w14:textId="77777777" w:rsidR="00225D87" w:rsidRPr="0063354D" w:rsidRDefault="00225D87" w:rsidP="00225D87"/>
    <w:p w14:paraId="0E941F26" w14:textId="77777777" w:rsidR="00735574" w:rsidRPr="00F469F0" w:rsidRDefault="00735574" w:rsidP="00627585">
      <w:pPr>
        <w:pStyle w:val="ReferHead"/>
        <w:spacing w:after="0"/>
        <w:jc w:val="both"/>
        <w:rPr>
          <w:rFonts w:ascii="Arial" w:hAnsi="Arial" w:cs="Arial"/>
          <w:b w:val="0"/>
          <w:caps w:val="0"/>
          <w:sz w:val="20"/>
          <w:u w:val="single"/>
        </w:rPr>
      </w:pPr>
    </w:p>
    <w:p w14:paraId="5FD18C04" w14:textId="77777777" w:rsidR="00860000" w:rsidRDefault="00860000" w:rsidP="00627585">
      <w:pPr>
        <w:pStyle w:val="ReferHead"/>
        <w:spacing w:after="0"/>
        <w:jc w:val="both"/>
        <w:rPr>
          <w:rFonts w:ascii="Arial" w:hAnsi="Arial" w:cs="Arial"/>
        </w:rPr>
      </w:pPr>
    </w:p>
    <w:p w14:paraId="04F5609B" w14:textId="77777777" w:rsidR="00B01FCD" w:rsidRDefault="00B01FCD" w:rsidP="00627585">
      <w:pPr>
        <w:pStyle w:val="ReferHead"/>
        <w:spacing w:after="0"/>
        <w:jc w:val="both"/>
        <w:rPr>
          <w:rFonts w:ascii="Arial" w:hAnsi="Arial" w:cs="Arial"/>
        </w:rPr>
      </w:pPr>
      <w:r w:rsidRPr="00FB3A86">
        <w:rPr>
          <w:rFonts w:ascii="Arial" w:hAnsi="Arial" w:cs="Arial"/>
        </w:rPr>
        <w:t>References</w:t>
      </w:r>
    </w:p>
    <w:p w14:paraId="5487DB0C" w14:textId="77777777" w:rsidR="00790ADA" w:rsidRPr="00FB3A86" w:rsidRDefault="00790ADA" w:rsidP="00627585">
      <w:pPr>
        <w:pStyle w:val="ReferHead"/>
        <w:spacing w:after="0"/>
        <w:jc w:val="both"/>
        <w:rPr>
          <w:rFonts w:ascii="Arial" w:hAnsi="Arial" w:cs="Arial"/>
        </w:rPr>
      </w:pPr>
    </w:p>
    <w:p w14:paraId="32C4B5C3" w14:textId="6986BACE" w:rsidR="00284C4C" w:rsidRDefault="00735574" w:rsidP="00627585">
      <w:pPr>
        <w:pStyle w:val="Body"/>
        <w:spacing w:after="0"/>
        <w:rPr>
          <w:rFonts w:ascii="Arial" w:hAnsi="Arial" w:cs="Arial"/>
          <w:i/>
          <w:u w:val="single"/>
        </w:rPr>
      </w:pPr>
      <w:r>
        <w:t xml:space="preserve"> </w:t>
      </w:r>
    </w:p>
    <w:p w14:paraId="5AA8C3B4" w14:textId="77777777"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rPr>
        <w:t>1.</w:t>
      </w:r>
      <w:r w:rsidRPr="00DC0B66">
        <w:rPr>
          <w:rFonts w:ascii="Arial" w:hAnsi="Arial" w:cs="Arial"/>
        </w:rPr>
        <w:tab/>
      </w:r>
      <w:r w:rsidRPr="00DC0B66">
        <w:rPr>
          <w:rFonts w:ascii="Arial" w:hAnsi="Arial" w:cs="Arial"/>
          <w:sz w:val="20"/>
          <w:szCs w:val="20"/>
        </w:rPr>
        <w:t xml:space="preserve">World Health Organization. (2023). Hypertension. Available on URL: https://www.who.int/news-room/fact-sheets/detail/hypertension </w:t>
      </w:r>
    </w:p>
    <w:p w14:paraId="1768ACEE" w14:textId="77777777"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2.</w:t>
      </w:r>
      <w:r w:rsidRPr="00DC0B66">
        <w:rPr>
          <w:rFonts w:ascii="Arial" w:hAnsi="Arial" w:cs="Arial"/>
          <w:sz w:val="20"/>
          <w:szCs w:val="20"/>
        </w:rPr>
        <w:tab/>
        <w:t>Whelton, P. K., Carey, R. M., Aronow, W. S., Casey, D. E., Collins, K. J., Himmelfarb, C. D., et.al. (2018). 2017 ACC/AHA/AAPA/ABC/ACPM/AGS/APHA/ASH/ASPC/NMA/PCNA Guideline for the Prevention, Detection, Evaluation, and Management of High Blood Pressure in Adults: Executive Summary. Journal of the American Society of Hypertension, 12(8), 579.e1-579.e73. https://doi.org/10.1016/j.jash.2018.06.010</w:t>
      </w:r>
    </w:p>
    <w:p w14:paraId="25BEE674" w14:textId="77777777" w:rsidR="00DC0B66" w:rsidRPr="00DC0B66" w:rsidRDefault="00DC0B66" w:rsidP="00DC0B66">
      <w:pPr>
        <w:pStyle w:val="NormalWeb"/>
        <w:spacing w:line="480" w:lineRule="auto"/>
        <w:ind w:left="720" w:hanging="720"/>
        <w:jc w:val="both"/>
        <w:rPr>
          <w:rFonts w:ascii="Arial" w:hAnsi="Arial" w:cs="Arial"/>
          <w:sz w:val="20"/>
          <w:szCs w:val="20"/>
        </w:rPr>
      </w:pPr>
    </w:p>
    <w:p w14:paraId="1992EE0E" w14:textId="3B969C42"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3.</w:t>
      </w:r>
      <w:r w:rsidRPr="00DC0B66">
        <w:rPr>
          <w:rFonts w:ascii="Arial" w:hAnsi="Arial" w:cs="Arial"/>
          <w:sz w:val="20"/>
          <w:szCs w:val="20"/>
        </w:rPr>
        <w:tab/>
        <w:t xml:space="preserve">Mancia, G., &amp; Grassi, G. (2016). The heterogeneous nature of White-Coat hypertension </w:t>
      </w:r>
      <w:r w:rsidRPr="00DC0B66">
        <w:rPr>
          <w:rFonts w:ascii="Cambria Math" w:hAnsi="Cambria Math" w:cs="Cambria Math"/>
          <w:sz w:val="20"/>
          <w:szCs w:val="20"/>
        </w:rPr>
        <w:t>∗</w:t>
      </w:r>
      <w:r w:rsidRPr="00DC0B66">
        <w:rPr>
          <w:rFonts w:ascii="Arial" w:hAnsi="Arial" w:cs="Arial"/>
          <w:sz w:val="20"/>
          <w:szCs w:val="20"/>
        </w:rPr>
        <w:t>. Journal of the American College of Cardiology, 68(19), 2044–2046. https://doi.org/10.1016/j.jacc.2016.08.043</w:t>
      </w:r>
    </w:p>
    <w:p w14:paraId="43C04A42" w14:textId="01C66041"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4.</w:t>
      </w:r>
      <w:r w:rsidRPr="00DC0B66">
        <w:rPr>
          <w:rFonts w:ascii="Arial" w:hAnsi="Arial" w:cs="Arial"/>
          <w:sz w:val="20"/>
          <w:szCs w:val="20"/>
        </w:rPr>
        <w:tab/>
        <w:t>Nuredini, G., Saunders, A., Rajkumar, C., &amp; Okorie, M. (2020). Current status of white coat hypertension: where are we? Therapeutic Advances in Cardiovascular Disease, 14. https://doi.org/10.1177/1753944720931637</w:t>
      </w:r>
    </w:p>
    <w:p w14:paraId="30C2AA7B" w14:textId="3D545E16"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5.</w:t>
      </w:r>
      <w:r w:rsidRPr="00DC0B66">
        <w:rPr>
          <w:rFonts w:ascii="Arial" w:hAnsi="Arial" w:cs="Arial"/>
          <w:sz w:val="20"/>
          <w:szCs w:val="20"/>
        </w:rPr>
        <w:tab/>
        <w:t>Filippone, E. J., Foy, A. J., &amp; Naccarelli, G. V. (2023). Controversies in hypertension III: dipping, nocturnal hypertension, and the morning surge. The American Journal of Medicine, 136(7), 629–637. https://doi.org/10.1016/j.amjmed.2023.02.018</w:t>
      </w:r>
    </w:p>
    <w:p w14:paraId="6BFE3C99" w14:textId="232CAD65"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6.</w:t>
      </w:r>
      <w:r w:rsidRPr="00DC0B66">
        <w:rPr>
          <w:rFonts w:ascii="Arial" w:hAnsi="Arial" w:cs="Arial"/>
          <w:sz w:val="20"/>
          <w:szCs w:val="20"/>
        </w:rPr>
        <w:tab/>
        <w:t>Andersson, H., Hedström, L., &amp; Bergh, H. (2021). White-coat hypertension detected during opportunistic blood pressure screening in a dental healthcare setting. Scandinavian Journal of Primary Health Care, 39(3), 348–354. https://doi.org/10.1080/02813432.2021.1958496</w:t>
      </w:r>
    </w:p>
    <w:p w14:paraId="09C88E61" w14:textId="689AD3E0"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7.</w:t>
      </w:r>
      <w:r w:rsidRPr="00DC0B66">
        <w:rPr>
          <w:rFonts w:ascii="Arial" w:hAnsi="Arial" w:cs="Arial"/>
          <w:sz w:val="20"/>
          <w:szCs w:val="20"/>
        </w:rPr>
        <w:tab/>
        <w:t>Hoffmann, B., Erwood, K., Ncomanzi, S., Fischer, V., O’Brien, D., &amp; Lee, A. (2022). Management strategies for adult patients with dental anxiety in the dental clinic: a systematic review. Australian Dental Journal, 67(S1). https://doi.org/10.1111/adj.12926</w:t>
      </w:r>
    </w:p>
    <w:p w14:paraId="6E0ACEE4" w14:textId="77777777"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lastRenderedPageBreak/>
        <w:t>8.</w:t>
      </w:r>
      <w:r w:rsidRPr="00DC0B66">
        <w:rPr>
          <w:rFonts w:ascii="Arial" w:hAnsi="Arial" w:cs="Arial"/>
          <w:sz w:val="20"/>
          <w:szCs w:val="20"/>
        </w:rPr>
        <w:tab/>
        <w:t>Nath, S., Jiang, T., Barrow, J., &amp; Simon, L. (2023). Treatment deferral for elevated blood pressure at a dental school clinic. Journal of Dental Education, 88(1), 51–55. https://doi.org/10.1002/jdd.13369</w:t>
      </w:r>
    </w:p>
    <w:p w14:paraId="0B670136" w14:textId="035B1883"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9.</w:t>
      </w:r>
      <w:r w:rsidRPr="00DC0B66">
        <w:rPr>
          <w:rFonts w:ascii="Arial" w:hAnsi="Arial" w:cs="Arial"/>
          <w:sz w:val="20"/>
          <w:szCs w:val="20"/>
        </w:rPr>
        <w:tab/>
        <w:t>Alharbi, F. S., Alhodaithy, M. A., &amp; Farhan, M. (2021). The Prevalence of Dental Anxiety among Dental Patients in Qassim Region. Journal of Pharmaceutical Research International, 187–194. https://doi.org/10.9734/jpri/2021/v33i54b33779</w:t>
      </w:r>
    </w:p>
    <w:p w14:paraId="488D792C" w14:textId="4354F0C4"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10.</w:t>
      </w:r>
      <w:r w:rsidRPr="00DC0B66">
        <w:rPr>
          <w:rFonts w:ascii="Arial" w:hAnsi="Arial" w:cs="Arial"/>
          <w:sz w:val="20"/>
          <w:szCs w:val="20"/>
        </w:rPr>
        <w:tab/>
        <w:t>Barroso, W. K. S., Feitosa, A. D. M., Barbosa, E. C. D., Miranda, R. D., Brandão, A. A., Vitorino, P. V. O., et. al. (2019). Prevalence of Masked and White-Coat Hypertension in Pre-Hypertensive and Stage 1 Hypertensive patients with the use of TeleMRPA. Arquivos Brasileiros De Cardiologia. https://doi.org/10.5935/abc.20190147</w:t>
      </w:r>
    </w:p>
    <w:p w14:paraId="766E6865" w14:textId="77777777"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11.</w:t>
      </w:r>
      <w:r w:rsidRPr="00DC0B66">
        <w:rPr>
          <w:rFonts w:ascii="Arial" w:hAnsi="Arial" w:cs="Arial"/>
          <w:sz w:val="20"/>
          <w:szCs w:val="20"/>
        </w:rPr>
        <w:tab/>
        <w:t>Jadaun, G., Rao, S., Reddy, K. R., Nath, P., &amp; Bindra, S. (2018b). Is screening in dental office an effective method of detecting undiagnosed hypertension? Indian Journal of Dental Research, 29(4), 534. https://doi.org/10.4103/ijdr.ijdr_298_17</w:t>
      </w:r>
    </w:p>
    <w:p w14:paraId="04A7DB9D" w14:textId="77777777" w:rsidR="00DC0B66" w:rsidRPr="00DC0B66" w:rsidRDefault="00DC0B66" w:rsidP="00DC0B66">
      <w:pPr>
        <w:pStyle w:val="NormalWeb"/>
        <w:spacing w:line="480" w:lineRule="auto"/>
        <w:ind w:left="720" w:hanging="720"/>
        <w:jc w:val="both"/>
        <w:rPr>
          <w:rFonts w:ascii="Arial" w:hAnsi="Arial" w:cs="Arial"/>
          <w:sz w:val="20"/>
          <w:szCs w:val="20"/>
        </w:rPr>
      </w:pPr>
    </w:p>
    <w:p w14:paraId="4FD889D9" w14:textId="329F3B3A"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12.</w:t>
      </w:r>
      <w:r w:rsidRPr="00DC0B66">
        <w:rPr>
          <w:rFonts w:ascii="Arial" w:hAnsi="Arial" w:cs="Arial"/>
          <w:sz w:val="20"/>
          <w:szCs w:val="20"/>
        </w:rPr>
        <w:tab/>
        <w:t>Barroso, W. K. S., Rodrigues, C. I. S., Bortolotto, L. A., Mota-Gomes, M. A., Brandão, A. A., De Magalhães Feitosa, et.al. (2021). Diretrizes Brasileiras de Hipertensão Arterial – 2020. Arquivos Brasileiros De Cardiologia, 116(3), 516–658. https://doi.org/10.36660/abc.20201238</w:t>
      </w:r>
    </w:p>
    <w:p w14:paraId="1F1A1D77" w14:textId="46B90743"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13.</w:t>
      </w:r>
      <w:r w:rsidRPr="00DC0B66">
        <w:rPr>
          <w:rFonts w:ascii="Arial" w:hAnsi="Arial" w:cs="Arial"/>
          <w:sz w:val="20"/>
          <w:szCs w:val="20"/>
        </w:rPr>
        <w:tab/>
        <w:t>Yarows, S. A., Vornovitsky, O., Eber, R. M., Bisognano, J. D., &amp; Basile, J. (2020). Canceling dental procedures due to elevated blood pressure. The Journal of the American Dental Association, 151(4), 239–244. https://doi.org/10.1016/j.adaj.2019.12.010</w:t>
      </w:r>
    </w:p>
    <w:p w14:paraId="47E92C15" w14:textId="77777777" w:rsidR="00DC0B66" w:rsidRPr="00DC0B66" w:rsidRDefault="00DC0B66" w:rsidP="00DC0B66">
      <w:pPr>
        <w:pStyle w:val="NormalWeb"/>
        <w:spacing w:line="480" w:lineRule="auto"/>
        <w:ind w:left="720" w:hanging="720"/>
        <w:jc w:val="both"/>
        <w:rPr>
          <w:rFonts w:ascii="Arial" w:hAnsi="Arial" w:cs="Arial"/>
          <w:sz w:val="20"/>
          <w:szCs w:val="20"/>
        </w:rPr>
      </w:pPr>
      <w:r w:rsidRPr="00DC0B66">
        <w:rPr>
          <w:rFonts w:ascii="Arial" w:hAnsi="Arial" w:cs="Arial"/>
          <w:sz w:val="20"/>
          <w:szCs w:val="20"/>
        </w:rPr>
        <w:t>14.</w:t>
      </w:r>
      <w:r w:rsidRPr="00DC0B66">
        <w:rPr>
          <w:rFonts w:ascii="Arial" w:hAnsi="Arial" w:cs="Arial"/>
          <w:sz w:val="20"/>
          <w:szCs w:val="20"/>
        </w:rPr>
        <w:tab/>
        <w:t>Southerland, J., Gill, D., Gangula, P., Halpern, L., Cardona, C. Y., &amp; Mouton, C. (2016). Dental management in the patient with hypertension: challenges and solutions. Clinical Cosmetic and Investigational Dentistry, Volume 8, 111–120. https://doi.org/10.2147/ccide.s99446</w:t>
      </w:r>
    </w:p>
    <w:p w14:paraId="574CF0E7" w14:textId="77777777" w:rsidR="00DC0B66" w:rsidRPr="00DC0B66" w:rsidRDefault="00DC0B66" w:rsidP="00DC0B66">
      <w:pPr>
        <w:pStyle w:val="NormalWeb"/>
        <w:spacing w:line="480" w:lineRule="auto"/>
        <w:ind w:left="720" w:hanging="720"/>
        <w:jc w:val="both"/>
        <w:rPr>
          <w:rFonts w:ascii="Arial" w:hAnsi="Arial" w:cs="Arial"/>
          <w:sz w:val="20"/>
          <w:szCs w:val="20"/>
        </w:rPr>
      </w:pPr>
    </w:p>
    <w:p w14:paraId="3DC2AE80" w14:textId="77777777" w:rsidR="00DC0B66" w:rsidRPr="00DC0B66" w:rsidRDefault="00DC0B66" w:rsidP="00DC0B66">
      <w:pPr>
        <w:pStyle w:val="NormalWeb"/>
        <w:spacing w:line="480" w:lineRule="auto"/>
        <w:ind w:left="720" w:hanging="720"/>
        <w:jc w:val="both"/>
        <w:rPr>
          <w:rFonts w:ascii="Arial" w:hAnsi="Arial" w:cs="Arial"/>
          <w:sz w:val="20"/>
          <w:szCs w:val="20"/>
        </w:rPr>
      </w:pPr>
    </w:p>
    <w:p w14:paraId="70AD4382" w14:textId="77777777" w:rsidR="00DC0B66" w:rsidRPr="00DC0B66" w:rsidRDefault="00DC0B66" w:rsidP="00DC0B66">
      <w:pPr>
        <w:pStyle w:val="NormalWeb"/>
        <w:spacing w:line="480" w:lineRule="auto"/>
        <w:ind w:left="720" w:hanging="720"/>
        <w:jc w:val="both"/>
        <w:rPr>
          <w:rFonts w:ascii="Arial" w:hAnsi="Arial" w:cs="Arial"/>
          <w:sz w:val="20"/>
          <w:szCs w:val="20"/>
        </w:rPr>
      </w:pPr>
    </w:p>
    <w:p w14:paraId="187FE01C" w14:textId="4203B85B" w:rsidR="00DC0B66" w:rsidRPr="00DC0B66" w:rsidRDefault="00DC0B66" w:rsidP="00DC0B66">
      <w:pPr>
        <w:pStyle w:val="NormalWeb"/>
        <w:spacing w:before="0" w:beforeAutospacing="0" w:after="0" w:afterAutospacing="0" w:line="480" w:lineRule="auto"/>
        <w:ind w:left="720" w:hanging="720"/>
        <w:jc w:val="both"/>
        <w:rPr>
          <w:rFonts w:ascii="Arial" w:hAnsi="Arial" w:cs="Arial"/>
          <w:sz w:val="20"/>
          <w:szCs w:val="20"/>
        </w:rPr>
      </w:pPr>
    </w:p>
    <w:p w14:paraId="3BF68029" w14:textId="77777777" w:rsidR="00441B6F" w:rsidRDefault="00441B6F" w:rsidP="00627585">
      <w:pPr>
        <w:pStyle w:val="Body"/>
        <w:spacing w:after="0"/>
        <w:rPr>
          <w:i/>
        </w:rPr>
      </w:pPr>
    </w:p>
    <w:p w14:paraId="6EE41424" w14:textId="7A3FE037" w:rsidR="00284C4C" w:rsidRDefault="00735574" w:rsidP="00627585">
      <w:pPr>
        <w:pStyle w:val="Body"/>
        <w:spacing w:after="0"/>
      </w:pPr>
      <w:r>
        <w:rPr>
          <w:bCs/>
          <w:i/>
          <w:u w:val="single"/>
        </w:rPr>
        <w:t xml:space="preserve"> </w:t>
      </w:r>
    </w:p>
    <w:p w14:paraId="147F4DD1" w14:textId="0E834104" w:rsidR="00441B6F" w:rsidRDefault="00735574" w:rsidP="00735574">
      <w:pPr>
        <w:pStyle w:val="Body"/>
        <w:spacing w:after="0"/>
      </w:pPr>
      <w:r>
        <w:rPr>
          <w:rFonts w:ascii="Arial" w:hAnsi="Arial" w:cs="Arial"/>
        </w:rPr>
        <w:t xml:space="preserve"> </w:t>
      </w:r>
      <w:r>
        <w:t xml:space="preserve"> </w:t>
      </w:r>
    </w:p>
    <w:p w14:paraId="72D90418" w14:textId="77777777" w:rsidR="00441B6F" w:rsidRDefault="00441B6F" w:rsidP="00627585">
      <w:pPr>
        <w:pStyle w:val="Body"/>
        <w:spacing w:after="0"/>
        <w:rPr>
          <w:rFonts w:ascii="Arial" w:hAnsi="Arial" w:cs="Arial"/>
        </w:rPr>
      </w:pPr>
    </w:p>
    <w:p w14:paraId="0A7EFD44" w14:textId="77777777" w:rsidR="00B01FCD" w:rsidRPr="00FB3A86" w:rsidRDefault="00B01FCD" w:rsidP="00627585">
      <w:pPr>
        <w:pStyle w:val="Reference"/>
        <w:numPr>
          <w:ilvl w:val="0"/>
          <w:numId w:val="0"/>
        </w:numPr>
        <w:spacing w:line="240" w:lineRule="auto"/>
        <w:rPr>
          <w:rFonts w:ascii="Arial" w:hAnsi="Arial" w:cs="Arial"/>
        </w:rPr>
      </w:pPr>
    </w:p>
    <w:p w14:paraId="37662B03" w14:textId="0668D047" w:rsidR="00B01FCD" w:rsidRPr="00FB3A86" w:rsidRDefault="00735574" w:rsidP="00627585">
      <w:pPr>
        <w:pStyle w:val="Appendix"/>
        <w:spacing w:after="0"/>
        <w:jc w:val="both"/>
        <w:rPr>
          <w:rFonts w:ascii="Arial" w:hAnsi="Arial" w:cs="Arial"/>
          <w:b w:val="0"/>
        </w:rPr>
      </w:pPr>
      <w:r>
        <w:rPr>
          <w:rFonts w:ascii="Arial" w:hAnsi="Arial" w:cs="Arial"/>
          <w:b w:val="0"/>
        </w:rPr>
        <w:t xml:space="preserve"> </w:t>
      </w: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444C5" w14:textId="77777777" w:rsidR="00794FAD" w:rsidRDefault="00794FAD" w:rsidP="00C37E61">
      <w:r>
        <w:separator/>
      </w:r>
    </w:p>
  </w:endnote>
  <w:endnote w:type="continuationSeparator" w:id="0">
    <w:p w14:paraId="5F879A69" w14:textId="77777777" w:rsidR="00794FAD" w:rsidRDefault="00794F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8778" w14:textId="77777777" w:rsidR="009E048A" w:rsidRDefault="009E048A">
    <w:pPr>
      <w:pStyle w:val="Footer"/>
      <w:rPr>
        <w:rFonts w:ascii="Arial" w:hAnsi="Arial" w:cs="Arial"/>
        <w:sz w:val="16"/>
      </w:rPr>
    </w:pPr>
  </w:p>
  <w:p w14:paraId="783BE47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B90D04" w14:textId="77777777" w:rsidR="009E048A" w:rsidRDefault="009E048A">
    <w:pPr>
      <w:pStyle w:val="Footer"/>
      <w:rPr>
        <w:rFonts w:ascii="Arial" w:hAnsi="Arial" w:cs="Arial"/>
        <w:sz w:val="16"/>
      </w:rPr>
    </w:pPr>
  </w:p>
  <w:p w14:paraId="52350D1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A0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4514" w14:textId="77777777" w:rsidR="00794FAD" w:rsidRDefault="00794FAD" w:rsidP="00C37E61">
      <w:r>
        <w:separator/>
      </w:r>
    </w:p>
  </w:footnote>
  <w:footnote w:type="continuationSeparator" w:id="0">
    <w:p w14:paraId="79D6697E" w14:textId="77777777" w:rsidR="00794FAD" w:rsidRDefault="00794F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26C0" w14:textId="77777777" w:rsidR="00296529" w:rsidRPr="00296529" w:rsidRDefault="00296529" w:rsidP="00296529">
    <w:pPr>
      <w:ind w:left="2160"/>
      <w:jc w:val="center"/>
      <w:rPr>
        <w:rFonts w:ascii="Times New Roman" w:eastAsia="Calibri" w:hAnsi="Times New Roman"/>
        <w:i/>
        <w:sz w:val="18"/>
        <w:szCs w:val="22"/>
      </w:rPr>
    </w:pPr>
  </w:p>
  <w:p w14:paraId="64A341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0498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5560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5F3F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04C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E0F5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6B7F"/>
    <w:multiLevelType w:val="hybridMultilevel"/>
    <w:tmpl w:val="00000000"/>
    <w:lvl w:ilvl="0" w:tplc="608AE52E">
      <w:start w:val="1"/>
      <w:numFmt w:val="bullet"/>
      <w:lvlText w:val="●"/>
      <w:lvlJc w:val="left"/>
      <w:pPr>
        <w:ind w:left="720" w:hanging="360"/>
      </w:pPr>
      <w:rPr>
        <w:rFonts w:ascii="Noto Sans Symbols" w:eastAsia="Noto Sans Symbols" w:hAnsi="Noto Sans Symbols" w:cs="Noto Sans Symbols"/>
      </w:rPr>
    </w:lvl>
    <w:lvl w:ilvl="1" w:tplc="9B7094B2">
      <w:start w:val="1"/>
      <w:numFmt w:val="bullet"/>
      <w:lvlText w:val="o"/>
      <w:lvlJc w:val="left"/>
      <w:pPr>
        <w:ind w:left="1440" w:hanging="360"/>
      </w:pPr>
      <w:rPr>
        <w:rFonts w:ascii="Courier New" w:eastAsia="Courier New" w:hAnsi="Courier New" w:cs="Courier New"/>
      </w:rPr>
    </w:lvl>
    <w:lvl w:ilvl="2" w:tplc="13FE4242">
      <w:start w:val="1"/>
      <w:numFmt w:val="bullet"/>
      <w:lvlText w:val="▪"/>
      <w:lvlJc w:val="left"/>
      <w:pPr>
        <w:ind w:left="2160" w:hanging="360"/>
      </w:pPr>
      <w:rPr>
        <w:rFonts w:ascii="Noto Sans Symbols" w:eastAsia="Noto Sans Symbols" w:hAnsi="Noto Sans Symbols" w:cs="Noto Sans Symbols"/>
      </w:rPr>
    </w:lvl>
    <w:lvl w:ilvl="3" w:tplc="57664182">
      <w:start w:val="1"/>
      <w:numFmt w:val="bullet"/>
      <w:lvlText w:val="●"/>
      <w:lvlJc w:val="left"/>
      <w:pPr>
        <w:ind w:left="2880" w:hanging="360"/>
      </w:pPr>
      <w:rPr>
        <w:rFonts w:ascii="Noto Sans Symbols" w:eastAsia="Noto Sans Symbols" w:hAnsi="Noto Sans Symbols" w:cs="Noto Sans Symbols"/>
      </w:rPr>
    </w:lvl>
    <w:lvl w:ilvl="4" w:tplc="70EC7D14">
      <w:start w:val="1"/>
      <w:numFmt w:val="bullet"/>
      <w:lvlText w:val="o"/>
      <w:lvlJc w:val="left"/>
      <w:pPr>
        <w:ind w:left="3600" w:hanging="360"/>
      </w:pPr>
      <w:rPr>
        <w:rFonts w:ascii="Courier New" w:eastAsia="Courier New" w:hAnsi="Courier New" w:cs="Courier New"/>
      </w:rPr>
    </w:lvl>
    <w:lvl w:ilvl="5" w:tplc="EA88E8A8">
      <w:start w:val="1"/>
      <w:numFmt w:val="bullet"/>
      <w:lvlText w:val="▪"/>
      <w:lvlJc w:val="left"/>
      <w:pPr>
        <w:ind w:left="4320" w:hanging="360"/>
      </w:pPr>
      <w:rPr>
        <w:rFonts w:ascii="Noto Sans Symbols" w:eastAsia="Noto Sans Symbols" w:hAnsi="Noto Sans Symbols" w:cs="Noto Sans Symbols"/>
      </w:rPr>
    </w:lvl>
    <w:lvl w:ilvl="6" w:tplc="096A920E">
      <w:start w:val="1"/>
      <w:numFmt w:val="bullet"/>
      <w:lvlText w:val="●"/>
      <w:lvlJc w:val="left"/>
      <w:pPr>
        <w:ind w:left="5040" w:hanging="360"/>
      </w:pPr>
      <w:rPr>
        <w:rFonts w:ascii="Noto Sans Symbols" w:eastAsia="Noto Sans Symbols" w:hAnsi="Noto Sans Symbols" w:cs="Noto Sans Symbols"/>
      </w:rPr>
    </w:lvl>
    <w:lvl w:ilvl="7" w:tplc="9C12CE4E">
      <w:start w:val="1"/>
      <w:numFmt w:val="bullet"/>
      <w:lvlText w:val="o"/>
      <w:lvlJc w:val="left"/>
      <w:pPr>
        <w:ind w:left="5760" w:hanging="360"/>
      </w:pPr>
      <w:rPr>
        <w:rFonts w:ascii="Courier New" w:eastAsia="Courier New" w:hAnsi="Courier New" w:cs="Courier New"/>
      </w:rPr>
    </w:lvl>
    <w:lvl w:ilvl="8" w:tplc="04EADAA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D87"/>
    <w:rsid w:val="002275FB"/>
    <w:rsid w:val="00231920"/>
    <w:rsid w:val="0023195C"/>
    <w:rsid w:val="0024282C"/>
    <w:rsid w:val="002460DC"/>
    <w:rsid w:val="00250985"/>
    <w:rsid w:val="002556F6"/>
    <w:rsid w:val="00283105"/>
    <w:rsid w:val="00284C4C"/>
    <w:rsid w:val="00285632"/>
    <w:rsid w:val="00287E68"/>
    <w:rsid w:val="00296529"/>
    <w:rsid w:val="002B27FB"/>
    <w:rsid w:val="002B685A"/>
    <w:rsid w:val="002C57D2"/>
    <w:rsid w:val="002E0D56"/>
    <w:rsid w:val="00315186"/>
    <w:rsid w:val="0033343E"/>
    <w:rsid w:val="003351AB"/>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7585"/>
    <w:rsid w:val="00633614"/>
    <w:rsid w:val="00633F68"/>
    <w:rsid w:val="00636EB2"/>
    <w:rsid w:val="006375B8"/>
    <w:rsid w:val="00652EF7"/>
    <w:rsid w:val="0066510A"/>
    <w:rsid w:val="00673F9F"/>
    <w:rsid w:val="0068118B"/>
    <w:rsid w:val="00686953"/>
    <w:rsid w:val="00687DEA"/>
    <w:rsid w:val="00687E67"/>
    <w:rsid w:val="006967F7"/>
    <w:rsid w:val="006A250C"/>
    <w:rsid w:val="006B21D3"/>
    <w:rsid w:val="006B57D0"/>
    <w:rsid w:val="006D30FF"/>
    <w:rsid w:val="006D6940"/>
    <w:rsid w:val="006F11EC"/>
    <w:rsid w:val="0070082C"/>
    <w:rsid w:val="00735574"/>
    <w:rsid w:val="007369E6"/>
    <w:rsid w:val="00746E59"/>
    <w:rsid w:val="00754C9A"/>
    <w:rsid w:val="0075599A"/>
    <w:rsid w:val="00761D52"/>
    <w:rsid w:val="0077749E"/>
    <w:rsid w:val="00790ADA"/>
    <w:rsid w:val="00794FAD"/>
    <w:rsid w:val="007A094C"/>
    <w:rsid w:val="007D2288"/>
    <w:rsid w:val="007E088F"/>
    <w:rsid w:val="007F7B32"/>
    <w:rsid w:val="00804BC2"/>
    <w:rsid w:val="0081431A"/>
    <w:rsid w:val="0083216F"/>
    <w:rsid w:val="00860000"/>
    <w:rsid w:val="00863BD3"/>
    <w:rsid w:val="008641ED"/>
    <w:rsid w:val="00866D66"/>
    <w:rsid w:val="008671C6"/>
    <w:rsid w:val="00875803"/>
    <w:rsid w:val="00890959"/>
    <w:rsid w:val="008B459E"/>
    <w:rsid w:val="008E13AE"/>
    <w:rsid w:val="008E1506"/>
    <w:rsid w:val="008E710C"/>
    <w:rsid w:val="008F69D6"/>
    <w:rsid w:val="00902823"/>
    <w:rsid w:val="00903407"/>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CD0"/>
    <w:rsid w:val="00AC6BB8"/>
    <w:rsid w:val="00AE008F"/>
    <w:rsid w:val="00B01FCD"/>
    <w:rsid w:val="00B1776C"/>
    <w:rsid w:val="00B52583"/>
    <w:rsid w:val="00B52896"/>
    <w:rsid w:val="00B95236"/>
    <w:rsid w:val="00B96BD9"/>
    <w:rsid w:val="00BA1B01"/>
    <w:rsid w:val="00BA2641"/>
    <w:rsid w:val="00BB37AA"/>
    <w:rsid w:val="00BC53A0"/>
    <w:rsid w:val="00BC58E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0B6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C0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00B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1">
    <w:name w:val="Table1"/>
    <w:basedOn w:val="TableNormal"/>
    <w:rsid w:val="00BC58E3"/>
    <w:rPr>
      <w:sz w:val="24"/>
      <w:szCs w:val="24"/>
    </w:rPr>
    <w:tblPr>
      <w:tblStyleRowBandSize w:val="1"/>
      <w:tblStyleColBandSize w:val="1"/>
      <w:tblInd w:w="0" w:type="nil"/>
      <w:tblCellMar>
        <w:left w:w="70" w:type="dxa"/>
        <w:right w:w="70" w:type="dxa"/>
      </w:tblCellMar>
    </w:tblPr>
  </w:style>
  <w:style w:type="table" w:customStyle="1" w:styleId="Table2">
    <w:name w:val="Table2"/>
    <w:basedOn w:val="TableNormal"/>
    <w:rsid w:val="00BC58E3"/>
    <w:rPr>
      <w:sz w:val="24"/>
      <w:szCs w:val="24"/>
    </w:rPr>
    <w:tblPr>
      <w:tblStyleRowBandSize w:val="1"/>
      <w:tblStyleColBandSize w:val="1"/>
      <w:tblInd w:w="0" w:type="nil"/>
      <w:tblCellMar>
        <w:left w:w="70" w:type="dxa"/>
        <w:right w:w="70" w:type="dxa"/>
      </w:tblCellMar>
    </w:tblPr>
  </w:style>
  <w:style w:type="paragraph" w:styleId="NormalWeb">
    <w:name w:val="Normal (Web)"/>
    <w:basedOn w:val="Normal"/>
    <w:uiPriority w:val="99"/>
    <w:semiHidden/>
    <w:unhideWhenUsed/>
    <w:rsid w:val="00DC0B66"/>
    <w:pPr>
      <w:spacing w:before="100" w:beforeAutospacing="1" w:after="100" w:afterAutospacing="1"/>
    </w:pPr>
    <w:rPr>
      <w:rFonts w:ascii="Times New Roman" w:hAnsi="Times New Roman"/>
      <w:sz w:val="24"/>
      <w:szCs w:val="24"/>
      <w:lang w:val="pt-BR" w:eastAsia="pt-BR"/>
    </w:rPr>
  </w:style>
  <w:style w:type="character" w:customStyle="1" w:styleId="url">
    <w:name w:val="url"/>
    <w:basedOn w:val="DefaultParagraphFont"/>
    <w:rsid w:val="00DC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1123933">
      <w:bodyDiv w:val="1"/>
      <w:marLeft w:val="0"/>
      <w:marRight w:val="0"/>
      <w:marTop w:val="0"/>
      <w:marBottom w:val="0"/>
      <w:divBdr>
        <w:top w:val="none" w:sz="0" w:space="0" w:color="auto"/>
        <w:left w:val="none" w:sz="0" w:space="0" w:color="auto"/>
        <w:bottom w:val="none" w:sz="0" w:space="0" w:color="auto"/>
        <w:right w:val="none" w:sz="0" w:space="0" w:color="auto"/>
      </w:divBdr>
      <w:divsChild>
        <w:div w:id="638345210">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AC31-2D42-470C-8CDB-5C958001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9</Pages>
  <Words>3442</Words>
  <Characters>19620</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10</cp:revision>
  <cp:lastPrinted>1999-07-06T11:00:00Z</cp:lastPrinted>
  <dcterms:created xsi:type="dcterms:W3CDTF">2025-08-04T14:27:00Z</dcterms:created>
  <dcterms:modified xsi:type="dcterms:W3CDTF">2025-08-05T08:26:00Z</dcterms:modified>
</cp:coreProperties>
</file>