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676" w:rsidRDefault="00B93676" w:rsidP="00B93676">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 xml:space="preserve">Allergic Bronchopulmonary Aspergillosis in Bronchial Asthma </w:t>
      </w:r>
      <w:proofErr w:type="gramStart"/>
      <w:r w:rsidRPr="00483322">
        <w:rPr>
          <w:rFonts w:ascii="Times New Roman" w:eastAsia="Times New Roman" w:hAnsi="Times New Roman" w:cs="Times New Roman"/>
          <w:sz w:val="24"/>
          <w:szCs w:val="24"/>
        </w:rPr>
        <w:t>Children :</w:t>
      </w:r>
      <w:proofErr w:type="gramEnd"/>
      <w:r w:rsidRPr="00483322">
        <w:rPr>
          <w:rFonts w:ascii="Times New Roman" w:eastAsia="Times New Roman" w:hAnsi="Times New Roman" w:cs="Times New Roman"/>
          <w:sz w:val="24"/>
          <w:szCs w:val="24"/>
        </w:rPr>
        <w:t xml:space="preserve"> A Prevalence Study</w:t>
      </w:r>
    </w:p>
    <w:p w:rsidR="00B93676" w:rsidRDefault="00B93676" w:rsidP="00B93676">
      <w:pPr>
        <w:spacing w:line="480" w:lineRule="auto"/>
        <w:jc w:val="both"/>
        <w:rPr>
          <w:rFonts w:ascii="Times New Roman" w:eastAsia="Times New Roman" w:hAnsi="Times New Roman" w:cs="Times New Roman"/>
          <w:sz w:val="24"/>
          <w:szCs w:val="24"/>
        </w:rPr>
      </w:pPr>
    </w:p>
    <w:p w:rsidR="00B93676" w:rsidRPr="00483322" w:rsidRDefault="00B93676" w:rsidP="00B93676">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ABSTRACT</w:t>
      </w:r>
    </w:p>
    <w:p w:rsidR="00B93676" w:rsidRPr="00483322" w:rsidRDefault="00B93676" w:rsidP="00B93676">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Aim: The aim of this study was to examine the prevalence of allergic bronchopulmonary aspergillosis (ABPA) in children with bronchial asthma.</w:t>
      </w:r>
    </w:p>
    <w:p w:rsidR="00B93676" w:rsidRPr="00483322" w:rsidRDefault="00B93676" w:rsidP="00B93676">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 xml:space="preserve">Methods: The study included 200 children with bronchial asthma. We diagnosed ABPA using Aspergillus skin test, pulmonary function test, Absolute Eosinophil count, Total Serum </w:t>
      </w:r>
      <w:proofErr w:type="spellStart"/>
      <w:r w:rsidRPr="00483322">
        <w:rPr>
          <w:rFonts w:ascii="Times New Roman" w:eastAsia="Times New Roman" w:hAnsi="Times New Roman" w:cs="Times New Roman"/>
          <w:sz w:val="24"/>
          <w:szCs w:val="24"/>
        </w:rPr>
        <w:t>IgE</w:t>
      </w:r>
      <w:proofErr w:type="spellEnd"/>
      <w:r w:rsidRPr="00483322">
        <w:rPr>
          <w:rFonts w:ascii="Times New Roman" w:eastAsia="Times New Roman" w:hAnsi="Times New Roman" w:cs="Times New Roman"/>
          <w:sz w:val="24"/>
          <w:szCs w:val="24"/>
        </w:rPr>
        <w:t xml:space="preserve">, Aspergillus specific </w:t>
      </w:r>
      <w:proofErr w:type="spellStart"/>
      <w:r w:rsidRPr="00483322">
        <w:rPr>
          <w:rFonts w:ascii="Times New Roman" w:eastAsia="Times New Roman" w:hAnsi="Times New Roman" w:cs="Times New Roman"/>
          <w:sz w:val="24"/>
          <w:szCs w:val="24"/>
        </w:rPr>
        <w:t>IgE</w:t>
      </w:r>
      <w:proofErr w:type="spellEnd"/>
      <w:r w:rsidRPr="00483322">
        <w:rPr>
          <w:rFonts w:ascii="Times New Roman" w:eastAsia="Times New Roman" w:hAnsi="Times New Roman" w:cs="Times New Roman"/>
          <w:sz w:val="24"/>
          <w:szCs w:val="24"/>
        </w:rPr>
        <w:t xml:space="preserve"> and IgG, Chest Radiograph and </w:t>
      </w:r>
      <w:proofErr w:type="gramStart"/>
      <w:r w:rsidRPr="00483322">
        <w:rPr>
          <w:rFonts w:ascii="Times New Roman" w:eastAsia="Times New Roman" w:hAnsi="Times New Roman" w:cs="Times New Roman"/>
          <w:sz w:val="24"/>
          <w:szCs w:val="24"/>
        </w:rPr>
        <w:t>high resolution</w:t>
      </w:r>
      <w:proofErr w:type="gramEnd"/>
      <w:r w:rsidRPr="00483322">
        <w:rPr>
          <w:rFonts w:ascii="Times New Roman" w:eastAsia="Times New Roman" w:hAnsi="Times New Roman" w:cs="Times New Roman"/>
          <w:sz w:val="24"/>
          <w:szCs w:val="24"/>
        </w:rPr>
        <w:t xml:space="preserve"> computed tomography. Patients were diagnosed and classified according to Rosenberg-Patterson criteria for ABPA. </w:t>
      </w:r>
    </w:p>
    <w:p w:rsidR="00B93676" w:rsidRPr="00483322" w:rsidRDefault="00B93676" w:rsidP="00B93676">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Results: Of 200 children with bronchial asthma, 7 patients were ABPA positive. 5 (71.4%) cases had uncontrolled asthma amongst ABPA positive cases. Mean AEC was significantly higher in ABPA positive cases (418.71±90.12 cells/</w:t>
      </w:r>
      <w:proofErr w:type="spellStart"/>
      <w:r w:rsidRPr="00483322">
        <w:rPr>
          <w:rFonts w:ascii="Times New Roman" w:eastAsia="Times New Roman" w:hAnsi="Times New Roman" w:cs="Times New Roman"/>
          <w:sz w:val="24"/>
          <w:szCs w:val="24"/>
        </w:rPr>
        <w:t>cumm</w:t>
      </w:r>
      <w:proofErr w:type="spellEnd"/>
      <w:r w:rsidRPr="00483322">
        <w:rPr>
          <w:rFonts w:ascii="Times New Roman" w:eastAsia="Times New Roman" w:hAnsi="Times New Roman" w:cs="Times New Roman"/>
          <w:sz w:val="24"/>
          <w:szCs w:val="24"/>
        </w:rPr>
        <w:t xml:space="preserve">). Mean Total serum </w:t>
      </w:r>
      <w:proofErr w:type="spellStart"/>
      <w:r w:rsidRPr="00483322">
        <w:rPr>
          <w:rFonts w:ascii="Times New Roman" w:eastAsia="Times New Roman" w:hAnsi="Times New Roman" w:cs="Times New Roman"/>
          <w:sz w:val="24"/>
          <w:szCs w:val="24"/>
        </w:rPr>
        <w:t>IgE</w:t>
      </w:r>
      <w:proofErr w:type="spellEnd"/>
      <w:r w:rsidRPr="00483322">
        <w:rPr>
          <w:rFonts w:ascii="Times New Roman" w:eastAsia="Times New Roman" w:hAnsi="Times New Roman" w:cs="Times New Roman"/>
          <w:sz w:val="24"/>
          <w:szCs w:val="24"/>
        </w:rPr>
        <w:t xml:space="preserve"> in the positive cases was 1181.00±403.42 IU/L. The mean A. specific </w:t>
      </w:r>
      <w:proofErr w:type="spellStart"/>
      <w:r w:rsidRPr="00483322">
        <w:rPr>
          <w:rFonts w:ascii="Times New Roman" w:eastAsia="Times New Roman" w:hAnsi="Times New Roman" w:cs="Times New Roman"/>
          <w:sz w:val="24"/>
          <w:szCs w:val="24"/>
        </w:rPr>
        <w:t>IgE</w:t>
      </w:r>
      <w:proofErr w:type="spellEnd"/>
      <w:r w:rsidRPr="00483322">
        <w:rPr>
          <w:rFonts w:ascii="Times New Roman" w:eastAsia="Times New Roman" w:hAnsi="Times New Roman" w:cs="Times New Roman"/>
          <w:sz w:val="24"/>
          <w:szCs w:val="24"/>
        </w:rPr>
        <w:t xml:space="preserve"> in the positive cases was 4.74±6.09 </w:t>
      </w:r>
      <w:proofErr w:type="spellStart"/>
      <w:r w:rsidRPr="00483322">
        <w:rPr>
          <w:rFonts w:ascii="Times New Roman" w:eastAsia="Times New Roman" w:hAnsi="Times New Roman" w:cs="Times New Roman"/>
          <w:sz w:val="24"/>
          <w:szCs w:val="24"/>
        </w:rPr>
        <w:t>kUA</w:t>
      </w:r>
      <w:proofErr w:type="spellEnd"/>
      <w:r w:rsidRPr="00483322">
        <w:rPr>
          <w:rFonts w:ascii="Times New Roman" w:eastAsia="Times New Roman" w:hAnsi="Times New Roman" w:cs="Times New Roman"/>
          <w:sz w:val="24"/>
          <w:szCs w:val="24"/>
        </w:rPr>
        <w:t xml:space="preserve">/l. In the ABPA positive cases, mean A. specific IgG was 26.06±14.93 </w:t>
      </w:r>
      <w:proofErr w:type="spellStart"/>
      <w:r w:rsidRPr="00483322">
        <w:rPr>
          <w:rFonts w:ascii="Times New Roman" w:eastAsia="Times New Roman" w:hAnsi="Times New Roman" w:cs="Times New Roman"/>
          <w:sz w:val="24"/>
          <w:szCs w:val="24"/>
        </w:rPr>
        <w:t>mgA</w:t>
      </w:r>
      <w:proofErr w:type="spellEnd"/>
      <w:r w:rsidRPr="00483322">
        <w:rPr>
          <w:rFonts w:ascii="Times New Roman" w:eastAsia="Times New Roman" w:hAnsi="Times New Roman" w:cs="Times New Roman"/>
          <w:sz w:val="24"/>
          <w:szCs w:val="24"/>
        </w:rPr>
        <w:t xml:space="preserve">/L. </w:t>
      </w:r>
    </w:p>
    <w:p w:rsidR="00B93676" w:rsidRPr="00483322" w:rsidRDefault="00B93676" w:rsidP="00B93676">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Conclusion: This study showed an association between ABPA and bronchial asthma in children. ABPA is a common entity in bronchial asthma and should be considered as a cause of uncontrolled asthma, where asthma is poorly controlled despite the use of many medications.</w:t>
      </w:r>
    </w:p>
    <w:p w:rsidR="00B93676" w:rsidRDefault="00B93676" w:rsidP="00B93676">
      <w:pPr>
        <w:spacing w:line="480" w:lineRule="auto"/>
        <w:jc w:val="both"/>
        <w:rPr>
          <w:rFonts w:ascii="Times New Roman" w:eastAsia="Times New Roman" w:hAnsi="Times New Roman" w:cs="Times New Roman"/>
          <w:sz w:val="24"/>
          <w:szCs w:val="24"/>
        </w:rPr>
      </w:pPr>
      <w:r w:rsidRPr="00483322">
        <w:rPr>
          <w:rFonts w:ascii="Times New Roman" w:eastAsia="Times New Roman" w:hAnsi="Times New Roman" w:cs="Times New Roman"/>
          <w:sz w:val="24"/>
          <w:szCs w:val="24"/>
        </w:rPr>
        <w:t>Keywords: Asthma, Allergy, Airway inflammation, Aspergillosis.</w:t>
      </w:r>
    </w:p>
    <w:p w:rsidR="00B93676" w:rsidRDefault="00B93676" w:rsidP="00EF3DF6">
      <w:pPr>
        <w:spacing w:line="480" w:lineRule="auto"/>
        <w:jc w:val="both"/>
        <w:rPr>
          <w:rFonts w:ascii="Arial" w:eastAsia="Times New Roman" w:hAnsi="Arial" w:cs="Arial"/>
          <w:sz w:val="24"/>
          <w:szCs w:val="24"/>
        </w:rPr>
      </w:pPr>
    </w:p>
    <w:p w:rsidR="00B93676" w:rsidRDefault="00B93676" w:rsidP="00EF3DF6">
      <w:pPr>
        <w:spacing w:line="480" w:lineRule="auto"/>
        <w:jc w:val="both"/>
        <w:rPr>
          <w:rFonts w:ascii="Arial" w:eastAsia="Times New Roman" w:hAnsi="Arial" w:cs="Arial"/>
          <w:sz w:val="24"/>
          <w:szCs w:val="24"/>
        </w:rPr>
      </w:pP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INTRODUCTION</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lastRenderedPageBreak/>
        <w:t>Bronchial asthma is one of the most common chronic diseases worldwide, imposing a substantial burden on both children and adults. According to latest GINA guidelines 202</w:t>
      </w:r>
      <w:r w:rsidR="004E17A8" w:rsidRPr="00EF3DF6">
        <w:rPr>
          <w:rFonts w:ascii="Arial" w:eastAsia="Times New Roman" w:hAnsi="Arial" w:cs="Arial"/>
          <w:sz w:val="24"/>
          <w:szCs w:val="24"/>
        </w:rPr>
        <w:t>4</w:t>
      </w:r>
      <w:r w:rsidRPr="00EF3DF6">
        <w:rPr>
          <w:rFonts w:ascii="Arial" w:eastAsia="Times New Roman" w:hAnsi="Arial" w:cs="Arial"/>
          <w:sz w:val="24"/>
          <w:szCs w:val="24"/>
        </w:rPr>
        <w:t xml:space="preserve">, bronchial asthma is a heterogenous disease, usually characterized by chronic airway inflammation. It is defined by history of respiratory symptoms such as wheeze, shortness of breath, chest tightness and cough that vary over time and in intensity, together with variable expiratory airflow limitation. </w:t>
      </w:r>
      <w:r w:rsidRPr="00EF3DF6">
        <w:rPr>
          <w:rFonts w:ascii="Arial" w:eastAsia="Times New Roman" w:hAnsi="Arial" w:cs="Arial"/>
          <w:sz w:val="24"/>
          <w:szCs w:val="24"/>
          <w:vertAlign w:val="superscript"/>
        </w:rPr>
        <w:t xml:space="preserve">[1] </w:t>
      </w:r>
      <w:r w:rsidRPr="00EF3DF6">
        <w:rPr>
          <w:rFonts w:ascii="Arial" w:eastAsia="Times New Roman" w:hAnsi="Arial" w:cs="Arial"/>
          <w:sz w:val="24"/>
          <w:szCs w:val="24"/>
        </w:rPr>
        <w:t>Diagnosis of bronchial asthma can be made if two out of the three following criteria are fulfilled: 1. History of recurrent attacks of chest tightness, breathlessness and a cough that is worse at night or early morning. 2. Physical examination showing expiratory wheeze (rhonchi). 3. Spirometry showing airflow limitation or low FEV1 or FEV</w:t>
      </w:r>
      <w:proofErr w:type="gramStart"/>
      <w:r w:rsidRPr="00EF3DF6">
        <w:rPr>
          <w:rFonts w:ascii="Arial" w:eastAsia="Times New Roman" w:hAnsi="Arial" w:cs="Arial"/>
          <w:sz w:val="24"/>
          <w:szCs w:val="24"/>
        </w:rPr>
        <w:t>1:FVC</w:t>
      </w:r>
      <w:proofErr w:type="gramEnd"/>
      <w:r w:rsidRPr="00EF3DF6">
        <w:rPr>
          <w:rFonts w:ascii="Arial" w:eastAsia="Times New Roman" w:hAnsi="Arial" w:cs="Arial"/>
          <w:sz w:val="24"/>
          <w:szCs w:val="24"/>
        </w:rPr>
        <w:t xml:space="preserve"> &lt; 0.80 or bronchodilator response – improvement in FEV1 of </w:t>
      </w:r>
      <w:r w:rsidRPr="00EF3DF6">
        <w:rPr>
          <w:rFonts w:ascii="Arial" w:eastAsia="Cambria Math" w:hAnsi="Arial" w:cs="Arial"/>
          <w:sz w:val="24"/>
          <w:szCs w:val="24"/>
        </w:rPr>
        <w:t>≥</w:t>
      </w:r>
      <w:r w:rsidRPr="00EF3DF6">
        <w:rPr>
          <w:rFonts w:ascii="Arial" w:eastAsia="Times New Roman" w:hAnsi="Arial" w:cs="Arial"/>
          <w:sz w:val="24"/>
          <w:szCs w:val="24"/>
        </w:rPr>
        <w:t xml:space="preserve"> 12%/ </w:t>
      </w:r>
      <w:r w:rsidRPr="00EF3DF6">
        <w:rPr>
          <w:rFonts w:ascii="Arial" w:eastAsia="Cambria Math" w:hAnsi="Arial" w:cs="Arial"/>
          <w:sz w:val="24"/>
          <w:szCs w:val="24"/>
        </w:rPr>
        <w:t>≥</w:t>
      </w:r>
      <w:r w:rsidRPr="00EF3DF6">
        <w:rPr>
          <w:rFonts w:ascii="Arial" w:eastAsia="Times New Roman" w:hAnsi="Arial" w:cs="Arial"/>
          <w:sz w:val="24"/>
          <w:szCs w:val="24"/>
        </w:rPr>
        <w:t xml:space="preserve"> 200ml or exercise challenge: worsening in FEV1 </w:t>
      </w:r>
      <w:r w:rsidRPr="00EF3DF6">
        <w:rPr>
          <w:rFonts w:ascii="Arial" w:eastAsia="Cambria Math" w:hAnsi="Arial" w:cs="Arial"/>
          <w:sz w:val="24"/>
          <w:szCs w:val="24"/>
        </w:rPr>
        <w:t>≥</w:t>
      </w:r>
      <w:r w:rsidRPr="00EF3DF6">
        <w:rPr>
          <w:rFonts w:ascii="Arial" w:eastAsia="Times New Roman" w:hAnsi="Arial" w:cs="Arial"/>
          <w:sz w:val="24"/>
          <w:szCs w:val="24"/>
        </w:rPr>
        <w:t xml:space="preserve"> 15%. </w:t>
      </w:r>
      <w:r w:rsidRPr="00EF3DF6">
        <w:rPr>
          <w:rFonts w:ascii="Arial" w:eastAsia="Times New Roman" w:hAnsi="Arial" w:cs="Arial"/>
          <w:sz w:val="24"/>
          <w:szCs w:val="24"/>
          <w:vertAlign w:val="superscript"/>
        </w:rPr>
        <w:t>[2]</w:t>
      </w:r>
      <w:r w:rsidRPr="00EF3DF6">
        <w:rPr>
          <w:rFonts w:ascii="Arial" w:eastAsia="Times New Roman" w:hAnsi="Arial" w:cs="Arial"/>
          <w:sz w:val="24"/>
          <w:szCs w:val="24"/>
        </w:rPr>
        <w:t xml:space="preserve"> There are various factors that can cause asthma exacerbations including allergens like dust mite, pollen, animal dander, fungi; occupational exposures like grains, flours, cleaning agents, metals, irritants; hormones like in menstrual asthma; drugs like NSAIDs, beta blockers; exercise, stress and air pollutants. Amongst the inhaled allergens, fungi are being recognized as an important cause of these exacerbations. </w:t>
      </w:r>
      <w:r w:rsidRPr="00EF3DF6">
        <w:rPr>
          <w:rFonts w:ascii="Arial" w:eastAsia="Times New Roman" w:hAnsi="Arial" w:cs="Arial"/>
          <w:sz w:val="24"/>
          <w:szCs w:val="24"/>
          <w:vertAlign w:val="superscript"/>
        </w:rPr>
        <w:t>[3]</w:t>
      </w:r>
      <w:r w:rsidRPr="00EF3DF6">
        <w:rPr>
          <w:rFonts w:ascii="Arial" w:eastAsia="Times New Roman" w:hAnsi="Arial" w:cs="Arial"/>
          <w:sz w:val="24"/>
          <w:szCs w:val="24"/>
        </w:rPr>
        <w:t xml:space="preserve"> </w:t>
      </w:r>
      <w:r w:rsidR="009054C6" w:rsidRPr="00EF3DF6">
        <w:rPr>
          <w:rFonts w:ascii="Arial" w:hAnsi="Arial" w:cs="Arial"/>
          <w:color w:val="1B1B1B"/>
          <w:sz w:val="24"/>
          <w:szCs w:val="24"/>
          <w:shd w:val="clear" w:color="auto" w:fill="FFFFFF"/>
        </w:rPr>
        <w:t>Fungi have many potential roles in paediatric asthma, predominantly by being a source of allergens (severe asthma with fungal sensitization), and also directly damaging the epithelial barrier and underlying tissue by releasing proteolytic enzymes (fungal bronchitis). </w:t>
      </w:r>
      <w:r w:rsidR="00F65746" w:rsidRPr="00EF3DF6">
        <w:rPr>
          <w:rFonts w:ascii="Arial" w:hAnsi="Arial" w:cs="Arial"/>
          <w:color w:val="1B1B1B"/>
          <w:sz w:val="24"/>
          <w:szCs w:val="24"/>
          <w:shd w:val="clear" w:color="auto" w:fill="FFFFFF"/>
          <w:vertAlign w:val="superscript"/>
        </w:rPr>
        <w:t xml:space="preserve">[4] </w:t>
      </w:r>
      <w:r w:rsidRPr="00EF3DF6">
        <w:rPr>
          <w:rFonts w:ascii="Arial" w:eastAsia="Times New Roman" w:hAnsi="Arial" w:cs="Arial"/>
          <w:sz w:val="24"/>
          <w:szCs w:val="24"/>
        </w:rPr>
        <w:t xml:space="preserve">Many airborne fungi are involved, including species of Alternaria, Aspergillus, Cladosporium and Penicillium, with Aspergillus fumigatus causing a variety of pulmonary diseases depending on individual’s genetic status and immunologic responses to Aspergillus antigens.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5</w:t>
      </w:r>
      <w:r w:rsidRPr="00EF3DF6">
        <w:rPr>
          <w:rFonts w:ascii="Arial" w:eastAsia="Times New Roman" w:hAnsi="Arial" w:cs="Arial"/>
          <w:sz w:val="24"/>
          <w:szCs w:val="24"/>
          <w:vertAlign w:val="superscript"/>
        </w:rPr>
        <w:t>]</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AIMS AND OBJECTIVES</w:t>
      </w:r>
    </w:p>
    <w:p w:rsidR="00115278" w:rsidRPr="00EF3DF6" w:rsidRDefault="00553D1A"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lastRenderedPageBreak/>
        <w:t>To Assess</w:t>
      </w:r>
      <w:r w:rsidR="00790564" w:rsidRPr="00EF3DF6">
        <w:rPr>
          <w:rFonts w:ascii="Arial" w:eastAsia="Times New Roman" w:hAnsi="Arial" w:cs="Arial"/>
          <w:sz w:val="24"/>
          <w:szCs w:val="24"/>
        </w:rPr>
        <w:t xml:space="preserve"> the prevalence of Allergic Bronchopulmonary Aspergillosis</w:t>
      </w:r>
      <w:r w:rsidRPr="00EF3DF6">
        <w:rPr>
          <w:rFonts w:ascii="Arial" w:eastAsia="Times New Roman" w:hAnsi="Arial" w:cs="Arial"/>
          <w:sz w:val="24"/>
          <w:szCs w:val="24"/>
        </w:rPr>
        <w:t xml:space="preserve"> (ABPA)</w:t>
      </w:r>
      <w:r w:rsidR="00790564" w:rsidRPr="00EF3DF6">
        <w:rPr>
          <w:rFonts w:ascii="Arial" w:eastAsia="Times New Roman" w:hAnsi="Arial" w:cs="Arial"/>
          <w:sz w:val="24"/>
          <w:szCs w:val="24"/>
        </w:rPr>
        <w:t xml:space="preserve"> in children with </w:t>
      </w:r>
      <w:r w:rsidRPr="00EF3DF6">
        <w:rPr>
          <w:rFonts w:ascii="Arial" w:eastAsia="Times New Roman" w:hAnsi="Arial" w:cs="Arial"/>
          <w:sz w:val="24"/>
          <w:szCs w:val="24"/>
        </w:rPr>
        <w:t>B</w:t>
      </w:r>
      <w:r w:rsidR="00790564" w:rsidRPr="00EF3DF6">
        <w:rPr>
          <w:rFonts w:ascii="Arial" w:eastAsia="Times New Roman" w:hAnsi="Arial" w:cs="Arial"/>
          <w:sz w:val="24"/>
          <w:szCs w:val="24"/>
        </w:rPr>
        <w:t xml:space="preserve">ronchial </w:t>
      </w:r>
      <w:r w:rsidRPr="00EF3DF6">
        <w:rPr>
          <w:rFonts w:ascii="Arial" w:eastAsia="Times New Roman" w:hAnsi="Arial" w:cs="Arial"/>
          <w:sz w:val="24"/>
          <w:szCs w:val="24"/>
        </w:rPr>
        <w:t>A</w:t>
      </w:r>
      <w:r w:rsidR="00790564" w:rsidRPr="00EF3DF6">
        <w:rPr>
          <w:rFonts w:ascii="Arial" w:eastAsia="Times New Roman" w:hAnsi="Arial" w:cs="Arial"/>
          <w:sz w:val="24"/>
          <w:szCs w:val="24"/>
        </w:rPr>
        <w:t>sthma.</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MATERIAL AND METHODS</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This study was conducted on 200 children in the age group of 1-15 years, including outpatients and the patients admitted in the Department of P</w:t>
      </w:r>
      <w:r w:rsidR="00FF78CA" w:rsidRPr="00EF3DF6">
        <w:rPr>
          <w:rFonts w:ascii="Arial" w:eastAsia="Times New Roman" w:hAnsi="Arial" w:cs="Arial"/>
          <w:sz w:val="24"/>
          <w:szCs w:val="24"/>
        </w:rPr>
        <w:t>a</w:t>
      </w:r>
      <w:r w:rsidRPr="00EF3DF6">
        <w:rPr>
          <w:rFonts w:ascii="Arial" w:eastAsia="Times New Roman" w:hAnsi="Arial" w:cs="Arial"/>
          <w:sz w:val="24"/>
          <w:szCs w:val="24"/>
        </w:rPr>
        <w:t xml:space="preserve">ediatrics, Government Medical College, </w:t>
      </w:r>
      <w:proofErr w:type="spellStart"/>
      <w:r w:rsidRPr="00EF3DF6">
        <w:rPr>
          <w:rFonts w:ascii="Arial" w:eastAsia="Times New Roman" w:hAnsi="Arial" w:cs="Arial"/>
          <w:sz w:val="24"/>
          <w:szCs w:val="24"/>
        </w:rPr>
        <w:t>Rajindra</w:t>
      </w:r>
      <w:proofErr w:type="spellEnd"/>
      <w:r w:rsidRPr="00EF3DF6">
        <w:rPr>
          <w:rFonts w:ascii="Arial" w:eastAsia="Times New Roman" w:hAnsi="Arial" w:cs="Arial"/>
          <w:sz w:val="24"/>
          <w:szCs w:val="24"/>
        </w:rPr>
        <w:t xml:space="preserve"> Hospital, Patiala who were diagnosed to have Bronchial Asthma. </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Inclusion criteria: Children aged 1-15 years with diagnosis of bronchial asthma</w:t>
      </w:r>
      <w:proofErr w:type="gramStart"/>
      <w:r w:rsidRPr="00EF3DF6">
        <w:rPr>
          <w:rFonts w:ascii="Arial" w:eastAsia="Times New Roman" w:hAnsi="Arial" w:cs="Arial"/>
          <w:sz w:val="24"/>
          <w:szCs w:val="24"/>
        </w:rPr>
        <w:t>. .</w:t>
      </w:r>
      <w:proofErr w:type="gramEnd"/>
      <w:r w:rsidRPr="00EF3DF6">
        <w:rPr>
          <w:rFonts w:ascii="Arial" w:eastAsia="Times New Roman" w:hAnsi="Arial" w:cs="Arial"/>
          <w:sz w:val="24"/>
          <w:szCs w:val="24"/>
        </w:rPr>
        <w:t xml:space="preserve"> Diagnosis of bronchial asthma was made if two out of the three following criteria were fulfilled: 1. History of recurrent attacks of chest tightness, breathlessness and a cough that is worse at night or early morning. 2. Physical examination showing expiratory wheeze (rhonchi). 3. Spirometry showing airflow limitation or low FEV1 or FEV</w:t>
      </w:r>
      <w:proofErr w:type="gramStart"/>
      <w:r w:rsidRPr="00EF3DF6">
        <w:rPr>
          <w:rFonts w:ascii="Arial" w:eastAsia="Times New Roman" w:hAnsi="Arial" w:cs="Arial"/>
          <w:sz w:val="24"/>
          <w:szCs w:val="24"/>
        </w:rPr>
        <w:t>1:FVC</w:t>
      </w:r>
      <w:proofErr w:type="gramEnd"/>
      <w:r w:rsidRPr="00EF3DF6">
        <w:rPr>
          <w:rFonts w:ascii="Arial" w:eastAsia="Times New Roman" w:hAnsi="Arial" w:cs="Arial"/>
          <w:sz w:val="24"/>
          <w:szCs w:val="24"/>
        </w:rPr>
        <w:t xml:space="preserve"> &lt; 0.80 or bronchodilator response – improvement in FEV1 of </w:t>
      </w:r>
      <w:r w:rsidRPr="00EF3DF6">
        <w:rPr>
          <w:rFonts w:ascii="Arial" w:eastAsia="Cambria Math" w:hAnsi="Arial" w:cs="Arial"/>
          <w:sz w:val="24"/>
          <w:szCs w:val="24"/>
        </w:rPr>
        <w:t>≥</w:t>
      </w:r>
      <w:r w:rsidRPr="00EF3DF6">
        <w:rPr>
          <w:rFonts w:ascii="Arial" w:eastAsia="Times New Roman" w:hAnsi="Arial" w:cs="Arial"/>
          <w:sz w:val="24"/>
          <w:szCs w:val="24"/>
        </w:rPr>
        <w:t xml:space="preserve"> 12%/ </w:t>
      </w:r>
      <w:r w:rsidRPr="00EF3DF6">
        <w:rPr>
          <w:rFonts w:ascii="Arial" w:eastAsia="Cambria Math" w:hAnsi="Arial" w:cs="Arial"/>
          <w:sz w:val="24"/>
          <w:szCs w:val="24"/>
        </w:rPr>
        <w:t>≥</w:t>
      </w:r>
      <w:r w:rsidRPr="00EF3DF6">
        <w:rPr>
          <w:rFonts w:ascii="Arial" w:eastAsia="Times New Roman" w:hAnsi="Arial" w:cs="Arial"/>
          <w:sz w:val="24"/>
          <w:szCs w:val="24"/>
        </w:rPr>
        <w:t xml:space="preserve"> 200ml or exercise challenge: worsening in FEV1 </w:t>
      </w:r>
      <w:r w:rsidRPr="00EF3DF6">
        <w:rPr>
          <w:rFonts w:ascii="Arial" w:eastAsia="Cambria Math" w:hAnsi="Arial" w:cs="Arial"/>
          <w:sz w:val="24"/>
          <w:szCs w:val="24"/>
        </w:rPr>
        <w:t>≥</w:t>
      </w:r>
      <w:r w:rsidRPr="00EF3DF6">
        <w:rPr>
          <w:rFonts w:ascii="Arial" w:eastAsia="Times New Roman" w:hAnsi="Arial" w:cs="Arial"/>
          <w:sz w:val="24"/>
          <w:szCs w:val="24"/>
        </w:rPr>
        <w:t xml:space="preserve"> 15%. </w:t>
      </w:r>
      <w:r w:rsidRPr="00EF3DF6">
        <w:rPr>
          <w:rFonts w:ascii="Arial" w:eastAsia="Times New Roman" w:hAnsi="Arial" w:cs="Arial"/>
          <w:sz w:val="24"/>
          <w:szCs w:val="24"/>
          <w:vertAlign w:val="superscript"/>
        </w:rPr>
        <w:t>[2]</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Exclusion criteria: 1. Asthmatic children on oral steroids. 2. Immunocompromised children (Primary and Secondary) 3. Children on medication other than anti asthmatic drugs like for previous cardiac disease or Tuberculosis 4. Children with congenital lung malformation 5. Children with protein energy malnutrition grade 3 or 4. 6. Children whose families did not give consent.</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All cases were subjected to detailed history, clinical examination and investigations as per the proforma. All patients were first screened by intradermal skin testing, chest X-ray,</w:t>
      </w:r>
      <w:r w:rsidR="00C50F79" w:rsidRPr="00EF3DF6">
        <w:rPr>
          <w:rFonts w:ascii="Arial" w:eastAsia="Times New Roman" w:hAnsi="Arial" w:cs="Arial"/>
          <w:sz w:val="24"/>
          <w:szCs w:val="24"/>
        </w:rPr>
        <w:t xml:space="preserve"> Absolute Eosinophil cell count and</w:t>
      </w:r>
      <w:r w:rsidRPr="00EF3DF6">
        <w:rPr>
          <w:rFonts w:ascii="Arial" w:eastAsia="Times New Roman" w:hAnsi="Arial" w:cs="Arial"/>
          <w:sz w:val="24"/>
          <w:szCs w:val="24"/>
        </w:rPr>
        <w:t xml:space="preserve"> total serum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levels and Aspergillus Fumigatus specific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and IgG in the blood. </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lastRenderedPageBreak/>
        <w:t xml:space="preserve">For intradermal testing, Aspergillus antigen for Fumigatus was taken in 1 in 500 weight/volume concentration from ALCIT India </w:t>
      </w:r>
      <w:proofErr w:type="spellStart"/>
      <w:r w:rsidRPr="00EF3DF6">
        <w:rPr>
          <w:rFonts w:ascii="Arial" w:eastAsia="Times New Roman" w:hAnsi="Arial" w:cs="Arial"/>
          <w:sz w:val="24"/>
          <w:szCs w:val="24"/>
        </w:rPr>
        <w:t>Pvt.</w:t>
      </w:r>
      <w:proofErr w:type="spellEnd"/>
      <w:r w:rsidRPr="00EF3DF6">
        <w:rPr>
          <w:rFonts w:ascii="Arial" w:eastAsia="Times New Roman" w:hAnsi="Arial" w:cs="Arial"/>
          <w:sz w:val="24"/>
          <w:szCs w:val="24"/>
        </w:rPr>
        <w:t xml:space="preserve"> Ltd. All the antihistamines and bronchodilators were stopped 24 hours before testing. Buffered saline as negative control and Histamine Acid Phosphate (1:10000) as positive control were used. </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Chest X-ray was considered positive if it showed fleeting shadows, which may be in the form of infiltrate, gloved finger and tramline shadows, </w:t>
      </w:r>
      <w:proofErr w:type="spellStart"/>
      <w:r w:rsidRPr="00EF3DF6">
        <w:rPr>
          <w:rFonts w:ascii="Arial" w:eastAsia="Times New Roman" w:hAnsi="Arial" w:cs="Arial"/>
          <w:sz w:val="24"/>
          <w:szCs w:val="24"/>
        </w:rPr>
        <w:t>pseudohilar</w:t>
      </w:r>
      <w:proofErr w:type="spellEnd"/>
      <w:r w:rsidRPr="00EF3DF6">
        <w:rPr>
          <w:rFonts w:ascii="Arial" w:eastAsia="Times New Roman" w:hAnsi="Arial" w:cs="Arial"/>
          <w:sz w:val="24"/>
          <w:szCs w:val="24"/>
        </w:rPr>
        <w:t xml:space="preserve"> lymphadenopathy, hyperinflation, collapse, central bronchiectasis, parallel line and ring shadows. </w:t>
      </w:r>
    </w:p>
    <w:p w:rsidR="00C50F79" w:rsidRPr="00EF3DF6" w:rsidRDefault="00C50F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Absolute eosinophil cell </w:t>
      </w:r>
      <w:proofErr w:type="gramStart"/>
      <w:r w:rsidRPr="00EF3DF6">
        <w:rPr>
          <w:rFonts w:ascii="Arial" w:eastAsia="Times New Roman" w:hAnsi="Arial" w:cs="Arial"/>
          <w:sz w:val="24"/>
          <w:szCs w:val="24"/>
        </w:rPr>
        <w:t>count</w:t>
      </w:r>
      <w:proofErr w:type="gramEnd"/>
      <w:r w:rsidRPr="00EF3DF6">
        <w:rPr>
          <w:rFonts w:ascii="Arial" w:eastAsia="Times New Roman" w:hAnsi="Arial" w:cs="Arial"/>
          <w:sz w:val="24"/>
          <w:szCs w:val="24"/>
        </w:rPr>
        <w:t xml:space="preserve"> more </w:t>
      </w:r>
      <w:proofErr w:type="spellStart"/>
      <w:r w:rsidRPr="00EF3DF6">
        <w:rPr>
          <w:rFonts w:ascii="Arial" w:eastAsia="Times New Roman" w:hAnsi="Arial" w:cs="Arial"/>
          <w:sz w:val="24"/>
          <w:szCs w:val="24"/>
        </w:rPr>
        <w:t>that</w:t>
      </w:r>
      <w:proofErr w:type="spellEnd"/>
      <w:r w:rsidRPr="00EF3DF6">
        <w:rPr>
          <w:rFonts w:ascii="Arial" w:eastAsia="Times New Roman" w:hAnsi="Arial" w:cs="Arial"/>
          <w:sz w:val="24"/>
          <w:szCs w:val="24"/>
        </w:rPr>
        <w:t xml:space="preserve"> 3</w:t>
      </w:r>
      <w:r w:rsidR="00DC4F43" w:rsidRPr="00EF3DF6">
        <w:rPr>
          <w:rFonts w:ascii="Arial" w:eastAsia="Times New Roman" w:hAnsi="Arial" w:cs="Arial"/>
          <w:sz w:val="24"/>
          <w:szCs w:val="24"/>
        </w:rPr>
        <w:t>0</w:t>
      </w:r>
      <w:r w:rsidRPr="00EF3DF6">
        <w:rPr>
          <w:rFonts w:ascii="Arial" w:eastAsia="Times New Roman" w:hAnsi="Arial" w:cs="Arial"/>
          <w:sz w:val="24"/>
          <w:szCs w:val="24"/>
        </w:rPr>
        <w:t>0 cells/</w:t>
      </w:r>
      <w:proofErr w:type="spellStart"/>
      <w:r w:rsidRPr="00EF3DF6">
        <w:rPr>
          <w:rFonts w:ascii="Arial" w:eastAsia="Times New Roman" w:hAnsi="Arial" w:cs="Arial"/>
          <w:sz w:val="24"/>
          <w:szCs w:val="24"/>
        </w:rPr>
        <w:t>cumm</w:t>
      </w:r>
      <w:proofErr w:type="spellEnd"/>
      <w:r w:rsidRPr="00EF3DF6">
        <w:rPr>
          <w:rFonts w:ascii="Arial" w:eastAsia="Times New Roman" w:hAnsi="Arial" w:cs="Arial"/>
          <w:sz w:val="24"/>
          <w:szCs w:val="24"/>
        </w:rPr>
        <w:t xml:space="preserve"> was considered significant.</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Total serum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specific IgG/ specific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was assayed at department of microbiology, Postgraduate Institute of Medical Education and Research, Chandigarh using commercially available kits using fluorescent enzyme immunoassay (</w:t>
      </w:r>
      <w:proofErr w:type="spellStart"/>
      <w:r w:rsidRPr="00EF3DF6">
        <w:rPr>
          <w:rFonts w:ascii="Arial" w:eastAsia="Times New Roman" w:hAnsi="Arial" w:cs="Arial"/>
          <w:sz w:val="24"/>
          <w:szCs w:val="24"/>
        </w:rPr>
        <w:t>Phadia</w:t>
      </w:r>
      <w:proofErr w:type="spellEnd"/>
      <w:r w:rsidRPr="00EF3DF6">
        <w:rPr>
          <w:rFonts w:ascii="Arial" w:eastAsia="Times New Roman" w:hAnsi="Arial" w:cs="Arial"/>
          <w:sz w:val="24"/>
          <w:szCs w:val="24"/>
        </w:rPr>
        <w:t xml:space="preserve"> principle, Thermo Fisher Scientific Inc, Uppsala, Sweden). Cut off values used for total serum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specific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and specific IgG was 500 IU/L, 0.35 </w:t>
      </w:r>
      <w:proofErr w:type="spellStart"/>
      <w:r w:rsidRPr="00EF3DF6">
        <w:rPr>
          <w:rFonts w:ascii="Arial" w:eastAsia="Times New Roman" w:hAnsi="Arial" w:cs="Arial"/>
          <w:sz w:val="24"/>
          <w:szCs w:val="24"/>
        </w:rPr>
        <w:t>kUA</w:t>
      </w:r>
      <w:proofErr w:type="spellEnd"/>
      <w:r w:rsidRPr="00EF3DF6">
        <w:rPr>
          <w:rFonts w:ascii="Arial" w:eastAsia="Times New Roman" w:hAnsi="Arial" w:cs="Arial"/>
          <w:sz w:val="24"/>
          <w:szCs w:val="24"/>
        </w:rPr>
        <w:t xml:space="preserve">/l and 26.9 </w:t>
      </w:r>
      <w:proofErr w:type="spellStart"/>
      <w:r w:rsidRPr="00EF3DF6">
        <w:rPr>
          <w:rFonts w:ascii="Arial" w:eastAsia="Times New Roman" w:hAnsi="Arial" w:cs="Arial"/>
          <w:sz w:val="24"/>
          <w:szCs w:val="24"/>
        </w:rPr>
        <w:t>mgA</w:t>
      </w:r>
      <w:proofErr w:type="spellEnd"/>
      <w:r w:rsidRPr="00EF3DF6">
        <w:rPr>
          <w:rFonts w:ascii="Arial" w:eastAsia="Times New Roman" w:hAnsi="Arial" w:cs="Arial"/>
          <w:sz w:val="24"/>
          <w:szCs w:val="24"/>
        </w:rPr>
        <w:t>/L, respectively)</w:t>
      </w:r>
    </w:p>
    <w:p w:rsidR="00FF78CA"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Statistical analysis: Descriptive statistics and analytic statistics were carried out using the statistical package SPSS (SPSS version 17, for Windows; Chicago, IL, USA). The data were equally distributed, and parametric testing was carried out. The association with ABPA was presented as a percentage. The difference between categorical variables was analysed using Fisher’s exact test, where a p-value of</w:t>
      </w:r>
      <w:r w:rsidR="00C50F79" w:rsidRPr="00EF3DF6">
        <w:rPr>
          <w:rFonts w:ascii="Arial" w:eastAsia="Times New Roman" w:hAnsi="Arial" w:cs="Arial"/>
          <w:sz w:val="24"/>
          <w:szCs w:val="24"/>
        </w:rPr>
        <w:t xml:space="preserve"> &lt;</w:t>
      </w:r>
      <w:proofErr w:type="gramStart"/>
      <w:r w:rsidR="00C50F79" w:rsidRPr="00EF3DF6">
        <w:rPr>
          <w:rFonts w:ascii="Arial" w:eastAsia="Times New Roman" w:hAnsi="Arial" w:cs="Arial"/>
          <w:sz w:val="24"/>
          <w:szCs w:val="24"/>
        </w:rPr>
        <w:t>0.05  was</w:t>
      </w:r>
      <w:proofErr w:type="gramEnd"/>
      <w:r w:rsidR="00C50F79" w:rsidRPr="00EF3DF6">
        <w:rPr>
          <w:rFonts w:ascii="Arial" w:eastAsia="Times New Roman" w:hAnsi="Arial" w:cs="Arial"/>
          <w:sz w:val="24"/>
          <w:szCs w:val="24"/>
        </w:rPr>
        <w:t xml:space="preserve"> considered statistically significant.   </w:t>
      </w:r>
    </w:p>
    <w:p w:rsidR="00FF78CA" w:rsidRPr="00EF3DF6" w:rsidRDefault="00FF78CA" w:rsidP="00EF3DF6">
      <w:pPr>
        <w:spacing w:line="480" w:lineRule="auto"/>
        <w:jc w:val="both"/>
        <w:rPr>
          <w:rFonts w:ascii="Arial" w:eastAsia="Times New Roman" w:hAnsi="Arial" w:cs="Arial"/>
          <w:sz w:val="24"/>
          <w:szCs w:val="24"/>
        </w:rPr>
        <w:sectPr w:rsidR="00FF78CA" w:rsidRPr="00EF3DF6" w:rsidSect="00E43EEC">
          <w:footerReference w:type="default" r:id="rId8"/>
          <w:pgSz w:w="11906" w:h="16838"/>
          <w:pgMar w:top="1440" w:right="1440" w:bottom="1440" w:left="1440" w:header="708" w:footer="708" w:gutter="0"/>
          <w:cols w:space="708"/>
          <w:docGrid w:linePitch="360"/>
        </w:sectPr>
      </w:pP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RESULTS</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Amongst the 200 cases of bronchial asthma included in our study, 73 children</w:t>
      </w:r>
      <w:r w:rsidR="00C50F79" w:rsidRPr="00EF3DF6">
        <w:rPr>
          <w:rFonts w:ascii="Arial" w:eastAsia="Times New Roman" w:hAnsi="Arial" w:cs="Arial"/>
          <w:sz w:val="24"/>
          <w:szCs w:val="24"/>
        </w:rPr>
        <w:t xml:space="preserve"> belonged to </w:t>
      </w:r>
      <w:r w:rsidRPr="00EF3DF6">
        <w:rPr>
          <w:rFonts w:ascii="Arial" w:eastAsia="Times New Roman" w:hAnsi="Arial" w:cs="Arial"/>
          <w:sz w:val="24"/>
          <w:szCs w:val="24"/>
        </w:rPr>
        <w:t xml:space="preserve">the age group of 1-5 years, 59 children aged 6-10 years and 68 children </w:t>
      </w:r>
      <w:r w:rsidRPr="00EF3DF6">
        <w:rPr>
          <w:rFonts w:ascii="Arial" w:eastAsia="Times New Roman" w:hAnsi="Arial" w:cs="Arial"/>
          <w:sz w:val="24"/>
          <w:szCs w:val="24"/>
        </w:rPr>
        <w:lastRenderedPageBreak/>
        <w:t>who were 11-15 years old. There 113 females and 87 males. 122 (61%) of the cases resided in rural areas. 162 (81%) of the cases had mild bronchial asthma and the rest of 38 cases belonged to severe asthma category. 142 (71%) cases had controlled bronchial asthma and 58 (29%) cases had uncontrolled asthma.</w:t>
      </w:r>
    </w:p>
    <w:p w:rsidR="007D588B" w:rsidRPr="00EF3DF6" w:rsidRDefault="007D588B"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Table 1: Details of the cases </w:t>
      </w:r>
      <w:r w:rsidR="00C7612C" w:rsidRPr="00EF3DF6">
        <w:rPr>
          <w:rFonts w:ascii="Arial" w:eastAsia="Times New Roman" w:hAnsi="Arial" w:cs="Arial"/>
          <w:sz w:val="24"/>
          <w:szCs w:val="24"/>
        </w:rPr>
        <w:t>enrolled in the study</w:t>
      </w:r>
    </w:p>
    <w:tbl>
      <w:tblPr>
        <w:tblStyle w:val="TableGrid"/>
        <w:tblW w:w="9693" w:type="dxa"/>
        <w:tblLook w:val="04A0" w:firstRow="1" w:lastRow="0" w:firstColumn="1" w:lastColumn="0" w:noHBand="0" w:noVBand="1"/>
      </w:tblPr>
      <w:tblGrid>
        <w:gridCol w:w="2891"/>
        <w:gridCol w:w="1678"/>
        <w:gridCol w:w="1893"/>
        <w:gridCol w:w="3231"/>
      </w:tblGrid>
      <w:tr w:rsidR="007D588B" w:rsidRPr="00EF3DF6" w:rsidTr="00DC4F43">
        <w:trPr>
          <w:trHeight w:val="486"/>
        </w:trPr>
        <w:tc>
          <w:tcPr>
            <w:tcW w:w="4569" w:type="dxa"/>
            <w:gridSpan w:val="2"/>
          </w:tcPr>
          <w:p w:rsidR="007D588B" w:rsidRPr="00EF3DF6" w:rsidRDefault="00C7612C" w:rsidP="00EF3DF6">
            <w:pPr>
              <w:spacing w:line="480" w:lineRule="auto"/>
              <w:jc w:val="both"/>
              <w:rPr>
                <w:rFonts w:ascii="Arial" w:eastAsia="Times New Roman" w:hAnsi="Arial" w:cs="Arial"/>
                <w:b/>
                <w:sz w:val="24"/>
                <w:szCs w:val="24"/>
              </w:rPr>
            </w:pPr>
            <w:r w:rsidRPr="00EF3DF6">
              <w:rPr>
                <w:rFonts w:ascii="Arial" w:eastAsia="Times New Roman" w:hAnsi="Arial" w:cs="Arial"/>
                <w:b/>
                <w:sz w:val="24"/>
                <w:szCs w:val="24"/>
              </w:rPr>
              <w:t>P</w:t>
            </w:r>
            <w:r w:rsidR="00DC4F43" w:rsidRPr="00EF3DF6">
              <w:rPr>
                <w:rFonts w:ascii="Arial" w:eastAsia="Times New Roman" w:hAnsi="Arial" w:cs="Arial"/>
                <w:b/>
                <w:sz w:val="24"/>
                <w:szCs w:val="24"/>
              </w:rPr>
              <w:t>arameter</w:t>
            </w:r>
          </w:p>
        </w:tc>
        <w:tc>
          <w:tcPr>
            <w:tcW w:w="1893" w:type="dxa"/>
          </w:tcPr>
          <w:p w:rsidR="007D588B" w:rsidRPr="00EF3DF6" w:rsidRDefault="00C7612C" w:rsidP="00EF3DF6">
            <w:pPr>
              <w:spacing w:line="480" w:lineRule="auto"/>
              <w:jc w:val="both"/>
              <w:rPr>
                <w:rFonts w:ascii="Arial" w:eastAsia="Times New Roman" w:hAnsi="Arial" w:cs="Arial"/>
                <w:b/>
                <w:sz w:val="24"/>
                <w:szCs w:val="24"/>
              </w:rPr>
            </w:pPr>
            <w:r w:rsidRPr="00EF3DF6">
              <w:rPr>
                <w:rFonts w:ascii="Arial" w:eastAsia="Times New Roman" w:hAnsi="Arial" w:cs="Arial"/>
                <w:b/>
                <w:sz w:val="24"/>
                <w:szCs w:val="24"/>
              </w:rPr>
              <w:t>Number (n)</w:t>
            </w:r>
          </w:p>
        </w:tc>
        <w:tc>
          <w:tcPr>
            <w:tcW w:w="3231" w:type="dxa"/>
          </w:tcPr>
          <w:p w:rsidR="007D588B" w:rsidRPr="00EF3DF6" w:rsidRDefault="00C7612C" w:rsidP="00EF3DF6">
            <w:pPr>
              <w:spacing w:line="480" w:lineRule="auto"/>
              <w:jc w:val="both"/>
              <w:rPr>
                <w:rFonts w:ascii="Arial" w:eastAsia="Times New Roman" w:hAnsi="Arial" w:cs="Arial"/>
                <w:b/>
                <w:sz w:val="24"/>
                <w:szCs w:val="24"/>
              </w:rPr>
            </w:pPr>
            <w:r w:rsidRPr="00EF3DF6">
              <w:rPr>
                <w:rFonts w:ascii="Arial" w:eastAsia="Times New Roman" w:hAnsi="Arial" w:cs="Arial"/>
                <w:b/>
                <w:sz w:val="24"/>
                <w:szCs w:val="24"/>
              </w:rPr>
              <w:t>Percentage</w:t>
            </w:r>
            <w:r w:rsidR="00DC4F43" w:rsidRPr="00EF3DF6">
              <w:rPr>
                <w:rFonts w:ascii="Arial" w:eastAsia="Times New Roman" w:hAnsi="Arial" w:cs="Arial"/>
                <w:b/>
                <w:sz w:val="24"/>
                <w:szCs w:val="24"/>
              </w:rPr>
              <w:t xml:space="preserve"> (%)</w:t>
            </w:r>
          </w:p>
        </w:tc>
      </w:tr>
      <w:tr w:rsidR="00C7612C" w:rsidRPr="00EF3DF6" w:rsidTr="00DC4F43">
        <w:trPr>
          <w:trHeight w:val="161"/>
        </w:trPr>
        <w:tc>
          <w:tcPr>
            <w:tcW w:w="2891" w:type="dxa"/>
            <w:vMerge w:val="restart"/>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Age (years) </w:t>
            </w: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1-5 </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73</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36.5</w:t>
            </w:r>
          </w:p>
        </w:tc>
      </w:tr>
      <w:tr w:rsidR="00C7612C" w:rsidRPr="00EF3DF6" w:rsidTr="00DC4F43">
        <w:trPr>
          <w:trHeight w:val="161"/>
        </w:trPr>
        <w:tc>
          <w:tcPr>
            <w:tcW w:w="2891" w:type="dxa"/>
            <w:vMerge/>
          </w:tcPr>
          <w:p w:rsidR="00C7612C" w:rsidRPr="00EF3DF6" w:rsidRDefault="00C7612C" w:rsidP="00EF3DF6">
            <w:pPr>
              <w:pStyle w:val="ListParagraph"/>
              <w:numPr>
                <w:ilvl w:val="0"/>
                <w:numId w:val="2"/>
              </w:numPr>
              <w:spacing w:line="480" w:lineRule="auto"/>
              <w:jc w:val="both"/>
              <w:rPr>
                <w:rFonts w:ascii="Arial" w:eastAsia="Times New Roman" w:hAnsi="Arial" w:cs="Arial"/>
                <w:sz w:val="24"/>
                <w:szCs w:val="24"/>
              </w:rPr>
            </w:pP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6-10 </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59</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29.5</w:t>
            </w:r>
          </w:p>
        </w:tc>
      </w:tr>
      <w:tr w:rsidR="00C7612C" w:rsidRPr="00EF3DF6" w:rsidTr="00DC4F43">
        <w:trPr>
          <w:trHeight w:val="161"/>
        </w:trPr>
        <w:tc>
          <w:tcPr>
            <w:tcW w:w="2891" w:type="dxa"/>
            <w:vMerge/>
          </w:tcPr>
          <w:p w:rsidR="00C7612C" w:rsidRPr="00EF3DF6" w:rsidRDefault="00C7612C" w:rsidP="00EF3DF6">
            <w:pPr>
              <w:pStyle w:val="ListParagraph"/>
              <w:numPr>
                <w:ilvl w:val="0"/>
                <w:numId w:val="2"/>
              </w:numPr>
              <w:spacing w:line="480" w:lineRule="auto"/>
              <w:jc w:val="both"/>
              <w:rPr>
                <w:rFonts w:ascii="Arial" w:eastAsia="Times New Roman" w:hAnsi="Arial" w:cs="Arial"/>
                <w:sz w:val="24"/>
                <w:szCs w:val="24"/>
              </w:rPr>
            </w:pP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11-15</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68</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34</w:t>
            </w:r>
          </w:p>
        </w:tc>
      </w:tr>
      <w:tr w:rsidR="00C7612C" w:rsidRPr="00EF3DF6" w:rsidTr="00DC4F43">
        <w:trPr>
          <w:trHeight w:val="242"/>
        </w:trPr>
        <w:tc>
          <w:tcPr>
            <w:tcW w:w="2891" w:type="dxa"/>
            <w:vMerge w:val="restart"/>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Gender</w:t>
            </w: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Male</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87</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43.5</w:t>
            </w:r>
          </w:p>
        </w:tc>
      </w:tr>
      <w:tr w:rsidR="00C7612C" w:rsidRPr="00EF3DF6" w:rsidTr="00DC4F43">
        <w:trPr>
          <w:trHeight w:val="242"/>
        </w:trPr>
        <w:tc>
          <w:tcPr>
            <w:tcW w:w="2891" w:type="dxa"/>
            <w:vMerge/>
          </w:tcPr>
          <w:p w:rsidR="00C7612C" w:rsidRPr="00EF3DF6" w:rsidRDefault="00C7612C" w:rsidP="00EF3DF6">
            <w:pPr>
              <w:spacing w:line="480" w:lineRule="auto"/>
              <w:jc w:val="both"/>
              <w:rPr>
                <w:rFonts w:ascii="Arial" w:eastAsia="Times New Roman" w:hAnsi="Arial" w:cs="Arial"/>
                <w:sz w:val="24"/>
                <w:szCs w:val="24"/>
              </w:rPr>
            </w:pP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Female</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113</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56.5</w:t>
            </w:r>
          </w:p>
        </w:tc>
      </w:tr>
      <w:tr w:rsidR="00C7612C" w:rsidRPr="00EF3DF6" w:rsidTr="00DC4F43">
        <w:trPr>
          <w:trHeight w:val="242"/>
        </w:trPr>
        <w:tc>
          <w:tcPr>
            <w:tcW w:w="2891" w:type="dxa"/>
            <w:vMerge w:val="restart"/>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Residence</w:t>
            </w: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Rural</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122</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61</w:t>
            </w:r>
          </w:p>
        </w:tc>
      </w:tr>
      <w:tr w:rsidR="00C7612C" w:rsidRPr="00EF3DF6" w:rsidTr="00DC4F43">
        <w:trPr>
          <w:trHeight w:val="242"/>
        </w:trPr>
        <w:tc>
          <w:tcPr>
            <w:tcW w:w="2891" w:type="dxa"/>
            <w:vMerge/>
          </w:tcPr>
          <w:p w:rsidR="00C7612C" w:rsidRPr="00EF3DF6" w:rsidRDefault="00C7612C" w:rsidP="00EF3DF6">
            <w:pPr>
              <w:spacing w:line="480" w:lineRule="auto"/>
              <w:jc w:val="both"/>
              <w:rPr>
                <w:rFonts w:ascii="Arial" w:eastAsia="Times New Roman" w:hAnsi="Arial" w:cs="Arial"/>
                <w:sz w:val="24"/>
                <w:szCs w:val="24"/>
              </w:rPr>
            </w:pP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Urban</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78</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39</w:t>
            </w:r>
          </w:p>
        </w:tc>
      </w:tr>
      <w:tr w:rsidR="00C7612C" w:rsidRPr="00EF3DF6" w:rsidTr="00DC4F43">
        <w:trPr>
          <w:trHeight w:val="405"/>
        </w:trPr>
        <w:tc>
          <w:tcPr>
            <w:tcW w:w="2891" w:type="dxa"/>
            <w:vMerge w:val="restart"/>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Severity of Bronchial Asthma</w:t>
            </w: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Mild</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162</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81</w:t>
            </w:r>
          </w:p>
        </w:tc>
      </w:tr>
      <w:tr w:rsidR="00C7612C" w:rsidRPr="00EF3DF6" w:rsidTr="00DC4F43">
        <w:trPr>
          <w:trHeight w:val="348"/>
        </w:trPr>
        <w:tc>
          <w:tcPr>
            <w:tcW w:w="2891" w:type="dxa"/>
            <w:vMerge/>
          </w:tcPr>
          <w:p w:rsidR="00C7612C" w:rsidRPr="00EF3DF6" w:rsidRDefault="00C7612C" w:rsidP="00EF3DF6">
            <w:pPr>
              <w:spacing w:line="480" w:lineRule="auto"/>
              <w:jc w:val="both"/>
              <w:rPr>
                <w:rFonts w:ascii="Arial" w:eastAsia="Times New Roman" w:hAnsi="Arial" w:cs="Arial"/>
                <w:sz w:val="24"/>
                <w:szCs w:val="24"/>
              </w:rPr>
            </w:pP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Severe</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38</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19</w:t>
            </w:r>
          </w:p>
        </w:tc>
      </w:tr>
      <w:tr w:rsidR="00C7612C" w:rsidRPr="00EF3DF6" w:rsidTr="00DC4F43">
        <w:trPr>
          <w:trHeight w:val="454"/>
        </w:trPr>
        <w:tc>
          <w:tcPr>
            <w:tcW w:w="2891" w:type="dxa"/>
            <w:vMerge w:val="restart"/>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Control of Bronchial Asthma </w:t>
            </w: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Controlled </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142</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71</w:t>
            </w:r>
          </w:p>
        </w:tc>
      </w:tr>
      <w:tr w:rsidR="00C7612C" w:rsidRPr="00EF3DF6" w:rsidTr="00DC4F43">
        <w:trPr>
          <w:trHeight w:val="395"/>
        </w:trPr>
        <w:tc>
          <w:tcPr>
            <w:tcW w:w="2891" w:type="dxa"/>
            <w:vMerge/>
          </w:tcPr>
          <w:p w:rsidR="00C7612C" w:rsidRPr="00EF3DF6" w:rsidRDefault="00C7612C" w:rsidP="00EF3DF6">
            <w:pPr>
              <w:spacing w:line="480" w:lineRule="auto"/>
              <w:jc w:val="both"/>
              <w:rPr>
                <w:rFonts w:ascii="Arial" w:eastAsia="Times New Roman" w:hAnsi="Arial" w:cs="Arial"/>
                <w:sz w:val="24"/>
                <w:szCs w:val="24"/>
              </w:rPr>
            </w:pPr>
          </w:p>
        </w:tc>
        <w:tc>
          <w:tcPr>
            <w:tcW w:w="1678"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Uncontrolled</w:t>
            </w:r>
          </w:p>
        </w:tc>
        <w:tc>
          <w:tcPr>
            <w:tcW w:w="1893"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58</w:t>
            </w:r>
          </w:p>
        </w:tc>
        <w:tc>
          <w:tcPr>
            <w:tcW w:w="3231" w:type="dxa"/>
          </w:tcPr>
          <w:p w:rsidR="00C7612C" w:rsidRPr="00EF3DF6" w:rsidRDefault="00C7612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29</w:t>
            </w:r>
          </w:p>
        </w:tc>
      </w:tr>
      <w:tr w:rsidR="00DC4F43" w:rsidRPr="00EF3DF6" w:rsidTr="00DC4F43">
        <w:trPr>
          <w:trHeight w:val="282"/>
        </w:trPr>
        <w:tc>
          <w:tcPr>
            <w:tcW w:w="2891" w:type="dxa"/>
            <w:vMerge w:val="restart"/>
          </w:tcPr>
          <w:p w:rsidR="00DC4F43" w:rsidRPr="00EF3DF6" w:rsidRDefault="00DC4F43" w:rsidP="00EF3DF6">
            <w:pPr>
              <w:spacing w:after="160" w:line="480" w:lineRule="auto"/>
              <w:jc w:val="both"/>
              <w:rPr>
                <w:rFonts w:ascii="Arial" w:eastAsia="Times New Roman" w:hAnsi="Arial" w:cs="Arial"/>
                <w:sz w:val="24"/>
                <w:szCs w:val="24"/>
                <w:lang w:eastAsia="en-IN"/>
              </w:rPr>
            </w:pPr>
            <w:r w:rsidRPr="00EF3DF6">
              <w:rPr>
                <w:rFonts w:ascii="Arial" w:eastAsia="Times New Roman" w:hAnsi="Arial" w:cs="Arial"/>
                <w:sz w:val="24"/>
                <w:szCs w:val="24"/>
                <w:lang w:eastAsia="en-IN"/>
              </w:rPr>
              <w:t xml:space="preserve">History of Atopy </w:t>
            </w:r>
          </w:p>
        </w:tc>
        <w:tc>
          <w:tcPr>
            <w:tcW w:w="1678"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Yes</w:t>
            </w:r>
          </w:p>
        </w:tc>
        <w:tc>
          <w:tcPr>
            <w:tcW w:w="1893" w:type="dxa"/>
          </w:tcPr>
          <w:p w:rsidR="00DC4F43" w:rsidRPr="00EF3DF6" w:rsidRDefault="00DC4F43" w:rsidP="00EF3DF6">
            <w:pPr>
              <w:spacing w:after="160" w:line="480" w:lineRule="auto"/>
              <w:jc w:val="both"/>
              <w:rPr>
                <w:rFonts w:ascii="Arial" w:eastAsia="Times New Roman" w:hAnsi="Arial" w:cs="Arial"/>
                <w:sz w:val="24"/>
                <w:szCs w:val="24"/>
                <w:lang w:eastAsia="en-IN"/>
              </w:rPr>
            </w:pPr>
            <w:r w:rsidRPr="00EF3DF6">
              <w:rPr>
                <w:rFonts w:ascii="Arial" w:eastAsia="Times New Roman" w:hAnsi="Arial" w:cs="Arial"/>
                <w:sz w:val="24"/>
                <w:szCs w:val="24"/>
                <w:lang w:eastAsia="en-IN"/>
              </w:rPr>
              <w:t>135</w:t>
            </w:r>
          </w:p>
        </w:tc>
        <w:tc>
          <w:tcPr>
            <w:tcW w:w="3231" w:type="dxa"/>
          </w:tcPr>
          <w:p w:rsidR="00DC4F43" w:rsidRPr="00EF3DF6" w:rsidRDefault="00DC4F43" w:rsidP="00EF3DF6">
            <w:pPr>
              <w:spacing w:after="160" w:line="480" w:lineRule="auto"/>
              <w:jc w:val="both"/>
              <w:rPr>
                <w:rFonts w:ascii="Arial" w:eastAsia="Times New Roman" w:hAnsi="Arial" w:cs="Arial"/>
                <w:sz w:val="24"/>
                <w:szCs w:val="24"/>
                <w:lang w:eastAsia="en-IN"/>
              </w:rPr>
            </w:pPr>
            <w:r w:rsidRPr="00EF3DF6">
              <w:rPr>
                <w:rFonts w:ascii="Arial" w:eastAsia="Times New Roman" w:hAnsi="Arial" w:cs="Arial"/>
                <w:sz w:val="24"/>
                <w:szCs w:val="24"/>
                <w:lang w:eastAsia="en-IN"/>
              </w:rPr>
              <w:t>67.5</w:t>
            </w:r>
          </w:p>
        </w:tc>
      </w:tr>
      <w:tr w:rsidR="00DC4F43" w:rsidRPr="00EF3DF6" w:rsidTr="00DC4F43">
        <w:trPr>
          <w:trHeight w:val="486"/>
        </w:trPr>
        <w:tc>
          <w:tcPr>
            <w:tcW w:w="2891" w:type="dxa"/>
            <w:vMerge/>
          </w:tcPr>
          <w:p w:rsidR="00DC4F43" w:rsidRPr="00EF3DF6" w:rsidRDefault="00DC4F43" w:rsidP="00EF3DF6">
            <w:pPr>
              <w:spacing w:line="480" w:lineRule="auto"/>
              <w:jc w:val="both"/>
              <w:rPr>
                <w:rFonts w:ascii="Arial" w:eastAsia="Times New Roman" w:hAnsi="Arial" w:cs="Arial"/>
                <w:sz w:val="24"/>
                <w:szCs w:val="24"/>
              </w:rPr>
            </w:pPr>
          </w:p>
        </w:tc>
        <w:tc>
          <w:tcPr>
            <w:tcW w:w="1678"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No</w:t>
            </w:r>
          </w:p>
        </w:tc>
        <w:tc>
          <w:tcPr>
            <w:tcW w:w="1893"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65</w:t>
            </w:r>
          </w:p>
        </w:tc>
        <w:tc>
          <w:tcPr>
            <w:tcW w:w="3231"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32.5</w:t>
            </w:r>
          </w:p>
        </w:tc>
      </w:tr>
    </w:tbl>
    <w:p w:rsidR="00DC4F43" w:rsidRPr="00EF3DF6" w:rsidRDefault="00DC4F43" w:rsidP="00EF3DF6">
      <w:pPr>
        <w:spacing w:line="480" w:lineRule="auto"/>
        <w:jc w:val="both"/>
        <w:rPr>
          <w:rFonts w:ascii="Arial" w:eastAsia="Times New Roman" w:hAnsi="Arial" w:cs="Arial"/>
          <w:sz w:val="24"/>
          <w:szCs w:val="24"/>
        </w:rPr>
      </w:pPr>
    </w:p>
    <w:p w:rsidR="00BC229F" w:rsidRPr="00EF3DF6" w:rsidRDefault="00BC229F"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Table 2</w:t>
      </w:r>
      <w:r w:rsidR="00F363C4" w:rsidRPr="00EF3DF6">
        <w:rPr>
          <w:rFonts w:ascii="Arial" w:eastAsia="Times New Roman" w:hAnsi="Arial" w:cs="Arial"/>
          <w:sz w:val="24"/>
          <w:szCs w:val="24"/>
        </w:rPr>
        <w:t>: Investigations in the cases enrolled in the study</w:t>
      </w:r>
    </w:p>
    <w:tbl>
      <w:tblPr>
        <w:tblStyle w:val="TableGrid"/>
        <w:tblW w:w="0" w:type="auto"/>
        <w:tblLook w:val="04A0" w:firstRow="1" w:lastRow="0" w:firstColumn="1" w:lastColumn="0" w:noHBand="0" w:noVBand="1"/>
      </w:tblPr>
      <w:tblGrid>
        <w:gridCol w:w="2249"/>
        <w:gridCol w:w="824"/>
        <w:gridCol w:w="2967"/>
        <w:gridCol w:w="2976"/>
      </w:tblGrid>
      <w:tr w:rsidR="00DC4F43" w:rsidRPr="00EF3DF6" w:rsidTr="00F13AD1">
        <w:trPr>
          <w:trHeight w:val="552"/>
        </w:trPr>
        <w:tc>
          <w:tcPr>
            <w:tcW w:w="3005" w:type="dxa"/>
            <w:gridSpan w:val="2"/>
          </w:tcPr>
          <w:p w:rsidR="00DC4F43" w:rsidRPr="00EF3DF6" w:rsidRDefault="00DC4F43" w:rsidP="00EF3DF6">
            <w:pPr>
              <w:spacing w:line="480" w:lineRule="auto"/>
              <w:jc w:val="both"/>
              <w:rPr>
                <w:rFonts w:ascii="Arial" w:eastAsia="Times New Roman" w:hAnsi="Arial" w:cs="Arial"/>
                <w:b/>
                <w:sz w:val="24"/>
                <w:szCs w:val="24"/>
              </w:rPr>
            </w:pPr>
            <w:r w:rsidRPr="00EF3DF6">
              <w:rPr>
                <w:rFonts w:ascii="Arial" w:eastAsia="Times New Roman" w:hAnsi="Arial" w:cs="Arial"/>
                <w:b/>
                <w:sz w:val="24"/>
                <w:szCs w:val="24"/>
              </w:rPr>
              <w:t>Parameter</w:t>
            </w:r>
          </w:p>
        </w:tc>
        <w:tc>
          <w:tcPr>
            <w:tcW w:w="3005" w:type="dxa"/>
          </w:tcPr>
          <w:p w:rsidR="00DC4F43" w:rsidRPr="00EF3DF6" w:rsidRDefault="00DC4F43" w:rsidP="00EF3DF6">
            <w:pPr>
              <w:spacing w:line="480" w:lineRule="auto"/>
              <w:jc w:val="both"/>
              <w:rPr>
                <w:rFonts w:ascii="Arial" w:eastAsia="Times New Roman" w:hAnsi="Arial" w:cs="Arial"/>
                <w:b/>
                <w:sz w:val="24"/>
                <w:szCs w:val="24"/>
              </w:rPr>
            </w:pPr>
            <w:r w:rsidRPr="00EF3DF6">
              <w:rPr>
                <w:rFonts w:ascii="Arial" w:eastAsia="Times New Roman" w:hAnsi="Arial" w:cs="Arial"/>
                <w:b/>
                <w:sz w:val="24"/>
                <w:szCs w:val="24"/>
              </w:rPr>
              <w:t>Number (n)</w:t>
            </w:r>
          </w:p>
        </w:tc>
        <w:tc>
          <w:tcPr>
            <w:tcW w:w="3006" w:type="dxa"/>
          </w:tcPr>
          <w:p w:rsidR="00DC4F43" w:rsidRPr="00EF3DF6" w:rsidRDefault="00DC4F43" w:rsidP="00EF3DF6">
            <w:pPr>
              <w:spacing w:line="480" w:lineRule="auto"/>
              <w:jc w:val="both"/>
              <w:rPr>
                <w:rFonts w:ascii="Arial" w:eastAsia="Times New Roman" w:hAnsi="Arial" w:cs="Arial"/>
                <w:b/>
                <w:sz w:val="24"/>
                <w:szCs w:val="24"/>
              </w:rPr>
            </w:pPr>
            <w:r w:rsidRPr="00EF3DF6">
              <w:rPr>
                <w:rFonts w:ascii="Arial" w:eastAsia="Times New Roman" w:hAnsi="Arial" w:cs="Arial"/>
                <w:b/>
                <w:sz w:val="24"/>
                <w:szCs w:val="24"/>
              </w:rPr>
              <w:t>Percentage (%)</w:t>
            </w:r>
          </w:p>
        </w:tc>
      </w:tr>
      <w:tr w:rsidR="00DC4F43" w:rsidRPr="00EF3DF6" w:rsidTr="00DC4F43">
        <w:trPr>
          <w:trHeight w:val="282"/>
        </w:trPr>
        <w:tc>
          <w:tcPr>
            <w:tcW w:w="2263" w:type="dxa"/>
            <w:vMerge w:val="restart"/>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Absolute Eosinophil Count (cells/</w:t>
            </w:r>
            <w:proofErr w:type="spellStart"/>
            <w:r w:rsidRPr="00EF3DF6">
              <w:rPr>
                <w:rFonts w:ascii="Arial" w:eastAsia="Times New Roman" w:hAnsi="Arial" w:cs="Arial"/>
                <w:sz w:val="24"/>
                <w:szCs w:val="24"/>
              </w:rPr>
              <w:t>cumm</w:t>
            </w:r>
            <w:proofErr w:type="spellEnd"/>
            <w:r w:rsidRPr="00EF3DF6">
              <w:rPr>
                <w:rFonts w:ascii="Arial" w:eastAsia="Times New Roman" w:hAnsi="Arial" w:cs="Arial"/>
                <w:sz w:val="24"/>
                <w:szCs w:val="24"/>
              </w:rPr>
              <w:t>)</w:t>
            </w: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≥300</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78</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39</w:t>
            </w:r>
          </w:p>
        </w:tc>
      </w:tr>
      <w:tr w:rsidR="00DC4F43" w:rsidRPr="00EF3DF6" w:rsidTr="00DC4F43">
        <w:trPr>
          <w:trHeight w:val="374"/>
        </w:trPr>
        <w:tc>
          <w:tcPr>
            <w:tcW w:w="2263" w:type="dxa"/>
            <w:vMerge/>
          </w:tcPr>
          <w:p w:rsidR="00DC4F43" w:rsidRPr="00EF3DF6" w:rsidRDefault="00DC4F43" w:rsidP="00EF3DF6">
            <w:pPr>
              <w:spacing w:line="480" w:lineRule="auto"/>
              <w:jc w:val="both"/>
              <w:rPr>
                <w:rFonts w:ascii="Arial" w:eastAsia="Times New Roman" w:hAnsi="Arial" w:cs="Arial"/>
                <w:sz w:val="24"/>
                <w:szCs w:val="24"/>
              </w:rPr>
            </w:pP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&lt;300</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122</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61</w:t>
            </w:r>
          </w:p>
        </w:tc>
      </w:tr>
      <w:tr w:rsidR="00DC4F43" w:rsidRPr="00EF3DF6" w:rsidTr="00DC4F43">
        <w:trPr>
          <w:trHeight w:val="276"/>
        </w:trPr>
        <w:tc>
          <w:tcPr>
            <w:tcW w:w="2263" w:type="dxa"/>
            <w:vMerge w:val="restart"/>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Intradermal Skin test</w:t>
            </w: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32</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16</w:t>
            </w:r>
          </w:p>
        </w:tc>
      </w:tr>
      <w:tr w:rsidR="00DC4F43" w:rsidRPr="00EF3DF6" w:rsidTr="00DC4F43">
        <w:trPr>
          <w:trHeight w:val="276"/>
        </w:trPr>
        <w:tc>
          <w:tcPr>
            <w:tcW w:w="2263" w:type="dxa"/>
            <w:vMerge/>
          </w:tcPr>
          <w:p w:rsidR="00DC4F43" w:rsidRPr="00EF3DF6" w:rsidRDefault="00DC4F43" w:rsidP="00EF3DF6">
            <w:pPr>
              <w:spacing w:line="480" w:lineRule="auto"/>
              <w:jc w:val="both"/>
              <w:rPr>
                <w:rFonts w:ascii="Arial" w:eastAsia="Times New Roman" w:hAnsi="Arial" w:cs="Arial"/>
                <w:sz w:val="24"/>
                <w:szCs w:val="24"/>
              </w:rPr>
            </w:pP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77</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38.5</w:t>
            </w:r>
          </w:p>
        </w:tc>
      </w:tr>
      <w:tr w:rsidR="00DC4F43" w:rsidRPr="00EF3DF6" w:rsidTr="00DC4F43">
        <w:trPr>
          <w:trHeight w:val="276"/>
        </w:trPr>
        <w:tc>
          <w:tcPr>
            <w:tcW w:w="2263" w:type="dxa"/>
            <w:vMerge/>
          </w:tcPr>
          <w:p w:rsidR="00DC4F43" w:rsidRPr="00EF3DF6" w:rsidRDefault="00DC4F43" w:rsidP="00EF3DF6">
            <w:pPr>
              <w:spacing w:line="480" w:lineRule="auto"/>
              <w:jc w:val="both"/>
              <w:rPr>
                <w:rFonts w:ascii="Arial" w:eastAsia="Times New Roman" w:hAnsi="Arial" w:cs="Arial"/>
                <w:sz w:val="24"/>
                <w:szCs w:val="24"/>
              </w:rPr>
            </w:pP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64</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32</w:t>
            </w:r>
          </w:p>
        </w:tc>
      </w:tr>
      <w:tr w:rsidR="00DC4F43" w:rsidRPr="00EF3DF6" w:rsidTr="00DC4F43">
        <w:trPr>
          <w:trHeight w:val="276"/>
        </w:trPr>
        <w:tc>
          <w:tcPr>
            <w:tcW w:w="2263" w:type="dxa"/>
            <w:vMerge/>
          </w:tcPr>
          <w:p w:rsidR="00DC4F43" w:rsidRPr="00EF3DF6" w:rsidRDefault="00DC4F43" w:rsidP="00EF3DF6">
            <w:pPr>
              <w:spacing w:line="480" w:lineRule="auto"/>
              <w:jc w:val="both"/>
              <w:rPr>
                <w:rFonts w:ascii="Arial" w:eastAsia="Times New Roman" w:hAnsi="Arial" w:cs="Arial"/>
                <w:sz w:val="24"/>
                <w:szCs w:val="24"/>
              </w:rPr>
            </w:pP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4+</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27</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13.5</w:t>
            </w:r>
          </w:p>
        </w:tc>
      </w:tr>
      <w:tr w:rsidR="00DC4F43" w:rsidRPr="00EF3DF6" w:rsidTr="00DC4F43">
        <w:trPr>
          <w:trHeight w:val="293"/>
        </w:trPr>
        <w:tc>
          <w:tcPr>
            <w:tcW w:w="2263" w:type="dxa"/>
            <w:vMerge w:val="restart"/>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Total Serum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(IU/L)</w:t>
            </w: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≥500</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105</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52.5</w:t>
            </w:r>
          </w:p>
        </w:tc>
      </w:tr>
      <w:tr w:rsidR="00DC4F43" w:rsidRPr="00EF3DF6" w:rsidTr="00DC4F43">
        <w:trPr>
          <w:trHeight w:val="385"/>
        </w:trPr>
        <w:tc>
          <w:tcPr>
            <w:tcW w:w="2263" w:type="dxa"/>
            <w:vMerge/>
          </w:tcPr>
          <w:p w:rsidR="00DC4F43" w:rsidRPr="00EF3DF6" w:rsidRDefault="00DC4F43" w:rsidP="00EF3DF6">
            <w:pPr>
              <w:spacing w:line="480" w:lineRule="auto"/>
              <w:jc w:val="both"/>
              <w:rPr>
                <w:rFonts w:ascii="Arial" w:eastAsia="Times New Roman" w:hAnsi="Arial" w:cs="Arial"/>
                <w:sz w:val="24"/>
                <w:szCs w:val="24"/>
              </w:rPr>
            </w:pP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&lt;500</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95</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47.5</w:t>
            </w:r>
          </w:p>
        </w:tc>
      </w:tr>
      <w:tr w:rsidR="00DC4F43" w:rsidRPr="00EF3DF6" w:rsidTr="00DC4F43">
        <w:trPr>
          <w:trHeight w:val="491"/>
        </w:trPr>
        <w:tc>
          <w:tcPr>
            <w:tcW w:w="2263" w:type="dxa"/>
            <w:vMerge w:val="restart"/>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Aspergillus specific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w:t>
            </w:r>
            <w:proofErr w:type="spellStart"/>
            <w:r w:rsidRPr="00EF3DF6">
              <w:rPr>
                <w:rFonts w:ascii="Arial" w:eastAsia="Times New Roman" w:hAnsi="Arial" w:cs="Arial"/>
                <w:sz w:val="24"/>
                <w:szCs w:val="24"/>
              </w:rPr>
              <w:t>kUA</w:t>
            </w:r>
            <w:proofErr w:type="spellEnd"/>
            <w:r w:rsidRPr="00EF3DF6">
              <w:rPr>
                <w:rFonts w:ascii="Arial" w:eastAsia="Times New Roman" w:hAnsi="Arial" w:cs="Arial"/>
                <w:sz w:val="24"/>
                <w:szCs w:val="24"/>
              </w:rPr>
              <w:t>/l)</w:t>
            </w: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≥0.35</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17</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8.5</w:t>
            </w:r>
          </w:p>
        </w:tc>
      </w:tr>
      <w:tr w:rsidR="00DC4F43" w:rsidRPr="00EF3DF6" w:rsidTr="00DC4F43">
        <w:trPr>
          <w:trHeight w:val="412"/>
        </w:trPr>
        <w:tc>
          <w:tcPr>
            <w:tcW w:w="2263" w:type="dxa"/>
            <w:vMerge/>
          </w:tcPr>
          <w:p w:rsidR="00DC4F43" w:rsidRPr="00EF3DF6" w:rsidRDefault="00DC4F43" w:rsidP="00EF3DF6">
            <w:pPr>
              <w:spacing w:line="480" w:lineRule="auto"/>
              <w:jc w:val="both"/>
              <w:rPr>
                <w:rFonts w:ascii="Arial" w:eastAsia="Times New Roman" w:hAnsi="Arial" w:cs="Arial"/>
                <w:sz w:val="24"/>
                <w:szCs w:val="24"/>
              </w:rPr>
            </w:pP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&lt;0.35</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183</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91.5</w:t>
            </w:r>
          </w:p>
        </w:tc>
      </w:tr>
      <w:tr w:rsidR="00DC4F43" w:rsidRPr="00EF3DF6" w:rsidTr="00DC4F43">
        <w:trPr>
          <w:trHeight w:val="363"/>
        </w:trPr>
        <w:tc>
          <w:tcPr>
            <w:tcW w:w="2263" w:type="dxa"/>
            <w:vMerge w:val="restart"/>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Aspergillus specific IgG (</w:t>
            </w:r>
            <w:proofErr w:type="spellStart"/>
            <w:r w:rsidRPr="00EF3DF6">
              <w:rPr>
                <w:rFonts w:ascii="Arial" w:eastAsia="Times New Roman" w:hAnsi="Arial" w:cs="Arial"/>
                <w:sz w:val="24"/>
                <w:szCs w:val="24"/>
              </w:rPr>
              <w:t>mgA</w:t>
            </w:r>
            <w:proofErr w:type="spellEnd"/>
            <w:r w:rsidRPr="00EF3DF6">
              <w:rPr>
                <w:rFonts w:ascii="Arial" w:eastAsia="Times New Roman" w:hAnsi="Arial" w:cs="Arial"/>
                <w:sz w:val="24"/>
                <w:szCs w:val="24"/>
              </w:rPr>
              <w:t>/L)</w:t>
            </w: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≥26.9</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12</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w:t>
            </w:r>
          </w:p>
        </w:tc>
      </w:tr>
      <w:tr w:rsidR="00DC4F43" w:rsidRPr="00EF3DF6" w:rsidTr="00DC4F43">
        <w:trPr>
          <w:trHeight w:val="327"/>
        </w:trPr>
        <w:tc>
          <w:tcPr>
            <w:tcW w:w="2263" w:type="dxa"/>
            <w:vMerge/>
          </w:tcPr>
          <w:p w:rsidR="00DC4F43" w:rsidRPr="00EF3DF6" w:rsidRDefault="00DC4F43" w:rsidP="00EF3DF6">
            <w:pPr>
              <w:spacing w:line="480" w:lineRule="auto"/>
              <w:jc w:val="both"/>
              <w:rPr>
                <w:rFonts w:ascii="Arial" w:eastAsia="Times New Roman" w:hAnsi="Arial" w:cs="Arial"/>
                <w:sz w:val="24"/>
                <w:szCs w:val="24"/>
              </w:rPr>
            </w:pPr>
          </w:p>
        </w:tc>
        <w:tc>
          <w:tcPr>
            <w:tcW w:w="742"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&lt;26.9</w:t>
            </w:r>
          </w:p>
        </w:tc>
        <w:tc>
          <w:tcPr>
            <w:tcW w:w="3005"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188</w:t>
            </w:r>
          </w:p>
        </w:tc>
        <w:tc>
          <w:tcPr>
            <w:tcW w:w="3006" w:type="dxa"/>
          </w:tcPr>
          <w:p w:rsidR="00DC4F43" w:rsidRPr="00EF3DF6" w:rsidRDefault="00DC4F43"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94</w:t>
            </w:r>
          </w:p>
        </w:tc>
      </w:tr>
    </w:tbl>
    <w:p w:rsidR="00C7612C" w:rsidRPr="00EF3DF6" w:rsidRDefault="00C7612C" w:rsidP="00EF3DF6">
      <w:pPr>
        <w:spacing w:line="480" w:lineRule="auto"/>
        <w:jc w:val="both"/>
        <w:rPr>
          <w:rFonts w:ascii="Arial" w:eastAsia="Times New Roman" w:hAnsi="Arial" w:cs="Arial"/>
          <w:sz w:val="24"/>
          <w:szCs w:val="24"/>
        </w:rPr>
      </w:pP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In our study, 7 cases were confirmed to have ABPA, hence the prevalence of </w:t>
      </w:r>
      <w:r w:rsidR="00C50F79" w:rsidRPr="00EF3DF6">
        <w:rPr>
          <w:rFonts w:ascii="Arial" w:eastAsia="Times New Roman" w:hAnsi="Arial" w:cs="Arial"/>
          <w:sz w:val="24"/>
          <w:szCs w:val="24"/>
        </w:rPr>
        <w:t xml:space="preserve">ABPA was </w:t>
      </w:r>
      <w:r w:rsidRPr="00EF3DF6">
        <w:rPr>
          <w:rFonts w:ascii="Arial" w:eastAsia="Times New Roman" w:hAnsi="Arial" w:cs="Arial"/>
          <w:sz w:val="24"/>
          <w:szCs w:val="24"/>
        </w:rPr>
        <w:t>3.5%</w:t>
      </w:r>
      <w:r w:rsidR="00C50F79" w:rsidRPr="00EF3DF6">
        <w:rPr>
          <w:rFonts w:ascii="Arial" w:eastAsia="Times New Roman" w:hAnsi="Arial" w:cs="Arial"/>
          <w:sz w:val="24"/>
          <w:szCs w:val="24"/>
        </w:rPr>
        <w:t xml:space="preserve"> in our study. </w:t>
      </w:r>
      <w:r w:rsidRPr="00EF3DF6">
        <w:rPr>
          <w:rFonts w:ascii="Arial" w:eastAsia="Times New Roman" w:hAnsi="Arial" w:cs="Arial"/>
          <w:sz w:val="24"/>
          <w:szCs w:val="24"/>
        </w:rPr>
        <w:t xml:space="preserve">In 1985, children with perennial asthma were screened for ABPA by Chetty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7</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and the prevalence was reported to be 15%. Similarly</w:t>
      </w:r>
      <w:r w:rsidR="00174E4F" w:rsidRPr="00EF3DF6">
        <w:rPr>
          <w:rFonts w:ascii="Arial" w:eastAsia="Times New Roman" w:hAnsi="Arial" w:cs="Arial"/>
          <w:sz w:val="24"/>
          <w:szCs w:val="24"/>
        </w:rPr>
        <w:t>,</w:t>
      </w:r>
      <w:r w:rsidRPr="00EF3DF6">
        <w:rPr>
          <w:rFonts w:ascii="Arial" w:eastAsia="Times New Roman" w:hAnsi="Arial" w:cs="Arial"/>
          <w:sz w:val="24"/>
          <w:szCs w:val="24"/>
        </w:rPr>
        <w:t xml:space="preserve"> study by </w:t>
      </w:r>
      <w:proofErr w:type="spellStart"/>
      <w:r w:rsidRPr="00EF3DF6">
        <w:rPr>
          <w:rFonts w:ascii="Arial" w:eastAsia="Times New Roman" w:hAnsi="Arial" w:cs="Arial"/>
          <w:sz w:val="24"/>
          <w:szCs w:val="24"/>
        </w:rPr>
        <w:t>Meenu</w:t>
      </w:r>
      <w:proofErr w:type="spellEnd"/>
      <w:r w:rsidRPr="00EF3DF6">
        <w:rPr>
          <w:rFonts w:ascii="Arial" w:eastAsia="Times New Roman" w:hAnsi="Arial" w:cs="Arial"/>
          <w:sz w:val="24"/>
          <w:szCs w:val="24"/>
        </w:rPr>
        <w:t xml:space="preserve">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6</w:t>
      </w:r>
      <w:r w:rsidRPr="00EF3DF6">
        <w:rPr>
          <w:rFonts w:ascii="Arial" w:eastAsia="Times New Roman" w:hAnsi="Arial" w:cs="Arial"/>
          <w:sz w:val="24"/>
          <w:szCs w:val="24"/>
          <w:vertAlign w:val="superscript"/>
        </w:rPr>
        <w:t>]</w:t>
      </w:r>
      <w:r w:rsidR="00174E4F" w:rsidRPr="00EF3DF6">
        <w:rPr>
          <w:rFonts w:ascii="Arial" w:eastAsia="Times New Roman" w:hAnsi="Arial" w:cs="Arial"/>
          <w:sz w:val="24"/>
          <w:szCs w:val="24"/>
          <w:vertAlign w:val="superscript"/>
        </w:rPr>
        <w:t xml:space="preserve"> </w:t>
      </w:r>
      <w:r w:rsidR="00174E4F" w:rsidRPr="00EF3DF6">
        <w:rPr>
          <w:rFonts w:ascii="Arial" w:eastAsia="Times New Roman" w:hAnsi="Arial" w:cs="Arial"/>
          <w:sz w:val="24"/>
          <w:szCs w:val="24"/>
        </w:rPr>
        <w:t xml:space="preserve">and Kumari et al </w:t>
      </w:r>
      <w:r w:rsidR="00174E4F" w:rsidRPr="00EF3DF6">
        <w:rPr>
          <w:rFonts w:ascii="Arial" w:eastAsia="Times New Roman" w:hAnsi="Arial" w:cs="Arial"/>
          <w:color w:val="000000" w:themeColor="text1"/>
          <w:sz w:val="24"/>
          <w:szCs w:val="24"/>
          <w:vertAlign w:val="superscript"/>
        </w:rPr>
        <w:t>[8]</w:t>
      </w:r>
      <w:r w:rsidRPr="00EF3DF6">
        <w:rPr>
          <w:rFonts w:ascii="Arial" w:eastAsia="Times New Roman" w:hAnsi="Arial" w:cs="Arial"/>
          <w:sz w:val="24"/>
          <w:szCs w:val="24"/>
        </w:rPr>
        <w:t xml:space="preserve"> showed prevalence of ABPA to be 26% </w:t>
      </w:r>
      <w:r w:rsidR="00174E4F" w:rsidRPr="00EF3DF6">
        <w:rPr>
          <w:rFonts w:ascii="Arial" w:eastAsia="Times New Roman" w:hAnsi="Arial" w:cs="Arial"/>
          <w:sz w:val="24"/>
          <w:szCs w:val="24"/>
        </w:rPr>
        <w:t xml:space="preserve">and 11.3% respectively </w:t>
      </w:r>
      <w:r w:rsidRPr="00EF3DF6">
        <w:rPr>
          <w:rFonts w:ascii="Arial" w:eastAsia="Times New Roman" w:hAnsi="Arial" w:cs="Arial"/>
          <w:sz w:val="24"/>
          <w:szCs w:val="24"/>
        </w:rPr>
        <w:t xml:space="preserve">in children with poorly controlled asthma. Such low prevalence of ABPA in our study in comparison to these other studies may be due to majority of cases included in our study were controlled bronchial asthma. </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Mean age of ABPA cases was 9.43±2.15 years</w:t>
      </w:r>
      <w:r w:rsidR="00C50F79" w:rsidRPr="00EF3DF6">
        <w:rPr>
          <w:rFonts w:ascii="Arial" w:eastAsia="Times New Roman" w:hAnsi="Arial" w:cs="Arial"/>
          <w:sz w:val="24"/>
          <w:szCs w:val="24"/>
        </w:rPr>
        <w:t xml:space="preserve"> in our study</w:t>
      </w:r>
      <w:r w:rsidRPr="00EF3DF6">
        <w:rPr>
          <w:rFonts w:ascii="Arial" w:eastAsia="Times New Roman" w:hAnsi="Arial" w:cs="Arial"/>
          <w:sz w:val="24"/>
          <w:szCs w:val="24"/>
        </w:rPr>
        <w:t xml:space="preserve">, with majority of the cases belonging to the age group of 6-10 years, which is comparable to study by Singh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6</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This could be due to poor adherence to therapy, improper technique of using the </w:t>
      </w:r>
      <w:r w:rsidRPr="00EF3DF6">
        <w:rPr>
          <w:rFonts w:ascii="Arial" w:eastAsia="Times New Roman" w:hAnsi="Arial" w:cs="Arial"/>
          <w:sz w:val="24"/>
          <w:szCs w:val="24"/>
        </w:rPr>
        <w:lastRenderedPageBreak/>
        <w:t>spacer and increased chances of Upper respiratory tract infection in these children due to adenoid hypertrophy, which can all collectively lead to increase in bronchial asthma being uncontrolled, and in turn higher prevalence of ABPA.</w:t>
      </w:r>
    </w:p>
    <w:p w:rsidR="00C50F79"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Out of 7 cases of ABPA, there were 6 males and only 1 affected case</w:t>
      </w:r>
      <w:r w:rsidR="00C50F79" w:rsidRPr="00EF3DF6">
        <w:rPr>
          <w:rFonts w:ascii="Arial" w:eastAsia="Times New Roman" w:hAnsi="Arial" w:cs="Arial"/>
          <w:sz w:val="24"/>
          <w:szCs w:val="24"/>
        </w:rPr>
        <w:t xml:space="preserve"> </w:t>
      </w:r>
      <w:r w:rsidRPr="00EF3DF6">
        <w:rPr>
          <w:rFonts w:ascii="Arial" w:eastAsia="Times New Roman" w:hAnsi="Arial" w:cs="Arial"/>
          <w:sz w:val="24"/>
          <w:szCs w:val="24"/>
        </w:rPr>
        <w:t xml:space="preserve">was a female. Similar result was found by </w:t>
      </w:r>
      <w:proofErr w:type="spellStart"/>
      <w:r w:rsidRPr="00EF3DF6">
        <w:rPr>
          <w:rFonts w:ascii="Arial" w:eastAsia="Times New Roman" w:hAnsi="Arial" w:cs="Arial"/>
          <w:sz w:val="24"/>
          <w:szCs w:val="24"/>
        </w:rPr>
        <w:t>Meenu</w:t>
      </w:r>
      <w:proofErr w:type="spellEnd"/>
      <w:r w:rsidRPr="00EF3DF6">
        <w:rPr>
          <w:rFonts w:ascii="Arial" w:eastAsia="Times New Roman" w:hAnsi="Arial" w:cs="Arial"/>
          <w:sz w:val="24"/>
          <w:szCs w:val="24"/>
        </w:rPr>
        <w:t xml:space="preserve">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6</w:t>
      </w:r>
      <w:r w:rsidRPr="00EF3DF6">
        <w:rPr>
          <w:rFonts w:ascii="Arial" w:eastAsia="Times New Roman" w:hAnsi="Arial" w:cs="Arial"/>
          <w:sz w:val="24"/>
          <w:szCs w:val="24"/>
          <w:vertAlign w:val="superscript"/>
        </w:rPr>
        <w:t xml:space="preserve">] </w:t>
      </w:r>
      <w:r w:rsidRPr="00EF3DF6">
        <w:rPr>
          <w:rFonts w:ascii="Arial" w:eastAsia="Times New Roman" w:hAnsi="Arial" w:cs="Arial"/>
          <w:sz w:val="24"/>
          <w:szCs w:val="24"/>
        </w:rPr>
        <w:t>where male to female ratio was 4:1 amongst the affected cases.</w:t>
      </w:r>
      <w:r w:rsidR="001B6D9A" w:rsidRPr="00EF3DF6">
        <w:rPr>
          <w:rFonts w:ascii="Arial" w:eastAsia="Times New Roman" w:hAnsi="Arial" w:cs="Arial"/>
          <w:sz w:val="24"/>
          <w:szCs w:val="24"/>
        </w:rPr>
        <w:t xml:space="preserve"> In a study by Agarwal R et al </w:t>
      </w:r>
      <w:r w:rsidR="001B6D9A" w:rsidRPr="00EF3DF6">
        <w:rPr>
          <w:rFonts w:ascii="Arial" w:eastAsia="Times New Roman" w:hAnsi="Arial" w:cs="Arial"/>
          <w:sz w:val="24"/>
          <w:szCs w:val="24"/>
          <w:vertAlign w:val="superscript"/>
        </w:rPr>
        <w:t>[20]</w:t>
      </w:r>
      <w:r w:rsidR="001B6D9A" w:rsidRPr="00EF3DF6">
        <w:rPr>
          <w:rFonts w:ascii="Arial" w:eastAsia="Times New Roman" w:hAnsi="Arial" w:cs="Arial"/>
          <w:sz w:val="24"/>
          <w:szCs w:val="24"/>
        </w:rPr>
        <w:t xml:space="preserve"> showed </w:t>
      </w:r>
      <w:r w:rsidR="001B6D9A" w:rsidRPr="00EF3DF6">
        <w:rPr>
          <w:rFonts w:ascii="Arial" w:hAnsi="Arial" w:cs="Arial"/>
          <w:color w:val="212121"/>
          <w:sz w:val="24"/>
          <w:szCs w:val="24"/>
          <w:shd w:val="clear" w:color="auto" w:fill="FFFFFF"/>
        </w:rPr>
        <w:t xml:space="preserve">ABPA exacerbations occurred in a slightly higher proportion of women than men (44.5% vs. 38.2%) but did not reach statistical significance (p = 0.09), concluding that there is no significant sex difference in ABPA in bronchial asthma patients. </w:t>
      </w:r>
    </w:p>
    <w:p w:rsidR="00FF78CA"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 </w:t>
      </w:r>
      <w:r w:rsidR="00C50F79" w:rsidRPr="00EF3DF6">
        <w:rPr>
          <w:rFonts w:ascii="Arial" w:eastAsia="Times New Roman" w:hAnsi="Arial" w:cs="Arial"/>
          <w:sz w:val="24"/>
          <w:szCs w:val="24"/>
        </w:rPr>
        <w:t>5 (71.4%) cases of ABPA were residing in rural areas.</w:t>
      </w:r>
      <w:r w:rsidR="00454690" w:rsidRPr="00EF3DF6">
        <w:rPr>
          <w:rFonts w:ascii="Arial" w:eastAsia="Times New Roman" w:hAnsi="Arial" w:cs="Arial"/>
          <w:sz w:val="24"/>
          <w:szCs w:val="24"/>
        </w:rPr>
        <w:t xml:space="preserve"> </w:t>
      </w:r>
      <w:r w:rsidR="00C50F79" w:rsidRPr="00EF3DF6">
        <w:rPr>
          <w:rFonts w:ascii="Arial" w:eastAsia="Times New Roman" w:hAnsi="Arial" w:cs="Arial"/>
          <w:sz w:val="24"/>
          <w:szCs w:val="24"/>
        </w:rPr>
        <w:t>This</w:t>
      </w:r>
      <w:r w:rsidRPr="00EF3DF6">
        <w:rPr>
          <w:rFonts w:ascii="Arial" w:eastAsia="Times New Roman" w:hAnsi="Arial" w:cs="Arial"/>
          <w:sz w:val="24"/>
          <w:szCs w:val="24"/>
        </w:rPr>
        <w:t xml:space="preserve"> could be due to greater exposure to Aspergillus spores in northern India, where agricultural farming is the main occupation. Most of the patients came from the Punjab and the surrounding areas.</w:t>
      </w:r>
    </w:p>
    <w:p w:rsidR="00FF78CA"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Table </w:t>
      </w:r>
      <w:r w:rsidR="00DC4F43" w:rsidRPr="00EF3DF6">
        <w:rPr>
          <w:rFonts w:ascii="Arial" w:eastAsia="Times New Roman" w:hAnsi="Arial" w:cs="Arial"/>
          <w:sz w:val="24"/>
          <w:szCs w:val="24"/>
        </w:rPr>
        <w:t>3</w:t>
      </w:r>
      <w:r w:rsidRPr="00EF3DF6">
        <w:rPr>
          <w:rFonts w:ascii="Arial" w:eastAsia="Times New Roman" w:hAnsi="Arial" w:cs="Arial"/>
          <w:sz w:val="24"/>
          <w:szCs w:val="24"/>
        </w:rPr>
        <w:t xml:space="preserve">: </w:t>
      </w:r>
      <w:r w:rsidR="00205C4C" w:rsidRPr="00EF3DF6">
        <w:rPr>
          <w:rFonts w:ascii="Arial" w:eastAsia="Times New Roman" w:hAnsi="Arial" w:cs="Arial"/>
          <w:sz w:val="24"/>
          <w:szCs w:val="24"/>
        </w:rPr>
        <w:t>Clinical profile</w:t>
      </w:r>
      <w:r w:rsidRPr="00EF3DF6">
        <w:rPr>
          <w:rFonts w:ascii="Arial" w:eastAsia="Times New Roman" w:hAnsi="Arial" w:cs="Arial"/>
          <w:sz w:val="24"/>
          <w:szCs w:val="24"/>
        </w:rPr>
        <w:t xml:space="preserve"> of ABPA cases</w:t>
      </w:r>
    </w:p>
    <w:tbl>
      <w:tblPr>
        <w:tblStyle w:val="TableGrid"/>
        <w:tblW w:w="0" w:type="auto"/>
        <w:tblLook w:val="04A0" w:firstRow="1" w:lastRow="0" w:firstColumn="1" w:lastColumn="0" w:noHBand="0" w:noVBand="1"/>
      </w:tblPr>
      <w:tblGrid>
        <w:gridCol w:w="1109"/>
        <w:gridCol w:w="1564"/>
        <w:gridCol w:w="2139"/>
        <w:gridCol w:w="2125"/>
        <w:gridCol w:w="2079"/>
      </w:tblGrid>
      <w:tr w:rsidR="00205C4C" w:rsidRPr="00EF3DF6" w:rsidTr="00205C4C">
        <w:tc>
          <w:tcPr>
            <w:tcW w:w="2593" w:type="dxa"/>
            <w:gridSpan w:val="2"/>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PARAMETER</w:t>
            </w:r>
          </w:p>
        </w:tc>
        <w:tc>
          <w:tcPr>
            <w:tcW w:w="216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ABPA PRESENT (n = 7)</w:t>
            </w:r>
          </w:p>
        </w:tc>
        <w:tc>
          <w:tcPr>
            <w:tcW w:w="215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ABPA ABSENT (n = 193)</w:t>
            </w:r>
          </w:p>
        </w:tc>
        <w:tc>
          <w:tcPr>
            <w:tcW w:w="2113"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p value</w:t>
            </w:r>
          </w:p>
        </w:tc>
      </w:tr>
      <w:tr w:rsidR="00205C4C" w:rsidRPr="00EF3DF6" w:rsidTr="00205C4C">
        <w:trPr>
          <w:trHeight w:val="276"/>
        </w:trPr>
        <w:tc>
          <w:tcPr>
            <w:tcW w:w="1110" w:type="dxa"/>
            <w:vMerge w:val="restart"/>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Gender</w:t>
            </w:r>
          </w:p>
        </w:tc>
        <w:tc>
          <w:tcPr>
            <w:tcW w:w="1483"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Male</w:t>
            </w:r>
          </w:p>
        </w:tc>
        <w:tc>
          <w:tcPr>
            <w:tcW w:w="216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w:t>
            </w:r>
          </w:p>
        </w:tc>
        <w:tc>
          <w:tcPr>
            <w:tcW w:w="215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121</w:t>
            </w:r>
          </w:p>
        </w:tc>
        <w:tc>
          <w:tcPr>
            <w:tcW w:w="2113" w:type="dxa"/>
            <w:vMerge w:val="restart"/>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0.214</w:t>
            </w:r>
          </w:p>
        </w:tc>
      </w:tr>
      <w:tr w:rsidR="00205C4C" w:rsidRPr="00EF3DF6" w:rsidTr="00205C4C">
        <w:trPr>
          <w:trHeight w:val="276"/>
        </w:trPr>
        <w:tc>
          <w:tcPr>
            <w:tcW w:w="1110" w:type="dxa"/>
            <w:vMerge/>
          </w:tcPr>
          <w:p w:rsidR="00205C4C" w:rsidRPr="00EF3DF6" w:rsidRDefault="00205C4C" w:rsidP="00EF3DF6">
            <w:pPr>
              <w:spacing w:line="480" w:lineRule="auto"/>
              <w:jc w:val="both"/>
              <w:rPr>
                <w:rFonts w:ascii="Arial" w:eastAsia="Times New Roman" w:hAnsi="Arial" w:cs="Arial"/>
                <w:sz w:val="24"/>
                <w:szCs w:val="24"/>
              </w:rPr>
            </w:pPr>
          </w:p>
        </w:tc>
        <w:tc>
          <w:tcPr>
            <w:tcW w:w="1483"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Female</w:t>
            </w:r>
          </w:p>
        </w:tc>
        <w:tc>
          <w:tcPr>
            <w:tcW w:w="216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w:t>
            </w:r>
          </w:p>
        </w:tc>
        <w:tc>
          <w:tcPr>
            <w:tcW w:w="215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72</w:t>
            </w:r>
          </w:p>
        </w:tc>
        <w:tc>
          <w:tcPr>
            <w:tcW w:w="2113" w:type="dxa"/>
            <w:vMerge/>
          </w:tcPr>
          <w:p w:rsidR="00205C4C" w:rsidRPr="00EF3DF6" w:rsidRDefault="00205C4C" w:rsidP="00EF3DF6">
            <w:pPr>
              <w:spacing w:line="480" w:lineRule="auto"/>
              <w:jc w:val="both"/>
              <w:rPr>
                <w:rFonts w:ascii="Arial" w:eastAsia="Times New Roman" w:hAnsi="Arial" w:cs="Arial"/>
                <w:sz w:val="24"/>
                <w:szCs w:val="24"/>
              </w:rPr>
            </w:pPr>
          </w:p>
        </w:tc>
      </w:tr>
      <w:tr w:rsidR="00205C4C" w:rsidRPr="00EF3DF6" w:rsidTr="00205C4C">
        <w:trPr>
          <w:trHeight w:val="276"/>
        </w:trPr>
        <w:tc>
          <w:tcPr>
            <w:tcW w:w="1110" w:type="dxa"/>
            <w:vMerge w:val="restart"/>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Control</w:t>
            </w:r>
          </w:p>
        </w:tc>
        <w:tc>
          <w:tcPr>
            <w:tcW w:w="1483"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Controlled </w:t>
            </w:r>
          </w:p>
        </w:tc>
        <w:tc>
          <w:tcPr>
            <w:tcW w:w="216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w:t>
            </w:r>
          </w:p>
        </w:tc>
        <w:tc>
          <w:tcPr>
            <w:tcW w:w="215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140</w:t>
            </w:r>
          </w:p>
        </w:tc>
        <w:tc>
          <w:tcPr>
            <w:tcW w:w="2113" w:type="dxa"/>
            <w:vMerge w:val="restart"/>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0.01</w:t>
            </w:r>
          </w:p>
        </w:tc>
      </w:tr>
      <w:tr w:rsidR="00205C4C" w:rsidRPr="00EF3DF6" w:rsidTr="00205C4C">
        <w:trPr>
          <w:trHeight w:val="276"/>
        </w:trPr>
        <w:tc>
          <w:tcPr>
            <w:tcW w:w="1110" w:type="dxa"/>
            <w:vMerge/>
          </w:tcPr>
          <w:p w:rsidR="00205C4C" w:rsidRPr="00EF3DF6" w:rsidRDefault="00205C4C" w:rsidP="00EF3DF6">
            <w:pPr>
              <w:spacing w:line="480" w:lineRule="auto"/>
              <w:jc w:val="both"/>
              <w:rPr>
                <w:rFonts w:ascii="Arial" w:eastAsia="Times New Roman" w:hAnsi="Arial" w:cs="Arial"/>
                <w:sz w:val="24"/>
                <w:szCs w:val="24"/>
              </w:rPr>
            </w:pPr>
          </w:p>
        </w:tc>
        <w:tc>
          <w:tcPr>
            <w:tcW w:w="1483"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Uncontrolled</w:t>
            </w:r>
          </w:p>
        </w:tc>
        <w:tc>
          <w:tcPr>
            <w:tcW w:w="216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5</w:t>
            </w:r>
          </w:p>
        </w:tc>
        <w:tc>
          <w:tcPr>
            <w:tcW w:w="215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93</w:t>
            </w:r>
          </w:p>
        </w:tc>
        <w:tc>
          <w:tcPr>
            <w:tcW w:w="2113" w:type="dxa"/>
            <w:vMerge/>
          </w:tcPr>
          <w:p w:rsidR="00205C4C" w:rsidRPr="00EF3DF6" w:rsidRDefault="00205C4C" w:rsidP="00EF3DF6">
            <w:pPr>
              <w:spacing w:line="480" w:lineRule="auto"/>
              <w:jc w:val="both"/>
              <w:rPr>
                <w:rFonts w:ascii="Arial" w:eastAsia="Times New Roman" w:hAnsi="Arial" w:cs="Arial"/>
                <w:sz w:val="24"/>
                <w:szCs w:val="24"/>
              </w:rPr>
            </w:pPr>
          </w:p>
        </w:tc>
      </w:tr>
      <w:tr w:rsidR="00205C4C" w:rsidRPr="00EF3DF6" w:rsidTr="00205C4C">
        <w:trPr>
          <w:trHeight w:val="276"/>
        </w:trPr>
        <w:tc>
          <w:tcPr>
            <w:tcW w:w="1110" w:type="dxa"/>
            <w:vMerge w:val="restart"/>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Severity</w:t>
            </w:r>
          </w:p>
        </w:tc>
        <w:tc>
          <w:tcPr>
            <w:tcW w:w="1483"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Mild</w:t>
            </w:r>
          </w:p>
        </w:tc>
        <w:tc>
          <w:tcPr>
            <w:tcW w:w="216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5</w:t>
            </w:r>
          </w:p>
        </w:tc>
        <w:tc>
          <w:tcPr>
            <w:tcW w:w="215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157</w:t>
            </w:r>
          </w:p>
        </w:tc>
        <w:tc>
          <w:tcPr>
            <w:tcW w:w="2113" w:type="dxa"/>
            <w:vMerge w:val="restart"/>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0.511</w:t>
            </w:r>
          </w:p>
        </w:tc>
      </w:tr>
      <w:tr w:rsidR="00205C4C" w:rsidRPr="00EF3DF6" w:rsidTr="00205C4C">
        <w:trPr>
          <w:trHeight w:val="276"/>
        </w:trPr>
        <w:tc>
          <w:tcPr>
            <w:tcW w:w="1110" w:type="dxa"/>
            <w:vMerge/>
          </w:tcPr>
          <w:p w:rsidR="00205C4C" w:rsidRPr="00EF3DF6" w:rsidRDefault="00205C4C" w:rsidP="00EF3DF6">
            <w:pPr>
              <w:spacing w:line="480" w:lineRule="auto"/>
              <w:jc w:val="both"/>
              <w:rPr>
                <w:rFonts w:ascii="Arial" w:eastAsia="Times New Roman" w:hAnsi="Arial" w:cs="Arial"/>
                <w:sz w:val="24"/>
                <w:szCs w:val="24"/>
              </w:rPr>
            </w:pPr>
          </w:p>
        </w:tc>
        <w:tc>
          <w:tcPr>
            <w:tcW w:w="1483"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Severe</w:t>
            </w:r>
          </w:p>
        </w:tc>
        <w:tc>
          <w:tcPr>
            <w:tcW w:w="216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w:t>
            </w:r>
          </w:p>
        </w:tc>
        <w:tc>
          <w:tcPr>
            <w:tcW w:w="2150" w:type="dxa"/>
          </w:tcPr>
          <w:p w:rsidR="00205C4C" w:rsidRPr="00EF3DF6" w:rsidRDefault="00205C4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36</w:t>
            </w:r>
          </w:p>
        </w:tc>
        <w:tc>
          <w:tcPr>
            <w:tcW w:w="2113" w:type="dxa"/>
            <w:vMerge/>
          </w:tcPr>
          <w:p w:rsidR="00205C4C" w:rsidRPr="00EF3DF6" w:rsidRDefault="00205C4C" w:rsidP="00EF3DF6">
            <w:pPr>
              <w:spacing w:line="480" w:lineRule="auto"/>
              <w:jc w:val="both"/>
              <w:rPr>
                <w:rFonts w:ascii="Arial" w:eastAsia="Times New Roman" w:hAnsi="Arial" w:cs="Arial"/>
                <w:sz w:val="24"/>
                <w:szCs w:val="24"/>
              </w:rPr>
            </w:pPr>
          </w:p>
        </w:tc>
      </w:tr>
    </w:tbl>
    <w:p w:rsidR="00B21B54" w:rsidRPr="00EF3DF6" w:rsidRDefault="00B21B54" w:rsidP="00EF3DF6">
      <w:pPr>
        <w:spacing w:line="480" w:lineRule="auto"/>
        <w:jc w:val="both"/>
        <w:rPr>
          <w:rFonts w:ascii="Arial" w:eastAsia="Times New Roman" w:hAnsi="Arial" w:cs="Arial"/>
          <w:sz w:val="24"/>
          <w:szCs w:val="24"/>
        </w:rPr>
      </w:pP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In our study, 5 cases of ABPA had mild bro</w:t>
      </w:r>
      <w:r w:rsidR="00B21B54" w:rsidRPr="00EF3DF6">
        <w:rPr>
          <w:rFonts w:ascii="Arial" w:eastAsia="Times New Roman" w:hAnsi="Arial" w:cs="Arial"/>
          <w:sz w:val="24"/>
          <w:szCs w:val="24"/>
        </w:rPr>
        <w:t>n</w:t>
      </w:r>
      <w:r w:rsidRPr="00EF3DF6">
        <w:rPr>
          <w:rFonts w:ascii="Arial" w:eastAsia="Times New Roman" w:hAnsi="Arial" w:cs="Arial"/>
          <w:sz w:val="24"/>
          <w:szCs w:val="24"/>
        </w:rPr>
        <w:t xml:space="preserve">chial asthma and only 2 cases belonged to the category of severe asthma. Studies showing similar result could not be traced </w:t>
      </w:r>
      <w:r w:rsidRPr="00EF3DF6">
        <w:rPr>
          <w:rFonts w:ascii="Arial" w:eastAsia="Times New Roman" w:hAnsi="Arial" w:cs="Arial"/>
          <w:sz w:val="24"/>
          <w:szCs w:val="24"/>
        </w:rPr>
        <w:lastRenderedPageBreak/>
        <w:t xml:space="preserve">in literature. The result of our study goes on to show that presence of mild bronchial asthma does not rule out the presence of ABPA in a child. </w:t>
      </w:r>
    </w:p>
    <w:p w:rsidR="00FF78CA"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5 (71.4%) APBA cases had uncontrolled asthma whereas 2 (28.5%) were controlled bronchial asthma cases. Studies done by Singh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6,</w:t>
      </w:r>
      <w:r w:rsidR="00B21B54" w:rsidRPr="00EF3DF6">
        <w:rPr>
          <w:rFonts w:ascii="Arial" w:eastAsia="Times New Roman" w:hAnsi="Arial" w:cs="Arial"/>
          <w:sz w:val="24"/>
          <w:szCs w:val="24"/>
          <w:vertAlign w:val="superscript"/>
        </w:rPr>
        <w:t>10,11</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showed similar results. This may be attributed to the role of higher airway colonization or infection by Aspergillus Fumigatus and hence higher prevalence of ABPA in uncontrolled asthma. Hence, ABPA should be suspected in asthmatics who had difficult to control asthma despite good compliance to therapy. </w:t>
      </w:r>
    </w:p>
    <w:p w:rsidR="00536B86" w:rsidRPr="00EF3DF6" w:rsidRDefault="00790564" w:rsidP="00EF3DF6">
      <w:pPr>
        <w:spacing w:line="480" w:lineRule="auto"/>
        <w:jc w:val="both"/>
        <w:rPr>
          <w:rFonts w:ascii="Arial" w:eastAsia="Times New Roman" w:hAnsi="Arial" w:cs="Arial"/>
          <w:sz w:val="24"/>
          <w:szCs w:val="24"/>
          <w:vertAlign w:val="superscript"/>
        </w:rPr>
      </w:pPr>
      <w:r w:rsidRPr="00EF3DF6">
        <w:rPr>
          <w:rFonts w:ascii="Arial" w:eastAsia="Times New Roman" w:hAnsi="Arial" w:cs="Arial"/>
          <w:sz w:val="24"/>
          <w:szCs w:val="24"/>
        </w:rPr>
        <w:t>In the present study, mean AEC in ABPA positive cases was 418.71 cells/</w:t>
      </w:r>
      <w:proofErr w:type="spellStart"/>
      <w:r w:rsidRPr="00EF3DF6">
        <w:rPr>
          <w:rFonts w:ascii="Arial" w:eastAsia="Times New Roman" w:hAnsi="Arial" w:cs="Arial"/>
          <w:sz w:val="24"/>
          <w:szCs w:val="24"/>
        </w:rPr>
        <w:t>cumm</w:t>
      </w:r>
      <w:proofErr w:type="spellEnd"/>
      <w:r w:rsidRPr="00EF3DF6">
        <w:rPr>
          <w:rFonts w:ascii="Arial" w:eastAsia="Times New Roman" w:hAnsi="Arial" w:cs="Arial"/>
          <w:sz w:val="24"/>
          <w:szCs w:val="24"/>
        </w:rPr>
        <w:t xml:space="preserve"> whereas it was 276.76 cells/</w:t>
      </w:r>
      <w:proofErr w:type="spellStart"/>
      <w:r w:rsidRPr="00EF3DF6">
        <w:rPr>
          <w:rFonts w:ascii="Arial" w:eastAsia="Times New Roman" w:hAnsi="Arial" w:cs="Arial"/>
          <w:sz w:val="24"/>
          <w:szCs w:val="24"/>
        </w:rPr>
        <w:t>cumm</w:t>
      </w:r>
      <w:proofErr w:type="spellEnd"/>
      <w:r w:rsidRPr="00EF3DF6">
        <w:rPr>
          <w:rFonts w:ascii="Arial" w:eastAsia="Times New Roman" w:hAnsi="Arial" w:cs="Arial"/>
          <w:sz w:val="24"/>
          <w:szCs w:val="24"/>
        </w:rPr>
        <w:t xml:space="preserve"> in ABPA negative cases. The difference of mean AEC levels between the two groups was statistically significant as p value is &lt;0.05. This shows that cases with bronchial asthma having ABPA have higher level of serum eosinophils as compared to ABPA negative group, hence indicating that eosinophils may play a role in the inflammatory process in ABPA as ABPA is considered to be a hypersensitivity disease. The present study can be compared to studies done by Singh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6</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and Shah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1</w:t>
      </w:r>
      <w:r w:rsidR="00B21B54" w:rsidRPr="00EF3DF6">
        <w:rPr>
          <w:rFonts w:ascii="Arial" w:eastAsia="Times New Roman" w:hAnsi="Arial" w:cs="Arial"/>
          <w:sz w:val="24"/>
          <w:szCs w:val="24"/>
          <w:vertAlign w:val="superscript"/>
        </w:rPr>
        <w:t>2</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where AEC levels were higher in ABPA positive cases as compared to the negative ones. However, there was a difference in mean serum AEC levels in our study and these studies, which could be due to difference in epidemiological characteristics of the study population. Besides, clinical and laboratory parameters depend on the stage of ABPA, like, in remission stage, usually, there is no clinical or laboratory evidence of ABPA. </w:t>
      </w:r>
      <w:r w:rsidRPr="00EF3DF6">
        <w:rPr>
          <w:rFonts w:ascii="Arial" w:eastAsia="Times New Roman" w:hAnsi="Arial" w:cs="Arial"/>
          <w:sz w:val="24"/>
          <w:szCs w:val="24"/>
          <w:vertAlign w:val="superscript"/>
        </w:rPr>
        <w:t>[1</w:t>
      </w:r>
      <w:r w:rsidR="00F65746" w:rsidRPr="00EF3DF6">
        <w:rPr>
          <w:rFonts w:ascii="Arial" w:eastAsia="Times New Roman" w:hAnsi="Arial" w:cs="Arial"/>
          <w:sz w:val="24"/>
          <w:szCs w:val="24"/>
          <w:vertAlign w:val="superscript"/>
        </w:rPr>
        <w:t>5</w:t>
      </w:r>
      <w:r w:rsidRPr="00EF3DF6">
        <w:rPr>
          <w:rFonts w:ascii="Arial" w:eastAsia="Times New Roman" w:hAnsi="Arial" w:cs="Arial"/>
          <w:sz w:val="24"/>
          <w:szCs w:val="24"/>
          <w:vertAlign w:val="superscript"/>
        </w:rPr>
        <w:t>]</w:t>
      </w:r>
    </w:p>
    <w:p w:rsidR="009A266C"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Table </w:t>
      </w:r>
      <w:r w:rsidR="00CC022E" w:rsidRPr="00EF3DF6">
        <w:rPr>
          <w:rFonts w:ascii="Arial" w:eastAsia="Times New Roman" w:hAnsi="Arial" w:cs="Arial"/>
          <w:sz w:val="24"/>
          <w:szCs w:val="24"/>
        </w:rPr>
        <w:t>4</w:t>
      </w:r>
      <w:r w:rsidRPr="00EF3DF6">
        <w:rPr>
          <w:rFonts w:ascii="Arial" w:eastAsia="Times New Roman" w:hAnsi="Arial" w:cs="Arial"/>
          <w:sz w:val="24"/>
          <w:szCs w:val="24"/>
        </w:rPr>
        <w:t xml:space="preserve">: </w:t>
      </w:r>
      <w:r w:rsidR="009D6379" w:rsidRPr="00EF3DF6">
        <w:rPr>
          <w:rFonts w:ascii="Arial" w:eastAsia="Times New Roman" w:hAnsi="Arial" w:cs="Arial"/>
          <w:sz w:val="24"/>
          <w:szCs w:val="24"/>
        </w:rPr>
        <w:t>Investigations</w:t>
      </w:r>
      <w:r w:rsidRPr="00EF3DF6">
        <w:rPr>
          <w:rFonts w:ascii="Arial" w:eastAsia="Times New Roman" w:hAnsi="Arial" w:cs="Arial"/>
          <w:sz w:val="24"/>
          <w:szCs w:val="24"/>
        </w:rPr>
        <w:t xml:space="preserve"> in ABPA cases</w:t>
      </w:r>
    </w:p>
    <w:tbl>
      <w:tblPr>
        <w:tblStyle w:val="TableGrid"/>
        <w:tblW w:w="10079" w:type="dxa"/>
        <w:tblLook w:val="04A0" w:firstRow="1" w:lastRow="0" w:firstColumn="1" w:lastColumn="0" w:noHBand="0" w:noVBand="1"/>
      </w:tblPr>
      <w:tblGrid>
        <w:gridCol w:w="2848"/>
        <w:gridCol w:w="1215"/>
        <w:gridCol w:w="1216"/>
        <w:gridCol w:w="1210"/>
        <w:gridCol w:w="1210"/>
        <w:gridCol w:w="2380"/>
      </w:tblGrid>
      <w:tr w:rsidR="009A266C" w:rsidRPr="00EF3DF6" w:rsidTr="009A266C">
        <w:trPr>
          <w:trHeight w:val="490"/>
        </w:trPr>
        <w:tc>
          <w:tcPr>
            <w:tcW w:w="2848" w:type="dxa"/>
            <w:vMerge w:val="restart"/>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INVESTIGATION</w:t>
            </w:r>
          </w:p>
        </w:tc>
        <w:tc>
          <w:tcPr>
            <w:tcW w:w="2431" w:type="dxa"/>
            <w:gridSpan w:val="2"/>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ABPA PRESENT</w:t>
            </w:r>
          </w:p>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(n = 7)</w:t>
            </w:r>
          </w:p>
        </w:tc>
        <w:tc>
          <w:tcPr>
            <w:tcW w:w="2420" w:type="dxa"/>
            <w:gridSpan w:val="2"/>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ABPA ABSENT</w:t>
            </w:r>
          </w:p>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(n = 193)</w:t>
            </w:r>
          </w:p>
        </w:tc>
        <w:tc>
          <w:tcPr>
            <w:tcW w:w="2380" w:type="dxa"/>
            <w:vMerge w:val="restart"/>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p- value</w:t>
            </w:r>
          </w:p>
        </w:tc>
      </w:tr>
      <w:tr w:rsidR="009A266C" w:rsidRPr="00EF3DF6" w:rsidTr="009A266C">
        <w:trPr>
          <w:trHeight w:val="490"/>
        </w:trPr>
        <w:tc>
          <w:tcPr>
            <w:tcW w:w="2848" w:type="dxa"/>
            <w:vMerge/>
          </w:tcPr>
          <w:p w:rsidR="009A266C" w:rsidRPr="00EF3DF6" w:rsidRDefault="009A266C" w:rsidP="00EF3DF6">
            <w:pPr>
              <w:spacing w:line="480" w:lineRule="auto"/>
              <w:jc w:val="both"/>
              <w:rPr>
                <w:rFonts w:ascii="Arial" w:eastAsia="Times New Roman" w:hAnsi="Arial" w:cs="Arial"/>
                <w:sz w:val="24"/>
                <w:szCs w:val="24"/>
              </w:rPr>
            </w:pPr>
          </w:p>
        </w:tc>
        <w:tc>
          <w:tcPr>
            <w:tcW w:w="1215"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Mean </w:t>
            </w:r>
          </w:p>
        </w:tc>
        <w:tc>
          <w:tcPr>
            <w:tcW w:w="1216"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SD</w:t>
            </w:r>
          </w:p>
        </w:tc>
        <w:tc>
          <w:tcPr>
            <w:tcW w:w="1210"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Mean </w:t>
            </w:r>
          </w:p>
        </w:tc>
        <w:tc>
          <w:tcPr>
            <w:tcW w:w="1210"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SD</w:t>
            </w:r>
          </w:p>
        </w:tc>
        <w:tc>
          <w:tcPr>
            <w:tcW w:w="2380" w:type="dxa"/>
            <w:vMerge/>
          </w:tcPr>
          <w:p w:rsidR="009A266C" w:rsidRPr="00EF3DF6" w:rsidRDefault="009A266C" w:rsidP="00EF3DF6">
            <w:pPr>
              <w:spacing w:line="480" w:lineRule="auto"/>
              <w:jc w:val="both"/>
              <w:rPr>
                <w:rFonts w:ascii="Arial" w:eastAsia="Times New Roman" w:hAnsi="Arial" w:cs="Arial"/>
                <w:sz w:val="24"/>
                <w:szCs w:val="24"/>
              </w:rPr>
            </w:pPr>
          </w:p>
        </w:tc>
      </w:tr>
      <w:tr w:rsidR="009A266C" w:rsidRPr="00EF3DF6" w:rsidTr="009A266C">
        <w:trPr>
          <w:trHeight w:val="479"/>
        </w:trPr>
        <w:tc>
          <w:tcPr>
            <w:tcW w:w="2848"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Absolute eosinophil count (cells/</w:t>
            </w:r>
            <w:proofErr w:type="spellStart"/>
            <w:r w:rsidRPr="00EF3DF6">
              <w:rPr>
                <w:rFonts w:ascii="Arial" w:eastAsia="Times New Roman" w:hAnsi="Arial" w:cs="Arial"/>
                <w:sz w:val="24"/>
                <w:szCs w:val="24"/>
              </w:rPr>
              <w:t>cumm</w:t>
            </w:r>
            <w:proofErr w:type="spellEnd"/>
            <w:r w:rsidRPr="00EF3DF6">
              <w:rPr>
                <w:rFonts w:ascii="Arial" w:eastAsia="Times New Roman" w:hAnsi="Arial" w:cs="Arial"/>
                <w:sz w:val="24"/>
                <w:szCs w:val="24"/>
              </w:rPr>
              <w:t>)</w:t>
            </w:r>
          </w:p>
        </w:tc>
        <w:tc>
          <w:tcPr>
            <w:tcW w:w="1215"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418.71</w:t>
            </w:r>
          </w:p>
        </w:tc>
        <w:tc>
          <w:tcPr>
            <w:tcW w:w="1216"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90.12</w:t>
            </w:r>
          </w:p>
        </w:tc>
        <w:tc>
          <w:tcPr>
            <w:tcW w:w="1210"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276.76</w:t>
            </w:r>
          </w:p>
        </w:tc>
        <w:tc>
          <w:tcPr>
            <w:tcW w:w="1210"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142.86</w:t>
            </w:r>
          </w:p>
        </w:tc>
        <w:tc>
          <w:tcPr>
            <w:tcW w:w="2380" w:type="dxa"/>
          </w:tcPr>
          <w:p w:rsidR="009A266C" w:rsidRPr="00EF3DF6" w:rsidRDefault="009A266C"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0.005</w:t>
            </w:r>
          </w:p>
        </w:tc>
      </w:tr>
      <w:tr w:rsidR="000E4144" w:rsidRPr="00EF3DF6" w:rsidTr="00EE6A27">
        <w:trPr>
          <w:trHeight w:val="490"/>
        </w:trPr>
        <w:tc>
          <w:tcPr>
            <w:tcW w:w="2848" w:type="dxa"/>
          </w:tcPr>
          <w:p w:rsidR="000E4144" w:rsidRPr="00EF3DF6" w:rsidRDefault="000E414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Total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(IU/L)</w:t>
            </w:r>
          </w:p>
        </w:tc>
        <w:tc>
          <w:tcPr>
            <w:tcW w:w="1215" w:type="dxa"/>
          </w:tcPr>
          <w:p w:rsidR="000E4144" w:rsidRPr="00EF3DF6" w:rsidRDefault="000E414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1181.00</w:t>
            </w:r>
          </w:p>
        </w:tc>
        <w:tc>
          <w:tcPr>
            <w:tcW w:w="1216" w:type="dxa"/>
          </w:tcPr>
          <w:p w:rsidR="000E4144" w:rsidRPr="00EF3DF6" w:rsidRDefault="000E414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403.42</w:t>
            </w:r>
          </w:p>
        </w:tc>
        <w:tc>
          <w:tcPr>
            <w:tcW w:w="1210" w:type="dxa"/>
          </w:tcPr>
          <w:p w:rsidR="000E4144" w:rsidRPr="00EF3DF6" w:rsidRDefault="000E414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624.14</w:t>
            </w:r>
          </w:p>
        </w:tc>
        <w:tc>
          <w:tcPr>
            <w:tcW w:w="1210" w:type="dxa"/>
          </w:tcPr>
          <w:p w:rsidR="000E4144" w:rsidRPr="00EF3DF6" w:rsidRDefault="000E414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466.64</w:t>
            </w:r>
          </w:p>
        </w:tc>
        <w:tc>
          <w:tcPr>
            <w:tcW w:w="2380" w:type="dxa"/>
          </w:tcPr>
          <w:p w:rsidR="000E4144" w:rsidRPr="00EF3DF6" w:rsidRDefault="000E414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0.010</w:t>
            </w:r>
          </w:p>
        </w:tc>
      </w:tr>
      <w:tr w:rsidR="009D6379" w:rsidRPr="00EF3DF6" w:rsidTr="00DB5895">
        <w:trPr>
          <w:trHeight w:val="490"/>
        </w:trPr>
        <w:tc>
          <w:tcPr>
            <w:tcW w:w="2848"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Aspergillus specific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w:t>
            </w:r>
            <w:proofErr w:type="spellStart"/>
            <w:r w:rsidRPr="00EF3DF6">
              <w:rPr>
                <w:rFonts w:ascii="Arial" w:eastAsia="Times New Roman" w:hAnsi="Arial" w:cs="Arial"/>
                <w:sz w:val="24"/>
                <w:szCs w:val="24"/>
              </w:rPr>
              <w:t>kUA</w:t>
            </w:r>
            <w:proofErr w:type="spellEnd"/>
            <w:r w:rsidRPr="00EF3DF6">
              <w:rPr>
                <w:rFonts w:ascii="Arial" w:eastAsia="Times New Roman" w:hAnsi="Arial" w:cs="Arial"/>
                <w:sz w:val="24"/>
                <w:szCs w:val="24"/>
              </w:rPr>
              <w:t>/l)</w:t>
            </w:r>
          </w:p>
        </w:tc>
        <w:tc>
          <w:tcPr>
            <w:tcW w:w="1215"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4.74</w:t>
            </w:r>
          </w:p>
        </w:tc>
        <w:tc>
          <w:tcPr>
            <w:tcW w:w="1216"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6.09</w:t>
            </w:r>
          </w:p>
        </w:tc>
        <w:tc>
          <w:tcPr>
            <w:tcW w:w="1210"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0.57</w:t>
            </w:r>
          </w:p>
        </w:tc>
        <w:tc>
          <w:tcPr>
            <w:tcW w:w="1210"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2.59</w:t>
            </w:r>
          </w:p>
        </w:tc>
        <w:tc>
          <w:tcPr>
            <w:tcW w:w="2380"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0.12</w:t>
            </w:r>
          </w:p>
        </w:tc>
      </w:tr>
      <w:tr w:rsidR="009D6379" w:rsidRPr="00EF3DF6" w:rsidTr="00B32151">
        <w:trPr>
          <w:trHeight w:val="490"/>
        </w:trPr>
        <w:tc>
          <w:tcPr>
            <w:tcW w:w="2848"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Aspergillus specific IgG (</w:t>
            </w:r>
            <w:proofErr w:type="spellStart"/>
            <w:r w:rsidRPr="00EF3DF6">
              <w:rPr>
                <w:rFonts w:ascii="Arial" w:eastAsia="Times New Roman" w:hAnsi="Arial" w:cs="Arial"/>
                <w:sz w:val="24"/>
                <w:szCs w:val="24"/>
              </w:rPr>
              <w:t>mgA</w:t>
            </w:r>
            <w:proofErr w:type="spellEnd"/>
            <w:r w:rsidRPr="00EF3DF6">
              <w:rPr>
                <w:rFonts w:ascii="Arial" w:eastAsia="Times New Roman" w:hAnsi="Arial" w:cs="Arial"/>
                <w:sz w:val="24"/>
                <w:szCs w:val="24"/>
              </w:rPr>
              <w:t>/L)</w:t>
            </w:r>
          </w:p>
        </w:tc>
        <w:tc>
          <w:tcPr>
            <w:tcW w:w="1215"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26.06</w:t>
            </w:r>
          </w:p>
        </w:tc>
        <w:tc>
          <w:tcPr>
            <w:tcW w:w="1216"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14.93</w:t>
            </w:r>
          </w:p>
        </w:tc>
        <w:tc>
          <w:tcPr>
            <w:tcW w:w="1210"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10.77</w:t>
            </w:r>
          </w:p>
        </w:tc>
        <w:tc>
          <w:tcPr>
            <w:tcW w:w="1210"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16.09</w:t>
            </w:r>
          </w:p>
        </w:tc>
        <w:tc>
          <w:tcPr>
            <w:tcW w:w="2380" w:type="dxa"/>
          </w:tcPr>
          <w:p w:rsidR="009D6379" w:rsidRPr="00EF3DF6" w:rsidRDefault="009D6379"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0.035</w:t>
            </w:r>
          </w:p>
        </w:tc>
      </w:tr>
    </w:tbl>
    <w:p w:rsidR="00FF78CA" w:rsidRPr="00EF3DF6" w:rsidRDefault="00FF78CA" w:rsidP="00EF3DF6">
      <w:pPr>
        <w:spacing w:line="480" w:lineRule="auto"/>
        <w:jc w:val="both"/>
        <w:rPr>
          <w:rFonts w:ascii="Arial" w:eastAsia="Times New Roman" w:hAnsi="Arial" w:cs="Arial"/>
          <w:sz w:val="24"/>
          <w:szCs w:val="24"/>
        </w:rPr>
      </w:pPr>
    </w:p>
    <w:p w:rsidR="00AE1DA2"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Intradermal skin test was performed on all cases included in the study. However, it’s results in ABPA positive and negative groups was not significant statistically as ABPA negative cases were also found to be hypersensitive in our study. The simple skin-prick test is a useful screening test, as ABPA is very unlikely in patients with a negative reaction. A dual-reaction skin test with an immediate (10– 15 minutes) and a late (4–8 hours) reaction occurs in one third of patients with ABPA, with two third of patients showing no hypersensitivity but still being diagnosed as ABPA.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5</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w:t>
      </w:r>
      <w:r w:rsidR="00E11187" w:rsidRPr="00EF3DF6">
        <w:rPr>
          <w:rFonts w:ascii="Arial" w:eastAsia="Times New Roman" w:hAnsi="Arial" w:cs="Arial"/>
          <w:sz w:val="24"/>
          <w:szCs w:val="24"/>
        </w:rPr>
        <w:t xml:space="preserve">Study done by Kumari J et al </w:t>
      </w:r>
      <w:r w:rsidR="00E11187" w:rsidRPr="00EF3DF6">
        <w:rPr>
          <w:rFonts w:ascii="Arial" w:eastAsia="Times New Roman" w:hAnsi="Arial" w:cs="Arial"/>
          <w:color w:val="000000" w:themeColor="text1"/>
          <w:sz w:val="24"/>
          <w:szCs w:val="24"/>
          <w:vertAlign w:val="superscript"/>
        </w:rPr>
        <w:t>[8]</w:t>
      </w:r>
      <w:r w:rsidR="00E11187" w:rsidRPr="00EF3DF6">
        <w:rPr>
          <w:rFonts w:ascii="Arial" w:eastAsia="Times New Roman" w:hAnsi="Arial" w:cs="Arial"/>
          <w:color w:val="000000" w:themeColor="text1"/>
          <w:sz w:val="24"/>
          <w:szCs w:val="24"/>
        </w:rPr>
        <w:t xml:space="preserve"> </w:t>
      </w:r>
      <w:r w:rsidR="00E11187" w:rsidRPr="00EF3DF6">
        <w:rPr>
          <w:rFonts w:ascii="Arial" w:eastAsia="Times New Roman" w:hAnsi="Arial" w:cs="Arial"/>
          <w:sz w:val="24"/>
          <w:szCs w:val="24"/>
        </w:rPr>
        <w:t xml:space="preserve">showed the presence of Aspergillus hypersensitivity to be </w:t>
      </w:r>
      <w:r w:rsidR="00AE1DA2" w:rsidRPr="00EF3DF6">
        <w:rPr>
          <w:rFonts w:ascii="Arial" w:eastAsia="Times New Roman" w:hAnsi="Arial" w:cs="Arial"/>
          <w:sz w:val="24"/>
          <w:szCs w:val="24"/>
        </w:rPr>
        <w:t xml:space="preserve">61.3% in poorly controlled asthma. In a </w:t>
      </w:r>
      <w:proofErr w:type="spellStart"/>
      <w:r w:rsidR="00AE1DA2" w:rsidRPr="00EF3DF6">
        <w:rPr>
          <w:rFonts w:ascii="Arial" w:eastAsia="Times New Roman" w:hAnsi="Arial" w:cs="Arial"/>
          <w:sz w:val="24"/>
          <w:szCs w:val="24"/>
        </w:rPr>
        <w:t>meta analysis</w:t>
      </w:r>
      <w:proofErr w:type="spellEnd"/>
      <w:r w:rsidR="00AE1DA2" w:rsidRPr="00EF3DF6">
        <w:rPr>
          <w:rFonts w:ascii="Arial" w:eastAsia="Times New Roman" w:hAnsi="Arial" w:cs="Arial"/>
          <w:sz w:val="24"/>
          <w:szCs w:val="24"/>
        </w:rPr>
        <w:t xml:space="preserve"> by Agarwal R. et al </w:t>
      </w:r>
      <w:r w:rsidR="00AE1DA2" w:rsidRPr="00EF3DF6">
        <w:rPr>
          <w:rFonts w:ascii="Arial" w:eastAsia="Times New Roman" w:hAnsi="Arial" w:cs="Arial"/>
          <w:color w:val="000000" w:themeColor="text1"/>
          <w:sz w:val="24"/>
          <w:szCs w:val="24"/>
          <w:vertAlign w:val="superscript"/>
        </w:rPr>
        <w:t>[9]</w:t>
      </w:r>
      <w:r w:rsidR="00AE1DA2" w:rsidRPr="00EF3DF6">
        <w:rPr>
          <w:rFonts w:ascii="Arial" w:eastAsia="Times New Roman" w:hAnsi="Arial" w:cs="Arial"/>
          <w:color w:val="000000" w:themeColor="text1"/>
          <w:sz w:val="24"/>
          <w:szCs w:val="24"/>
        </w:rPr>
        <w:t xml:space="preserve"> </w:t>
      </w:r>
      <w:r w:rsidR="00AE1DA2" w:rsidRPr="00EF3DF6">
        <w:rPr>
          <w:rFonts w:ascii="Arial" w:eastAsia="Times New Roman" w:hAnsi="Arial" w:cs="Arial"/>
          <w:sz w:val="24"/>
          <w:szCs w:val="24"/>
        </w:rPr>
        <w:t>showed a pooled prevalence of aspergillus sensitivity and ABPA was 16.1% and 9.9% respectively. This goes on to show that the</w:t>
      </w:r>
      <w:r w:rsidRPr="00EF3DF6">
        <w:rPr>
          <w:rFonts w:ascii="Arial" w:eastAsia="Times New Roman" w:hAnsi="Arial" w:cs="Arial"/>
          <w:sz w:val="24"/>
          <w:szCs w:val="24"/>
        </w:rPr>
        <w:t xml:space="preserve"> presence of hypersensitivity may not be a definitive indicator of development of ABPA in asthma patients.</w:t>
      </w:r>
      <w:r w:rsidR="00AE1DA2" w:rsidRPr="00EF3DF6">
        <w:rPr>
          <w:rFonts w:ascii="Arial" w:eastAsia="Times New Roman" w:hAnsi="Arial" w:cs="Arial"/>
          <w:sz w:val="24"/>
          <w:szCs w:val="24"/>
        </w:rPr>
        <w:t xml:space="preserve"> Differentiation between asthma hypersensitivity and ABPA in must since treatment of the two is different.</w:t>
      </w:r>
    </w:p>
    <w:p w:rsidR="0081273F" w:rsidRPr="00EF3DF6" w:rsidRDefault="0081273F" w:rsidP="00EF3DF6">
      <w:pPr>
        <w:spacing w:after="0" w:line="480" w:lineRule="auto"/>
        <w:jc w:val="both"/>
        <w:rPr>
          <w:rFonts w:ascii="Arial" w:hAnsi="Arial" w:cs="Arial"/>
          <w:bCs/>
          <w:sz w:val="24"/>
          <w:szCs w:val="24"/>
        </w:rPr>
      </w:pPr>
      <w:r w:rsidRPr="00EF3DF6">
        <w:rPr>
          <w:rFonts w:ascii="Arial" w:hAnsi="Arial" w:cs="Arial"/>
          <w:bCs/>
          <w:sz w:val="24"/>
          <w:szCs w:val="24"/>
        </w:rPr>
        <w:t xml:space="preserve">Table </w:t>
      </w:r>
      <w:r w:rsidR="00CC022E" w:rsidRPr="00EF3DF6">
        <w:rPr>
          <w:rFonts w:ascii="Arial" w:hAnsi="Arial" w:cs="Arial"/>
          <w:bCs/>
          <w:sz w:val="24"/>
          <w:szCs w:val="24"/>
        </w:rPr>
        <w:t>5</w:t>
      </w:r>
      <w:r w:rsidRPr="00EF3DF6">
        <w:rPr>
          <w:rFonts w:ascii="Arial" w:hAnsi="Arial" w:cs="Arial"/>
          <w:bCs/>
          <w:sz w:val="24"/>
          <w:szCs w:val="24"/>
        </w:rPr>
        <w:t xml:space="preserve">: Distribution of ABPA Cases According </w:t>
      </w:r>
      <w:proofErr w:type="gramStart"/>
      <w:r w:rsidRPr="00EF3DF6">
        <w:rPr>
          <w:rFonts w:ascii="Arial" w:hAnsi="Arial" w:cs="Arial"/>
          <w:bCs/>
          <w:sz w:val="24"/>
          <w:szCs w:val="24"/>
        </w:rPr>
        <w:t>To</w:t>
      </w:r>
      <w:proofErr w:type="gramEnd"/>
      <w:r w:rsidRPr="00EF3DF6">
        <w:rPr>
          <w:rFonts w:ascii="Arial" w:hAnsi="Arial" w:cs="Arial"/>
          <w:bCs/>
          <w:sz w:val="24"/>
          <w:szCs w:val="24"/>
        </w:rPr>
        <w:t xml:space="preserve"> Intradermal Skin Test </w:t>
      </w:r>
    </w:p>
    <w:p w:rsidR="0081273F" w:rsidRPr="00EF3DF6" w:rsidRDefault="0081273F" w:rsidP="00EF3DF6">
      <w:pPr>
        <w:spacing w:after="0" w:line="480" w:lineRule="auto"/>
        <w:jc w:val="both"/>
        <w:rPr>
          <w:rFonts w:ascii="Arial" w:hAnsi="Arial" w:cs="Arial"/>
          <w:b/>
          <w:bCs/>
          <w:sz w:val="24"/>
          <w:szCs w:val="24"/>
        </w:rPr>
      </w:pPr>
    </w:p>
    <w:tbl>
      <w:tblPr>
        <w:tblStyle w:val="TableGrid"/>
        <w:tblW w:w="5000" w:type="pct"/>
        <w:tblLook w:val="04A0" w:firstRow="1" w:lastRow="0" w:firstColumn="1" w:lastColumn="0" w:noHBand="0" w:noVBand="1"/>
      </w:tblPr>
      <w:tblGrid>
        <w:gridCol w:w="3377"/>
        <w:gridCol w:w="1767"/>
        <w:gridCol w:w="1937"/>
        <w:gridCol w:w="1935"/>
      </w:tblGrid>
      <w:tr w:rsidR="0081273F" w:rsidRPr="00EF3DF6" w:rsidTr="000378CA">
        <w:trPr>
          <w:trHeight w:val="576"/>
        </w:trPr>
        <w:tc>
          <w:tcPr>
            <w:tcW w:w="1873" w:type="pct"/>
            <w:vMerge w:val="restart"/>
            <w:vAlign w:val="center"/>
          </w:tcPr>
          <w:p w:rsidR="0081273F" w:rsidRPr="00EF3DF6" w:rsidRDefault="0081273F" w:rsidP="00EF3DF6">
            <w:pPr>
              <w:spacing w:line="480" w:lineRule="auto"/>
              <w:jc w:val="both"/>
              <w:rPr>
                <w:rFonts w:ascii="Arial" w:hAnsi="Arial" w:cs="Arial"/>
                <w:b/>
                <w:bCs/>
                <w:sz w:val="24"/>
                <w:szCs w:val="24"/>
              </w:rPr>
            </w:pPr>
            <w:r w:rsidRPr="00EF3DF6">
              <w:rPr>
                <w:rFonts w:ascii="Arial" w:hAnsi="Arial" w:cs="Arial"/>
                <w:b/>
                <w:bCs/>
                <w:sz w:val="24"/>
                <w:szCs w:val="24"/>
              </w:rPr>
              <w:lastRenderedPageBreak/>
              <w:t>Intradermal Skin Test</w:t>
            </w:r>
          </w:p>
          <w:p w:rsidR="0081273F" w:rsidRPr="00EF3DF6" w:rsidRDefault="0081273F" w:rsidP="00EF3DF6">
            <w:pPr>
              <w:spacing w:line="480" w:lineRule="auto"/>
              <w:jc w:val="both"/>
              <w:rPr>
                <w:rFonts w:ascii="Arial" w:hAnsi="Arial" w:cs="Arial"/>
                <w:b/>
                <w:bCs/>
                <w:sz w:val="24"/>
                <w:szCs w:val="24"/>
              </w:rPr>
            </w:pPr>
            <w:r w:rsidRPr="00EF3DF6">
              <w:rPr>
                <w:rFonts w:ascii="Arial" w:hAnsi="Arial" w:cs="Arial"/>
                <w:b/>
                <w:bCs/>
                <w:sz w:val="24"/>
                <w:szCs w:val="24"/>
              </w:rPr>
              <w:t>(N)</w:t>
            </w:r>
          </w:p>
        </w:tc>
        <w:tc>
          <w:tcPr>
            <w:tcW w:w="980" w:type="pct"/>
            <w:vAlign w:val="center"/>
          </w:tcPr>
          <w:p w:rsidR="0081273F" w:rsidRPr="00EF3DF6" w:rsidRDefault="0081273F" w:rsidP="00EF3DF6">
            <w:pPr>
              <w:spacing w:line="480" w:lineRule="auto"/>
              <w:jc w:val="both"/>
              <w:rPr>
                <w:rFonts w:ascii="Arial" w:hAnsi="Arial" w:cs="Arial"/>
                <w:b/>
                <w:bCs/>
                <w:sz w:val="24"/>
                <w:szCs w:val="24"/>
              </w:rPr>
            </w:pPr>
            <w:r w:rsidRPr="00EF3DF6">
              <w:rPr>
                <w:rFonts w:ascii="Arial" w:hAnsi="Arial" w:cs="Arial"/>
                <w:b/>
                <w:bCs/>
                <w:sz w:val="24"/>
                <w:szCs w:val="24"/>
              </w:rPr>
              <w:t>ABPA Present</w:t>
            </w:r>
          </w:p>
        </w:tc>
        <w:tc>
          <w:tcPr>
            <w:tcW w:w="1074" w:type="pct"/>
            <w:vAlign w:val="center"/>
          </w:tcPr>
          <w:p w:rsidR="0081273F" w:rsidRPr="00EF3DF6" w:rsidRDefault="0081273F" w:rsidP="00EF3DF6">
            <w:pPr>
              <w:spacing w:line="480" w:lineRule="auto"/>
              <w:jc w:val="both"/>
              <w:rPr>
                <w:rFonts w:ascii="Arial" w:hAnsi="Arial" w:cs="Arial"/>
                <w:b/>
                <w:bCs/>
                <w:sz w:val="24"/>
                <w:szCs w:val="24"/>
              </w:rPr>
            </w:pPr>
            <w:r w:rsidRPr="00EF3DF6">
              <w:rPr>
                <w:rFonts w:ascii="Arial" w:hAnsi="Arial" w:cs="Arial"/>
                <w:b/>
                <w:bCs/>
                <w:sz w:val="24"/>
                <w:szCs w:val="24"/>
              </w:rPr>
              <w:t>ABPA Absent</w:t>
            </w:r>
          </w:p>
        </w:tc>
        <w:tc>
          <w:tcPr>
            <w:tcW w:w="1073" w:type="pct"/>
          </w:tcPr>
          <w:p w:rsidR="0081273F" w:rsidRPr="00EF3DF6" w:rsidRDefault="0081273F" w:rsidP="00EF3DF6">
            <w:pPr>
              <w:spacing w:line="480" w:lineRule="auto"/>
              <w:jc w:val="both"/>
              <w:rPr>
                <w:rFonts w:ascii="Arial" w:hAnsi="Arial" w:cs="Arial"/>
                <w:b/>
                <w:bCs/>
                <w:sz w:val="24"/>
                <w:szCs w:val="24"/>
              </w:rPr>
            </w:pPr>
            <w:r w:rsidRPr="00EF3DF6">
              <w:rPr>
                <w:rFonts w:ascii="Arial" w:hAnsi="Arial" w:cs="Arial"/>
                <w:b/>
                <w:bCs/>
                <w:sz w:val="24"/>
                <w:szCs w:val="24"/>
              </w:rPr>
              <w:t>p value</w:t>
            </w:r>
          </w:p>
        </w:tc>
      </w:tr>
      <w:tr w:rsidR="0081273F" w:rsidRPr="00EF3DF6" w:rsidTr="000378CA">
        <w:trPr>
          <w:trHeight w:val="576"/>
        </w:trPr>
        <w:tc>
          <w:tcPr>
            <w:tcW w:w="1873" w:type="pct"/>
            <w:vMerge/>
            <w:vAlign w:val="center"/>
          </w:tcPr>
          <w:p w:rsidR="0081273F" w:rsidRPr="00EF3DF6" w:rsidRDefault="0081273F" w:rsidP="00EF3DF6">
            <w:pPr>
              <w:spacing w:line="480" w:lineRule="auto"/>
              <w:jc w:val="both"/>
              <w:rPr>
                <w:rFonts w:ascii="Arial" w:hAnsi="Arial" w:cs="Arial"/>
                <w:b/>
                <w:bCs/>
                <w:sz w:val="24"/>
                <w:szCs w:val="24"/>
              </w:rPr>
            </w:pPr>
          </w:p>
        </w:tc>
        <w:tc>
          <w:tcPr>
            <w:tcW w:w="980" w:type="pct"/>
            <w:vAlign w:val="center"/>
          </w:tcPr>
          <w:p w:rsidR="0081273F" w:rsidRPr="00EF3DF6" w:rsidRDefault="0081273F" w:rsidP="00EF3DF6">
            <w:pPr>
              <w:spacing w:line="480" w:lineRule="auto"/>
              <w:jc w:val="both"/>
              <w:rPr>
                <w:rFonts w:ascii="Arial" w:hAnsi="Arial" w:cs="Arial"/>
                <w:b/>
                <w:bCs/>
                <w:sz w:val="24"/>
                <w:szCs w:val="24"/>
              </w:rPr>
            </w:pPr>
            <w:r w:rsidRPr="00EF3DF6">
              <w:rPr>
                <w:rFonts w:ascii="Arial" w:hAnsi="Arial" w:cs="Arial"/>
                <w:b/>
                <w:bCs/>
                <w:sz w:val="24"/>
                <w:szCs w:val="24"/>
              </w:rPr>
              <w:t>N (%age)</w:t>
            </w:r>
          </w:p>
        </w:tc>
        <w:tc>
          <w:tcPr>
            <w:tcW w:w="1074" w:type="pct"/>
            <w:vAlign w:val="center"/>
          </w:tcPr>
          <w:p w:rsidR="0081273F" w:rsidRPr="00EF3DF6" w:rsidRDefault="0081273F" w:rsidP="00EF3DF6">
            <w:pPr>
              <w:spacing w:line="480" w:lineRule="auto"/>
              <w:jc w:val="both"/>
              <w:rPr>
                <w:rFonts w:ascii="Arial" w:hAnsi="Arial" w:cs="Arial"/>
                <w:b/>
                <w:bCs/>
                <w:sz w:val="24"/>
                <w:szCs w:val="24"/>
              </w:rPr>
            </w:pPr>
            <w:r w:rsidRPr="00EF3DF6">
              <w:rPr>
                <w:rFonts w:ascii="Arial" w:hAnsi="Arial" w:cs="Arial"/>
                <w:b/>
                <w:bCs/>
                <w:sz w:val="24"/>
                <w:szCs w:val="24"/>
              </w:rPr>
              <w:t>N (%age)</w:t>
            </w:r>
          </w:p>
        </w:tc>
        <w:tc>
          <w:tcPr>
            <w:tcW w:w="1073" w:type="pct"/>
            <w:vMerge w:val="restart"/>
          </w:tcPr>
          <w:p w:rsidR="0081273F" w:rsidRPr="00EF3DF6" w:rsidRDefault="0081273F" w:rsidP="00EF3DF6">
            <w:pPr>
              <w:spacing w:line="480" w:lineRule="auto"/>
              <w:jc w:val="both"/>
              <w:rPr>
                <w:rFonts w:ascii="Arial" w:hAnsi="Arial" w:cs="Arial"/>
                <w:bCs/>
                <w:sz w:val="24"/>
                <w:szCs w:val="24"/>
              </w:rPr>
            </w:pPr>
            <w:r w:rsidRPr="00EF3DF6">
              <w:rPr>
                <w:rFonts w:ascii="Arial" w:hAnsi="Arial" w:cs="Arial"/>
                <w:bCs/>
                <w:sz w:val="24"/>
                <w:szCs w:val="24"/>
              </w:rPr>
              <w:t>0.988</w:t>
            </w:r>
          </w:p>
        </w:tc>
      </w:tr>
      <w:tr w:rsidR="0081273F" w:rsidRPr="00EF3DF6" w:rsidTr="000378CA">
        <w:trPr>
          <w:trHeight w:val="576"/>
        </w:trPr>
        <w:tc>
          <w:tcPr>
            <w:tcW w:w="1873"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1+ (32)</w:t>
            </w:r>
          </w:p>
        </w:tc>
        <w:tc>
          <w:tcPr>
            <w:tcW w:w="980"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1 (14.29%)</w:t>
            </w:r>
          </w:p>
        </w:tc>
        <w:tc>
          <w:tcPr>
            <w:tcW w:w="1074"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31 (16.06%)</w:t>
            </w:r>
          </w:p>
        </w:tc>
        <w:tc>
          <w:tcPr>
            <w:tcW w:w="1073" w:type="pct"/>
            <w:vMerge/>
          </w:tcPr>
          <w:p w:rsidR="0081273F" w:rsidRPr="00EF3DF6" w:rsidRDefault="0081273F" w:rsidP="00EF3DF6">
            <w:pPr>
              <w:spacing w:line="480" w:lineRule="auto"/>
              <w:jc w:val="both"/>
              <w:rPr>
                <w:rFonts w:ascii="Arial" w:hAnsi="Arial" w:cs="Arial"/>
                <w:sz w:val="24"/>
                <w:szCs w:val="24"/>
              </w:rPr>
            </w:pPr>
          </w:p>
        </w:tc>
      </w:tr>
      <w:tr w:rsidR="0081273F" w:rsidRPr="00EF3DF6" w:rsidTr="000378CA">
        <w:trPr>
          <w:trHeight w:val="576"/>
        </w:trPr>
        <w:tc>
          <w:tcPr>
            <w:tcW w:w="1873"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2+ (77)</w:t>
            </w:r>
          </w:p>
        </w:tc>
        <w:tc>
          <w:tcPr>
            <w:tcW w:w="980"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3 (42.86%)</w:t>
            </w:r>
          </w:p>
        </w:tc>
        <w:tc>
          <w:tcPr>
            <w:tcW w:w="1074"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74 (38.34%)</w:t>
            </w:r>
          </w:p>
        </w:tc>
        <w:tc>
          <w:tcPr>
            <w:tcW w:w="1073" w:type="pct"/>
            <w:vMerge/>
          </w:tcPr>
          <w:p w:rsidR="0081273F" w:rsidRPr="00EF3DF6" w:rsidRDefault="0081273F" w:rsidP="00EF3DF6">
            <w:pPr>
              <w:spacing w:line="480" w:lineRule="auto"/>
              <w:jc w:val="both"/>
              <w:rPr>
                <w:rFonts w:ascii="Arial" w:hAnsi="Arial" w:cs="Arial"/>
                <w:sz w:val="24"/>
                <w:szCs w:val="24"/>
              </w:rPr>
            </w:pPr>
          </w:p>
        </w:tc>
      </w:tr>
      <w:tr w:rsidR="0081273F" w:rsidRPr="00EF3DF6" w:rsidTr="000378CA">
        <w:trPr>
          <w:trHeight w:val="576"/>
        </w:trPr>
        <w:tc>
          <w:tcPr>
            <w:tcW w:w="1873"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3+ (64)</w:t>
            </w:r>
          </w:p>
        </w:tc>
        <w:tc>
          <w:tcPr>
            <w:tcW w:w="980"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2 (28.57%)</w:t>
            </w:r>
          </w:p>
        </w:tc>
        <w:tc>
          <w:tcPr>
            <w:tcW w:w="1074"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62 (32.12%)</w:t>
            </w:r>
          </w:p>
        </w:tc>
        <w:tc>
          <w:tcPr>
            <w:tcW w:w="1073" w:type="pct"/>
            <w:vMerge/>
          </w:tcPr>
          <w:p w:rsidR="0081273F" w:rsidRPr="00EF3DF6" w:rsidRDefault="0081273F" w:rsidP="00EF3DF6">
            <w:pPr>
              <w:spacing w:line="480" w:lineRule="auto"/>
              <w:jc w:val="both"/>
              <w:rPr>
                <w:rFonts w:ascii="Arial" w:hAnsi="Arial" w:cs="Arial"/>
                <w:sz w:val="24"/>
                <w:szCs w:val="24"/>
              </w:rPr>
            </w:pPr>
          </w:p>
        </w:tc>
      </w:tr>
      <w:tr w:rsidR="0081273F" w:rsidRPr="00EF3DF6" w:rsidTr="000378CA">
        <w:trPr>
          <w:trHeight w:val="576"/>
        </w:trPr>
        <w:tc>
          <w:tcPr>
            <w:tcW w:w="1873"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4+ (20)</w:t>
            </w:r>
          </w:p>
        </w:tc>
        <w:tc>
          <w:tcPr>
            <w:tcW w:w="980"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1 (14.29%)</w:t>
            </w:r>
          </w:p>
        </w:tc>
        <w:tc>
          <w:tcPr>
            <w:tcW w:w="1074"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19 (9.85%)</w:t>
            </w:r>
          </w:p>
        </w:tc>
        <w:tc>
          <w:tcPr>
            <w:tcW w:w="1073" w:type="pct"/>
            <w:vMerge/>
          </w:tcPr>
          <w:p w:rsidR="0081273F" w:rsidRPr="00EF3DF6" w:rsidRDefault="0081273F" w:rsidP="00EF3DF6">
            <w:pPr>
              <w:spacing w:line="480" w:lineRule="auto"/>
              <w:jc w:val="both"/>
              <w:rPr>
                <w:rFonts w:ascii="Arial" w:hAnsi="Arial" w:cs="Arial"/>
                <w:sz w:val="24"/>
                <w:szCs w:val="24"/>
              </w:rPr>
            </w:pPr>
          </w:p>
        </w:tc>
      </w:tr>
      <w:tr w:rsidR="0081273F" w:rsidRPr="00EF3DF6" w:rsidTr="000378CA">
        <w:trPr>
          <w:trHeight w:val="576"/>
        </w:trPr>
        <w:tc>
          <w:tcPr>
            <w:tcW w:w="1873"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Total (200)</w:t>
            </w:r>
          </w:p>
        </w:tc>
        <w:tc>
          <w:tcPr>
            <w:tcW w:w="980"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7 (100%)</w:t>
            </w:r>
          </w:p>
        </w:tc>
        <w:tc>
          <w:tcPr>
            <w:tcW w:w="1074" w:type="pct"/>
            <w:vAlign w:val="center"/>
          </w:tcPr>
          <w:p w:rsidR="0081273F" w:rsidRPr="00EF3DF6" w:rsidRDefault="0081273F" w:rsidP="00EF3DF6">
            <w:pPr>
              <w:spacing w:line="480" w:lineRule="auto"/>
              <w:jc w:val="both"/>
              <w:rPr>
                <w:rFonts w:ascii="Arial" w:hAnsi="Arial" w:cs="Arial"/>
                <w:sz w:val="24"/>
                <w:szCs w:val="24"/>
              </w:rPr>
            </w:pPr>
            <w:r w:rsidRPr="00EF3DF6">
              <w:rPr>
                <w:rFonts w:ascii="Arial" w:hAnsi="Arial" w:cs="Arial"/>
                <w:sz w:val="24"/>
                <w:szCs w:val="24"/>
              </w:rPr>
              <w:t>193 (100%)</w:t>
            </w:r>
          </w:p>
        </w:tc>
        <w:tc>
          <w:tcPr>
            <w:tcW w:w="1073" w:type="pct"/>
            <w:vMerge/>
          </w:tcPr>
          <w:p w:rsidR="0081273F" w:rsidRPr="00EF3DF6" w:rsidRDefault="0081273F" w:rsidP="00EF3DF6">
            <w:pPr>
              <w:spacing w:line="480" w:lineRule="auto"/>
              <w:jc w:val="both"/>
              <w:rPr>
                <w:rFonts w:ascii="Arial" w:hAnsi="Arial" w:cs="Arial"/>
                <w:sz w:val="24"/>
                <w:szCs w:val="24"/>
              </w:rPr>
            </w:pPr>
          </w:p>
        </w:tc>
      </w:tr>
    </w:tbl>
    <w:p w:rsidR="0081273F" w:rsidRPr="00EF3DF6" w:rsidRDefault="0081273F" w:rsidP="00EF3DF6">
      <w:pPr>
        <w:spacing w:line="480" w:lineRule="auto"/>
        <w:jc w:val="both"/>
        <w:rPr>
          <w:rFonts w:ascii="Arial" w:eastAsia="Times New Roman" w:hAnsi="Arial" w:cs="Arial"/>
          <w:sz w:val="24"/>
          <w:szCs w:val="24"/>
        </w:rPr>
      </w:pPr>
    </w:p>
    <w:p w:rsidR="00B21B54" w:rsidRPr="00EF3DF6" w:rsidRDefault="00790564" w:rsidP="00EF3DF6">
      <w:pPr>
        <w:spacing w:line="480" w:lineRule="auto"/>
        <w:jc w:val="both"/>
        <w:rPr>
          <w:rFonts w:ascii="Arial" w:eastAsia="Times New Roman" w:hAnsi="Arial" w:cs="Arial"/>
          <w:sz w:val="24"/>
          <w:szCs w:val="24"/>
          <w:vertAlign w:val="superscript"/>
        </w:rPr>
      </w:pPr>
      <w:r w:rsidRPr="00EF3DF6">
        <w:rPr>
          <w:rFonts w:ascii="Arial" w:eastAsia="Times New Roman" w:hAnsi="Arial" w:cs="Arial"/>
          <w:sz w:val="24"/>
          <w:szCs w:val="24"/>
        </w:rPr>
        <w:t xml:space="preserve">There are no cut-offs for total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levels, with many researchers using 1000 IU/mL </w:t>
      </w:r>
      <w:r w:rsidRPr="00EF3DF6">
        <w:rPr>
          <w:rFonts w:ascii="Arial" w:eastAsia="Times New Roman" w:hAnsi="Arial" w:cs="Arial"/>
          <w:sz w:val="24"/>
          <w:szCs w:val="24"/>
          <w:vertAlign w:val="superscript"/>
        </w:rPr>
        <w:t>[15]</w:t>
      </w:r>
      <w:r w:rsidRPr="00EF3DF6">
        <w:rPr>
          <w:rFonts w:ascii="Arial" w:eastAsia="Times New Roman" w:hAnsi="Arial" w:cs="Arial"/>
          <w:sz w:val="24"/>
          <w:szCs w:val="24"/>
        </w:rPr>
        <w:t xml:space="preserve"> and others using 1000 ng/mL (equivalent to 417 IU/mL). </w:t>
      </w:r>
      <w:r w:rsidRPr="00EF3DF6">
        <w:rPr>
          <w:rFonts w:ascii="Arial" w:eastAsia="Times New Roman" w:hAnsi="Arial" w:cs="Arial"/>
          <w:sz w:val="24"/>
          <w:szCs w:val="24"/>
          <w:vertAlign w:val="superscript"/>
        </w:rPr>
        <w:t>[1</w:t>
      </w:r>
      <w:r w:rsidR="00F65746" w:rsidRPr="00EF3DF6">
        <w:rPr>
          <w:rFonts w:ascii="Arial" w:eastAsia="Times New Roman" w:hAnsi="Arial" w:cs="Arial"/>
          <w:sz w:val="24"/>
          <w:szCs w:val="24"/>
          <w:vertAlign w:val="superscript"/>
        </w:rPr>
        <w:t>7</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In our study, mean total serum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levels in ABPA positive cases was 1181 IU/L and it was 624.14 IU/L in ABPA negative cases. The difference between the two groups was statistically significant. Our study is comparable to studies by Singh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6,8,12</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which showed similar results to our study. However, in our study it was seen that even the ABPA negative group had higher levels of total serum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This could be due to sensitization to other antigens since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plays a central role in the initiation and propagation of the inflammatory cascade and thus the allergic response in bronchial asthma. Much of the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is not specific to Aspergillus but is the result of polyclonal B-cell activation. The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level is a very useful marker of disease activity, and it can be used to follow outpatients for flares.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6</w:t>
      </w:r>
      <w:r w:rsidRPr="00EF3DF6">
        <w:rPr>
          <w:rFonts w:ascii="Arial" w:eastAsia="Times New Roman" w:hAnsi="Arial" w:cs="Arial"/>
          <w:sz w:val="24"/>
          <w:szCs w:val="24"/>
          <w:vertAlign w:val="superscript"/>
        </w:rPr>
        <w:t xml:space="preserve">] </w:t>
      </w:r>
    </w:p>
    <w:p w:rsidR="00FF78CA"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Out of 7 positive cases, 6 cases had elevated Aspergillus specific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mean value being 4.74 </w:t>
      </w:r>
      <w:proofErr w:type="spellStart"/>
      <w:r w:rsidRPr="00EF3DF6">
        <w:rPr>
          <w:rFonts w:ascii="Arial" w:eastAsia="Times New Roman" w:hAnsi="Arial" w:cs="Arial"/>
          <w:sz w:val="24"/>
          <w:szCs w:val="24"/>
        </w:rPr>
        <w:t>kUA</w:t>
      </w:r>
      <w:proofErr w:type="spellEnd"/>
      <w:r w:rsidRPr="00EF3DF6">
        <w:rPr>
          <w:rFonts w:ascii="Arial" w:eastAsia="Times New Roman" w:hAnsi="Arial" w:cs="Arial"/>
          <w:sz w:val="24"/>
          <w:szCs w:val="24"/>
        </w:rPr>
        <w:t xml:space="preserve">/l. Studies done by Singh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6</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and Shah et al </w:t>
      </w:r>
      <w:r w:rsidRPr="00EF3DF6">
        <w:rPr>
          <w:rFonts w:ascii="Arial" w:eastAsia="Times New Roman" w:hAnsi="Arial" w:cs="Arial"/>
          <w:sz w:val="24"/>
          <w:szCs w:val="24"/>
          <w:vertAlign w:val="superscript"/>
        </w:rPr>
        <w:t>[</w:t>
      </w:r>
      <w:r w:rsidR="00F65746" w:rsidRPr="00EF3DF6">
        <w:rPr>
          <w:rFonts w:ascii="Arial" w:eastAsia="Times New Roman" w:hAnsi="Arial" w:cs="Arial"/>
          <w:sz w:val="24"/>
          <w:szCs w:val="24"/>
          <w:vertAlign w:val="superscript"/>
        </w:rPr>
        <w:t>1</w:t>
      </w:r>
      <w:r w:rsidR="00B21B54" w:rsidRPr="00EF3DF6">
        <w:rPr>
          <w:rFonts w:ascii="Arial" w:eastAsia="Times New Roman" w:hAnsi="Arial" w:cs="Arial"/>
          <w:sz w:val="24"/>
          <w:szCs w:val="24"/>
          <w:vertAlign w:val="superscript"/>
        </w:rPr>
        <w:t>2</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showed similar results as it also showed elevated aspergillus specific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in 96.2% and 96.7% cases </w:t>
      </w:r>
      <w:r w:rsidRPr="00EF3DF6">
        <w:rPr>
          <w:rFonts w:ascii="Arial" w:eastAsia="Times New Roman" w:hAnsi="Arial" w:cs="Arial"/>
          <w:sz w:val="24"/>
          <w:szCs w:val="24"/>
        </w:rPr>
        <w:lastRenderedPageBreak/>
        <w:t xml:space="preserve">respectively. Higher levels of Aspergillus specific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in cases of bronchial asthma that are ABPA positive may be due to response to Aspergillus allergens and </w:t>
      </w:r>
      <w:proofErr w:type="spellStart"/>
      <w:r w:rsidRPr="00EF3DF6">
        <w:rPr>
          <w:rFonts w:ascii="Arial" w:eastAsia="Times New Roman" w:hAnsi="Arial" w:cs="Arial"/>
          <w:sz w:val="24"/>
          <w:szCs w:val="24"/>
        </w:rPr>
        <w:t>IgE</w:t>
      </w:r>
      <w:proofErr w:type="spellEnd"/>
      <w:r w:rsidRPr="00EF3DF6">
        <w:rPr>
          <w:rFonts w:ascii="Arial" w:eastAsia="Times New Roman" w:hAnsi="Arial" w:cs="Arial"/>
          <w:sz w:val="24"/>
          <w:szCs w:val="24"/>
        </w:rPr>
        <w:t xml:space="preserve"> interaction which play a major role in pathogenesis of ABPA.</w:t>
      </w:r>
    </w:p>
    <w:p w:rsidR="00E11187"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Aspergillus specific IgG was positive in 3 cases of ABPA, the mean levels being 26.06±14.93mgA/L. The difference in the mean aspergillus specific IgG levels between ABPA positive and negative cases was statistically significant as p value was &lt;0.05. However, study by Shah et </w:t>
      </w:r>
      <w:proofErr w:type="gramStart"/>
      <w:r w:rsidRPr="00EF3DF6">
        <w:rPr>
          <w:rFonts w:ascii="Arial" w:eastAsia="Times New Roman" w:hAnsi="Arial" w:cs="Arial"/>
          <w:sz w:val="24"/>
          <w:szCs w:val="24"/>
        </w:rPr>
        <w:t>al</w:t>
      </w:r>
      <w:r w:rsidRPr="00EF3DF6">
        <w:rPr>
          <w:rFonts w:ascii="Arial" w:eastAsia="Times New Roman" w:hAnsi="Arial" w:cs="Arial"/>
          <w:sz w:val="24"/>
          <w:szCs w:val="24"/>
          <w:vertAlign w:val="superscript"/>
        </w:rPr>
        <w:t>[</w:t>
      </w:r>
      <w:proofErr w:type="gramEnd"/>
      <w:r w:rsidR="00F65746" w:rsidRPr="00EF3DF6">
        <w:rPr>
          <w:rFonts w:ascii="Arial" w:eastAsia="Times New Roman" w:hAnsi="Arial" w:cs="Arial"/>
          <w:sz w:val="24"/>
          <w:szCs w:val="24"/>
          <w:vertAlign w:val="superscript"/>
        </w:rPr>
        <w:t>1</w:t>
      </w:r>
      <w:r w:rsidR="00B21B54" w:rsidRPr="00EF3DF6">
        <w:rPr>
          <w:rFonts w:ascii="Arial" w:eastAsia="Times New Roman" w:hAnsi="Arial" w:cs="Arial"/>
          <w:sz w:val="24"/>
          <w:szCs w:val="24"/>
          <w:vertAlign w:val="superscript"/>
        </w:rPr>
        <w:t>2</w:t>
      </w:r>
      <w:r w:rsidRPr="00EF3DF6">
        <w:rPr>
          <w:rFonts w:ascii="Arial" w:eastAsia="Times New Roman" w:hAnsi="Arial" w:cs="Arial"/>
          <w:sz w:val="24"/>
          <w:szCs w:val="24"/>
          <w:vertAlign w:val="superscript"/>
        </w:rPr>
        <w:t>]</w:t>
      </w:r>
      <w:r w:rsidRPr="00EF3DF6">
        <w:rPr>
          <w:rFonts w:ascii="Arial" w:eastAsia="Times New Roman" w:hAnsi="Arial" w:cs="Arial"/>
          <w:sz w:val="24"/>
          <w:szCs w:val="24"/>
        </w:rPr>
        <w:t xml:space="preserve"> revealed higher serum Aspergillus specific IgG in 78.6% cases in their study. This difference can be attributed to the higher prevalence of ABPA in the study as compared to the present study.  In bronchial asthma associated with ABPA, increase in serum aspergillus specific IgG could be attributed to that immune complexes of specific IgG and aspergillus antigens which in turn trigger the generation of pro-inflammatory markers and hence may lead to development of ABPA.</w:t>
      </w:r>
    </w:p>
    <w:p w:rsidR="00E11187" w:rsidRPr="00EF3DF6" w:rsidRDefault="00E11187" w:rsidP="00EF3DF6">
      <w:pPr>
        <w:spacing w:after="0" w:line="480" w:lineRule="auto"/>
        <w:jc w:val="both"/>
        <w:rPr>
          <w:rFonts w:ascii="Arial" w:hAnsi="Arial" w:cs="Arial"/>
          <w:color w:val="000000" w:themeColor="text1"/>
          <w:sz w:val="24"/>
          <w:szCs w:val="24"/>
        </w:rPr>
      </w:pPr>
      <w:r w:rsidRPr="00EF3DF6">
        <w:rPr>
          <w:rFonts w:ascii="Arial" w:hAnsi="Arial" w:cs="Arial"/>
          <w:bCs/>
          <w:sz w:val="24"/>
          <w:szCs w:val="24"/>
        </w:rPr>
        <w:t xml:space="preserve">Chest </w:t>
      </w:r>
      <w:proofErr w:type="spellStart"/>
      <w:r w:rsidRPr="00EF3DF6">
        <w:rPr>
          <w:rFonts w:ascii="Arial" w:hAnsi="Arial" w:cs="Arial"/>
          <w:bCs/>
          <w:sz w:val="24"/>
          <w:szCs w:val="24"/>
        </w:rPr>
        <w:t>Xray</w:t>
      </w:r>
      <w:proofErr w:type="spellEnd"/>
      <w:r w:rsidRPr="00EF3DF6">
        <w:rPr>
          <w:rFonts w:ascii="Arial" w:hAnsi="Arial" w:cs="Arial"/>
          <w:bCs/>
          <w:sz w:val="24"/>
          <w:szCs w:val="24"/>
        </w:rPr>
        <w:t xml:space="preserve"> revealed positive findings in 6 (85.7%) cases of ABPA. Only 1 case of ABPA had normal chest </w:t>
      </w:r>
      <w:proofErr w:type="spellStart"/>
      <w:r w:rsidRPr="00EF3DF6">
        <w:rPr>
          <w:rFonts w:ascii="Arial" w:hAnsi="Arial" w:cs="Arial"/>
          <w:bCs/>
          <w:sz w:val="24"/>
          <w:szCs w:val="24"/>
        </w:rPr>
        <w:t>Xray</w:t>
      </w:r>
      <w:proofErr w:type="spellEnd"/>
      <w:r w:rsidRPr="00EF3DF6">
        <w:rPr>
          <w:rFonts w:ascii="Arial" w:hAnsi="Arial" w:cs="Arial"/>
          <w:bCs/>
          <w:sz w:val="24"/>
          <w:szCs w:val="24"/>
        </w:rPr>
        <w:t xml:space="preserve">. This goes on to show that there is a significant association between the presence of positive opacities and the presence of ABPA. </w:t>
      </w:r>
      <w:r w:rsidR="00FB0E8F" w:rsidRPr="00EF3DF6">
        <w:rPr>
          <w:rFonts w:ascii="Arial" w:hAnsi="Arial" w:cs="Arial"/>
          <w:bCs/>
          <w:sz w:val="24"/>
          <w:szCs w:val="24"/>
        </w:rPr>
        <w:t>T</w:t>
      </w:r>
      <w:r w:rsidRPr="00EF3DF6">
        <w:rPr>
          <w:rFonts w:ascii="Arial" w:hAnsi="Arial" w:cs="Arial"/>
          <w:sz w:val="24"/>
          <w:szCs w:val="24"/>
        </w:rPr>
        <w:t xml:space="preserve">he study done by Shah et </w:t>
      </w:r>
      <w:proofErr w:type="gramStart"/>
      <w:r w:rsidRPr="00EF3DF6">
        <w:rPr>
          <w:rFonts w:ascii="Arial" w:hAnsi="Arial" w:cs="Arial"/>
          <w:sz w:val="24"/>
          <w:szCs w:val="24"/>
        </w:rPr>
        <w:t>al</w:t>
      </w:r>
      <w:r w:rsidRPr="00EF3DF6">
        <w:rPr>
          <w:rFonts w:ascii="Arial" w:hAnsi="Arial" w:cs="Arial"/>
          <w:sz w:val="24"/>
          <w:szCs w:val="24"/>
          <w:vertAlign w:val="superscript"/>
        </w:rPr>
        <w:t>[</w:t>
      </w:r>
      <w:proofErr w:type="gramEnd"/>
      <w:r w:rsidR="00B21B54" w:rsidRPr="00EF3DF6">
        <w:rPr>
          <w:rFonts w:ascii="Arial" w:hAnsi="Arial" w:cs="Arial"/>
          <w:sz w:val="24"/>
          <w:szCs w:val="24"/>
          <w:vertAlign w:val="superscript"/>
        </w:rPr>
        <w:t>12</w:t>
      </w:r>
      <w:r w:rsidRPr="00EF3DF6">
        <w:rPr>
          <w:rFonts w:ascii="Arial" w:hAnsi="Arial" w:cs="Arial"/>
          <w:sz w:val="24"/>
          <w:szCs w:val="24"/>
          <w:vertAlign w:val="superscript"/>
        </w:rPr>
        <w:t>]</w:t>
      </w:r>
      <w:r w:rsidRPr="00EF3DF6">
        <w:rPr>
          <w:rFonts w:ascii="Arial" w:hAnsi="Arial" w:cs="Arial"/>
          <w:sz w:val="24"/>
          <w:szCs w:val="24"/>
        </w:rPr>
        <w:t xml:space="preserve"> showed that 33.3% had chest X-ray findings of fleeting pulmonary opacities. </w:t>
      </w:r>
      <w:r w:rsidR="00FB0E8F" w:rsidRPr="00EF3DF6">
        <w:rPr>
          <w:rFonts w:ascii="Arial" w:hAnsi="Arial" w:cs="Arial"/>
          <w:sz w:val="24"/>
          <w:szCs w:val="24"/>
        </w:rPr>
        <w:t xml:space="preserve">Study done by </w:t>
      </w:r>
      <w:proofErr w:type="spellStart"/>
      <w:r w:rsidR="00FB0E8F" w:rsidRPr="00EF3DF6">
        <w:rPr>
          <w:rFonts w:ascii="Arial" w:hAnsi="Arial" w:cs="Arial"/>
          <w:sz w:val="24"/>
          <w:szCs w:val="24"/>
        </w:rPr>
        <w:t>Madas</w:t>
      </w:r>
      <w:proofErr w:type="spellEnd"/>
      <w:r w:rsidR="00FB0E8F" w:rsidRPr="00EF3DF6">
        <w:rPr>
          <w:rFonts w:ascii="Arial" w:hAnsi="Arial" w:cs="Arial"/>
          <w:sz w:val="24"/>
          <w:szCs w:val="24"/>
        </w:rPr>
        <w:t xml:space="preserve"> S et al </w:t>
      </w:r>
      <w:r w:rsidR="00FB0E8F" w:rsidRPr="00EF3DF6">
        <w:rPr>
          <w:rFonts w:ascii="Arial" w:hAnsi="Arial" w:cs="Arial"/>
          <w:color w:val="000000" w:themeColor="text1"/>
          <w:sz w:val="24"/>
          <w:szCs w:val="24"/>
          <w:vertAlign w:val="superscript"/>
        </w:rPr>
        <w:t>[</w:t>
      </w:r>
      <w:r w:rsidR="00B21B54" w:rsidRPr="00EF3DF6">
        <w:rPr>
          <w:rFonts w:ascii="Arial" w:hAnsi="Arial" w:cs="Arial"/>
          <w:color w:val="000000" w:themeColor="text1"/>
          <w:sz w:val="24"/>
          <w:szCs w:val="24"/>
          <w:vertAlign w:val="superscript"/>
        </w:rPr>
        <w:t>19]</w:t>
      </w:r>
      <w:r w:rsidR="00FB0E8F" w:rsidRPr="00EF3DF6">
        <w:rPr>
          <w:rFonts w:ascii="Arial" w:hAnsi="Arial" w:cs="Arial"/>
          <w:color w:val="000000" w:themeColor="text1"/>
          <w:sz w:val="24"/>
          <w:szCs w:val="24"/>
        </w:rPr>
        <w:t xml:space="preserve"> showed Chest X-ray findings of parallel opacities, ring opacities, Finger in glove, tramline opacities and fleeting opacities in majority of the cases. However, better </w:t>
      </w:r>
      <w:r w:rsidR="00553D1A" w:rsidRPr="00EF3DF6">
        <w:rPr>
          <w:rFonts w:ascii="Arial" w:hAnsi="Arial" w:cs="Arial"/>
          <w:color w:val="000000" w:themeColor="text1"/>
          <w:sz w:val="24"/>
          <w:szCs w:val="24"/>
        </w:rPr>
        <w:t xml:space="preserve">differentiation of opacities can be done on HRCT chest only. </w:t>
      </w:r>
    </w:p>
    <w:p w:rsidR="005A37F6" w:rsidRPr="00EF3DF6" w:rsidRDefault="005A37F6" w:rsidP="00EF3DF6">
      <w:pPr>
        <w:spacing w:after="0" w:line="480" w:lineRule="auto"/>
        <w:jc w:val="both"/>
        <w:rPr>
          <w:rFonts w:ascii="Arial" w:hAnsi="Arial" w:cs="Arial"/>
          <w:bCs/>
          <w:sz w:val="24"/>
          <w:szCs w:val="24"/>
        </w:rPr>
      </w:pPr>
      <w:r w:rsidRPr="00EF3DF6">
        <w:rPr>
          <w:rFonts w:ascii="Arial" w:hAnsi="Arial" w:cs="Arial"/>
          <w:bCs/>
          <w:sz w:val="24"/>
          <w:szCs w:val="24"/>
        </w:rPr>
        <w:t xml:space="preserve">Table </w:t>
      </w:r>
      <w:r w:rsidR="00CC022E" w:rsidRPr="00EF3DF6">
        <w:rPr>
          <w:rFonts w:ascii="Arial" w:hAnsi="Arial" w:cs="Arial"/>
          <w:bCs/>
          <w:sz w:val="24"/>
          <w:szCs w:val="24"/>
        </w:rPr>
        <w:t>6</w:t>
      </w:r>
      <w:r w:rsidRPr="00EF3DF6">
        <w:rPr>
          <w:rFonts w:ascii="Arial" w:hAnsi="Arial" w:cs="Arial"/>
          <w:bCs/>
          <w:sz w:val="24"/>
          <w:szCs w:val="24"/>
        </w:rPr>
        <w:t xml:space="preserve">: </w:t>
      </w:r>
      <w:r w:rsidR="00B21B54" w:rsidRPr="00EF3DF6">
        <w:rPr>
          <w:rFonts w:ascii="Arial" w:hAnsi="Arial" w:cs="Arial"/>
          <w:bCs/>
          <w:sz w:val="24"/>
          <w:szCs w:val="24"/>
        </w:rPr>
        <w:t xml:space="preserve">Chest X-ray findings in ABPA cases </w:t>
      </w:r>
    </w:p>
    <w:tbl>
      <w:tblPr>
        <w:tblStyle w:val="TableGrid"/>
        <w:tblW w:w="5000" w:type="pct"/>
        <w:tblLook w:val="04A0" w:firstRow="1" w:lastRow="0" w:firstColumn="1" w:lastColumn="0" w:noHBand="0" w:noVBand="1"/>
      </w:tblPr>
      <w:tblGrid>
        <w:gridCol w:w="3324"/>
        <w:gridCol w:w="1944"/>
        <w:gridCol w:w="1874"/>
        <w:gridCol w:w="1874"/>
      </w:tblGrid>
      <w:tr w:rsidR="005A37F6" w:rsidRPr="00EF3DF6" w:rsidTr="005A37F6">
        <w:trPr>
          <w:trHeight w:val="576"/>
        </w:trPr>
        <w:tc>
          <w:tcPr>
            <w:tcW w:w="1843" w:type="pct"/>
            <w:vMerge w:val="restart"/>
            <w:vAlign w:val="center"/>
          </w:tcPr>
          <w:p w:rsidR="005A37F6" w:rsidRPr="00EF3DF6" w:rsidRDefault="005A37F6" w:rsidP="00EF3DF6">
            <w:pPr>
              <w:spacing w:line="480" w:lineRule="auto"/>
              <w:jc w:val="both"/>
              <w:rPr>
                <w:rFonts w:ascii="Arial" w:hAnsi="Arial" w:cs="Arial"/>
                <w:b/>
                <w:bCs/>
                <w:sz w:val="24"/>
                <w:szCs w:val="24"/>
              </w:rPr>
            </w:pPr>
            <w:r w:rsidRPr="00EF3DF6">
              <w:rPr>
                <w:rFonts w:ascii="Arial" w:hAnsi="Arial" w:cs="Arial"/>
                <w:b/>
                <w:bCs/>
                <w:sz w:val="24"/>
                <w:szCs w:val="24"/>
              </w:rPr>
              <w:t>Chest X-Ray</w:t>
            </w:r>
          </w:p>
          <w:p w:rsidR="005A37F6" w:rsidRPr="00EF3DF6" w:rsidRDefault="005A37F6" w:rsidP="00EF3DF6">
            <w:pPr>
              <w:spacing w:line="480" w:lineRule="auto"/>
              <w:jc w:val="both"/>
              <w:rPr>
                <w:rFonts w:ascii="Arial" w:hAnsi="Arial" w:cs="Arial"/>
                <w:b/>
                <w:bCs/>
                <w:sz w:val="24"/>
                <w:szCs w:val="24"/>
              </w:rPr>
            </w:pPr>
            <w:r w:rsidRPr="00EF3DF6">
              <w:rPr>
                <w:rFonts w:ascii="Arial" w:hAnsi="Arial" w:cs="Arial"/>
                <w:b/>
                <w:bCs/>
                <w:sz w:val="24"/>
                <w:szCs w:val="24"/>
              </w:rPr>
              <w:t>(N)</w:t>
            </w:r>
          </w:p>
        </w:tc>
        <w:tc>
          <w:tcPr>
            <w:tcW w:w="1078" w:type="pct"/>
            <w:vAlign w:val="center"/>
          </w:tcPr>
          <w:p w:rsidR="005A37F6" w:rsidRPr="00EF3DF6" w:rsidRDefault="005A37F6" w:rsidP="00EF3DF6">
            <w:pPr>
              <w:spacing w:line="480" w:lineRule="auto"/>
              <w:jc w:val="both"/>
              <w:rPr>
                <w:rFonts w:ascii="Arial" w:hAnsi="Arial" w:cs="Arial"/>
                <w:b/>
                <w:bCs/>
                <w:sz w:val="24"/>
                <w:szCs w:val="24"/>
              </w:rPr>
            </w:pPr>
            <w:r w:rsidRPr="00EF3DF6">
              <w:rPr>
                <w:rFonts w:ascii="Arial" w:hAnsi="Arial" w:cs="Arial"/>
                <w:b/>
                <w:bCs/>
                <w:sz w:val="24"/>
                <w:szCs w:val="24"/>
              </w:rPr>
              <w:t>ABPA Present</w:t>
            </w:r>
          </w:p>
        </w:tc>
        <w:tc>
          <w:tcPr>
            <w:tcW w:w="1039" w:type="pct"/>
            <w:vAlign w:val="center"/>
          </w:tcPr>
          <w:p w:rsidR="005A37F6" w:rsidRPr="00EF3DF6" w:rsidRDefault="005A37F6" w:rsidP="00EF3DF6">
            <w:pPr>
              <w:spacing w:line="480" w:lineRule="auto"/>
              <w:jc w:val="both"/>
              <w:rPr>
                <w:rFonts w:ascii="Arial" w:hAnsi="Arial" w:cs="Arial"/>
                <w:b/>
                <w:bCs/>
                <w:sz w:val="24"/>
                <w:szCs w:val="24"/>
              </w:rPr>
            </w:pPr>
            <w:r w:rsidRPr="00EF3DF6">
              <w:rPr>
                <w:rFonts w:ascii="Arial" w:hAnsi="Arial" w:cs="Arial"/>
                <w:b/>
                <w:bCs/>
                <w:sz w:val="24"/>
                <w:szCs w:val="24"/>
              </w:rPr>
              <w:t>ABPA Absent</w:t>
            </w:r>
          </w:p>
        </w:tc>
        <w:tc>
          <w:tcPr>
            <w:tcW w:w="1039" w:type="pct"/>
          </w:tcPr>
          <w:p w:rsidR="005A37F6" w:rsidRPr="00EF3DF6" w:rsidRDefault="005A37F6" w:rsidP="00EF3DF6">
            <w:pPr>
              <w:spacing w:line="480" w:lineRule="auto"/>
              <w:jc w:val="both"/>
              <w:rPr>
                <w:rFonts w:ascii="Arial" w:hAnsi="Arial" w:cs="Arial"/>
                <w:b/>
                <w:bCs/>
                <w:sz w:val="24"/>
                <w:szCs w:val="24"/>
              </w:rPr>
            </w:pPr>
            <w:r w:rsidRPr="00EF3DF6">
              <w:rPr>
                <w:rFonts w:ascii="Arial" w:hAnsi="Arial" w:cs="Arial"/>
                <w:b/>
                <w:bCs/>
                <w:sz w:val="24"/>
                <w:szCs w:val="24"/>
              </w:rPr>
              <w:t xml:space="preserve">P value </w:t>
            </w:r>
          </w:p>
        </w:tc>
      </w:tr>
      <w:tr w:rsidR="00E11187" w:rsidRPr="00EF3DF6" w:rsidTr="00B21B54">
        <w:trPr>
          <w:trHeight w:val="521"/>
        </w:trPr>
        <w:tc>
          <w:tcPr>
            <w:tcW w:w="1843" w:type="pct"/>
            <w:vMerge/>
            <w:vAlign w:val="center"/>
          </w:tcPr>
          <w:p w:rsidR="00E11187" w:rsidRPr="00EF3DF6" w:rsidRDefault="00E11187" w:rsidP="00EF3DF6">
            <w:pPr>
              <w:spacing w:line="480" w:lineRule="auto"/>
              <w:jc w:val="both"/>
              <w:rPr>
                <w:rFonts w:ascii="Arial" w:hAnsi="Arial" w:cs="Arial"/>
                <w:b/>
                <w:bCs/>
                <w:sz w:val="24"/>
                <w:szCs w:val="24"/>
              </w:rPr>
            </w:pPr>
          </w:p>
        </w:tc>
        <w:tc>
          <w:tcPr>
            <w:tcW w:w="1078" w:type="pct"/>
            <w:vAlign w:val="center"/>
          </w:tcPr>
          <w:p w:rsidR="00E11187" w:rsidRPr="00EF3DF6" w:rsidRDefault="00E11187" w:rsidP="00EF3DF6">
            <w:pPr>
              <w:spacing w:line="480" w:lineRule="auto"/>
              <w:jc w:val="both"/>
              <w:rPr>
                <w:rFonts w:ascii="Arial" w:hAnsi="Arial" w:cs="Arial"/>
                <w:b/>
                <w:bCs/>
                <w:sz w:val="24"/>
                <w:szCs w:val="24"/>
              </w:rPr>
            </w:pPr>
            <w:r w:rsidRPr="00EF3DF6">
              <w:rPr>
                <w:rFonts w:ascii="Arial" w:hAnsi="Arial" w:cs="Arial"/>
                <w:b/>
                <w:bCs/>
                <w:sz w:val="24"/>
                <w:szCs w:val="24"/>
              </w:rPr>
              <w:t>N (%)</w:t>
            </w:r>
          </w:p>
        </w:tc>
        <w:tc>
          <w:tcPr>
            <w:tcW w:w="1039" w:type="pct"/>
            <w:vAlign w:val="center"/>
          </w:tcPr>
          <w:p w:rsidR="00E11187" w:rsidRPr="00EF3DF6" w:rsidRDefault="00E11187" w:rsidP="00EF3DF6">
            <w:pPr>
              <w:spacing w:line="480" w:lineRule="auto"/>
              <w:jc w:val="both"/>
              <w:rPr>
                <w:rFonts w:ascii="Arial" w:hAnsi="Arial" w:cs="Arial"/>
                <w:b/>
                <w:bCs/>
                <w:sz w:val="24"/>
                <w:szCs w:val="24"/>
              </w:rPr>
            </w:pPr>
            <w:r w:rsidRPr="00EF3DF6">
              <w:rPr>
                <w:rFonts w:ascii="Arial" w:hAnsi="Arial" w:cs="Arial"/>
                <w:b/>
                <w:bCs/>
                <w:sz w:val="24"/>
                <w:szCs w:val="24"/>
              </w:rPr>
              <w:t>N (%)</w:t>
            </w:r>
          </w:p>
        </w:tc>
        <w:tc>
          <w:tcPr>
            <w:tcW w:w="1039" w:type="pct"/>
            <w:vMerge w:val="restart"/>
          </w:tcPr>
          <w:p w:rsidR="00E11187" w:rsidRPr="00EF3DF6" w:rsidRDefault="00E11187" w:rsidP="00EF3DF6">
            <w:pPr>
              <w:spacing w:line="480" w:lineRule="auto"/>
              <w:jc w:val="both"/>
              <w:rPr>
                <w:rFonts w:ascii="Arial" w:hAnsi="Arial" w:cs="Arial"/>
                <w:bCs/>
                <w:sz w:val="24"/>
                <w:szCs w:val="24"/>
              </w:rPr>
            </w:pPr>
            <w:r w:rsidRPr="00EF3DF6">
              <w:rPr>
                <w:rFonts w:ascii="Arial" w:hAnsi="Arial" w:cs="Arial"/>
                <w:bCs/>
                <w:sz w:val="24"/>
                <w:szCs w:val="24"/>
              </w:rPr>
              <w:t>&lt;0.001</w:t>
            </w:r>
          </w:p>
        </w:tc>
      </w:tr>
      <w:tr w:rsidR="00E11187" w:rsidRPr="00EF3DF6" w:rsidTr="005A37F6">
        <w:trPr>
          <w:trHeight w:val="576"/>
        </w:trPr>
        <w:tc>
          <w:tcPr>
            <w:tcW w:w="1843"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lastRenderedPageBreak/>
              <w:t>Positive-opacities (22)</w:t>
            </w:r>
          </w:p>
        </w:tc>
        <w:tc>
          <w:tcPr>
            <w:tcW w:w="1078"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t>6 (85.7%)</w:t>
            </w:r>
          </w:p>
        </w:tc>
        <w:tc>
          <w:tcPr>
            <w:tcW w:w="1039"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t>16 (82.9%)</w:t>
            </w:r>
          </w:p>
        </w:tc>
        <w:tc>
          <w:tcPr>
            <w:tcW w:w="1039" w:type="pct"/>
            <w:vMerge/>
          </w:tcPr>
          <w:p w:rsidR="00E11187" w:rsidRPr="00EF3DF6" w:rsidRDefault="00E11187" w:rsidP="00EF3DF6">
            <w:pPr>
              <w:spacing w:line="480" w:lineRule="auto"/>
              <w:jc w:val="both"/>
              <w:rPr>
                <w:rFonts w:ascii="Arial" w:hAnsi="Arial" w:cs="Arial"/>
                <w:sz w:val="24"/>
                <w:szCs w:val="24"/>
              </w:rPr>
            </w:pPr>
          </w:p>
        </w:tc>
      </w:tr>
      <w:tr w:rsidR="00E11187" w:rsidRPr="00EF3DF6" w:rsidTr="005A37F6">
        <w:trPr>
          <w:trHeight w:val="576"/>
        </w:trPr>
        <w:tc>
          <w:tcPr>
            <w:tcW w:w="1843"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t>Negative-no opacities (178)</w:t>
            </w:r>
          </w:p>
        </w:tc>
        <w:tc>
          <w:tcPr>
            <w:tcW w:w="1078"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t>1 (14.2%)</w:t>
            </w:r>
          </w:p>
        </w:tc>
        <w:tc>
          <w:tcPr>
            <w:tcW w:w="1039"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t>177 (91.7%)</w:t>
            </w:r>
          </w:p>
        </w:tc>
        <w:tc>
          <w:tcPr>
            <w:tcW w:w="1039" w:type="pct"/>
            <w:vMerge/>
          </w:tcPr>
          <w:p w:rsidR="00E11187" w:rsidRPr="00EF3DF6" w:rsidRDefault="00E11187" w:rsidP="00EF3DF6">
            <w:pPr>
              <w:spacing w:line="480" w:lineRule="auto"/>
              <w:jc w:val="both"/>
              <w:rPr>
                <w:rFonts w:ascii="Arial" w:hAnsi="Arial" w:cs="Arial"/>
                <w:sz w:val="24"/>
                <w:szCs w:val="24"/>
              </w:rPr>
            </w:pPr>
          </w:p>
        </w:tc>
      </w:tr>
      <w:tr w:rsidR="00E11187" w:rsidRPr="00EF3DF6" w:rsidTr="005A37F6">
        <w:trPr>
          <w:trHeight w:val="576"/>
        </w:trPr>
        <w:tc>
          <w:tcPr>
            <w:tcW w:w="1843"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t>Total (200)</w:t>
            </w:r>
          </w:p>
        </w:tc>
        <w:tc>
          <w:tcPr>
            <w:tcW w:w="1078"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t>7 (100%)</w:t>
            </w:r>
          </w:p>
        </w:tc>
        <w:tc>
          <w:tcPr>
            <w:tcW w:w="1039" w:type="pct"/>
            <w:vAlign w:val="center"/>
          </w:tcPr>
          <w:p w:rsidR="00E11187" w:rsidRPr="00EF3DF6" w:rsidRDefault="00E11187" w:rsidP="00EF3DF6">
            <w:pPr>
              <w:spacing w:line="480" w:lineRule="auto"/>
              <w:jc w:val="both"/>
              <w:rPr>
                <w:rFonts w:ascii="Arial" w:hAnsi="Arial" w:cs="Arial"/>
                <w:sz w:val="24"/>
                <w:szCs w:val="24"/>
              </w:rPr>
            </w:pPr>
            <w:r w:rsidRPr="00EF3DF6">
              <w:rPr>
                <w:rFonts w:ascii="Arial" w:hAnsi="Arial" w:cs="Arial"/>
                <w:sz w:val="24"/>
                <w:szCs w:val="24"/>
              </w:rPr>
              <w:t>193 (100%)</w:t>
            </w:r>
          </w:p>
        </w:tc>
        <w:tc>
          <w:tcPr>
            <w:tcW w:w="1039" w:type="pct"/>
            <w:vMerge/>
          </w:tcPr>
          <w:p w:rsidR="00E11187" w:rsidRPr="00EF3DF6" w:rsidRDefault="00E11187" w:rsidP="00EF3DF6">
            <w:pPr>
              <w:spacing w:line="480" w:lineRule="auto"/>
              <w:jc w:val="both"/>
              <w:rPr>
                <w:rFonts w:ascii="Arial" w:hAnsi="Arial" w:cs="Arial"/>
                <w:sz w:val="24"/>
                <w:szCs w:val="24"/>
              </w:rPr>
            </w:pPr>
          </w:p>
        </w:tc>
      </w:tr>
    </w:tbl>
    <w:p w:rsidR="005A37F6" w:rsidRPr="00EF3DF6" w:rsidRDefault="005A37F6" w:rsidP="00EF3DF6">
      <w:pPr>
        <w:spacing w:after="0" w:line="480" w:lineRule="auto"/>
        <w:jc w:val="both"/>
        <w:rPr>
          <w:rFonts w:ascii="Arial" w:hAnsi="Arial" w:cs="Arial"/>
          <w:sz w:val="24"/>
          <w:szCs w:val="24"/>
        </w:rPr>
      </w:pP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CONCLUSION</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ABPA is a hypersensitivity lung disease due to bronchial colonization by Aspergillus Fumigatus that occurs in susceptible patients with asthma. ABPA is a common entity in bronchial asthma and should be considered as a cause of uncontrolled asthma, where asthma is poorly controlled despite the use of many medications. The differentiation between ABPA and Aspergillus sensitized asthma is important because patients with ABPA generally require treatment with corticosteroids to control the immune activity while those with Aspergillus sensitization do not. Early recognition and treatment may prevent the progression of ABPA from mild form to moderate and severe forms, and hence prevent morbidity and mortality in these patients.</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ACKNOWLEDGEMENTS</w:t>
      </w: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We would like to thank Department of </w:t>
      </w:r>
      <w:proofErr w:type="spellStart"/>
      <w:r w:rsidRPr="00EF3DF6">
        <w:rPr>
          <w:rFonts w:ascii="Arial" w:eastAsia="Times New Roman" w:hAnsi="Arial" w:cs="Arial"/>
          <w:sz w:val="24"/>
          <w:szCs w:val="24"/>
        </w:rPr>
        <w:t>Pediatrics</w:t>
      </w:r>
      <w:proofErr w:type="spellEnd"/>
      <w:r w:rsidRPr="00EF3DF6">
        <w:rPr>
          <w:rFonts w:ascii="Arial" w:eastAsia="Times New Roman" w:hAnsi="Arial" w:cs="Arial"/>
          <w:sz w:val="24"/>
          <w:szCs w:val="24"/>
        </w:rPr>
        <w:t>, Government Medical College, Patiala, Punjab and Department of Microbiology, Postgraduate Institute of Medical Education and Research, Chandigarh, India.</w:t>
      </w:r>
    </w:p>
    <w:p w:rsidR="00553D1A" w:rsidRPr="00EF3DF6" w:rsidRDefault="00B21B54" w:rsidP="00EF3DF6">
      <w:pPr>
        <w:spacing w:before="100" w:beforeAutospacing="1" w:after="240" w:line="480" w:lineRule="auto"/>
        <w:jc w:val="both"/>
        <w:rPr>
          <w:rFonts w:ascii="Arial" w:eastAsia="Times New Roman" w:hAnsi="Arial" w:cs="Arial"/>
          <w:sz w:val="24"/>
          <w:szCs w:val="24"/>
        </w:rPr>
      </w:pPr>
      <w:r w:rsidRPr="00EF3DF6">
        <w:rPr>
          <w:rFonts w:ascii="Arial" w:eastAsia="Times New Roman" w:hAnsi="Arial" w:cs="Arial"/>
          <w:iCs/>
          <w:sz w:val="24"/>
          <w:szCs w:val="24"/>
        </w:rPr>
        <w:t>CONFLICT OF INTEREST:</w:t>
      </w:r>
      <w:r w:rsidRPr="00EF3DF6">
        <w:rPr>
          <w:rFonts w:ascii="Arial" w:eastAsia="Times New Roman" w:hAnsi="Arial" w:cs="Arial"/>
          <w:i/>
          <w:iCs/>
          <w:sz w:val="24"/>
          <w:szCs w:val="24"/>
        </w:rPr>
        <w:t xml:space="preserve"> </w:t>
      </w:r>
      <w:r w:rsidR="00553D1A" w:rsidRPr="00EF3DF6">
        <w:rPr>
          <w:rFonts w:ascii="Arial" w:eastAsia="Times New Roman" w:hAnsi="Arial" w:cs="Arial"/>
          <w:sz w:val="24"/>
          <w:szCs w:val="24"/>
        </w:rPr>
        <w:t>The authors declare no conflict of interest.</w:t>
      </w:r>
    </w:p>
    <w:p w:rsidR="00454690" w:rsidRPr="00EF3DF6" w:rsidRDefault="00454690" w:rsidP="00EF3DF6">
      <w:pPr>
        <w:spacing w:before="100" w:beforeAutospacing="1" w:after="240"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FINANCIAL SUPPORT: The Author(s) received no specific funding for this research. </w:t>
      </w:r>
    </w:p>
    <w:p w:rsidR="00454690" w:rsidRPr="00EF3DF6" w:rsidRDefault="00454690" w:rsidP="00EF3DF6">
      <w:pPr>
        <w:spacing w:before="100" w:beforeAutospacing="1" w:after="240"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PATIENT’S CONSENTS: Study was conducted after taking informed consent from the patient’s and/or parents. </w:t>
      </w:r>
    </w:p>
    <w:p w:rsidR="00595E8E" w:rsidRPr="007A4135" w:rsidRDefault="00595E8E" w:rsidP="00595E8E">
      <w:pPr>
        <w:rPr>
          <w:highlight w:val="yellow"/>
        </w:rPr>
      </w:pPr>
      <w:r w:rsidRPr="007A4135">
        <w:rPr>
          <w:highlight w:val="yellow"/>
        </w:rPr>
        <w:lastRenderedPageBreak/>
        <w:t>Disclaimer (Artificial intelligence)</w:t>
      </w:r>
    </w:p>
    <w:p w:rsidR="00595E8E" w:rsidRPr="007A4135" w:rsidRDefault="00595E8E" w:rsidP="00595E8E">
      <w:pPr>
        <w:rPr>
          <w:highlight w:val="yellow"/>
        </w:rPr>
      </w:pPr>
      <w:r w:rsidRPr="007A4135">
        <w:rPr>
          <w:highlight w:val="yellow"/>
        </w:rPr>
        <w:t xml:space="preserve">Option 1: </w:t>
      </w:r>
    </w:p>
    <w:p w:rsidR="00595E8E" w:rsidRPr="007A4135" w:rsidRDefault="00595E8E" w:rsidP="00595E8E">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595E8E" w:rsidRPr="007A4135" w:rsidRDefault="00595E8E" w:rsidP="00595E8E">
      <w:pPr>
        <w:rPr>
          <w:highlight w:val="yellow"/>
        </w:rPr>
      </w:pPr>
      <w:r w:rsidRPr="007A4135">
        <w:rPr>
          <w:highlight w:val="yellow"/>
        </w:rPr>
        <w:t xml:space="preserve">Option 2: </w:t>
      </w:r>
    </w:p>
    <w:p w:rsidR="00595E8E" w:rsidRPr="007A4135" w:rsidRDefault="00595E8E" w:rsidP="00595E8E">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95E8E" w:rsidRPr="007A4135" w:rsidRDefault="00595E8E" w:rsidP="00595E8E">
      <w:pPr>
        <w:rPr>
          <w:highlight w:val="yellow"/>
        </w:rPr>
      </w:pPr>
      <w:r w:rsidRPr="007A4135">
        <w:rPr>
          <w:highlight w:val="yellow"/>
        </w:rPr>
        <w:t>Details of the AI usage are given below:</w:t>
      </w:r>
    </w:p>
    <w:p w:rsidR="00595E8E" w:rsidRPr="007A4135" w:rsidRDefault="00595E8E" w:rsidP="00595E8E">
      <w:pPr>
        <w:rPr>
          <w:highlight w:val="yellow"/>
        </w:rPr>
      </w:pPr>
      <w:r w:rsidRPr="007A4135">
        <w:rPr>
          <w:highlight w:val="yellow"/>
        </w:rPr>
        <w:t>1.</w:t>
      </w:r>
    </w:p>
    <w:p w:rsidR="00595E8E" w:rsidRPr="007A4135" w:rsidRDefault="00595E8E" w:rsidP="00595E8E">
      <w:pPr>
        <w:rPr>
          <w:highlight w:val="yellow"/>
        </w:rPr>
      </w:pPr>
      <w:r w:rsidRPr="007A4135">
        <w:rPr>
          <w:highlight w:val="yellow"/>
        </w:rPr>
        <w:t>2.</w:t>
      </w:r>
    </w:p>
    <w:p w:rsidR="00595E8E" w:rsidRPr="00D047BB" w:rsidRDefault="00595E8E" w:rsidP="00595E8E">
      <w:r w:rsidRPr="007A4135">
        <w:rPr>
          <w:highlight w:val="yellow"/>
        </w:rPr>
        <w:t>3.</w:t>
      </w:r>
    </w:p>
    <w:p w:rsidR="00553D1A" w:rsidRPr="00EF3DF6" w:rsidRDefault="00553D1A" w:rsidP="00EF3DF6">
      <w:pPr>
        <w:spacing w:before="100" w:beforeAutospacing="1" w:after="240" w:line="480" w:lineRule="auto"/>
        <w:jc w:val="both"/>
        <w:rPr>
          <w:rFonts w:ascii="Arial" w:eastAsia="Times New Roman" w:hAnsi="Arial" w:cs="Arial"/>
          <w:sz w:val="24"/>
          <w:szCs w:val="24"/>
        </w:rPr>
      </w:pPr>
      <w:bookmarkStart w:id="0" w:name="_GoBack"/>
      <w:bookmarkEnd w:id="0"/>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REFERENCES</w:t>
      </w:r>
    </w:p>
    <w:p w:rsidR="00115278" w:rsidRPr="00EF3DF6" w:rsidRDefault="004E17A8" w:rsidP="00EF3DF6">
      <w:pPr>
        <w:pStyle w:val="ListParagraph"/>
        <w:numPr>
          <w:ilvl w:val="0"/>
          <w:numId w:val="1"/>
        </w:numPr>
        <w:spacing w:line="480" w:lineRule="auto"/>
        <w:jc w:val="both"/>
        <w:rPr>
          <w:rFonts w:ascii="Arial" w:eastAsia="Times New Roman" w:hAnsi="Arial" w:cs="Arial"/>
          <w:sz w:val="24"/>
          <w:szCs w:val="24"/>
        </w:rPr>
      </w:pPr>
      <w:r w:rsidRPr="00EF3DF6">
        <w:rPr>
          <w:rFonts w:ascii="Arial" w:hAnsi="Arial" w:cs="Arial"/>
          <w:sz w:val="24"/>
          <w:szCs w:val="24"/>
        </w:rPr>
        <w:t>Global Initiative for Asthma. 2024 GINA Main Report. Global strategy for asthma management and prevention. Accessed on Jul 12, 2024. Available from: https://ginasthma.org/2024-report</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t xml:space="preserve">Liu AH, </w:t>
      </w:r>
      <w:proofErr w:type="spellStart"/>
      <w:r w:rsidRPr="00EF3DF6">
        <w:rPr>
          <w:rFonts w:ascii="Arial" w:eastAsia="Times New Roman" w:hAnsi="Arial" w:cs="Arial"/>
          <w:sz w:val="24"/>
          <w:szCs w:val="24"/>
        </w:rPr>
        <w:t>Covar</w:t>
      </w:r>
      <w:proofErr w:type="spellEnd"/>
      <w:r w:rsidRPr="00EF3DF6">
        <w:rPr>
          <w:rFonts w:ascii="Arial" w:eastAsia="Times New Roman" w:hAnsi="Arial" w:cs="Arial"/>
          <w:sz w:val="24"/>
          <w:szCs w:val="24"/>
        </w:rPr>
        <w:t xml:space="preserve"> RA, </w:t>
      </w:r>
      <w:proofErr w:type="spellStart"/>
      <w:r w:rsidRPr="00EF3DF6">
        <w:rPr>
          <w:rFonts w:ascii="Arial" w:eastAsia="Times New Roman" w:hAnsi="Arial" w:cs="Arial"/>
          <w:sz w:val="24"/>
          <w:szCs w:val="24"/>
        </w:rPr>
        <w:t>Spahn</w:t>
      </w:r>
      <w:proofErr w:type="spellEnd"/>
      <w:r w:rsidRPr="00EF3DF6">
        <w:rPr>
          <w:rFonts w:ascii="Arial" w:eastAsia="Times New Roman" w:hAnsi="Arial" w:cs="Arial"/>
          <w:sz w:val="24"/>
          <w:szCs w:val="24"/>
        </w:rPr>
        <w:t xml:space="preserve"> JD, </w:t>
      </w:r>
      <w:proofErr w:type="spellStart"/>
      <w:r w:rsidRPr="00EF3DF6">
        <w:rPr>
          <w:rFonts w:ascii="Arial" w:eastAsia="Times New Roman" w:hAnsi="Arial" w:cs="Arial"/>
          <w:sz w:val="24"/>
          <w:szCs w:val="24"/>
        </w:rPr>
        <w:t>Sicherer</w:t>
      </w:r>
      <w:proofErr w:type="spellEnd"/>
      <w:r w:rsidRPr="00EF3DF6">
        <w:rPr>
          <w:rFonts w:ascii="Arial" w:eastAsia="Times New Roman" w:hAnsi="Arial" w:cs="Arial"/>
          <w:sz w:val="24"/>
          <w:szCs w:val="24"/>
        </w:rPr>
        <w:t xml:space="preserve"> SH. Childhood Asthma. In: Nelson Textbook of </w:t>
      </w:r>
      <w:proofErr w:type="spellStart"/>
      <w:r w:rsidRPr="00EF3DF6">
        <w:rPr>
          <w:rFonts w:ascii="Arial" w:eastAsia="Times New Roman" w:hAnsi="Arial" w:cs="Arial"/>
          <w:sz w:val="24"/>
          <w:szCs w:val="24"/>
        </w:rPr>
        <w:t>Pediatrics</w:t>
      </w:r>
      <w:proofErr w:type="spellEnd"/>
      <w:r w:rsidRPr="00EF3DF6">
        <w:rPr>
          <w:rFonts w:ascii="Arial" w:eastAsia="Times New Roman" w:hAnsi="Arial" w:cs="Arial"/>
          <w:sz w:val="24"/>
          <w:szCs w:val="24"/>
        </w:rPr>
        <w:t xml:space="preserve">. </w:t>
      </w:r>
      <w:proofErr w:type="spellStart"/>
      <w:r w:rsidRPr="00EF3DF6">
        <w:rPr>
          <w:rFonts w:ascii="Arial" w:eastAsia="Times New Roman" w:hAnsi="Arial" w:cs="Arial"/>
          <w:sz w:val="24"/>
          <w:szCs w:val="24"/>
        </w:rPr>
        <w:t>Kliegman</w:t>
      </w:r>
      <w:proofErr w:type="spellEnd"/>
      <w:r w:rsidRPr="00EF3DF6">
        <w:rPr>
          <w:rFonts w:ascii="Arial" w:eastAsia="Times New Roman" w:hAnsi="Arial" w:cs="Arial"/>
          <w:sz w:val="24"/>
          <w:szCs w:val="24"/>
        </w:rPr>
        <w:t xml:space="preserve"> R, </w:t>
      </w:r>
      <w:proofErr w:type="spellStart"/>
      <w:r w:rsidRPr="00EF3DF6">
        <w:rPr>
          <w:rFonts w:ascii="Arial" w:eastAsia="Times New Roman" w:hAnsi="Arial" w:cs="Arial"/>
          <w:sz w:val="24"/>
          <w:szCs w:val="24"/>
        </w:rPr>
        <w:t>Staton</w:t>
      </w:r>
      <w:proofErr w:type="spellEnd"/>
      <w:r w:rsidRPr="00EF3DF6">
        <w:rPr>
          <w:rFonts w:ascii="Arial" w:eastAsia="Times New Roman" w:hAnsi="Arial" w:cs="Arial"/>
          <w:sz w:val="24"/>
          <w:szCs w:val="24"/>
        </w:rPr>
        <w:t xml:space="preserve"> B, St. </w:t>
      </w:r>
      <w:proofErr w:type="spellStart"/>
      <w:r w:rsidRPr="00EF3DF6">
        <w:rPr>
          <w:rFonts w:ascii="Arial" w:eastAsia="Times New Roman" w:hAnsi="Arial" w:cs="Arial"/>
          <w:sz w:val="24"/>
          <w:szCs w:val="24"/>
        </w:rPr>
        <w:t>Geme</w:t>
      </w:r>
      <w:proofErr w:type="spellEnd"/>
      <w:r w:rsidRPr="00EF3DF6">
        <w:rPr>
          <w:rFonts w:ascii="Arial" w:eastAsia="Times New Roman" w:hAnsi="Arial" w:cs="Arial"/>
          <w:sz w:val="24"/>
          <w:szCs w:val="24"/>
        </w:rPr>
        <w:t xml:space="preserve"> J, Schor N, Behrman R. eds. 2</w:t>
      </w:r>
      <w:r w:rsidR="00F65746" w:rsidRPr="00EF3DF6">
        <w:rPr>
          <w:rFonts w:ascii="Arial" w:eastAsia="Times New Roman" w:hAnsi="Arial" w:cs="Arial"/>
          <w:sz w:val="24"/>
          <w:szCs w:val="24"/>
        </w:rPr>
        <w:t>2</w:t>
      </w:r>
      <w:r w:rsidR="00F65746" w:rsidRPr="00EF3DF6">
        <w:rPr>
          <w:rFonts w:ascii="Arial" w:eastAsia="Times New Roman" w:hAnsi="Arial" w:cs="Arial"/>
          <w:sz w:val="24"/>
          <w:szCs w:val="24"/>
          <w:vertAlign w:val="superscript"/>
        </w:rPr>
        <w:t>nd</w:t>
      </w:r>
      <w:r w:rsidR="00F65746" w:rsidRPr="00EF3DF6">
        <w:rPr>
          <w:rFonts w:ascii="Arial" w:eastAsia="Times New Roman" w:hAnsi="Arial" w:cs="Arial"/>
          <w:sz w:val="24"/>
          <w:szCs w:val="24"/>
        </w:rPr>
        <w:t xml:space="preserve"> </w:t>
      </w:r>
      <w:proofErr w:type="spellStart"/>
      <w:r w:rsidRPr="00EF3DF6">
        <w:rPr>
          <w:rFonts w:ascii="Arial" w:eastAsia="Times New Roman" w:hAnsi="Arial" w:cs="Arial"/>
          <w:sz w:val="24"/>
          <w:szCs w:val="24"/>
        </w:rPr>
        <w:t>edn</w:t>
      </w:r>
      <w:proofErr w:type="spellEnd"/>
      <w:r w:rsidRPr="00EF3DF6">
        <w:rPr>
          <w:rFonts w:ascii="Arial" w:eastAsia="Times New Roman" w:hAnsi="Arial" w:cs="Arial"/>
          <w:sz w:val="24"/>
          <w:szCs w:val="24"/>
        </w:rPr>
        <w:t xml:space="preserve">. Elsevier publications. </w:t>
      </w:r>
      <w:proofErr w:type="gramStart"/>
      <w:r w:rsidRPr="00EF3DF6">
        <w:rPr>
          <w:rFonts w:ascii="Arial" w:eastAsia="Times New Roman" w:hAnsi="Arial" w:cs="Arial"/>
          <w:sz w:val="24"/>
          <w:szCs w:val="24"/>
        </w:rPr>
        <w:t>20</w:t>
      </w:r>
      <w:r w:rsidR="00F65746" w:rsidRPr="00EF3DF6">
        <w:rPr>
          <w:rFonts w:ascii="Arial" w:eastAsia="Times New Roman" w:hAnsi="Arial" w:cs="Arial"/>
          <w:sz w:val="24"/>
          <w:szCs w:val="24"/>
        </w:rPr>
        <w:t>24</w:t>
      </w:r>
      <w:r w:rsidRPr="00EF3DF6">
        <w:rPr>
          <w:rFonts w:ascii="Arial" w:eastAsia="Times New Roman" w:hAnsi="Arial" w:cs="Arial"/>
          <w:sz w:val="24"/>
          <w:szCs w:val="24"/>
        </w:rPr>
        <w:t>;2:2350</w:t>
      </w:r>
      <w:proofErr w:type="gramEnd"/>
      <w:r w:rsidRPr="00EF3DF6">
        <w:rPr>
          <w:rFonts w:ascii="Arial" w:eastAsia="Times New Roman" w:hAnsi="Arial" w:cs="Arial"/>
          <w:sz w:val="24"/>
          <w:szCs w:val="24"/>
        </w:rPr>
        <w:t>.</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t>Dougherty RH, Fahy JV. Acute exacerbations of asthma: epidemiology, biology and the exacerbation</w:t>
      </w:r>
      <w:r w:rsidRPr="00EF3DF6">
        <w:rPr>
          <w:rFonts w:ascii="Cambria Math" w:eastAsia="Times New Roman" w:hAnsi="Cambria Math" w:cs="Cambria Math"/>
          <w:sz w:val="24"/>
          <w:szCs w:val="24"/>
        </w:rPr>
        <w:t>‐</w:t>
      </w:r>
      <w:r w:rsidRPr="00EF3DF6">
        <w:rPr>
          <w:rFonts w:ascii="Arial" w:eastAsia="Times New Roman" w:hAnsi="Arial" w:cs="Arial"/>
          <w:sz w:val="24"/>
          <w:szCs w:val="24"/>
        </w:rPr>
        <w:t>prone phenotype. Clinical &amp; Experimental Allergy. 2009;39(2):193-202.</w:t>
      </w:r>
    </w:p>
    <w:p w:rsidR="00F65746" w:rsidRPr="00EF3DF6" w:rsidRDefault="00F65746"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hAnsi="Arial" w:cs="Arial"/>
          <w:color w:val="212121"/>
          <w:sz w:val="24"/>
          <w:szCs w:val="24"/>
          <w:shd w:val="clear" w:color="auto" w:fill="FFFFFF"/>
        </w:rPr>
        <w:t xml:space="preserve">Bush A. Kids, Difficult Asthma and Fungus. J Fungi (Basel). 2020 Apr 27;6(2):55. </w:t>
      </w:r>
      <w:proofErr w:type="spellStart"/>
      <w:r w:rsidRPr="00EF3DF6">
        <w:rPr>
          <w:rFonts w:ascii="Arial" w:hAnsi="Arial" w:cs="Arial"/>
          <w:color w:val="212121"/>
          <w:sz w:val="24"/>
          <w:szCs w:val="24"/>
          <w:shd w:val="clear" w:color="auto" w:fill="FFFFFF"/>
        </w:rPr>
        <w:t>doi</w:t>
      </w:r>
      <w:proofErr w:type="spellEnd"/>
      <w:r w:rsidRPr="00EF3DF6">
        <w:rPr>
          <w:rFonts w:ascii="Arial" w:hAnsi="Arial" w:cs="Arial"/>
          <w:color w:val="212121"/>
          <w:sz w:val="24"/>
          <w:szCs w:val="24"/>
          <w:shd w:val="clear" w:color="auto" w:fill="FFFFFF"/>
        </w:rPr>
        <w:t xml:space="preserve">: 10.3390/jof6020055. </w:t>
      </w:r>
    </w:p>
    <w:p w:rsidR="00115278" w:rsidRPr="00EF3DF6" w:rsidRDefault="00553D1A" w:rsidP="00EF3DF6">
      <w:pPr>
        <w:pStyle w:val="ListParagraph"/>
        <w:numPr>
          <w:ilvl w:val="0"/>
          <w:numId w:val="1"/>
        </w:numPr>
        <w:shd w:val="clear" w:color="auto" w:fill="FFFFFF"/>
        <w:spacing w:line="480" w:lineRule="auto"/>
        <w:jc w:val="both"/>
        <w:rPr>
          <w:rFonts w:ascii="Arial" w:hAnsi="Arial" w:cs="Arial"/>
          <w:color w:val="1C1D1E"/>
          <w:sz w:val="24"/>
          <w:szCs w:val="24"/>
        </w:rPr>
      </w:pPr>
      <w:r w:rsidRPr="00EF3DF6">
        <w:rPr>
          <w:rStyle w:val="author"/>
          <w:rFonts w:ascii="Arial" w:hAnsi="Arial" w:cs="Arial"/>
          <w:color w:val="1C1D1E"/>
          <w:sz w:val="24"/>
          <w:szCs w:val="24"/>
        </w:rPr>
        <w:lastRenderedPageBreak/>
        <w:t xml:space="preserve">A. P. </w:t>
      </w:r>
      <w:proofErr w:type="spellStart"/>
      <w:r w:rsidRPr="00EF3DF6">
        <w:rPr>
          <w:rStyle w:val="author"/>
          <w:rFonts w:ascii="Arial" w:hAnsi="Arial" w:cs="Arial"/>
          <w:color w:val="1C1D1E"/>
          <w:sz w:val="24"/>
          <w:szCs w:val="24"/>
        </w:rPr>
        <w:t>Knutsen</w:t>
      </w:r>
      <w:proofErr w:type="spellEnd"/>
      <w:r w:rsidRPr="00EF3DF6">
        <w:rPr>
          <w:rFonts w:ascii="Arial" w:hAnsi="Arial" w:cs="Arial"/>
          <w:color w:val="1C1D1E"/>
          <w:sz w:val="24"/>
          <w:szCs w:val="24"/>
        </w:rPr>
        <w:t>, Clinical &amp; Experimental Allergy, </w:t>
      </w:r>
      <w:r w:rsidRPr="00EF3DF6">
        <w:rPr>
          <w:rStyle w:val="pubyear"/>
          <w:rFonts w:ascii="Arial" w:hAnsi="Arial" w:cs="Arial"/>
          <w:color w:val="1C1D1E"/>
          <w:sz w:val="24"/>
          <w:szCs w:val="24"/>
        </w:rPr>
        <w:t>2015</w:t>
      </w:r>
      <w:r w:rsidRPr="00EF3DF6">
        <w:rPr>
          <w:rFonts w:ascii="Arial" w:hAnsi="Arial" w:cs="Arial"/>
          <w:color w:val="1C1D1E"/>
          <w:sz w:val="24"/>
          <w:szCs w:val="24"/>
        </w:rPr>
        <w:t> </w:t>
      </w:r>
      <w:proofErr w:type="gramStart"/>
      <w:r w:rsidRPr="00EF3DF6">
        <w:rPr>
          <w:rFonts w:ascii="Arial" w:hAnsi="Arial" w:cs="Arial"/>
          <w:color w:val="1C1D1E"/>
          <w:sz w:val="24"/>
          <w:szCs w:val="24"/>
        </w:rPr>
        <w:t>( </w:t>
      </w:r>
      <w:r w:rsidRPr="00EF3DF6">
        <w:rPr>
          <w:rStyle w:val="vol"/>
          <w:rFonts w:ascii="Arial" w:hAnsi="Arial" w:cs="Arial"/>
          <w:color w:val="1C1D1E"/>
          <w:sz w:val="24"/>
          <w:szCs w:val="24"/>
        </w:rPr>
        <w:t>45</w:t>
      </w:r>
      <w:proofErr w:type="gramEnd"/>
      <w:r w:rsidRPr="00EF3DF6">
        <w:rPr>
          <w:rFonts w:ascii="Arial" w:hAnsi="Arial" w:cs="Arial"/>
          <w:color w:val="1C1D1E"/>
          <w:sz w:val="24"/>
          <w:szCs w:val="24"/>
        </w:rPr>
        <w:t>) </w:t>
      </w:r>
      <w:r w:rsidRPr="00EF3DF6">
        <w:rPr>
          <w:rStyle w:val="pagefirst"/>
          <w:rFonts w:ascii="Arial" w:hAnsi="Arial" w:cs="Arial"/>
          <w:color w:val="1C1D1E"/>
          <w:sz w:val="24"/>
          <w:szCs w:val="24"/>
        </w:rPr>
        <w:t>29</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t>Singh M, Das S, Chauhan A, Paul N, Sodhi KS, Mathew J et al. The diagnostic criteria for allergic bronchopulmonary aspergillosis in children with poorly controlled asthma need to be re</w:t>
      </w:r>
      <w:r w:rsidRPr="00EF3DF6">
        <w:rPr>
          <w:rFonts w:ascii="Cambria Math" w:eastAsia="Times New Roman" w:hAnsi="Cambria Math" w:cs="Cambria Math"/>
          <w:sz w:val="24"/>
          <w:szCs w:val="24"/>
        </w:rPr>
        <w:t>‐</w:t>
      </w:r>
      <w:r w:rsidRPr="00EF3DF6">
        <w:rPr>
          <w:rFonts w:ascii="Arial" w:eastAsia="Times New Roman" w:hAnsi="Arial" w:cs="Arial"/>
          <w:sz w:val="24"/>
          <w:szCs w:val="24"/>
        </w:rPr>
        <w:t xml:space="preserve">evaluated. Acta </w:t>
      </w:r>
      <w:proofErr w:type="spellStart"/>
      <w:r w:rsidRPr="00EF3DF6">
        <w:rPr>
          <w:rFonts w:ascii="Arial" w:eastAsia="Times New Roman" w:hAnsi="Arial" w:cs="Arial"/>
          <w:sz w:val="24"/>
          <w:szCs w:val="24"/>
        </w:rPr>
        <w:t>Paediatrica</w:t>
      </w:r>
      <w:proofErr w:type="spellEnd"/>
      <w:r w:rsidRPr="00EF3DF6">
        <w:rPr>
          <w:rFonts w:ascii="Arial" w:eastAsia="Times New Roman" w:hAnsi="Arial" w:cs="Arial"/>
          <w:sz w:val="24"/>
          <w:szCs w:val="24"/>
        </w:rPr>
        <w:t>. 2015;104(5</w:t>
      </w:r>
      <w:proofErr w:type="gramStart"/>
      <w:r w:rsidRPr="00EF3DF6">
        <w:rPr>
          <w:rFonts w:ascii="Arial" w:eastAsia="Times New Roman" w:hAnsi="Arial" w:cs="Arial"/>
          <w:sz w:val="24"/>
          <w:szCs w:val="24"/>
        </w:rPr>
        <w:t>):e</w:t>
      </w:r>
      <w:proofErr w:type="gramEnd"/>
      <w:r w:rsidRPr="00EF3DF6">
        <w:rPr>
          <w:rFonts w:ascii="Arial" w:eastAsia="Times New Roman" w:hAnsi="Arial" w:cs="Arial"/>
          <w:sz w:val="24"/>
          <w:szCs w:val="24"/>
        </w:rPr>
        <w:t>206-9.</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t>Chetty A, Bhargava S, Jain RK. Allergic bronchopulmonary aspergillosis in Indian children with bronchial asthma. Ann Allergy 1985; 54: 46-9.</w:t>
      </w:r>
    </w:p>
    <w:p w:rsidR="00174E4F" w:rsidRPr="00EF3DF6" w:rsidRDefault="00174E4F" w:rsidP="00EF3DF6">
      <w:pPr>
        <w:numPr>
          <w:ilvl w:val="0"/>
          <w:numId w:val="1"/>
        </w:numPr>
        <w:spacing w:line="480" w:lineRule="auto"/>
        <w:ind w:left="720" w:hanging="360"/>
        <w:jc w:val="both"/>
        <w:rPr>
          <w:rFonts w:ascii="Arial" w:eastAsia="Times New Roman" w:hAnsi="Arial" w:cs="Arial"/>
          <w:color w:val="000000" w:themeColor="text1"/>
          <w:sz w:val="24"/>
          <w:szCs w:val="24"/>
        </w:rPr>
      </w:pPr>
      <w:r w:rsidRPr="00EF3DF6">
        <w:rPr>
          <w:rFonts w:ascii="Arial" w:hAnsi="Arial" w:cs="Arial"/>
          <w:color w:val="000000" w:themeColor="text1"/>
          <w:sz w:val="24"/>
          <w:szCs w:val="24"/>
          <w:shd w:val="clear" w:color="auto" w:fill="FFFFFF"/>
        </w:rPr>
        <w:t xml:space="preserve">Kumari J, </w:t>
      </w:r>
      <w:proofErr w:type="spellStart"/>
      <w:r w:rsidRPr="00EF3DF6">
        <w:rPr>
          <w:rFonts w:ascii="Arial" w:hAnsi="Arial" w:cs="Arial"/>
          <w:color w:val="000000" w:themeColor="text1"/>
          <w:sz w:val="24"/>
          <w:szCs w:val="24"/>
          <w:shd w:val="clear" w:color="auto" w:fill="FFFFFF"/>
        </w:rPr>
        <w:t>Jat</w:t>
      </w:r>
      <w:proofErr w:type="spellEnd"/>
      <w:r w:rsidRPr="00EF3DF6">
        <w:rPr>
          <w:rFonts w:ascii="Arial" w:hAnsi="Arial" w:cs="Arial"/>
          <w:color w:val="000000" w:themeColor="text1"/>
          <w:sz w:val="24"/>
          <w:szCs w:val="24"/>
          <w:shd w:val="clear" w:color="auto" w:fill="FFFFFF"/>
        </w:rPr>
        <w:t xml:space="preserve"> KR, </w:t>
      </w:r>
      <w:proofErr w:type="spellStart"/>
      <w:r w:rsidRPr="00EF3DF6">
        <w:rPr>
          <w:rFonts w:ascii="Arial" w:hAnsi="Arial" w:cs="Arial"/>
          <w:color w:val="000000" w:themeColor="text1"/>
          <w:sz w:val="24"/>
          <w:szCs w:val="24"/>
          <w:shd w:val="clear" w:color="auto" w:fill="FFFFFF"/>
        </w:rPr>
        <w:t>Lodha</w:t>
      </w:r>
      <w:proofErr w:type="spellEnd"/>
      <w:r w:rsidRPr="00EF3DF6">
        <w:rPr>
          <w:rFonts w:ascii="Arial" w:hAnsi="Arial" w:cs="Arial"/>
          <w:color w:val="000000" w:themeColor="text1"/>
          <w:sz w:val="24"/>
          <w:szCs w:val="24"/>
          <w:shd w:val="clear" w:color="auto" w:fill="FFFFFF"/>
        </w:rPr>
        <w:t xml:space="preserve"> R, Jana M, </w:t>
      </w:r>
      <w:proofErr w:type="spellStart"/>
      <w:r w:rsidRPr="00EF3DF6">
        <w:rPr>
          <w:rFonts w:ascii="Arial" w:hAnsi="Arial" w:cs="Arial"/>
          <w:color w:val="000000" w:themeColor="text1"/>
          <w:sz w:val="24"/>
          <w:szCs w:val="24"/>
          <w:shd w:val="clear" w:color="auto" w:fill="FFFFFF"/>
        </w:rPr>
        <w:t>Xess</w:t>
      </w:r>
      <w:proofErr w:type="spellEnd"/>
      <w:r w:rsidRPr="00EF3DF6">
        <w:rPr>
          <w:rFonts w:ascii="Arial" w:hAnsi="Arial" w:cs="Arial"/>
          <w:color w:val="000000" w:themeColor="text1"/>
          <w:sz w:val="24"/>
          <w:szCs w:val="24"/>
          <w:shd w:val="clear" w:color="auto" w:fill="FFFFFF"/>
        </w:rPr>
        <w:t xml:space="preserve"> I, </w:t>
      </w:r>
      <w:proofErr w:type="spellStart"/>
      <w:r w:rsidRPr="00EF3DF6">
        <w:rPr>
          <w:rFonts w:ascii="Arial" w:hAnsi="Arial" w:cs="Arial"/>
          <w:color w:val="000000" w:themeColor="text1"/>
          <w:sz w:val="24"/>
          <w:szCs w:val="24"/>
          <w:shd w:val="clear" w:color="auto" w:fill="FFFFFF"/>
        </w:rPr>
        <w:t>Kabra</w:t>
      </w:r>
      <w:proofErr w:type="spellEnd"/>
      <w:r w:rsidRPr="00EF3DF6">
        <w:rPr>
          <w:rFonts w:ascii="Arial" w:hAnsi="Arial" w:cs="Arial"/>
          <w:color w:val="000000" w:themeColor="text1"/>
          <w:sz w:val="24"/>
          <w:szCs w:val="24"/>
          <w:shd w:val="clear" w:color="auto" w:fill="FFFFFF"/>
        </w:rPr>
        <w:t xml:space="preserve"> SK. Prevalence and Risk Factors of Allergic Bronchopulmonary Aspergillosis and Aspergillus Sensitization in Children with Poorly Controlled Asthma. J Trop </w:t>
      </w:r>
      <w:proofErr w:type="spellStart"/>
      <w:r w:rsidRPr="00EF3DF6">
        <w:rPr>
          <w:rFonts w:ascii="Arial" w:hAnsi="Arial" w:cs="Arial"/>
          <w:color w:val="000000" w:themeColor="text1"/>
          <w:sz w:val="24"/>
          <w:szCs w:val="24"/>
          <w:shd w:val="clear" w:color="auto" w:fill="FFFFFF"/>
        </w:rPr>
        <w:t>Pediatr</w:t>
      </w:r>
      <w:proofErr w:type="spellEnd"/>
      <w:r w:rsidRPr="00EF3DF6">
        <w:rPr>
          <w:rFonts w:ascii="Arial" w:hAnsi="Arial" w:cs="Arial"/>
          <w:color w:val="000000" w:themeColor="text1"/>
          <w:sz w:val="24"/>
          <w:szCs w:val="24"/>
          <w:shd w:val="clear" w:color="auto" w:fill="FFFFFF"/>
        </w:rPr>
        <w:t xml:space="preserve">. 2020 Jun 1;66(3):275-283. </w:t>
      </w:r>
    </w:p>
    <w:p w:rsidR="00AE1DA2" w:rsidRPr="00EF3DF6" w:rsidRDefault="00AE1DA2" w:rsidP="00EF3DF6">
      <w:pPr>
        <w:numPr>
          <w:ilvl w:val="0"/>
          <w:numId w:val="1"/>
        </w:numPr>
        <w:spacing w:line="480" w:lineRule="auto"/>
        <w:ind w:left="720" w:hanging="360"/>
        <w:jc w:val="both"/>
        <w:rPr>
          <w:rFonts w:ascii="Arial" w:eastAsia="Times New Roman" w:hAnsi="Arial" w:cs="Arial"/>
          <w:color w:val="000000" w:themeColor="text1"/>
          <w:sz w:val="24"/>
          <w:szCs w:val="24"/>
        </w:rPr>
      </w:pPr>
      <w:r w:rsidRPr="00EF3DF6">
        <w:rPr>
          <w:rFonts w:ascii="Arial" w:hAnsi="Arial" w:cs="Arial"/>
          <w:color w:val="000000" w:themeColor="text1"/>
          <w:sz w:val="24"/>
          <w:szCs w:val="24"/>
          <w:shd w:val="clear" w:color="auto" w:fill="FFFFFF"/>
        </w:rPr>
        <w:t xml:space="preserve">Agarwal R, Muthu V, Sehgal IS, </w:t>
      </w:r>
      <w:proofErr w:type="spellStart"/>
      <w:r w:rsidRPr="00EF3DF6">
        <w:rPr>
          <w:rFonts w:ascii="Arial" w:hAnsi="Arial" w:cs="Arial"/>
          <w:color w:val="000000" w:themeColor="text1"/>
          <w:sz w:val="24"/>
          <w:szCs w:val="24"/>
          <w:shd w:val="clear" w:color="auto" w:fill="FFFFFF"/>
        </w:rPr>
        <w:t>Dhooria</w:t>
      </w:r>
      <w:proofErr w:type="spellEnd"/>
      <w:r w:rsidRPr="00EF3DF6">
        <w:rPr>
          <w:rFonts w:ascii="Arial" w:hAnsi="Arial" w:cs="Arial"/>
          <w:color w:val="000000" w:themeColor="text1"/>
          <w:sz w:val="24"/>
          <w:szCs w:val="24"/>
          <w:shd w:val="clear" w:color="auto" w:fill="FFFFFF"/>
        </w:rPr>
        <w:t xml:space="preserve"> S, Prasad KT, </w:t>
      </w:r>
      <w:proofErr w:type="spellStart"/>
      <w:r w:rsidRPr="00EF3DF6">
        <w:rPr>
          <w:rFonts w:ascii="Arial" w:hAnsi="Arial" w:cs="Arial"/>
          <w:color w:val="000000" w:themeColor="text1"/>
          <w:sz w:val="24"/>
          <w:szCs w:val="24"/>
          <w:shd w:val="clear" w:color="auto" w:fill="FFFFFF"/>
        </w:rPr>
        <w:t>Soundappan</w:t>
      </w:r>
      <w:proofErr w:type="spellEnd"/>
      <w:r w:rsidRPr="00EF3DF6">
        <w:rPr>
          <w:rFonts w:ascii="Arial" w:hAnsi="Arial" w:cs="Arial"/>
          <w:color w:val="000000" w:themeColor="text1"/>
          <w:sz w:val="24"/>
          <w:szCs w:val="24"/>
          <w:shd w:val="clear" w:color="auto" w:fill="FFFFFF"/>
        </w:rPr>
        <w:t xml:space="preserve"> K, </w:t>
      </w:r>
      <w:proofErr w:type="spellStart"/>
      <w:r w:rsidRPr="00EF3DF6">
        <w:rPr>
          <w:rFonts w:ascii="Arial" w:hAnsi="Arial" w:cs="Arial"/>
          <w:color w:val="000000" w:themeColor="text1"/>
          <w:sz w:val="24"/>
          <w:szCs w:val="24"/>
          <w:shd w:val="clear" w:color="auto" w:fill="FFFFFF"/>
        </w:rPr>
        <w:t>Rudramurthy</w:t>
      </w:r>
      <w:proofErr w:type="spellEnd"/>
      <w:r w:rsidRPr="00EF3DF6">
        <w:rPr>
          <w:rFonts w:ascii="Arial" w:hAnsi="Arial" w:cs="Arial"/>
          <w:color w:val="000000" w:themeColor="text1"/>
          <w:sz w:val="24"/>
          <w:szCs w:val="24"/>
          <w:shd w:val="clear" w:color="auto" w:fill="FFFFFF"/>
        </w:rPr>
        <w:t xml:space="preserve"> SM, Aggarwal AN, Chakrabarti A. Aspergillus Sensitization and Allergic Bronchopulmonary Aspergillosis in Asthmatic Children: A Systematic Review and Meta-Analysis. Diagnostics (Basel). 2023 Mar 1;13(5):922.</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t>Singh M, Paul N, Chauhan A, Sodhi K, Chakrabarti A. Allergic Bronchopulmonary aspergillosis in South Asia with special reference to Indian Children: The demographic and clinical presentation. American Journal of Respiratory and Critical Care Medicine 2016;</w:t>
      </w:r>
      <w:proofErr w:type="gramStart"/>
      <w:r w:rsidRPr="00EF3DF6">
        <w:rPr>
          <w:rFonts w:ascii="Arial" w:eastAsia="Times New Roman" w:hAnsi="Arial" w:cs="Arial"/>
          <w:sz w:val="24"/>
          <w:szCs w:val="24"/>
        </w:rPr>
        <w:t>193:A</w:t>
      </w:r>
      <w:proofErr w:type="gramEnd"/>
      <w:r w:rsidRPr="00EF3DF6">
        <w:rPr>
          <w:rFonts w:ascii="Arial" w:eastAsia="Times New Roman" w:hAnsi="Arial" w:cs="Arial"/>
          <w:sz w:val="24"/>
          <w:szCs w:val="24"/>
        </w:rPr>
        <w:t>1403</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t xml:space="preserve">Singh M, Chakrabarti A, Verma M, Chauhan A. </w:t>
      </w:r>
      <w:proofErr w:type="spellStart"/>
      <w:r w:rsidRPr="00EF3DF6">
        <w:rPr>
          <w:rFonts w:ascii="Arial" w:eastAsia="Times New Roman" w:hAnsi="Arial" w:cs="Arial"/>
          <w:sz w:val="24"/>
          <w:szCs w:val="24"/>
        </w:rPr>
        <w:t>Clinico</w:t>
      </w:r>
      <w:proofErr w:type="spellEnd"/>
      <w:r w:rsidRPr="00EF3DF6">
        <w:rPr>
          <w:rFonts w:ascii="Arial" w:eastAsia="Times New Roman" w:hAnsi="Arial" w:cs="Arial"/>
          <w:sz w:val="24"/>
          <w:szCs w:val="24"/>
        </w:rPr>
        <w:t>-Radiological Correlation in Allergic Bronchopulmonary Aspergillosis (ABPA) detected in children with poorly controlled asthma. American Journal of Respiratory and Critical Care Medicine 2018;</w:t>
      </w:r>
      <w:proofErr w:type="gramStart"/>
      <w:r w:rsidRPr="00EF3DF6">
        <w:rPr>
          <w:rFonts w:ascii="Arial" w:eastAsia="Times New Roman" w:hAnsi="Arial" w:cs="Arial"/>
          <w:sz w:val="24"/>
          <w:szCs w:val="24"/>
        </w:rPr>
        <w:t>197:A</w:t>
      </w:r>
      <w:proofErr w:type="gramEnd"/>
      <w:r w:rsidRPr="00EF3DF6">
        <w:rPr>
          <w:rFonts w:ascii="Arial" w:eastAsia="Times New Roman" w:hAnsi="Arial" w:cs="Arial"/>
          <w:sz w:val="24"/>
          <w:szCs w:val="24"/>
        </w:rPr>
        <w:t>1432.</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lastRenderedPageBreak/>
        <w:t>Shah A, Kunal S. A review of 42 asthmatic children with allergic bronchopulmonary aspergillosis. Asia Pacific Allergy. 2017;7(3):148-55.</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t xml:space="preserve">Agarwal R, </w:t>
      </w:r>
      <w:proofErr w:type="spellStart"/>
      <w:r w:rsidRPr="00EF3DF6">
        <w:rPr>
          <w:rFonts w:ascii="Arial" w:eastAsia="Times New Roman" w:hAnsi="Arial" w:cs="Arial"/>
          <w:sz w:val="24"/>
          <w:szCs w:val="24"/>
        </w:rPr>
        <w:t>Maskey</w:t>
      </w:r>
      <w:proofErr w:type="spellEnd"/>
      <w:r w:rsidRPr="00EF3DF6">
        <w:rPr>
          <w:rFonts w:ascii="Arial" w:eastAsia="Times New Roman" w:hAnsi="Arial" w:cs="Arial"/>
          <w:sz w:val="24"/>
          <w:szCs w:val="24"/>
        </w:rPr>
        <w:t xml:space="preserve"> D, Aggarwal AN, </w:t>
      </w:r>
      <w:proofErr w:type="spellStart"/>
      <w:r w:rsidRPr="00EF3DF6">
        <w:rPr>
          <w:rFonts w:ascii="Arial" w:eastAsia="Times New Roman" w:hAnsi="Arial" w:cs="Arial"/>
          <w:sz w:val="24"/>
          <w:szCs w:val="24"/>
        </w:rPr>
        <w:t>Saikia</w:t>
      </w:r>
      <w:proofErr w:type="spellEnd"/>
      <w:r w:rsidRPr="00EF3DF6">
        <w:rPr>
          <w:rFonts w:ascii="Arial" w:eastAsia="Times New Roman" w:hAnsi="Arial" w:cs="Arial"/>
          <w:sz w:val="24"/>
          <w:szCs w:val="24"/>
        </w:rPr>
        <w:t xml:space="preserve"> B, Garg M, Gupta D, Chakrabarti A. Diagnostic performance of various tests and criteria employed in allergic bronchopulmonary aspergillosis: a latent class analysis. </w:t>
      </w:r>
      <w:proofErr w:type="spellStart"/>
      <w:r w:rsidRPr="00EF3DF6">
        <w:rPr>
          <w:rFonts w:ascii="Arial" w:eastAsia="Times New Roman" w:hAnsi="Arial" w:cs="Arial"/>
          <w:sz w:val="24"/>
          <w:szCs w:val="24"/>
        </w:rPr>
        <w:t>PLoS</w:t>
      </w:r>
      <w:proofErr w:type="spellEnd"/>
      <w:r w:rsidRPr="00EF3DF6">
        <w:rPr>
          <w:rFonts w:ascii="Arial" w:eastAsia="Times New Roman" w:hAnsi="Arial" w:cs="Arial"/>
          <w:sz w:val="24"/>
          <w:szCs w:val="24"/>
        </w:rPr>
        <w:t xml:space="preserve"> One. 2013;8(4</w:t>
      </w:r>
      <w:proofErr w:type="gramStart"/>
      <w:r w:rsidRPr="00EF3DF6">
        <w:rPr>
          <w:rFonts w:ascii="Arial" w:eastAsia="Times New Roman" w:hAnsi="Arial" w:cs="Arial"/>
          <w:sz w:val="24"/>
          <w:szCs w:val="24"/>
        </w:rPr>
        <w:t>):e</w:t>
      </w:r>
      <w:proofErr w:type="gramEnd"/>
      <w:r w:rsidRPr="00EF3DF6">
        <w:rPr>
          <w:rFonts w:ascii="Arial" w:eastAsia="Times New Roman" w:hAnsi="Arial" w:cs="Arial"/>
          <w:sz w:val="24"/>
          <w:szCs w:val="24"/>
        </w:rPr>
        <w:t>61105.</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sz w:val="24"/>
          <w:szCs w:val="24"/>
        </w:rPr>
        <w:t xml:space="preserve">Singh M, Chauhan A, Paul N, Sharma M, Verma M. Allergic Bronchopulmonary Aspergillosis (ABPA) in poorly controlled children with Asthma. Am J Respir </w:t>
      </w:r>
      <w:proofErr w:type="spellStart"/>
      <w:r w:rsidRPr="00EF3DF6">
        <w:rPr>
          <w:rFonts w:ascii="Arial" w:eastAsia="Times New Roman" w:hAnsi="Arial" w:cs="Arial"/>
          <w:sz w:val="24"/>
          <w:szCs w:val="24"/>
        </w:rPr>
        <w:t>Crit</w:t>
      </w:r>
      <w:proofErr w:type="spellEnd"/>
      <w:r w:rsidRPr="00EF3DF6">
        <w:rPr>
          <w:rFonts w:ascii="Arial" w:eastAsia="Times New Roman" w:hAnsi="Arial" w:cs="Arial"/>
          <w:sz w:val="24"/>
          <w:szCs w:val="24"/>
        </w:rPr>
        <w:t xml:space="preserve"> Care Med 2017;</w:t>
      </w:r>
      <w:proofErr w:type="gramStart"/>
      <w:r w:rsidRPr="00EF3DF6">
        <w:rPr>
          <w:rFonts w:ascii="Arial" w:eastAsia="Times New Roman" w:hAnsi="Arial" w:cs="Arial"/>
          <w:sz w:val="24"/>
          <w:szCs w:val="24"/>
        </w:rPr>
        <w:t>195:A</w:t>
      </w:r>
      <w:proofErr w:type="gramEnd"/>
      <w:r w:rsidRPr="00EF3DF6">
        <w:rPr>
          <w:rFonts w:ascii="Arial" w:eastAsia="Times New Roman" w:hAnsi="Arial" w:cs="Arial"/>
          <w:sz w:val="24"/>
          <w:szCs w:val="24"/>
        </w:rPr>
        <w:t>1277.</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proofErr w:type="spellStart"/>
      <w:r w:rsidRPr="00EF3DF6">
        <w:rPr>
          <w:rFonts w:ascii="Arial" w:eastAsia="Times New Roman" w:hAnsi="Arial" w:cs="Arial"/>
          <w:sz w:val="24"/>
          <w:szCs w:val="24"/>
        </w:rPr>
        <w:t>Schwerk</w:t>
      </w:r>
      <w:proofErr w:type="spellEnd"/>
      <w:r w:rsidRPr="00EF3DF6">
        <w:rPr>
          <w:rFonts w:ascii="Arial" w:eastAsia="Times New Roman" w:hAnsi="Arial" w:cs="Arial"/>
          <w:sz w:val="24"/>
          <w:szCs w:val="24"/>
        </w:rPr>
        <w:t xml:space="preserve"> N, </w:t>
      </w:r>
      <w:proofErr w:type="spellStart"/>
      <w:r w:rsidRPr="00EF3DF6">
        <w:rPr>
          <w:rFonts w:ascii="Arial" w:eastAsia="Times New Roman" w:hAnsi="Arial" w:cs="Arial"/>
          <w:sz w:val="24"/>
          <w:szCs w:val="24"/>
        </w:rPr>
        <w:t>Rochwalsky</w:t>
      </w:r>
      <w:proofErr w:type="spellEnd"/>
      <w:r w:rsidRPr="00EF3DF6">
        <w:rPr>
          <w:rFonts w:ascii="Arial" w:eastAsia="Times New Roman" w:hAnsi="Arial" w:cs="Arial"/>
          <w:sz w:val="24"/>
          <w:szCs w:val="24"/>
        </w:rPr>
        <w:t xml:space="preserve"> U, Brinkmann F, Hansen G. Don’t forget other causes of wheeze. ABPA in a boy with asthma. A case report and review of the literature. Acta </w:t>
      </w:r>
      <w:proofErr w:type="spellStart"/>
      <w:r w:rsidRPr="00EF3DF6">
        <w:rPr>
          <w:rFonts w:ascii="Arial" w:eastAsia="Times New Roman" w:hAnsi="Arial" w:cs="Arial"/>
          <w:sz w:val="24"/>
          <w:szCs w:val="24"/>
        </w:rPr>
        <w:t>Paediatr</w:t>
      </w:r>
      <w:proofErr w:type="spellEnd"/>
      <w:r w:rsidRPr="00EF3DF6">
        <w:rPr>
          <w:rFonts w:ascii="Arial" w:eastAsia="Times New Roman" w:hAnsi="Arial" w:cs="Arial"/>
          <w:sz w:val="24"/>
          <w:szCs w:val="24"/>
        </w:rPr>
        <w:t xml:space="preserve"> </w:t>
      </w:r>
      <w:proofErr w:type="gramStart"/>
      <w:r w:rsidRPr="00EF3DF6">
        <w:rPr>
          <w:rFonts w:ascii="Arial" w:eastAsia="Times New Roman" w:hAnsi="Arial" w:cs="Arial"/>
          <w:sz w:val="24"/>
          <w:szCs w:val="24"/>
        </w:rPr>
        <w:t>2011;100:30710</w:t>
      </w:r>
      <w:proofErr w:type="gramEnd"/>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r w:rsidRPr="00EF3DF6">
        <w:rPr>
          <w:rFonts w:ascii="Arial" w:eastAsia="Times New Roman" w:hAnsi="Arial" w:cs="Arial"/>
          <w:color w:val="303030"/>
          <w:sz w:val="24"/>
          <w:szCs w:val="24"/>
          <w:shd w:val="clear" w:color="auto" w:fill="FFFFFF"/>
        </w:rPr>
        <w:t xml:space="preserve">Denning DW, Pashley C, </w:t>
      </w:r>
      <w:proofErr w:type="spellStart"/>
      <w:r w:rsidRPr="00EF3DF6">
        <w:rPr>
          <w:rFonts w:ascii="Arial" w:eastAsia="Times New Roman" w:hAnsi="Arial" w:cs="Arial"/>
          <w:color w:val="303030"/>
          <w:sz w:val="24"/>
          <w:szCs w:val="24"/>
          <w:shd w:val="clear" w:color="auto" w:fill="FFFFFF"/>
        </w:rPr>
        <w:t>Hartl</w:t>
      </w:r>
      <w:proofErr w:type="spellEnd"/>
      <w:r w:rsidRPr="00EF3DF6">
        <w:rPr>
          <w:rFonts w:ascii="Arial" w:eastAsia="Times New Roman" w:hAnsi="Arial" w:cs="Arial"/>
          <w:color w:val="303030"/>
          <w:sz w:val="24"/>
          <w:szCs w:val="24"/>
          <w:shd w:val="clear" w:color="auto" w:fill="FFFFFF"/>
        </w:rPr>
        <w:t xml:space="preserve"> D, et al. Fungal allergy in asthma-state of the art and research needs. </w:t>
      </w:r>
      <w:r w:rsidRPr="00EF3DF6">
        <w:rPr>
          <w:rFonts w:ascii="Arial" w:eastAsia="Times New Roman" w:hAnsi="Arial" w:cs="Arial"/>
          <w:i/>
          <w:color w:val="303030"/>
          <w:sz w:val="24"/>
          <w:szCs w:val="24"/>
          <w:shd w:val="clear" w:color="auto" w:fill="FFFFFF"/>
        </w:rPr>
        <w:t xml:space="preserve">Clin </w:t>
      </w:r>
      <w:proofErr w:type="spellStart"/>
      <w:r w:rsidRPr="00EF3DF6">
        <w:rPr>
          <w:rFonts w:ascii="Arial" w:eastAsia="Times New Roman" w:hAnsi="Arial" w:cs="Arial"/>
          <w:i/>
          <w:color w:val="303030"/>
          <w:sz w:val="24"/>
          <w:szCs w:val="24"/>
          <w:shd w:val="clear" w:color="auto" w:fill="FFFFFF"/>
        </w:rPr>
        <w:t>Transl</w:t>
      </w:r>
      <w:proofErr w:type="spellEnd"/>
      <w:r w:rsidRPr="00EF3DF6">
        <w:rPr>
          <w:rFonts w:ascii="Arial" w:eastAsia="Times New Roman" w:hAnsi="Arial" w:cs="Arial"/>
          <w:i/>
          <w:color w:val="303030"/>
          <w:sz w:val="24"/>
          <w:szCs w:val="24"/>
          <w:shd w:val="clear" w:color="auto" w:fill="FFFFFF"/>
        </w:rPr>
        <w:t xml:space="preserve"> Allergy</w:t>
      </w:r>
      <w:r w:rsidRPr="00EF3DF6">
        <w:rPr>
          <w:rFonts w:ascii="Arial" w:eastAsia="Times New Roman" w:hAnsi="Arial" w:cs="Arial"/>
          <w:color w:val="303030"/>
          <w:sz w:val="24"/>
          <w:szCs w:val="24"/>
          <w:shd w:val="clear" w:color="auto" w:fill="FFFFFF"/>
        </w:rPr>
        <w:t xml:space="preserve">. </w:t>
      </w:r>
      <w:proofErr w:type="gramStart"/>
      <w:r w:rsidRPr="00EF3DF6">
        <w:rPr>
          <w:rFonts w:ascii="Arial" w:eastAsia="Times New Roman" w:hAnsi="Arial" w:cs="Arial"/>
          <w:color w:val="303030"/>
          <w:sz w:val="24"/>
          <w:szCs w:val="24"/>
          <w:shd w:val="clear" w:color="auto" w:fill="FFFFFF"/>
        </w:rPr>
        <w:t>2014;4:14</w:t>
      </w:r>
      <w:proofErr w:type="gramEnd"/>
      <w:r w:rsidRPr="00EF3DF6">
        <w:rPr>
          <w:rFonts w:ascii="Arial" w:eastAsia="Times New Roman" w:hAnsi="Arial" w:cs="Arial"/>
          <w:color w:val="303030"/>
          <w:sz w:val="24"/>
          <w:szCs w:val="24"/>
          <w:shd w:val="clear" w:color="auto" w:fill="FFFFFF"/>
        </w:rPr>
        <w:t>. Published 2014 Apr 15.</w:t>
      </w:r>
    </w:p>
    <w:p w:rsidR="00115278" w:rsidRPr="00EF3DF6" w:rsidRDefault="00790564" w:rsidP="00EF3DF6">
      <w:pPr>
        <w:numPr>
          <w:ilvl w:val="0"/>
          <w:numId w:val="1"/>
        </w:numPr>
        <w:spacing w:line="480" w:lineRule="auto"/>
        <w:ind w:left="720" w:hanging="360"/>
        <w:jc w:val="both"/>
        <w:rPr>
          <w:rFonts w:ascii="Arial" w:eastAsia="Times New Roman" w:hAnsi="Arial" w:cs="Arial"/>
          <w:sz w:val="24"/>
          <w:szCs w:val="24"/>
        </w:rPr>
      </w:pPr>
      <w:proofErr w:type="spellStart"/>
      <w:r w:rsidRPr="00EF3DF6">
        <w:rPr>
          <w:rFonts w:ascii="Arial" w:eastAsia="Times New Roman" w:hAnsi="Arial" w:cs="Arial"/>
          <w:sz w:val="24"/>
          <w:szCs w:val="24"/>
        </w:rPr>
        <w:t>Jat</w:t>
      </w:r>
      <w:proofErr w:type="spellEnd"/>
      <w:r w:rsidRPr="00EF3DF6">
        <w:rPr>
          <w:rFonts w:ascii="Arial" w:eastAsia="Times New Roman" w:hAnsi="Arial" w:cs="Arial"/>
          <w:sz w:val="24"/>
          <w:szCs w:val="24"/>
        </w:rPr>
        <w:t xml:space="preserve"> KR, Vaidya PC, Mathew JL, </w:t>
      </w:r>
      <w:proofErr w:type="spellStart"/>
      <w:r w:rsidRPr="00EF3DF6">
        <w:rPr>
          <w:rFonts w:ascii="Arial" w:eastAsia="Times New Roman" w:hAnsi="Arial" w:cs="Arial"/>
          <w:sz w:val="24"/>
          <w:szCs w:val="24"/>
        </w:rPr>
        <w:t>Jondhale</w:t>
      </w:r>
      <w:proofErr w:type="spellEnd"/>
      <w:r w:rsidRPr="00EF3DF6">
        <w:rPr>
          <w:rFonts w:ascii="Arial" w:eastAsia="Times New Roman" w:hAnsi="Arial" w:cs="Arial"/>
          <w:sz w:val="24"/>
          <w:szCs w:val="24"/>
        </w:rPr>
        <w:t xml:space="preserve"> S, Singh M. Childhood allergic bronchopulmonary aspergillosis. Lung India </w:t>
      </w:r>
      <w:proofErr w:type="gramStart"/>
      <w:r w:rsidRPr="00EF3DF6">
        <w:rPr>
          <w:rFonts w:ascii="Arial" w:eastAsia="Times New Roman" w:hAnsi="Arial" w:cs="Arial"/>
          <w:sz w:val="24"/>
          <w:szCs w:val="24"/>
        </w:rPr>
        <w:t>2018;35:499</w:t>
      </w:r>
      <w:proofErr w:type="gramEnd"/>
      <w:r w:rsidRPr="00EF3DF6">
        <w:rPr>
          <w:rFonts w:ascii="Arial" w:eastAsia="Times New Roman" w:hAnsi="Arial" w:cs="Arial"/>
          <w:sz w:val="24"/>
          <w:szCs w:val="24"/>
        </w:rPr>
        <w:t>-507</w:t>
      </w:r>
    </w:p>
    <w:p w:rsidR="00115278" w:rsidRPr="00EF3DF6" w:rsidRDefault="00790564" w:rsidP="00EF3DF6">
      <w:pPr>
        <w:numPr>
          <w:ilvl w:val="0"/>
          <w:numId w:val="1"/>
        </w:numPr>
        <w:spacing w:line="480" w:lineRule="auto"/>
        <w:ind w:left="720" w:hanging="360"/>
        <w:jc w:val="both"/>
        <w:rPr>
          <w:rFonts w:ascii="Arial" w:eastAsia="Times New Roman" w:hAnsi="Arial" w:cs="Arial"/>
          <w:color w:val="000000" w:themeColor="text1"/>
          <w:sz w:val="24"/>
          <w:szCs w:val="24"/>
        </w:rPr>
      </w:pPr>
      <w:r w:rsidRPr="00EF3DF6">
        <w:rPr>
          <w:rFonts w:ascii="Arial" w:eastAsia="Times New Roman" w:hAnsi="Arial" w:cs="Arial"/>
          <w:sz w:val="24"/>
          <w:szCs w:val="24"/>
        </w:rPr>
        <w:t xml:space="preserve">Patterson R, Greenberger PA, </w:t>
      </w:r>
      <w:proofErr w:type="spellStart"/>
      <w:r w:rsidRPr="00EF3DF6">
        <w:rPr>
          <w:rFonts w:ascii="Arial" w:eastAsia="Times New Roman" w:hAnsi="Arial" w:cs="Arial"/>
          <w:sz w:val="24"/>
          <w:szCs w:val="24"/>
        </w:rPr>
        <w:t>Radin</w:t>
      </w:r>
      <w:proofErr w:type="spellEnd"/>
      <w:r w:rsidRPr="00EF3DF6">
        <w:rPr>
          <w:rFonts w:ascii="Arial" w:eastAsia="Times New Roman" w:hAnsi="Arial" w:cs="Arial"/>
          <w:sz w:val="24"/>
          <w:szCs w:val="24"/>
        </w:rPr>
        <w:t xml:space="preserve"> RC, Roberts M. Allergic bronchopulmonary </w:t>
      </w:r>
      <w:r w:rsidRPr="00EF3DF6">
        <w:rPr>
          <w:rFonts w:ascii="Arial" w:eastAsia="Times New Roman" w:hAnsi="Arial" w:cs="Arial"/>
          <w:color w:val="000000" w:themeColor="text1"/>
          <w:sz w:val="24"/>
          <w:szCs w:val="24"/>
        </w:rPr>
        <w:t>aspergillosis: staging as an aid to management. Ann Intern Med 1982; 96: 286–91.</w:t>
      </w:r>
    </w:p>
    <w:p w:rsidR="00FB0E8F" w:rsidRPr="00EF3DF6" w:rsidRDefault="00FB0E8F" w:rsidP="00EF3DF6">
      <w:pPr>
        <w:numPr>
          <w:ilvl w:val="0"/>
          <w:numId w:val="1"/>
        </w:numPr>
        <w:spacing w:line="480" w:lineRule="auto"/>
        <w:ind w:left="720" w:hanging="360"/>
        <w:jc w:val="both"/>
        <w:rPr>
          <w:rFonts w:ascii="Arial" w:eastAsia="Times New Roman" w:hAnsi="Arial" w:cs="Arial"/>
          <w:color w:val="000000" w:themeColor="text1"/>
          <w:sz w:val="24"/>
          <w:szCs w:val="24"/>
        </w:rPr>
      </w:pPr>
      <w:proofErr w:type="spellStart"/>
      <w:r w:rsidRPr="00EF3DF6">
        <w:rPr>
          <w:rFonts w:ascii="Arial" w:eastAsia="Times New Roman" w:hAnsi="Arial" w:cs="Arial"/>
          <w:color w:val="000000" w:themeColor="text1"/>
          <w:sz w:val="24"/>
          <w:szCs w:val="24"/>
        </w:rPr>
        <w:t>Madas</w:t>
      </w:r>
      <w:proofErr w:type="spellEnd"/>
      <w:r w:rsidRPr="00EF3DF6">
        <w:rPr>
          <w:rFonts w:ascii="Arial" w:eastAsia="Times New Roman" w:hAnsi="Arial" w:cs="Arial"/>
          <w:color w:val="000000" w:themeColor="text1"/>
          <w:sz w:val="24"/>
          <w:szCs w:val="24"/>
        </w:rPr>
        <w:t xml:space="preserve"> S, Davis R, Rai D. HRCT and Chest X-ray findings in 802 Allergic Bronchopulmonary Aspergillosis (ABPA) patients across 23 centres in India. European Respiratory Journal 2024; 64(</w:t>
      </w:r>
      <w:proofErr w:type="spellStart"/>
      <w:r w:rsidRPr="00EF3DF6">
        <w:rPr>
          <w:rFonts w:ascii="Arial" w:eastAsia="Times New Roman" w:hAnsi="Arial" w:cs="Arial"/>
          <w:color w:val="000000" w:themeColor="text1"/>
          <w:sz w:val="24"/>
          <w:szCs w:val="24"/>
        </w:rPr>
        <w:t>suppl</w:t>
      </w:r>
      <w:proofErr w:type="spellEnd"/>
      <w:r w:rsidRPr="00EF3DF6">
        <w:rPr>
          <w:rFonts w:ascii="Arial" w:eastAsia="Times New Roman" w:hAnsi="Arial" w:cs="Arial"/>
          <w:color w:val="000000" w:themeColor="text1"/>
          <w:sz w:val="24"/>
          <w:szCs w:val="24"/>
        </w:rPr>
        <w:t xml:space="preserve"> 68): PA4019</w:t>
      </w:r>
      <w:r w:rsidRPr="00EF3DF6">
        <w:rPr>
          <w:rFonts w:ascii="Arial" w:eastAsia="Times New Roman" w:hAnsi="Arial" w:cs="Arial"/>
          <w:color w:val="70AD47" w:themeColor="accent6"/>
          <w:sz w:val="24"/>
          <w:szCs w:val="24"/>
        </w:rPr>
        <w:t>.</w:t>
      </w:r>
    </w:p>
    <w:p w:rsidR="001B6D9A" w:rsidRPr="00EF3DF6" w:rsidRDefault="001B6D9A" w:rsidP="00EF3DF6">
      <w:pPr>
        <w:numPr>
          <w:ilvl w:val="0"/>
          <w:numId w:val="1"/>
        </w:numPr>
        <w:spacing w:line="480" w:lineRule="auto"/>
        <w:ind w:left="720" w:hanging="360"/>
        <w:jc w:val="both"/>
        <w:rPr>
          <w:rFonts w:ascii="Arial" w:eastAsia="Times New Roman" w:hAnsi="Arial" w:cs="Arial"/>
          <w:color w:val="000000" w:themeColor="text1"/>
          <w:sz w:val="24"/>
          <w:szCs w:val="24"/>
        </w:rPr>
      </w:pPr>
      <w:r w:rsidRPr="00EF3DF6">
        <w:rPr>
          <w:rFonts w:ascii="Arial" w:hAnsi="Arial" w:cs="Arial"/>
          <w:color w:val="212121"/>
          <w:sz w:val="24"/>
          <w:szCs w:val="24"/>
          <w:shd w:val="clear" w:color="auto" w:fill="FFFFFF"/>
        </w:rPr>
        <w:lastRenderedPageBreak/>
        <w:t xml:space="preserve">Agarwal R, Muthu V, Sehgal IS, Prasad KT, </w:t>
      </w:r>
      <w:proofErr w:type="spellStart"/>
      <w:r w:rsidRPr="00EF3DF6">
        <w:rPr>
          <w:rFonts w:ascii="Arial" w:hAnsi="Arial" w:cs="Arial"/>
          <w:color w:val="212121"/>
          <w:sz w:val="24"/>
          <w:szCs w:val="24"/>
          <w:shd w:val="clear" w:color="auto" w:fill="FFFFFF"/>
        </w:rPr>
        <w:t>Dhooria</w:t>
      </w:r>
      <w:proofErr w:type="spellEnd"/>
      <w:r w:rsidRPr="00EF3DF6">
        <w:rPr>
          <w:rFonts w:ascii="Arial" w:hAnsi="Arial" w:cs="Arial"/>
          <w:color w:val="212121"/>
          <w:sz w:val="24"/>
          <w:szCs w:val="24"/>
          <w:shd w:val="clear" w:color="auto" w:fill="FFFFFF"/>
        </w:rPr>
        <w:t xml:space="preserve"> S, Garg M, Aggarwal AN, </w:t>
      </w:r>
      <w:proofErr w:type="spellStart"/>
      <w:r w:rsidRPr="00EF3DF6">
        <w:rPr>
          <w:rFonts w:ascii="Arial" w:hAnsi="Arial" w:cs="Arial"/>
          <w:color w:val="212121"/>
          <w:sz w:val="24"/>
          <w:szCs w:val="24"/>
          <w:shd w:val="clear" w:color="auto" w:fill="FFFFFF"/>
        </w:rPr>
        <w:t>Rudramurthy</w:t>
      </w:r>
      <w:proofErr w:type="spellEnd"/>
      <w:r w:rsidRPr="00EF3DF6">
        <w:rPr>
          <w:rFonts w:ascii="Arial" w:hAnsi="Arial" w:cs="Arial"/>
          <w:color w:val="212121"/>
          <w:sz w:val="24"/>
          <w:szCs w:val="24"/>
          <w:shd w:val="clear" w:color="auto" w:fill="FFFFFF"/>
        </w:rPr>
        <w:t xml:space="preserve"> SM, Chakrabarti A. Sex Differences in Allergic Bronchopulmonary Aspergillosis and its Impact on Exacerbations. </w:t>
      </w:r>
      <w:proofErr w:type="spellStart"/>
      <w:r w:rsidRPr="00EF3DF6">
        <w:rPr>
          <w:rFonts w:ascii="Arial" w:hAnsi="Arial" w:cs="Arial"/>
          <w:color w:val="212121"/>
          <w:sz w:val="24"/>
          <w:szCs w:val="24"/>
          <w:shd w:val="clear" w:color="auto" w:fill="FFFFFF"/>
        </w:rPr>
        <w:t>Mycopathologia</w:t>
      </w:r>
      <w:proofErr w:type="spellEnd"/>
      <w:r w:rsidRPr="00EF3DF6">
        <w:rPr>
          <w:rFonts w:ascii="Arial" w:hAnsi="Arial" w:cs="Arial"/>
          <w:color w:val="212121"/>
          <w:sz w:val="24"/>
          <w:szCs w:val="24"/>
          <w:shd w:val="clear" w:color="auto" w:fill="FFFFFF"/>
        </w:rPr>
        <w:t xml:space="preserve">. 2024 Oct 3;189(6):90. </w:t>
      </w:r>
      <w:proofErr w:type="spellStart"/>
      <w:r w:rsidRPr="00EF3DF6">
        <w:rPr>
          <w:rFonts w:ascii="Arial" w:hAnsi="Arial" w:cs="Arial"/>
          <w:color w:val="212121"/>
          <w:sz w:val="24"/>
          <w:szCs w:val="24"/>
          <w:shd w:val="clear" w:color="auto" w:fill="FFFFFF"/>
        </w:rPr>
        <w:t>doi</w:t>
      </w:r>
      <w:proofErr w:type="spellEnd"/>
      <w:r w:rsidRPr="00EF3DF6">
        <w:rPr>
          <w:rFonts w:ascii="Arial" w:hAnsi="Arial" w:cs="Arial"/>
          <w:color w:val="212121"/>
          <w:sz w:val="24"/>
          <w:szCs w:val="24"/>
          <w:shd w:val="clear" w:color="auto" w:fill="FFFFFF"/>
        </w:rPr>
        <w:t>: 10.1007/s11046-024-00893-8.</w:t>
      </w:r>
    </w:p>
    <w:p w:rsidR="00115278" w:rsidRPr="00EF3DF6" w:rsidRDefault="00115278" w:rsidP="00EF3DF6">
      <w:pPr>
        <w:spacing w:line="480" w:lineRule="auto"/>
        <w:jc w:val="both"/>
        <w:rPr>
          <w:rFonts w:ascii="Arial" w:eastAsia="Times New Roman" w:hAnsi="Arial" w:cs="Arial"/>
          <w:b/>
          <w:sz w:val="24"/>
          <w:szCs w:val="24"/>
        </w:rPr>
      </w:pPr>
    </w:p>
    <w:p w:rsidR="00115278" w:rsidRPr="00EF3DF6" w:rsidRDefault="00115278" w:rsidP="00EF3DF6">
      <w:pPr>
        <w:spacing w:line="480" w:lineRule="auto"/>
        <w:jc w:val="both"/>
        <w:rPr>
          <w:rFonts w:ascii="Arial" w:eastAsia="Times New Roman" w:hAnsi="Arial" w:cs="Arial"/>
          <w:sz w:val="24"/>
          <w:szCs w:val="24"/>
        </w:rPr>
      </w:pPr>
    </w:p>
    <w:p w:rsidR="00115278" w:rsidRPr="00EF3DF6" w:rsidRDefault="00115278" w:rsidP="00EF3DF6">
      <w:pPr>
        <w:spacing w:line="480" w:lineRule="auto"/>
        <w:jc w:val="both"/>
        <w:rPr>
          <w:rFonts w:ascii="Arial" w:eastAsia="Times New Roman" w:hAnsi="Arial" w:cs="Arial"/>
          <w:sz w:val="24"/>
          <w:szCs w:val="24"/>
        </w:rPr>
      </w:pPr>
    </w:p>
    <w:p w:rsidR="00115278" w:rsidRPr="00EF3DF6" w:rsidRDefault="00115278" w:rsidP="00EF3DF6">
      <w:pPr>
        <w:spacing w:line="480" w:lineRule="auto"/>
        <w:jc w:val="both"/>
        <w:rPr>
          <w:rFonts w:ascii="Arial" w:eastAsia="Times New Roman" w:hAnsi="Arial" w:cs="Arial"/>
          <w:sz w:val="24"/>
          <w:szCs w:val="24"/>
        </w:rPr>
      </w:pPr>
    </w:p>
    <w:p w:rsidR="00115278" w:rsidRPr="00EF3DF6" w:rsidRDefault="00115278" w:rsidP="00EF3DF6">
      <w:pPr>
        <w:spacing w:line="480" w:lineRule="auto"/>
        <w:jc w:val="both"/>
        <w:rPr>
          <w:rFonts w:ascii="Arial" w:eastAsia="Times New Roman" w:hAnsi="Arial" w:cs="Arial"/>
          <w:sz w:val="24"/>
          <w:szCs w:val="24"/>
        </w:rPr>
      </w:pPr>
    </w:p>
    <w:p w:rsidR="00115278" w:rsidRPr="00EF3DF6" w:rsidRDefault="00115278" w:rsidP="00EF3DF6">
      <w:pPr>
        <w:spacing w:line="480" w:lineRule="auto"/>
        <w:jc w:val="both"/>
        <w:rPr>
          <w:rFonts w:ascii="Arial" w:eastAsia="Times New Roman" w:hAnsi="Arial" w:cs="Arial"/>
          <w:sz w:val="24"/>
          <w:szCs w:val="24"/>
        </w:rPr>
      </w:pPr>
    </w:p>
    <w:p w:rsidR="00115278" w:rsidRPr="00EF3DF6" w:rsidRDefault="00790564" w:rsidP="00EF3DF6">
      <w:pPr>
        <w:spacing w:line="480" w:lineRule="auto"/>
        <w:jc w:val="both"/>
        <w:rPr>
          <w:rFonts w:ascii="Arial" w:eastAsia="Times New Roman" w:hAnsi="Arial" w:cs="Arial"/>
          <w:sz w:val="24"/>
          <w:szCs w:val="24"/>
        </w:rPr>
      </w:pPr>
      <w:r w:rsidRPr="00EF3DF6">
        <w:rPr>
          <w:rFonts w:ascii="Arial" w:eastAsia="Times New Roman" w:hAnsi="Arial" w:cs="Arial"/>
          <w:sz w:val="24"/>
          <w:szCs w:val="24"/>
        </w:rPr>
        <w:t xml:space="preserve"> </w:t>
      </w:r>
    </w:p>
    <w:sectPr w:rsidR="00115278" w:rsidRPr="00EF3DF6" w:rsidSect="00E43EE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1D2" w:rsidRDefault="00DC21D2" w:rsidP="00802E28">
      <w:pPr>
        <w:spacing w:after="0" w:line="240" w:lineRule="auto"/>
      </w:pPr>
      <w:r>
        <w:separator/>
      </w:r>
    </w:p>
  </w:endnote>
  <w:endnote w:type="continuationSeparator" w:id="0">
    <w:p w:rsidR="00DC21D2" w:rsidRDefault="00DC21D2" w:rsidP="0080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55530"/>
      <w:docPartObj>
        <w:docPartGallery w:val="Page Numbers (Bottom of Page)"/>
        <w:docPartUnique/>
      </w:docPartObj>
    </w:sdtPr>
    <w:sdtEndPr>
      <w:rPr>
        <w:noProof/>
      </w:rPr>
    </w:sdtEndPr>
    <w:sdtContent>
      <w:p w:rsidR="007E6722" w:rsidRDefault="007E6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02E28" w:rsidRDefault="00802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1D2" w:rsidRDefault="00DC21D2" w:rsidP="00802E28">
      <w:pPr>
        <w:spacing w:after="0" w:line="240" w:lineRule="auto"/>
      </w:pPr>
      <w:r>
        <w:separator/>
      </w:r>
    </w:p>
  </w:footnote>
  <w:footnote w:type="continuationSeparator" w:id="0">
    <w:p w:rsidR="00DC21D2" w:rsidRDefault="00DC21D2" w:rsidP="00802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757E2"/>
    <w:multiLevelType w:val="hybridMultilevel"/>
    <w:tmpl w:val="695ED7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793447"/>
    <w:multiLevelType w:val="multilevel"/>
    <w:tmpl w:val="277070E4"/>
    <w:lvl w:ilvl="0">
      <w:start w:val="1"/>
      <w:numFmt w:val="decimal"/>
      <w:lvlText w:val="%1."/>
      <w:lvlJc w:val="left"/>
      <w:rPr>
        <w:rFonts w:asciiTheme="minorHAnsi" w:eastAsiaTheme="minorEastAsia" w:hAnsiTheme="minorHAnsi"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9E0858"/>
    <w:multiLevelType w:val="hybridMultilevel"/>
    <w:tmpl w:val="75BC34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78"/>
    <w:rsid w:val="00026FF2"/>
    <w:rsid w:val="000E4144"/>
    <w:rsid w:val="00115278"/>
    <w:rsid w:val="00174E4F"/>
    <w:rsid w:val="001B6D9A"/>
    <w:rsid w:val="00205C4C"/>
    <w:rsid w:val="0033425E"/>
    <w:rsid w:val="003F5073"/>
    <w:rsid w:val="0041622C"/>
    <w:rsid w:val="00454690"/>
    <w:rsid w:val="004E17A8"/>
    <w:rsid w:val="00536B86"/>
    <w:rsid w:val="00553D1A"/>
    <w:rsid w:val="00595E8E"/>
    <w:rsid w:val="005A37F6"/>
    <w:rsid w:val="006D345C"/>
    <w:rsid w:val="00790564"/>
    <w:rsid w:val="007D588B"/>
    <w:rsid w:val="007E6722"/>
    <w:rsid w:val="00802E28"/>
    <w:rsid w:val="0081273F"/>
    <w:rsid w:val="008757F2"/>
    <w:rsid w:val="008954AB"/>
    <w:rsid w:val="008C142E"/>
    <w:rsid w:val="008F7B9E"/>
    <w:rsid w:val="009054C6"/>
    <w:rsid w:val="009A266C"/>
    <w:rsid w:val="009D6379"/>
    <w:rsid w:val="00AE1DA2"/>
    <w:rsid w:val="00B130AE"/>
    <w:rsid w:val="00B21B54"/>
    <w:rsid w:val="00B93676"/>
    <w:rsid w:val="00BB20C5"/>
    <w:rsid w:val="00BB4430"/>
    <w:rsid w:val="00BC229F"/>
    <w:rsid w:val="00C2473C"/>
    <w:rsid w:val="00C50F79"/>
    <w:rsid w:val="00C7612C"/>
    <w:rsid w:val="00C84C32"/>
    <w:rsid w:val="00CC022E"/>
    <w:rsid w:val="00CF6EDC"/>
    <w:rsid w:val="00D6731A"/>
    <w:rsid w:val="00DC21D2"/>
    <w:rsid w:val="00DC4F43"/>
    <w:rsid w:val="00E11187"/>
    <w:rsid w:val="00E43EEC"/>
    <w:rsid w:val="00E735F8"/>
    <w:rsid w:val="00EF3DF6"/>
    <w:rsid w:val="00F05DE1"/>
    <w:rsid w:val="00F363C4"/>
    <w:rsid w:val="00F65746"/>
    <w:rsid w:val="00FB0E8F"/>
    <w:rsid w:val="00FF7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1428"/>
  <w15:docId w15:val="{E4D08164-8510-4D84-B69A-95D27B10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53D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553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564"/>
    <w:pPr>
      <w:ind w:left="720"/>
      <w:contextualSpacing/>
    </w:pPr>
  </w:style>
  <w:style w:type="table" w:styleId="TableGrid">
    <w:name w:val="Table Grid"/>
    <w:basedOn w:val="TableNormal"/>
    <w:uiPriority w:val="39"/>
    <w:rsid w:val="00BB20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E28"/>
  </w:style>
  <w:style w:type="paragraph" w:styleId="Footer">
    <w:name w:val="footer"/>
    <w:basedOn w:val="Normal"/>
    <w:link w:val="FooterChar"/>
    <w:uiPriority w:val="99"/>
    <w:unhideWhenUsed/>
    <w:rsid w:val="0080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E28"/>
  </w:style>
  <w:style w:type="character" w:customStyle="1" w:styleId="Heading2Char">
    <w:name w:val="Heading 2 Char"/>
    <w:basedOn w:val="DefaultParagraphFont"/>
    <w:link w:val="Heading2"/>
    <w:uiPriority w:val="9"/>
    <w:rsid w:val="00553D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3D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title">
    <w:name w:val="section__title"/>
    <w:basedOn w:val="DefaultParagraphFont"/>
    <w:rsid w:val="00553D1A"/>
  </w:style>
  <w:style w:type="character" w:customStyle="1" w:styleId="Heading4Char">
    <w:name w:val="Heading 4 Char"/>
    <w:basedOn w:val="DefaultParagraphFont"/>
    <w:link w:val="Heading4"/>
    <w:uiPriority w:val="9"/>
    <w:rsid w:val="00553D1A"/>
    <w:rPr>
      <w:rFonts w:asciiTheme="majorHAnsi" w:eastAsiaTheme="majorEastAsia" w:hAnsiTheme="majorHAnsi" w:cstheme="majorBidi"/>
      <w:i/>
      <w:iCs/>
      <w:color w:val="2F5496" w:themeColor="accent1" w:themeShade="BF"/>
    </w:rPr>
  </w:style>
  <w:style w:type="character" w:customStyle="1" w:styleId="articletype">
    <w:name w:val="article__type"/>
    <w:basedOn w:val="DefaultParagraphFont"/>
    <w:rsid w:val="00553D1A"/>
  </w:style>
  <w:style w:type="character" w:customStyle="1" w:styleId="doi-access-wrapper">
    <w:name w:val="doi-access-wrapper"/>
    <w:basedOn w:val="DefaultParagraphFont"/>
    <w:rsid w:val="00553D1A"/>
  </w:style>
  <w:style w:type="character" w:styleId="Hyperlink">
    <w:name w:val="Hyperlink"/>
    <w:basedOn w:val="DefaultParagraphFont"/>
    <w:uiPriority w:val="99"/>
    <w:semiHidden/>
    <w:unhideWhenUsed/>
    <w:rsid w:val="00553D1A"/>
    <w:rPr>
      <w:color w:val="0000FF"/>
      <w:u w:val="single"/>
    </w:rPr>
  </w:style>
  <w:style w:type="character" w:customStyle="1" w:styleId="commaitem">
    <w:name w:val="comma__item"/>
    <w:basedOn w:val="DefaultParagraphFont"/>
    <w:rsid w:val="00553D1A"/>
  </w:style>
  <w:style w:type="character" w:customStyle="1" w:styleId="author">
    <w:name w:val="author"/>
    <w:basedOn w:val="DefaultParagraphFont"/>
    <w:rsid w:val="00553D1A"/>
  </w:style>
  <w:style w:type="character" w:customStyle="1" w:styleId="pubyear">
    <w:name w:val="pubyear"/>
    <w:basedOn w:val="DefaultParagraphFont"/>
    <w:rsid w:val="00553D1A"/>
  </w:style>
  <w:style w:type="character" w:customStyle="1" w:styleId="vol">
    <w:name w:val="vol"/>
    <w:basedOn w:val="DefaultParagraphFont"/>
    <w:rsid w:val="00553D1A"/>
  </w:style>
  <w:style w:type="character" w:customStyle="1" w:styleId="pagefirst">
    <w:name w:val="pagefirst"/>
    <w:basedOn w:val="DefaultParagraphFont"/>
    <w:rsid w:val="0055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99882">
      <w:bodyDiv w:val="1"/>
      <w:marLeft w:val="0"/>
      <w:marRight w:val="0"/>
      <w:marTop w:val="0"/>
      <w:marBottom w:val="0"/>
      <w:divBdr>
        <w:top w:val="none" w:sz="0" w:space="0" w:color="auto"/>
        <w:left w:val="none" w:sz="0" w:space="0" w:color="auto"/>
        <w:bottom w:val="none" w:sz="0" w:space="0" w:color="auto"/>
        <w:right w:val="none" w:sz="0" w:space="0" w:color="auto"/>
      </w:divBdr>
      <w:divsChild>
        <w:div w:id="105152175">
          <w:marLeft w:val="0"/>
          <w:marRight w:val="0"/>
          <w:marTop w:val="0"/>
          <w:marBottom w:val="0"/>
          <w:divBdr>
            <w:top w:val="none" w:sz="0" w:space="0" w:color="auto"/>
            <w:left w:val="none" w:sz="0" w:space="0" w:color="auto"/>
            <w:bottom w:val="none" w:sz="0" w:space="0" w:color="auto"/>
            <w:right w:val="none" w:sz="0" w:space="0" w:color="auto"/>
          </w:divBdr>
          <w:divsChild>
            <w:div w:id="1962028659">
              <w:marLeft w:val="0"/>
              <w:marRight w:val="0"/>
              <w:marTop w:val="0"/>
              <w:marBottom w:val="0"/>
              <w:divBdr>
                <w:top w:val="none" w:sz="0" w:space="0" w:color="auto"/>
                <w:left w:val="none" w:sz="0" w:space="0" w:color="auto"/>
                <w:bottom w:val="none" w:sz="0" w:space="0" w:color="auto"/>
                <w:right w:val="none" w:sz="0" w:space="0" w:color="auto"/>
              </w:divBdr>
              <w:divsChild>
                <w:div w:id="708652858">
                  <w:marLeft w:val="0"/>
                  <w:marRight w:val="0"/>
                  <w:marTop w:val="0"/>
                  <w:marBottom w:val="0"/>
                  <w:divBdr>
                    <w:top w:val="none" w:sz="0" w:space="0" w:color="auto"/>
                    <w:left w:val="none" w:sz="0" w:space="0" w:color="auto"/>
                    <w:bottom w:val="none" w:sz="0" w:space="0" w:color="auto"/>
                    <w:right w:val="none" w:sz="0" w:space="0" w:color="auto"/>
                  </w:divBdr>
                  <w:divsChild>
                    <w:div w:id="1517842284">
                      <w:marLeft w:val="0"/>
                      <w:marRight w:val="0"/>
                      <w:marTop w:val="0"/>
                      <w:marBottom w:val="0"/>
                      <w:divBdr>
                        <w:top w:val="none" w:sz="0" w:space="0" w:color="auto"/>
                        <w:left w:val="none" w:sz="0" w:space="0" w:color="auto"/>
                        <w:bottom w:val="none" w:sz="0" w:space="0" w:color="auto"/>
                        <w:right w:val="none" w:sz="0" w:space="0" w:color="auto"/>
                      </w:divBdr>
                      <w:divsChild>
                        <w:div w:id="870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47870">
                  <w:marLeft w:val="0"/>
                  <w:marRight w:val="0"/>
                  <w:marTop w:val="0"/>
                  <w:marBottom w:val="0"/>
                  <w:divBdr>
                    <w:top w:val="none" w:sz="0" w:space="0" w:color="auto"/>
                    <w:left w:val="none" w:sz="0" w:space="0" w:color="auto"/>
                    <w:bottom w:val="none" w:sz="0" w:space="0" w:color="auto"/>
                    <w:right w:val="none" w:sz="0" w:space="0" w:color="auto"/>
                  </w:divBdr>
                  <w:divsChild>
                    <w:div w:id="12048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1908">
          <w:marLeft w:val="0"/>
          <w:marRight w:val="0"/>
          <w:marTop w:val="0"/>
          <w:marBottom w:val="0"/>
          <w:divBdr>
            <w:top w:val="none" w:sz="0" w:space="0" w:color="auto"/>
            <w:left w:val="none" w:sz="0" w:space="0" w:color="auto"/>
            <w:bottom w:val="none" w:sz="0" w:space="0" w:color="auto"/>
            <w:right w:val="none" w:sz="0" w:space="0" w:color="auto"/>
          </w:divBdr>
          <w:divsChild>
            <w:div w:id="8091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71514">
      <w:bodyDiv w:val="1"/>
      <w:marLeft w:val="0"/>
      <w:marRight w:val="0"/>
      <w:marTop w:val="0"/>
      <w:marBottom w:val="0"/>
      <w:divBdr>
        <w:top w:val="none" w:sz="0" w:space="0" w:color="auto"/>
        <w:left w:val="none" w:sz="0" w:space="0" w:color="auto"/>
        <w:bottom w:val="none" w:sz="0" w:space="0" w:color="auto"/>
        <w:right w:val="none" w:sz="0" w:space="0" w:color="auto"/>
      </w:divBdr>
      <w:divsChild>
        <w:div w:id="1592161646">
          <w:marLeft w:val="0"/>
          <w:marRight w:val="0"/>
          <w:marTop w:val="0"/>
          <w:marBottom w:val="0"/>
          <w:divBdr>
            <w:top w:val="none" w:sz="0" w:space="0" w:color="auto"/>
            <w:left w:val="none" w:sz="0" w:space="0" w:color="auto"/>
            <w:bottom w:val="none" w:sz="0" w:space="0" w:color="auto"/>
            <w:right w:val="none" w:sz="0" w:space="0" w:color="auto"/>
          </w:divBdr>
          <w:divsChild>
            <w:div w:id="2092117164">
              <w:marLeft w:val="0"/>
              <w:marRight w:val="0"/>
              <w:marTop w:val="0"/>
              <w:marBottom w:val="0"/>
              <w:divBdr>
                <w:top w:val="none" w:sz="0" w:space="0" w:color="auto"/>
                <w:left w:val="none" w:sz="0" w:space="0" w:color="auto"/>
                <w:bottom w:val="none" w:sz="0" w:space="0" w:color="auto"/>
                <w:right w:val="none" w:sz="0" w:space="0" w:color="auto"/>
              </w:divBdr>
              <w:divsChild>
                <w:div w:id="1960528388">
                  <w:marLeft w:val="0"/>
                  <w:marRight w:val="0"/>
                  <w:marTop w:val="0"/>
                  <w:marBottom w:val="0"/>
                  <w:divBdr>
                    <w:top w:val="none" w:sz="0" w:space="0" w:color="auto"/>
                    <w:left w:val="none" w:sz="0" w:space="0" w:color="auto"/>
                    <w:bottom w:val="none" w:sz="0" w:space="0" w:color="auto"/>
                    <w:right w:val="none" w:sz="0" w:space="0" w:color="auto"/>
                  </w:divBdr>
                  <w:divsChild>
                    <w:div w:id="1666741659">
                      <w:marLeft w:val="0"/>
                      <w:marRight w:val="0"/>
                      <w:marTop w:val="0"/>
                      <w:marBottom w:val="0"/>
                      <w:divBdr>
                        <w:top w:val="none" w:sz="0" w:space="0" w:color="auto"/>
                        <w:left w:val="none" w:sz="0" w:space="0" w:color="auto"/>
                        <w:bottom w:val="none" w:sz="0" w:space="0" w:color="auto"/>
                        <w:right w:val="none" w:sz="0" w:space="0" w:color="auto"/>
                      </w:divBdr>
                      <w:divsChild>
                        <w:div w:id="1721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4741">
                  <w:marLeft w:val="0"/>
                  <w:marRight w:val="0"/>
                  <w:marTop w:val="0"/>
                  <w:marBottom w:val="0"/>
                  <w:divBdr>
                    <w:top w:val="none" w:sz="0" w:space="0" w:color="auto"/>
                    <w:left w:val="none" w:sz="0" w:space="0" w:color="auto"/>
                    <w:bottom w:val="none" w:sz="0" w:space="0" w:color="auto"/>
                    <w:right w:val="none" w:sz="0" w:space="0" w:color="auto"/>
                  </w:divBdr>
                  <w:divsChild>
                    <w:div w:id="7376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6577">
          <w:marLeft w:val="0"/>
          <w:marRight w:val="0"/>
          <w:marTop w:val="0"/>
          <w:marBottom w:val="0"/>
          <w:divBdr>
            <w:top w:val="none" w:sz="0" w:space="0" w:color="auto"/>
            <w:left w:val="none" w:sz="0" w:space="0" w:color="auto"/>
            <w:bottom w:val="none" w:sz="0" w:space="0" w:color="auto"/>
            <w:right w:val="none" w:sz="0" w:space="0" w:color="auto"/>
          </w:divBdr>
          <w:divsChild>
            <w:div w:id="7271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570">
      <w:bodyDiv w:val="1"/>
      <w:marLeft w:val="0"/>
      <w:marRight w:val="0"/>
      <w:marTop w:val="0"/>
      <w:marBottom w:val="0"/>
      <w:divBdr>
        <w:top w:val="none" w:sz="0" w:space="0" w:color="auto"/>
        <w:left w:val="none" w:sz="0" w:space="0" w:color="auto"/>
        <w:bottom w:val="none" w:sz="0" w:space="0" w:color="auto"/>
        <w:right w:val="none" w:sz="0" w:space="0" w:color="auto"/>
      </w:divBdr>
      <w:divsChild>
        <w:div w:id="416632280">
          <w:marLeft w:val="0"/>
          <w:marRight w:val="0"/>
          <w:marTop w:val="0"/>
          <w:marBottom w:val="0"/>
          <w:divBdr>
            <w:top w:val="none" w:sz="0" w:space="0" w:color="auto"/>
            <w:left w:val="none" w:sz="0" w:space="0" w:color="auto"/>
            <w:bottom w:val="none" w:sz="0" w:space="0" w:color="auto"/>
            <w:right w:val="none" w:sz="0" w:space="0" w:color="auto"/>
          </w:divBdr>
          <w:divsChild>
            <w:div w:id="14849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EBB7-30F5-44A5-8A71-CF4D4ABD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3086</TotalTime>
  <Pages>16</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28</cp:revision>
  <dcterms:created xsi:type="dcterms:W3CDTF">2025-03-28T05:19:00Z</dcterms:created>
  <dcterms:modified xsi:type="dcterms:W3CDTF">2025-08-06T07:19:00Z</dcterms:modified>
</cp:coreProperties>
</file>