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2CD" w:rsidRDefault="00521215">
      <w:pPr>
        <w:rPr>
          <w:rFonts w:ascii="Times New Roman" w:eastAsiaTheme="minorEastAsia" w:hAnsi="Times New Roman" w:cs="Times New Roman"/>
          <w:b/>
          <w:bCs/>
          <w:sz w:val="24"/>
          <w:szCs w:val="24"/>
          <w:u w:val="single"/>
        </w:rPr>
      </w:pPr>
      <w:r>
        <w:rPr>
          <w:rFonts w:ascii="Times New Roman" w:eastAsiaTheme="minorEastAsia" w:hAnsi="Times New Roman" w:cs="Times New Roman"/>
          <w:b/>
          <w:bCs/>
          <w:sz w:val="24"/>
          <w:szCs w:val="24"/>
          <w:u w:val="single"/>
        </w:rPr>
        <w:t xml:space="preserve">Review Article                  </w:t>
      </w:r>
    </w:p>
    <w:p w:rsidR="00B512CD" w:rsidRDefault="00521215">
      <w:pPr>
        <w:pStyle w:val="NormalWeb"/>
        <w:spacing w:line="276" w:lineRule="auto"/>
        <w:jc w:val="center"/>
        <w:rPr>
          <w:b/>
          <w:bCs/>
        </w:rPr>
      </w:pPr>
      <w:r>
        <w:rPr>
          <w:b/>
          <w:bCs/>
        </w:rPr>
        <w:t xml:space="preserve">Integrated Management Strategies for </w:t>
      </w:r>
      <w:r>
        <w:rPr>
          <w:rStyle w:val="Emphasis"/>
          <w:b/>
          <w:bCs/>
        </w:rPr>
        <w:t xml:space="preserve">Nosema </w:t>
      </w:r>
      <w:proofErr w:type="spellStart"/>
      <w:r>
        <w:rPr>
          <w:rStyle w:val="Emphasis"/>
          <w:b/>
          <w:bCs/>
        </w:rPr>
        <w:t>bombycis</w:t>
      </w:r>
      <w:proofErr w:type="spellEnd"/>
      <w:r>
        <w:rPr>
          <w:b/>
          <w:bCs/>
        </w:rPr>
        <w:t xml:space="preserve"> in </w:t>
      </w:r>
      <w:r>
        <w:rPr>
          <w:rStyle w:val="Emphasis"/>
          <w:b/>
          <w:bCs/>
        </w:rPr>
        <w:t>Bombyx mori</w:t>
      </w:r>
      <w:r>
        <w:rPr>
          <w:b/>
          <w:bCs/>
        </w:rPr>
        <w:t>: Diagnostics, Probiotics and Chemical Controls</w:t>
      </w:r>
    </w:p>
    <w:p w:rsidR="00B512CD" w:rsidRDefault="00521215">
      <w:pPr>
        <w:jc w:val="both"/>
        <w:rPr>
          <w:rFonts w:ascii="Times New Roman" w:hAnsi="Times New Roman" w:cs="Times New Roman"/>
          <w:b/>
          <w:bCs/>
          <w:sz w:val="24"/>
          <w:szCs w:val="24"/>
        </w:rPr>
      </w:pPr>
      <w:r>
        <w:rPr>
          <w:rFonts w:ascii="Times New Roman" w:eastAsiaTheme="minorEastAsia" w:hAnsi="Times New Roman" w:cs="Times New Roman"/>
          <w:b/>
          <w:bCs/>
          <w:sz w:val="24"/>
          <w:szCs w:val="24"/>
        </w:rPr>
        <w:t>Abstract:</w:t>
      </w:r>
      <w:r>
        <w:rPr>
          <w:rFonts w:ascii="Times New Roman" w:hAnsi="Times New Roman" w:cs="Times New Roman"/>
          <w:sz w:val="24"/>
          <w:szCs w:val="24"/>
          <w:lang w:val="en-GB"/>
        </w:rPr>
        <w:t xml:space="preserve"> The major constraints in silk cocoon production are occurrence of the diseases in silkworm</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GB"/>
        </w:rPr>
        <w:t>Pebrine</w:t>
      </w:r>
      <w:proofErr w:type="spellEnd"/>
      <w:r>
        <w:rPr>
          <w:rFonts w:ascii="Times New Roman" w:hAnsi="Times New Roman" w:cs="Times New Roman"/>
          <w:sz w:val="24"/>
          <w:szCs w:val="24"/>
          <w:lang w:val="en-GB"/>
        </w:rPr>
        <w:t xml:space="preserve"> (protozoan disease) is a major disease of the silkworm</w:t>
      </w:r>
      <w:r>
        <w:rPr>
          <w:rFonts w:ascii="Times New Roman" w:hAnsi="Times New Roman" w:cs="Times New Roman"/>
          <w:i/>
          <w:iCs/>
          <w:sz w:val="24"/>
          <w:szCs w:val="24"/>
          <w:lang w:val="en-GB"/>
        </w:rPr>
        <w:t xml:space="preserve">, B. mori </w:t>
      </w:r>
      <w:r>
        <w:rPr>
          <w:rFonts w:ascii="Times New Roman" w:hAnsi="Times New Roman" w:cs="Times New Roman"/>
          <w:sz w:val="24"/>
          <w:szCs w:val="24"/>
          <w:lang w:val="en-GB"/>
        </w:rPr>
        <w:t xml:space="preserve">caused by microsporidian parasite, </w:t>
      </w:r>
      <w:r>
        <w:rPr>
          <w:rFonts w:ascii="Times New Roman" w:hAnsi="Times New Roman" w:cs="Times New Roman"/>
          <w:i/>
          <w:iCs/>
          <w:sz w:val="24"/>
          <w:szCs w:val="24"/>
          <w:lang w:val="en-GB"/>
        </w:rPr>
        <w:t xml:space="preserve">Nosema </w:t>
      </w:r>
      <w:proofErr w:type="spellStart"/>
      <w:r>
        <w:rPr>
          <w:rFonts w:ascii="Times New Roman" w:hAnsi="Times New Roman" w:cs="Times New Roman"/>
          <w:i/>
          <w:iCs/>
          <w:sz w:val="24"/>
          <w:szCs w:val="24"/>
          <w:lang w:val="en-GB"/>
        </w:rPr>
        <w:t>bombycis</w:t>
      </w:r>
      <w:proofErr w:type="spellEnd"/>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N.</w:t>
      </w:r>
      <w:r>
        <w:rPr>
          <w:rFonts w:ascii="Times New Roman" w:hAnsi="Times New Roman" w:cs="Times New Roman"/>
          <w:sz w:val="24"/>
          <w:szCs w:val="24"/>
        </w:rPr>
        <w:t xml:space="preserve"> </w:t>
      </w:r>
      <w:r>
        <w:rPr>
          <w:rFonts w:ascii="Times New Roman" w:hAnsi="Times New Roman" w:cs="Times New Roman"/>
          <w:i/>
          <w:iCs/>
          <w:sz w:val="24"/>
          <w:szCs w:val="24"/>
          <w:lang w:val="en-US"/>
        </w:rPr>
        <w:t xml:space="preserve">N. </w:t>
      </w:r>
      <w:proofErr w:type="spellStart"/>
      <w:r>
        <w:rPr>
          <w:rFonts w:ascii="Times New Roman" w:hAnsi="Times New Roman" w:cs="Times New Roman"/>
          <w:i/>
          <w:iCs/>
          <w:sz w:val="24"/>
          <w:szCs w:val="24"/>
          <w:lang w:val="en-US"/>
        </w:rPr>
        <w:t>bombycis</w:t>
      </w:r>
      <w:proofErr w:type="spellEnd"/>
      <w:r>
        <w:rPr>
          <w:rFonts w:ascii="Times New Roman" w:hAnsi="Times New Roman" w:cs="Times New Roman"/>
          <w:sz w:val="24"/>
          <w:szCs w:val="24"/>
          <w:lang w:val="en-US"/>
        </w:rPr>
        <w:t> infection causing </w:t>
      </w:r>
      <w:proofErr w:type="spellStart"/>
      <w:r>
        <w:rPr>
          <w:rFonts w:ascii="Times New Roman" w:hAnsi="Times New Roman" w:cs="Times New Roman"/>
          <w:sz w:val="24"/>
          <w:szCs w:val="24"/>
          <w:lang w:val="en-US"/>
        </w:rPr>
        <w:t>pebrine</w:t>
      </w:r>
      <w:proofErr w:type="spellEnd"/>
      <w:r>
        <w:rPr>
          <w:rFonts w:ascii="Times New Roman" w:hAnsi="Times New Roman" w:cs="Times New Roman"/>
          <w:sz w:val="24"/>
          <w:szCs w:val="24"/>
          <w:lang w:val="en-US"/>
        </w:rPr>
        <w:t xml:space="preserve"> in silkworm is transmitted </w:t>
      </w:r>
      <w:r>
        <w:rPr>
          <w:rFonts w:ascii="Times New Roman" w:hAnsi="Times New Roman" w:cs="Times New Roman"/>
          <w:sz w:val="24"/>
          <w:szCs w:val="24"/>
        </w:rPr>
        <w:t>both horizontally and vertically</w:t>
      </w:r>
      <w:r>
        <w:rPr>
          <w:rFonts w:ascii="Times New Roman" w:hAnsi="Times New Roman" w:cs="Times New Roman"/>
          <w:sz w:val="24"/>
          <w:szCs w:val="24"/>
          <w:lang w:val="en-US"/>
        </w:rPr>
        <w:t>, any lapse in monitoring the progeny could result in serious damage to the sericulture industry</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The literature reveals that, </w:t>
      </w:r>
      <w:proofErr w:type="spellStart"/>
      <w:r>
        <w:rPr>
          <w:rFonts w:ascii="Times New Roman" w:hAnsi="Times New Roman" w:cs="Times New Roman"/>
          <w:sz w:val="24"/>
          <w:szCs w:val="24"/>
          <w:lang w:val="en-US"/>
        </w:rPr>
        <w:t>pebrine</w:t>
      </w:r>
      <w:proofErr w:type="spellEnd"/>
      <w:r>
        <w:rPr>
          <w:rFonts w:ascii="Times New Roman" w:hAnsi="Times New Roman" w:cs="Times New Roman"/>
          <w:sz w:val="24"/>
          <w:szCs w:val="24"/>
          <w:lang w:val="en-US"/>
        </w:rPr>
        <w:t xml:space="preserve"> disease is manageable but very difficult to eradicate. </w:t>
      </w:r>
      <w:r>
        <w:rPr>
          <w:rStyle w:val="relative"/>
          <w:rFonts w:ascii="Times New Roman" w:hAnsi="Times New Roman" w:cs="Times New Roman"/>
          <w:sz w:val="24"/>
          <w:szCs w:val="24"/>
        </w:rPr>
        <w:t xml:space="preserve">Effective management of </w:t>
      </w:r>
      <w:proofErr w:type="spellStart"/>
      <w:r>
        <w:rPr>
          <w:rStyle w:val="relative"/>
          <w:rFonts w:ascii="Times New Roman" w:hAnsi="Times New Roman" w:cs="Times New Roman"/>
          <w:sz w:val="24"/>
          <w:szCs w:val="24"/>
        </w:rPr>
        <w:t>pebrine</w:t>
      </w:r>
      <w:proofErr w:type="spellEnd"/>
      <w:r>
        <w:rPr>
          <w:rStyle w:val="relative"/>
          <w:rFonts w:ascii="Times New Roman" w:hAnsi="Times New Roman" w:cs="Times New Roman"/>
          <w:sz w:val="24"/>
          <w:szCs w:val="24"/>
        </w:rPr>
        <w:t xml:space="preserve"> in </w:t>
      </w:r>
      <w:r>
        <w:rPr>
          <w:rStyle w:val="Emphasis"/>
          <w:rFonts w:ascii="Times New Roman" w:hAnsi="Times New Roman" w:cs="Times New Roman"/>
          <w:sz w:val="24"/>
          <w:szCs w:val="24"/>
        </w:rPr>
        <w:t>Bombyx mori</w:t>
      </w:r>
      <w:r>
        <w:rPr>
          <w:rStyle w:val="relative"/>
          <w:rFonts w:ascii="Times New Roman" w:hAnsi="Times New Roman" w:cs="Times New Roman"/>
          <w:sz w:val="24"/>
          <w:szCs w:val="24"/>
        </w:rPr>
        <w:t xml:space="preserve"> depends on a layered approach combining early detection (predictive, pupal, forced</w:t>
      </w:r>
      <w:r>
        <w:rPr>
          <w:rStyle w:val="relative"/>
          <w:rFonts w:ascii="Times New Roman" w:hAnsi="Times New Roman" w:cs="Times New Roman"/>
          <w:sz w:val="24"/>
          <w:szCs w:val="24"/>
        </w:rPr>
        <w:noBreakHyphen/>
      </w:r>
      <w:proofErr w:type="spellStart"/>
      <w:r>
        <w:rPr>
          <w:rStyle w:val="relative"/>
          <w:rFonts w:ascii="Times New Roman" w:hAnsi="Times New Roman" w:cs="Times New Roman"/>
          <w:sz w:val="24"/>
          <w:szCs w:val="24"/>
        </w:rPr>
        <w:t>eclosion</w:t>
      </w:r>
      <w:proofErr w:type="spellEnd"/>
      <w:r>
        <w:rPr>
          <w:rStyle w:val="relative"/>
          <w:rFonts w:ascii="Times New Roman" w:hAnsi="Times New Roman" w:cs="Times New Roman"/>
          <w:sz w:val="24"/>
          <w:szCs w:val="24"/>
        </w:rPr>
        <w:t xml:space="preserve"> and mother</w:t>
      </w:r>
      <w:r>
        <w:rPr>
          <w:rStyle w:val="relative"/>
          <w:rFonts w:ascii="Times New Roman" w:hAnsi="Times New Roman" w:cs="Times New Roman"/>
          <w:sz w:val="24"/>
          <w:szCs w:val="24"/>
        </w:rPr>
        <w:noBreakHyphen/>
        <w:t xml:space="preserve">moth microscopy or immunological screening), rigorous hygiene (egg surface sterilization, disinfection of </w:t>
      </w:r>
      <w:proofErr w:type="spellStart"/>
      <w:r>
        <w:rPr>
          <w:rStyle w:val="relative"/>
          <w:rFonts w:ascii="Times New Roman" w:hAnsi="Times New Roman" w:cs="Times New Roman"/>
          <w:sz w:val="24"/>
          <w:szCs w:val="24"/>
        </w:rPr>
        <w:t>layings</w:t>
      </w:r>
      <w:proofErr w:type="spellEnd"/>
      <w:r>
        <w:rPr>
          <w:rStyle w:val="relative"/>
          <w:rFonts w:ascii="Times New Roman" w:hAnsi="Times New Roman" w:cs="Times New Roman"/>
          <w:sz w:val="24"/>
          <w:szCs w:val="24"/>
        </w:rPr>
        <w:t xml:space="preserve">, rearing trays, </w:t>
      </w:r>
      <w:proofErr w:type="spellStart"/>
      <w:r>
        <w:rPr>
          <w:rStyle w:val="relative"/>
          <w:rFonts w:ascii="Times New Roman" w:hAnsi="Times New Roman" w:cs="Times New Roman"/>
          <w:sz w:val="24"/>
          <w:szCs w:val="24"/>
        </w:rPr>
        <w:t>grainage</w:t>
      </w:r>
      <w:proofErr w:type="spellEnd"/>
      <w:r>
        <w:rPr>
          <w:rStyle w:val="relative"/>
          <w:rFonts w:ascii="Times New Roman" w:hAnsi="Times New Roman" w:cs="Times New Roman"/>
          <w:sz w:val="24"/>
          <w:szCs w:val="24"/>
        </w:rPr>
        <w:t xml:space="preserve"> houses) and selective intervention. </w:t>
      </w:r>
      <w:r>
        <w:rPr>
          <w:rStyle w:val="Emphasis"/>
          <w:rFonts w:ascii="Times New Roman" w:hAnsi="Times New Roman" w:cs="Times New Roman"/>
          <w:sz w:val="24"/>
          <w:szCs w:val="24"/>
        </w:rPr>
        <w:t xml:space="preserve">Lactobacillus </w:t>
      </w:r>
      <w:proofErr w:type="spellStart"/>
      <w:r>
        <w:rPr>
          <w:rStyle w:val="Emphasis"/>
          <w:rFonts w:ascii="Times New Roman" w:hAnsi="Times New Roman" w:cs="Times New Roman"/>
          <w:sz w:val="24"/>
          <w:szCs w:val="24"/>
        </w:rPr>
        <w:t>casei</w:t>
      </w:r>
      <w:proofErr w:type="spellEnd"/>
      <w:r>
        <w:rPr>
          <w:rStyle w:val="relative"/>
          <w:rFonts w:ascii="Times New Roman" w:hAnsi="Times New Roman" w:cs="Times New Roman"/>
          <w:sz w:val="24"/>
          <w:szCs w:val="24"/>
        </w:rPr>
        <w:t xml:space="preserve"> supplementation, administered at 10⁸ CFU/mL during early instars, significantly enhances larval survival (91 % vs. 68 % in infected controls) and improves growth and cocoon metrics, likely through midgut pH modulation, competitive adhesion, or immune stimulation</w:t>
      </w:r>
      <w:r>
        <w:rPr>
          <w:rFonts w:ascii="Times New Roman" w:hAnsi="Times New Roman" w:cs="Times New Roman"/>
          <w:sz w:val="24"/>
          <w:szCs w:val="24"/>
        </w:rPr>
        <w:t xml:space="preserve">. Meanwhile, chemical strategies such as bed disinfectants (e.g. </w:t>
      </w:r>
      <w:proofErr w:type="spellStart"/>
      <w:r>
        <w:rPr>
          <w:rFonts w:ascii="Times New Roman" w:hAnsi="Times New Roman" w:cs="Times New Roman"/>
          <w:sz w:val="24"/>
          <w:szCs w:val="24"/>
        </w:rPr>
        <w:t>Vijetha</w:t>
      </w:r>
      <w:proofErr w:type="spellEnd"/>
      <w:r>
        <w:rPr>
          <w:rFonts w:ascii="Times New Roman" w:hAnsi="Times New Roman" w:cs="Times New Roman"/>
          <w:sz w:val="24"/>
          <w:szCs w:val="24"/>
        </w:rPr>
        <w:t xml:space="preserve">), carbendazim formulations and benzimidazole derivatives offer variable efficacy but carry timing constraints and potential toxicological or residue risks. Taken together, these findings underscore that </w:t>
      </w:r>
      <w:r>
        <w:rPr>
          <w:rStyle w:val="Strong"/>
          <w:rFonts w:ascii="Times New Roman" w:hAnsi="Times New Roman" w:cs="Times New Roman"/>
          <w:b w:val="0"/>
          <w:bCs w:val="0"/>
          <w:sz w:val="24"/>
          <w:szCs w:val="24"/>
        </w:rPr>
        <w:t xml:space="preserve">integrated </w:t>
      </w:r>
      <w:proofErr w:type="spellStart"/>
      <w:r>
        <w:rPr>
          <w:rStyle w:val="Strong"/>
          <w:rFonts w:ascii="Times New Roman" w:hAnsi="Times New Roman" w:cs="Times New Roman"/>
          <w:b w:val="0"/>
          <w:bCs w:val="0"/>
          <w:sz w:val="24"/>
          <w:szCs w:val="24"/>
        </w:rPr>
        <w:t>pebrine</w:t>
      </w:r>
      <w:proofErr w:type="spellEnd"/>
      <w:r>
        <w:rPr>
          <w:rStyle w:val="Strong"/>
          <w:rFonts w:ascii="Times New Roman" w:hAnsi="Times New Roman" w:cs="Times New Roman"/>
          <w:b w:val="0"/>
          <w:bCs w:val="0"/>
          <w:sz w:val="24"/>
          <w:szCs w:val="24"/>
        </w:rPr>
        <w:t xml:space="preserve"> control, anchored in vigilant pathogen monitoring, probiotic protection and judicious chemical use offers the most sustainable path to disease prevention and improved </w:t>
      </w:r>
      <w:proofErr w:type="spellStart"/>
      <w:r>
        <w:rPr>
          <w:rStyle w:val="Strong"/>
          <w:rFonts w:ascii="Times New Roman" w:hAnsi="Times New Roman" w:cs="Times New Roman"/>
          <w:b w:val="0"/>
          <w:bCs w:val="0"/>
          <w:sz w:val="24"/>
          <w:szCs w:val="24"/>
        </w:rPr>
        <w:t>sericultural</w:t>
      </w:r>
      <w:proofErr w:type="spellEnd"/>
      <w:r>
        <w:rPr>
          <w:rStyle w:val="Strong"/>
          <w:rFonts w:ascii="Times New Roman" w:hAnsi="Times New Roman" w:cs="Times New Roman"/>
          <w:b w:val="0"/>
          <w:bCs w:val="0"/>
          <w:sz w:val="24"/>
          <w:szCs w:val="24"/>
        </w:rPr>
        <w:t xml:space="preserve"> outcomes</w:t>
      </w:r>
      <w:r>
        <w:rPr>
          <w:rFonts w:ascii="Times New Roman" w:hAnsi="Times New Roman" w:cs="Times New Roman"/>
          <w:b/>
          <w:bCs/>
          <w:sz w:val="24"/>
          <w:szCs w:val="24"/>
        </w:rPr>
        <w:t>.</w:t>
      </w:r>
    </w:p>
    <w:p w:rsidR="00862AB7" w:rsidRPr="00862AB7" w:rsidRDefault="00862AB7">
      <w:pPr>
        <w:jc w:val="both"/>
        <w:rPr>
          <w:rFonts w:ascii="Times New Roman" w:hAnsi="Times New Roman" w:cs="Times New Roman"/>
          <w:sz w:val="24"/>
          <w:szCs w:val="24"/>
        </w:rPr>
      </w:pPr>
      <w:r>
        <w:rPr>
          <w:rFonts w:ascii="Times New Roman" w:hAnsi="Times New Roman" w:cs="Times New Roman"/>
          <w:sz w:val="24"/>
          <w:szCs w:val="24"/>
        </w:rPr>
        <w:t xml:space="preserve">Keywords: </w:t>
      </w:r>
      <w:r w:rsidRPr="00862AB7">
        <w:rPr>
          <w:rFonts w:ascii="Times New Roman" w:hAnsi="Times New Roman" w:cs="Times New Roman"/>
          <w:sz w:val="24"/>
          <w:szCs w:val="24"/>
        </w:rPr>
        <w:t>microscopy</w:t>
      </w:r>
      <w:r>
        <w:rPr>
          <w:rFonts w:ascii="Times New Roman" w:hAnsi="Times New Roman" w:cs="Times New Roman"/>
          <w:sz w:val="24"/>
          <w:szCs w:val="24"/>
        </w:rPr>
        <w:t>,</w:t>
      </w:r>
      <w:r w:rsidRPr="00862AB7">
        <w:t xml:space="preserve"> </w:t>
      </w:r>
      <w:r w:rsidRPr="00862AB7">
        <w:rPr>
          <w:rFonts w:ascii="Times New Roman" w:hAnsi="Times New Roman" w:cs="Times New Roman"/>
          <w:sz w:val="24"/>
          <w:szCs w:val="24"/>
        </w:rPr>
        <w:t>Bombyx mori</w:t>
      </w:r>
      <w:r>
        <w:rPr>
          <w:rFonts w:ascii="Times New Roman" w:hAnsi="Times New Roman" w:cs="Times New Roman"/>
          <w:sz w:val="24"/>
          <w:szCs w:val="24"/>
        </w:rPr>
        <w:t>,</w:t>
      </w:r>
      <w:r w:rsidRPr="00862AB7">
        <w:t xml:space="preserve"> </w:t>
      </w:r>
      <w:r w:rsidRPr="00862AB7">
        <w:rPr>
          <w:rFonts w:ascii="Times New Roman" w:hAnsi="Times New Roman" w:cs="Times New Roman"/>
          <w:sz w:val="24"/>
          <w:szCs w:val="24"/>
        </w:rPr>
        <w:t>Probiotics,</w:t>
      </w:r>
      <w:r w:rsidRPr="00862AB7">
        <w:t xml:space="preserve"> </w:t>
      </w:r>
      <w:r w:rsidRPr="00862AB7">
        <w:rPr>
          <w:rFonts w:ascii="Times New Roman" w:hAnsi="Times New Roman" w:cs="Times New Roman"/>
          <w:sz w:val="24"/>
          <w:szCs w:val="24"/>
        </w:rPr>
        <w:t>pH modulation</w:t>
      </w:r>
    </w:p>
    <w:p w:rsidR="00B512CD" w:rsidRDefault="00521215">
      <w:pPr>
        <w:pStyle w:val="NormalWeb"/>
        <w:spacing w:line="276" w:lineRule="auto"/>
        <w:jc w:val="both"/>
      </w:pPr>
      <w:r>
        <w:rPr>
          <w:rFonts w:eastAsiaTheme="minorEastAsia"/>
          <w:b/>
          <w:bCs/>
        </w:rPr>
        <w:t>Introduction:</w:t>
      </w:r>
      <w:r>
        <w:t xml:space="preserve"> The silkworm, </w:t>
      </w:r>
      <w:r>
        <w:rPr>
          <w:i/>
          <w:iCs/>
        </w:rPr>
        <w:t>Bombyx mori</w:t>
      </w:r>
      <w:r>
        <w:t xml:space="preserve"> L., plays a vital role in silk production, making it a species of significant economic importance (</w:t>
      </w:r>
      <w:r>
        <w:rPr>
          <w:lang w:val="en-GB"/>
        </w:rPr>
        <w:t xml:space="preserve">Sudan </w:t>
      </w:r>
      <w:r>
        <w:rPr>
          <w:i/>
          <w:iCs/>
          <w:lang w:val="en-GB"/>
        </w:rPr>
        <w:t>et al.,</w:t>
      </w:r>
      <w:r>
        <w:rPr>
          <w:lang w:val="en-GB"/>
        </w:rPr>
        <w:t xml:space="preserve"> 2024).</w:t>
      </w:r>
      <w:r>
        <w:t xml:space="preserve"> </w:t>
      </w:r>
      <w:r>
        <w:rPr>
          <w:lang w:val="en-GB"/>
        </w:rPr>
        <w:t>The major constraints in silk cocoon production are occurrence of the diseases in silkworm</w:t>
      </w:r>
      <w:r>
        <w:t xml:space="preserve">. </w:t>
      </w:r>
      <w:r>
        <w:rPr>
          <w:lang w:val="en-GB"/>
        </w:rPr>
        <w:t xml:space="preserve">Silkworm, </w:t>
      </w:r>
      <w:r>
        <w:rPr>
          <w:i/>
          <w:iCs/>
          <w:lang w:val="en-GB"/>
        </w:rPr>
        <w:t xml:space="preserve">Bombyx mori </w:t>
      </w:r>
      <w:r>
        <w:rPr>
          <w:lang w:val="en-GB"/>
        </w:rPr>
        <w:t>L. is poikilothermic hence, it is unable to regulate its body temperature. So, even minute changes in the rearing environment makes the silkworm susceptible to many viral, bacterial, fungal and protozoan diseases</w:t>
      </w:r>
      <w:r>
        <w:t xml:space="preserve">. </w:t>
      </w:r>
      <w:r w:rsidR="0042375F">
        <w:t>“</w:t>
      </w:r>
      <w:proofErr w:type="spellStart"/>
      <w:r>
        <w:rPr>
          <w:lang w:val="en-GB"/>
        </w:rPr>
        <w:t>Pebrine</w:t>
      </w:r>
      <w:proofErr w:type="spellEnd"/>
      <w:r>
        <w:rPr>
          <w:lang w:val="en-GB"/>
        </w:rPr>
        <w:t xml:space="preserve"> (protozoan disease) is a major disease of the silkworm</w:t>
      </w:r>
      <w:r>
        <w:rPr>
          <w:i/>
          <w:iCs/>
          <w:lang w:val="en-GB"/>
        </w:rPr>
        <w:t xml:space="preserve">, B. mori </w:t>
      </w:r>
      <w:r>
        <w:rPr>
          <w:lang w:val="en-GB"/>
        </w:rPr>
        <w:t xml:space="preserve">caused by microsporidian parasite, </w:t>
      </w:r>
      <w:r>
        <w:rPr>
          <w:i/>
          <w:iCs/>
          <w:lang w:val="en-GB"/>
        </w:rPr>
        <w:t xml:space="preserve">Nosema </w:t>
      </w:r>
      <w:proofErr w:type="spellStart"/>
      <w:r>
        <w:rPr>
          <w:i/>
          <w:iCs/>
          <w:lang w:val="en-GB"/>
        </w:rPr>
        <w:t>bombycis</w:t>
      </w:r>
      <w:proofErr w:type="spellEnd"/>
      <w:r>
        <w:rPr>
          <w:i/>
          <w:iCs/>
          <w:lang w:val="en-GB"/>
        </w:rPr>
        <w:t xml:space="preserve"> </w:t>
      </w:r>
      <w:r>
        <w:rPr>
          <w:lang w:val="en-GB"/>
        </w:rPr>
        <w:t>N.</w:t>
      </w:r>
      <w:r>
        <w:t xml:space="preserve"> </w:t>
      </w:r>
      <w:r>
        <w:rPr>
          <w:lang w:val="en-US"/>
        </w:rPr>
        <w:t xml:space="preserve">The name </w:t>
      </w:r>
      <w:proofErr w:type="spellStart"/>
      <w:r>
        <w:rPr>
          <w:lang w:val="en-US"/>
        </w:rPr>
        <w:t>pebrine</w:t>
      </w:r>
      <w:proofErr w:type="spellEnd"/>
      <w:r>
        <w:rPr>
          <w:lang w:val="en-US"/>
        </w:rPr>
        <w:t xml:space="preserve"> was coined by </w:t>
      </w:r>
      <w:r>
        <w:rPr>
          <w:lang w:val="en-GB"/>
        </w:rPr>
        <w:t xml:space="preserve">De </w:t>
      </w:r>
      <w:proofErr w:type="spellStart"/>
      <w:r>
        <w:rPr>
          <w:lang w:val="en-GB"/>
        </w:rPr>
        <w:t>Quadrefagues</w:t>
      </w:r>
      <w:proofErr w:type="spellEnd"/>
      <w:r>
        <w:rPr>
          <w:lang w:val="en-GB"/>
        </w:rPr>
        <w:t xml:space="preserve"> in 1860. It is named because, appearance of pepper like spots on the diseased larvae in advanced stage of infection</w:t>
      </w:r>
      <w:r>
        <w:t xml:space="preserve">. </w:t>
      </w:r>
      <w:r>
        <w:rPr>
          <w:lang w:val="en-GB"/>
        </w:rPr>
        <w:t xml:space="preserve">This disease is also known as Kata or </w:t>
      </w:r>
      <w:proofErr w:type="spellStart"/>
      <w:r>
        <w:rPr>
          <w:lang w:val="en-GB"/>
        </w:rPr>
        <w:t>Matha</w:t>
      </w:r>
      <w:proofErr w:type="spellEnd"/>
      <w:r>
        <w:rPr>
          <w:lang w:val="en-GB"/>
        </w:rPr>
        <w:t xml:space="preserve"> kata in Bengali and </w:t>
      </w:r>
      <w:proofErr w:type="spellStart"/>
      <w:r>
        <w:rPr>
          <w:lang w:val="en-GB"/>
        </w:rPr>
        <w:t>Gantu</w:t>
      </w:r>
      <w:proofErr w:type="spellEnd"/>
      <w:r>
        <w:rPr>
          <w:lang w:val="en-GB"/>
        </w:rPr>
        <w:t xml:space="preserve"> or </w:t>
      </w:r>
      <w:proofErr w:type="spellStart"/>
      <w:r>
        <w:rPr>
          <w:lang w:val="en-GB"/>
        </w:rPr>
        <w:t>Gantu</w:t>
      </w:r>
      <w:proofErr w:type="spellEnd"/>
      <w:r>
        <w:rPr>
          <w:lang w:val="en-GB"/>
        </w:rPr>
        <w:t xml:space="preserve"> </w:t>
      </w:r>
      <w:proofErr w:type="spellStart"/>
      <w:r>
        <w:rPr>
          <w:lang w:val="en-GB"/>
        </w:rPr>
        <w:t>roga</w:t>
      </w:r>
      <w:proofErr w:type="spellEnd"/>
      <w:r>
        <w:rPr>
          <w:lang w:val="en-GB"/>
        </w:rPr>
        <w:t xml:space="preserve"> in Kannada</w:t>
      </w:r>
      <w:r>
        <w:t>. Microsporidian disease remained as a threat to the silk industry since time immemorial, because it is the only disease of silkworm which is transmitted both vertically and horizontally. The disease spreads quickly and takes a heavy toll of silkworm and even results in total crop failure when the infection is severe</w:t>
      </w:r>
      <w:r w:rsidR="0042375F">
        <w:t>”</w:t>
      </w:r>
      <w:r>
        <w:t xml:space="preserve"> </w:t>
      </w:r>
      <w:r>
        <w:rPr>
          <w:lang w:val="en-GB"/>
        </w:rPr>
        <w:t>(</w:t>
      </w:r>
      <w:r>
        <w:t xml:space="preserve">Govindan </w:t>
      </w:r>
      <w:r>
        <w:rPr>
          <w:i/>
          <w:iCs/>
        </w:rPr>
        <w:t>et al.,</w:t>
      </w:r>
      <w:r>
        <w:t xml:space="preserve"> 1998).</w:t>
      </w:r>
    </w:p>
    <w:p w:rsidR="00B512CD" w:rsidRDefault="00521215">
      <w:pPr>
        <w:jc w:val="both"/>
        <w:rPr>
          <w:rFonts w:ascii="Times New Roman" w:hAnsi="Times New Roman" w:cs="Times New Roman"/>
          <w:sz w:val="24"/>
          <w:szCs w:val="24"/>
        </w:rPr>
      </w:pPr>
      <w:r>
        <w:rPr>
          <w:rFonts w:ascii="Times New Roman" w:hAnsi="Times New Roman" w:cs="Times New Roman"/>
          <w:b/>
          <w:bCs/>
          <w:sz w:val="24"/>
          <w:szCs w:val="24"/>
        </w:rPr>
        <w:t>History of the Disease:</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microsporidiosis</w:t>
      </w:r>
      <w:proofErr w:type="spellEnd"/>
      <w:r>
        <w:rPr>
          <w:rFonts w:ascii="Times New Roman" w:hAnsi="Times New Roman" w:cs="Times New Roman"/>
          <w:sz w:val="24"/>
          <w:szCs w:val="24"/>
        </w:rPr>
        <w:t xml:space="preserve"> of silkworm, commonly known as </w:t>
      </w:r>
      <w:proofErr w:type="spellStart"/>
      <w:r>
        <w:rPr>
          <w:rFonts w:ascii="Times New Roman" w:hAnsi="Times New Roman" w:cs="Times New Roman"/>
          <w:sz w:val="24"/>
          <w:szCs w:val="24"/>
        </w:rPr>
        <w:t>Pebrine</w:t>
      </w:r>
      <w:proofErr w:type="spellEnd"/>
      <w:r>
        <w:rPr>
          <w:rFonts w:ascii="Times New Roman" w:hAnsi="Times New Roman" w:cs="Times New Roman"/>
          <w:sz w:val="24"/>
          <w:szCs w:val="24"/>
        </w:rPr>
        <w:t xml:space="preserve"> is the earliest known menace to silk industry. Microbiological studies of silkworm were initiated after the outbreak of disease in France in 1845. Several historical evidences in various countries of the world showed that the outbreak of </w:t>
      </w:r>
      <w:proofErr w:type="spellStart"/>
      <w:r>
        <w:rPr>
          <w:rFonts w:ascii="Times New Roman" w:hAnsi="Times New Roman" w:cs="Times New Roman"/>
          <w:sz w:val="24"/>
          <w:szCs w:val="24"/>
        </w:rPr>
        <w:t>Pebrine</w:t>
      </w:r>
      <w:proofErr w:type="spellEnd"/>
      <w:r>
        <w:rPr>
          <w:rFonts w:ascii="Times New Roman" w:hAnsi="Times New Roman" w:cs="Times New Roman"/>
          <w:sz w:val="24"/>
          <w:szCs w:val="24"/>
        </w:rPr>
        <w:t xml:space="preserve"> disease had greatly influenced the decline of the sericulture industry in the past. </w:t>
      </w:r>
      <w:r w:rsidR="0042375F">
        <w:rPr>
          <w:rFonts w:ascii="Times New Roman" w:hAnsi="Times New Roman" w:cs="Times New Roman"/>
          <w:sz w:val="24"/>
          <w:szCs w:val="24"/>
        </w:rPr>
        <w:t>“</w:t>
      </w:r>
      <w:r>
        <w:rPr>
          <w:rFonts w:ascii="Times New Roman" w:hAnsi="Times New Roman" w:cs="Times New Roman"/>
          <w:sz w:val="24"/>
          <w:szCs w:val="24"/>
        </w:rPr>
        <w:t xml:space="preserve">The first scientific record of occurrence of the disease came </w:t>
      </w:r>
      <w:r>
        <w:rPr>
          <w:rFonts w:ascii="Times New Roman" w:hAnsi="Times New Roman" w:cs="Times New Roman"/>
          <w:sz w:val="24"/>
          <w:szCs w:val="24"/>
        </w:rPr>
        <w:lastRenderedPageBreak/>
        <w:t xml:space="preserve">from France in 1845, where the annual cocoon production of cocoons came down from 26,000 tonnes in 1853 to 4000 tonnes in 1865 due to epizootics of </w:t>
      </w:r>
      <w:proofErr w:type="spellStart"/>
      <w:r>
        <w:rPr>
          <w:rFonts w:ascii="Times New Roman" w:hAnsi="Times New Roman" w:cs="Times New Roman"/>
          <w:sz w:val="24"/>
          <w:szCs w:val="24"/>
        </w:rPr>
        <w:t>microsporidiosis</w:t>
      </w:r>
      <w:proofErr w:type="spellEnd"/>
      <w:r>
        <w:rPr>
          <w:rFonts w:ascii="Times New Roman" w:hAnsi="Times New Roman" w:cs="Times New Roman"/>
          <w:sz w:val="24"/>
          <w:szCs w:val="24"/>
        </w:rPr>
        <w:t xml:space="preserve"> and subsequently collapsed the French and Italian silk industry. Later in the year 1984 disease spread to Spain, Syria and Romania</w:t>
      </w:r>
      <w:r w:rsidR="0042375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Steinlaus</w:t>
      </w:r>
      <w:proofErr w:type="spellEnd"/>
      <w:r>
        <w:rPr>
          <w:rFonts w:ascii="Times New Roman" w:hAnsi="Times New Roman" w:cs="Times New Roman"/>
          <w:sz w:val="24"/>
          <w:szCs w:val="24"/>
        </w:rPr>
        <w:t xml:space="preserve">, 1949). </w:t>
      </w:r>
      <w:r w:rsidR="0042375F">
        <w:rPr>
          <w:rFonts w:ascii="Times New Roman" w:hAnsi="Times New Roman" w:cs="Times New Roman"/>
          <w:sz w:val="24"/>
          <w:szCs w:val="24"/>
        </w:rPr>
        <w:t>“</w:t>
      </w:r>
      <w:r>
        <w:rPr>
          <w:rFonts w:ascii="Times New Roman" w:hAnsi="Times New Roman" w:cs="Times New Roman"/>
          <w:sz w:val="24"/>
          <w:szCs w:val="24"/>
        </w:rPr>
        <w:t>In India, the first report of the occurrence of the disease was from Mysore in 1866 followed by an epidemic level outbreak of the disease in Kashmir in 1878</w:t>
      </w:r>
      <w:r w:rsidR="0042375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Baigh</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1997). </w:t>
      </w:r>
      <w:r w:rsidR="0042375F">
        <w:rPr>
          <w:rFonts w:ascii="Times New Roman" w:hAnsi="Times New Roman" w:cs="Times New Roman"/>
          <w:sz w:val="24"/>
          <w:szCs w:val="24"/>
        </w:rPr>
        <w:t>“</w:t>
      </w:r>
      <w:r>
        <w:rPr>
          <w:rFonts w:ascii="Times New Roman" w:hAnsi="Times New Roman" w:cs="Times New Roman"/>
          <w:sz w:val="24"/>
          <w:szCs w:val="24"/>
        </w:rPr>
        <w:t xml:space="preserve">It is due to the outbreak of this disease in 1878 that Kashmir lost its productive indigenous </w:t>
      </w:r>
      <w:proofErr w:type="spellStart"/>
      <w:r>
        <w:rPr>
          <w:rFonts w:ascii="Times New Roman" w:hAnsi="Times New Roman" w:cs="Times New Roman"/>
          <w:sz w:val="24"/>
          <w:szCs w:val="24"/>
        </w:rPr>
        <w:t>univoltine</w:t>
      </w:r>
      <w:proofErr w:type="spellEnd"/>
      <w:r>
        <w:rPr>
          <w:rFonts w:ascii="Times New Roman" w:hAnsi="Times New Roman" w:cs="Times New Roman"/>
          <w:sz w:val="24"/>
          <w:szCs w:val="24"/>
        </w:rPr>
        <w:t xml:space="preserve"> breed “Kashmir Race” some 131 years back</w:t>
      </w:r>
      <w:r w:rsidR="0042375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Kamili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Massodi</w:t>
      </w:r>
      <w:proofErr w:type="spellEnd"/>
      <w:r>
        <w:rPr>
          <w:rFonts w:ascii="Times New Roman" w:hAnsi="Times New Roman" w:cs="Times New Roman"/>
          <w:sz w:val="24"/>
          <w:szCs w:val="24"/>
        </w:rPr>
        <w:t xml:space="preserve">, 2000). </w:t>
      </w:r>
    </w:p>
    <w:p w:rsidR="00B512CD" w:rsidRDefault="00521215">
      <w:pPr>
        <w:jc w:val="both"/>
        <w:rPr>
          <w:rFonts w:ascii="Times New Roman" w:hAnsi="Times New Roman" w:cs="Times New Roman"/>
          <w:sz w:val="24"/>
          <w:szCs w:val="24"/>
        </w:rPr>
      </w:pPr>
      <w:r>
        <w:rPr>
          <w:rFonts w:ascii="Times New Roman" w:hAnsi="Times New Roman" w:cs="Times New Roman"/>
          <w:b/>
          <w:bCs/>
          <w:sz w:val="24"/>
          <w:szCs w:val="24"/>
        </w:rPr>
        <w:t>Causative agent:</w:t>
      </w:r>
      <w:r>
        <w:rPr>
          <w:rFonts w:ascii="Times New Roman" w:hAnsi="Times New Roman" w:cs="Times New Roman"/>
          <w:sz w:val="24"/>
          <w:szCs w:val="24"/>
        </w:rPr>
        <w:t xml:space="preserve"> </w:t>
      </w:r>
      <w:r w:rsidR="0042375F">
        <w:rPr>
          <w:rFonts w:ascii="Times New Roman" w:hAnsi="Times New Roman" w:cs="Times New Roman"/>
          <w:sz w:val="24"/>
          <w:szCs w:val="24"/>
        </w:rPr>
        <w:t>“</w:t>
      </w:r>
      <w:r>
        <w:rPr>
          <w:rFonts w:ascii="Times New Roman" w:hAnsi="Times New Roman" w:cs="Times New Roman"/>
          <w:sz w:val="24"/>
          <w:szCs w:val="24"/>
        </w:rPr>
        <w:t xml:space="preserve">By the end of 19th century only </w:t>
      </w:r>
      <w:r>
        <w:rPr>
          <w:rFonts w:ascii="Times New Roman" w:hAnsi="Times New Roman" w:cs="Times New Roman"/>
          <w:i/>
          <w:iCs/>
          <w:sz w:val="24"/>
          <w:szCs w:val="24"/>
        </w:rPr>
        <w:t xml:space="preserve">Nosema </w:t>
      </w:r>
      <w:proofErr w:type="spellStart"/>
      <w:r>
        <w:rPr>
          <w:rFonts w:ascii="Times New Roman" w:hAnsi="Times New Roman" w:cs="Times New Roman"/>
          <w:i/>
          <w:iCs/>
          <w:sz w:val="24"/>
          <w:szCs w:val="24"/>
        </w:rPr>
        <w:t>bombycis</w:t>
      </w:r>
      <w:proofErr w:type="spellEnd"/>
      <w:r>
        <w:rPr>
          <w:rFonts w:ascii="Times New Roman" w:hAnsi="Times New Roman" w:cs="Times New Roman"/>
          <w:sz w:val="24"/>
          <w:szCs w:val="24"/>
        </w:rPr>
        <w:t xml:space="preserve"> was known as the causative agent of </w:t>
      </w:r>
      <w:proofErr w:type="spellStart"/>
      <w:r>
        <w:rPr>
          <w:rFonts w:ascii="Times New Roman" w:hAnsi="Times New Roman" w:cs="Times New Roman"/>
          <w:sz w:val="24"/>
          <w:szCs w:val="24"/>
        </w:rPr>
        <w:t>microsporidiosis</w:t>
      </w:r>
      <w:proofErr w:type="spellEnd"/>
      <w:r>
        <w:rPr>
          <w:rFonts w:ascii="Times New Roman" w:hAnsi="Times New Roman" w:cs="Times New Roman"/>
          <w:sz w:val="24"/>
          <w:szCs w:val="24"/>
        </w:rPr>
        <w:t xml:space="preserve"> of silkworm but the advanced molecular, biological and immunological studies of this parasite revealed that there are several other microsporidia belonging to different genera, causing </w:t>
      </w:r>
      <w:proofErr w:type="spellStart"/>
      <w:r>
        <w:rPr>
          <w:rFonts w:ascii="Times New Roman" w:hAnsi="Times New Roman" w:cs="Times New Roman"/>
          <w:sz w:val="24"/>
          <w:szCs w:val="24"/>
        </w:rPr>
        <w:t>microsporidiosis</w:t>
      </w:r>
      <w:proofErr w:type="spellEnd"/>
      <w:r>
        <w:rPr>
          <w:rFonts w:ascii="Times New Roman" w:hAnsi="Times New Roman" w:cs="Times New Roman"/>
          <w:sz w:val="24"/>
          <w:szCs w:val="24"/>
        </w:rPr>
        <w:t xml:space="preserve"> in silkworm. These spores are different in spore shape, size as well as in pathogenicity (Table-1). Each having different morphological, pathological and antigenic characters; some infecting only midgut cells and others some specific tissues (Table-2). Many of them though infective but have demonstrated low multiplication rate in silkworm</w:t>
      </w:r>
      <w:r w:rsidR="0042375F">
        <w:rPr>
          <w:rFonts w:ascii="Times New Roman" w:hAnsi="Times New Roman" w:cs="Times New Roman"/>
          <w:sz w:val="24"/>
          <w:szCs w:val="24"/>
        </w:rPr>
        <w:t>”</w:t>
      </w:r>
      <w:r>
        <w:rPr>
          <w:rFonts w:ascii="Times New Roman" w:hAnsi="Times New Roman" w:cs="Times New Roman"/>
          <w:sz w:val="24"/>
          <w:szCs w:val="24"/>
        </w:rPr>
        <w:t xml:space="preserve"> (Bhat and </w:t>
      </w:r>
      <w:proofErr w:type="spellStart"/>
      <w:r>
        <w:rPr>
          <w:rFonts w:ascii="Times New Roman" w:hAnsi="Times New Roman" w:cs="Times New Roman"/>
          <w:sz w:val="24"/>
          <w:szCs w:val="24"/>
        </w:rPr>
        <w:t>Nataraju</w:t>
      </w:r>
      <w:proofErr w:type="spellEnd"/>
      <w:r>
        <w:rPr>
          <w:rFonts w:ascii="Times New Roman" w:hAnsi="Times New Roman" w:cs="Times New Roman"/>
          <w:sz w:val="24"/>
          <w:szCs w:val="24"/>
        </w:rPr>
        <w:t xml:space="preserve">, 2006). (Chitra </w:t>
      </w:r>
      <w:r>
        <w:rPr>
          <w:rFonts w:ascii="Times New Roman" w:hAnsi="Times New Roman" w:cs="Times New Roman"/>
          <w:i/>
          <w:iCs/>
          <w:sz w:val="24"/>
          <w:szCs w:val="24"/>
        </w:rPr>
        <w:t>et al.,</w:t>
      </w:r>
      <w:r>
        <w:rPr>
          <w:rFonts w:ascii="Times New Roman" w:hAnsi="Times New Roman" w:cs="Times New Roman"/>
          <w:sz w:val="24"/>
          <w:szCs w:val="24"/>
        </w:rPr>
        <w:t xml:space="preserve"> </w:t>
      </w:r>
      <w:proofErr w:type="gramStart"/>
      <w:r>
        <w:rPr>
          <w:rFonts w:ascii="Times New Roman" w:hAnsi="Times New Roman" w:cs="Times New Roman"/>
          <w:sz w:val="24"/>
          <w:szCs w:val="24"/>
        </w:rPr>
        <w:t>1975)have</w:t>
      </w:r>
      <w:proofErr w:type="gramEnd"/>
      <w:r>
        <w:rPr>
          <w:rFonts w:ascii="Times New Roman" w:hAnsi="Times New Roman" w:cs="Times New Roman"/>
          <w:sz w:val="24"/>
          <w:szCs w:val="24"/>
        </w:rPr>
        <w:t xml:space="preserve"> reported that one of the isolated strains of </w:t>
      </w:r>
      <w:r>
        <w:rPr>
          <w:rFonts w:ascii="Times New Roman" w:hAnsi="Times New Roman" w:cs="Times New Roman"/>
          <w:i/>
          <w:iCs/>
          <w:sz w:val="24"/>
          <w:szCs w:val="24"/>
        </w:rPr>
        <w:t xml:space="preserve">Nosema </w:t>
      </w:r>
      <w:proofErr w:type="spellStart"/>
      <w:r>
        <w:rPr>
          <w:rFonts w:ascii="Times New Roman" w:hAnsi="Times New Roman" w:cs="Times New Roman"/>
          <w:i/>
          <w:iCs/>
          <w:sz w:val="24"/>
          <w:szCs w:val="24"/>
        </w:rPr>
        <w:t>bombycis</w:t>
      </w:r>
      <w:proofErr w:type="spellEnd"/>
      <w:r>
        <w:rPr>
          <w:rFonts w:ascii="Times New Roman" w:hAnsi="Times New Roman" w:cs="Times New Roman"/>
          <w:sz w:val="24"/>
          <w:szCs w:val="24"/>
        </w:rPr>
        <w:t xml:space="preserve"> infects only the midgut cells which is less virulent then the normal strain which infects all the tissues of the host.</w:t>
      </w:r>
    </w:p>
    <w:p w:rsidR="00B512CD" w:rsidRDefault="00521215">
      <w:pPr>
        <w:rPr>
          <w:rFonts w:ascii="Times New Roman" w:hAnsi="Times New Roman" w:cs="Times New Roman"/>
          <w:b/>
          <w:bCs/>
          <w:sz w:val="24"/>
          <w:szCs w:val="24"/>
          <w:lang w:val="en-US"/>
        </w:rPr>
      </w:pPr>
      <w:r>
        <w:rPr>
          <w:rFonts w:ascii="Times New Roman" w:hAnsi="Times New Roman" w:cs="Times New Roman"/>
          <w:b/>
          <w:bCs/>
          <w:sz w:val="24"/>
          <w:szCs w:val="24"/>
        </w:rPr>
        <w:t xml:space="preserve">Table 1: Pathogenicity of different microsporidia infecting </w:t>
      </w:r>
      <w:r>
        <w:rPr>
          <w:rFonts w:ascii="Times New Roman" w:hAnsi="Times New Roman" w:cs="Times New Roman"/>
          <w:b/>
          <w:bCs/>
          <w:i/>
          <w:iCs/>
          <w:sz w:val="24"/>
          <w:szCs w:val="24"/>
        </w:rPr>
        <w:t xml:space="preserve">Bombyx mori </w:t>
      </w:r>
      <w:r>
        <w:rPr>
          <w:rFonts w:ascii="Times New Roman" w:hAnsi="Times New Roman" w:cs="Times New Roman"/>
          <w:b/>
          <w:bCs/>
          <w:sz w:val="24"/>
          <w:szCs w:val="24"/>
          <w:lang w:val="en-US"/>
        </w:rPr>
        <w:t xml:space="preserve">(Bhat </w:t>
      </w:r>
      <w:r>
        <w:rPr>
          <w:rFonts w:ascii="Times New Roman" w:hAnsi="Times New Roman" w:cs="Times New Roman"/>
          <w:b/>
          <w:bCs/>
          <w:i/>
          <w:iCs/>
          <w:sz w:val="24"/>
          <w:szCs w:val="24"/>
          <w:lang w:val="en-US"/>
        </w:rPr>
        <w:t xml:space="preserve">et al., </w:t>
      </w:r>
      <w:r>
        <w:rPr>
          <w:rFonts w:ascii="Times New Roman" w:hAnsi="Times New Roman" w:cs="Times New Roman"/>
          <w:b/>
          <w:bCs/>
          <w:sz w:val="24"/>
          <w:szCs w:val="24"/>
          <w:lang w:val="en-US"/>
        </w:rPr>
        <w:t>2017).</w:t>
      </w:r>
    </w:p>
    <w:tbl>
      <w:tblPr>
        <w:tblStyle w:val="TableGrid"/>
        <w:tblW w:w="9137" w:type="dxa"/>
        <w:jc w:val="center"/>
        <w:tblLook w:val="04A0" w:firstRow="1" w:lastRow="0" w:firstColumn="1" w:lastColumn="0" w:noHBand="0" w:noVBand="1"/>
      </w:tblPr>
      <w:tblGrid>
        <w:gridCol w:w="2924"/>
        <w:gridCol w:w="1766"/>
        <w:gridCol w:w="1798"/>
        <w:gridCol w:w="1300"/>
        <w:gridCol w:w="1349"/>
      </w:tblGrid>
      <w:tr w:rsidR="00B512CD">
        <w:trPr>
          <w:trHeight w:val="630"/>
          <w:jc w:val="center"/>
        </w:trPr>
        <w:tc>
          <w:tcPr>
            <w:tcW w:w="2924" w:type="dxa"/>
            <w:vMerge w:val="restart"/>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lang w:val="en-US"/>
              </w:rPr>
              <w:t>Microsporidian isolates</w:t>
            </w:r>
          </w:p>
          <w:p w:rsidR="00B512CD" w:rsidRDefault="00B512CD">
            <w:pPr>
              <w:spacing w:after="0" w:line="240" w:lineRule="auto"/>
              <w:ind w:firstLine="720"/>
              <w:jc w:val="center"/>
              <w:rPr>
                <w:rFonts w:ascii="Times New Roman" w:hAnsi="Times New Roman" w:cs="Times New Roman"/>
                <w:sz w:val="24"/>
                <w:szCs w:val="24"/>
              </w:rPr>
            </w:pPr>
          </w:p>
        </w:tc>
        <w:tc>
          <w:tcPr>
            <w:tcW w:w="1766" w:type="dxa"/>
            <w:vMerge w:val="restart"/>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Pathogenicity</w:t>
            </w:r>
          </w:p>
        </w:tc>
        <w:tc>
          <w:tcPr>
            <w:tcW w:w="1798" w:type="dxa"/>
            <w:vMerge w:val="restart"/>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Spore form</w:t>
            </w:r>
          </w:p>
        </w:tc>
        <w:tc>
          <w:tcPr>
            <w:tcW w:w="2649" w:type="dxa"/>
            <w:gridSpan w:val="2"/>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Spore size (µm)</w:t>
            </w:r>
          </w:p>
        </w:tc>
      </w:tr>
      <w:tr w:rsidR="00B512CD">
        <w:trPr>
          <w:trHeight w:val="505"/>
          <w:jc w:val="center"/>
        </w:trPr>
        <w:tc>
          <w:tcPr>
            <w:tcW w:w="2924" w:type="dxa"/>
            <w:vMerge/>
            <w:vAlign w:val="center"/>
          </w:tcPr>
          <w:p w:rsidR="00B512CD" w:rsidRDefault="00B512CD">
            <w:pPr>
              <w:spacing w:after="0" w:line="240" w:lineRule="auto"/>
              <w:jc w:val="center"/>
              <w:rPr>
                <w:rFonts w:ascii="Times New Roman" w:hAnsi="Times New Roman" w:cs="Times New Roman"/>
                <w:sz w:val="24"/>
                <w:szCs w:val="24"/>
              </w:rPr>
            </w:pPr>
          </w:p>
        </w:tc>
        <w:tc>
          <w:tcPr>
            <w:tcW w:w="1766" w:type="dxa"/>
            <w:vMerge/>
            <w:vAlign w:val="center"/>
          </w:tcPr>
          <w:p w:rsidR="00B512CD" w:rsidRDefault="00B512CD">
            <w:pPr>
              <w:spacing w:after="0" w:line="240" w:lineRule="auto"/>
              <w:jc w:val="center"/>
              <w:rPr>
                <w:rFonts w:ascii="Times New Roman" w:hAnsi="Times New Roman" w:cs="Times New Roman"/>
                <w:sz w:val="24"/>
                <w:szCs w:val="24"/>
              </w:rPr>
            </w:pPr>
          </w:p>
        </w:tc>
        <w:tc>
          <w:tcPr>
            <w:tcW w:w="1798" w:type="dxa"/>
            <w:vMerge/>
            <w:vAlign w:val="center"/>
          </w:tcPr>
          <w:p w:rsidR="00B512CD" w:rsidRDefault="00B512CD">
            <w:pPr>
              <w:spacing w:after="0" w:line="240" w:lineRule="auto"/>
              <w:jc w:val="center"/>
              <w:rPr>
                <w:rFonts w:ascii="Times New Roman" w:hAnsi="Times New Roman" w:cs="Times New Roman"/>
                <w:sz w:val="24"/>
                <w:szCs w:val="24"/>
              </w:rPr>
            </w:pPr>
          </w:p>
        </w:tc>
        <w:tc>
          <w:tcPr>
            <w:tcW w:w="1300"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Length</w:t>
            </w:r>
          </w:p>
        </w:tc>
        <w:tc>
          <w:tcPr>
            <w:tcW w:w="1349"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Width</w:t>
            </w:r>
          </w:p>
        </w:tc>
      </w:tr>
      <w:tr w:rsidR="00B512CD">
        <w:trPr>
          <w:trHeight w:val="478"/>
          <w:jc w:val="center"/>
        </w:trPr>
        <w:tc>
          <w:tcPr>
            <w:tcW w:w="2924" w:type="dxa"/>
            <w:vAlign w:val="center"/>
          </w:tcPr>
          <w:p w:rsidR="00B512CD" w:rsidRDefault="00521215">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 xml:space="preserve">N. </w:t>
            </w:r>
            <w:proofErr w:type="spellStart"/>
            <w:r>
              <w:rPr>
                <w:rFonts w:ascii="Times New Roman" w:hAnsi="Times New Roman" w:cs="Times New Roman"/>
                <w:b/>
                <w:bCs/>
                <w:i/>
                <w:iCs/>
                <w:sz w:val="24"/>
                <w:szCs w:val="24"/>
              </w:rPr>
              <w:t>bombycis</w:t>
            </w:r>
            <w:proofErr w:type="spellEnd"/>
          </w:p>
        </w:tc>
        <w:tc>
          <w:tcPr>
            <w:tcW w:w="1766"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High</w:t>
            </w:r>
          </w:p>
        </w:tc>
        <w:tc>
          <w:tcPr>
            <w:tcW w:w="1798"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Oval</w:t>
            </w:r>
          </w:p>
        </w:tc>
        <w:tc>
          <w:tcPr>
            <w:tcW w:w="1300"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1349"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B512CD">
        <w:trPr>
          <w:trHeight w:val="478"/>
          <w:jc w:val="center"/>
        </w:trPr>
        <w:tc>
          <w:tcPr>
            <w:tcW w:w="2924" w:type="dxa"/>
            <w:vAlign w:val="center"/>
          </w:tcPr>
          <w:p w:rsidR="00B512CD" w:rsidRDefault="00521215">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 xml:space="preserve">Nosema </w:t>
            </w:r>
            <w:r>
              <w:rPr>
                <w:rFonts w:ascii="Times New Roman" w:hAnsi="Times New Roman" w:cs="Times New Roman"/>
                <w:b/>
                <w:bCs/>
                <w:sz w:val="24"/>
                <w:szCs w:val="24"/>
              </w:rPr>
              <w:t>sp. M11</w:t>
            </w:r>
          </w:p>
        </w:tc>
        <w:tc>
          <w:tcPr>
            <w:tcW w:w="1766"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w:t>
            </w:r>
          </w:p>
        </w:tc>
        <w:tc>
          <w:tcPr>
            <w:tcW w:w="1798"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Oval</w:t>
            </w:r>
          </w:p>
        </w:tc>
        <w:tc>
          <w:tcPr>
            <w:tcW w:w="1300"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349"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B512CD">
        <w:trPr>
          <w:trHeight w:val="478"/>
          <w:jc w:val="center"/>
        </w:trPr>
        <w:tc>
          <w:tcPr>
            <w:tcW w:w="2924" w:type="dxa"/>
            <w:vAlign w:val="center"/>
          </w:tcPr>
          <w:p w:rsidR="00B512CD" w:rsidRDefault="00521215">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 xml:space="preserve">Nosema </w:t>
            </w:r>
            <w:r>
              <w:rPr>
                <w:rFonts w:ascii="Times New Roman" w:hAnsi="Times New Roman" w:cs="Times New Roman"/>
                <w:b/>
                <w:bCs/>
                <w:sz w:val="24"/>
                <w:szCs w:val="24"/>
              </w:rPr>
              <w:t>sp. M12</w:t>
            </w:r>
          </w:p>
        </w:tc>
        <w:tc>
          <w:tcPr>
            <w:tcW w:w="1766"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w:t>
            </w:r>
          </w:p>
        </w:tc>
        <w:tc>
          <w:tcPr>
            <w:tcW w:w="1798"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Ovo-cylindrical</w:t>
            </w:r>
          </w:p>
        </w:tc>
        <w:tc>
          <w:tcPr>
            <w:tcW w:w="1300"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349"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B512CD">
        <w:trPr>
          <w:trHeight w:val="478"/>
          <w:jc w:val="center"/>
        </w:trPr>
        <w:tc>
          <w:tcPr>
            <w:tcW w:w="2924" w:type="dxa"/>
            <w:vAlign w:val="center"/>
          </w:tcPr>
          <w:p w:rsidR="00B512CD" w:rsidRDefault="00521215">
            <w:pPr>
              <w:spacing w:after="0" w:line="240" w:lineRule="auto"/>
              <w:rPr>
                <w:rFonts w:ascii="Times New Roman" w:hAnsi="Times New Roman" w:cs="Times New Roman"/>
                <w:sz w:val="24"/>
                <w:szCs w:val="24"/>
              </w:rPr>
            </w:pPr>
            <w:proofErr w:type="spellStart"/>
            <w:r>
              <w:rPr>
                <w:rFonts w:ascii="Times New Roman" w:hAnsi="Times New Roman" w:cs="Times New Roman"/>
                <w:b/>
                <w:bCs/>
                <w:i/>
                <w:iCs/>
                <w:sz w:val="24"/>
                <w:szCs w:val="24"/>
              </w:rPr>
              <w:t>Pleistophora</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sz w:val="24"/>
                <w:szCs w:val="24"/>
              </w:rPr>
              <w:t>sp</w:t>
            </w:r>
            <w:proofErr w:type="spellEnd"/>
          </w:p>
        </w:tc>
        <w:tc>
          <w:tcPr>
            <w:tcW w:w="1766"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High</w:t>
            </w:r>
          </w:p>
        </w:tc>
        <w:tc>
          <w:tcPr>
            <w:tcW w:w="1798"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Oval</w:t>
            </w:r>
          </w:p>
        </w:tc>
        <w:tc>
          <w:tcPr>
            <w:tcW w:w="1300"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349"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B512CD">
        <w:trPr>
          <w:trHeight w:val="478"/>
          <w:jc w:val="center"/>
        </w:trPr>
        <w:tc>
          <w:tcPr>
            <w:tcW w:w="2924" w:type="dxa"/>
            <w:vAlign w:val="center"/>
          </w:tcPr>
          <w:p w:rsidR="00B512CD" w:rsidRDefault="00521215">
            <w:pPr>
              <w:spacing w:after="0" w:line="240" w:lineRule="auto"/>
              <w:rPr>
                <w:rFonts w:ascii="Times New Roman" w:hAnsi="Times New Roman" w:cs="Times New Roman"/>
                <w:sz w:val="24"/>
                <w:szCs w:val="24"/>
              </w:rPr>
            </w:pPr>
            <w:proofErr w:type="spellStart"/>
            <w:r>
              <w:rPr>
                <w:rFonts w:ascii="Times New Roman" w:hAnsi="Times New Roman" w:cs="Times New Roman"/>
                <w:b/>
                <w:bCs/>
                <w:i/>
                <w:iCs/>
                <w:sz w:val="24"/>
                <w:szCs w:val="24"/>
                <w:lang w:val="en-US"/>
              </w:rPr>
              <w:t>Thelophania</w:t>
            </w:r>
            <w:proofErr w:type="spellEnd"/>
            <w:r>
              <w:rPr>
                <w:rFonts w:ascii="Times New Roman" w:hAnsi="Times New Roman" w:cs="Times New Roman"/>
                <w:b/>
                <w:bCs/>
                <w:i/>
                <w:iCs/>
                <w:sz w:val="24"/>
                <w:szCs w:val="24"/>
                <w:lang w:val="en-US"/>
              </w:rPr>
              <w:t xml:space="preserve"> </w:t>
            </w:r>
            <w:r>
              <w:rPr>
                <w:rFonts w:ascii="Times New Roman" w:hAnsi="Times New Roman" w:cs="Times New Roman"/>
                <w:b/>
                <w:bCs/>
                <w:sz w:val="24"/>
                <w:szCs w:val="24"/>
                <w:lang w:val="en-US"/>
              </w:rPr>
              <w:t>sp</w:t>
            </w:r>
            <w:r>
              <w:rPr>
                <w:rFonts w:ascii="Times New Roman" w:hAnsi="Times New Roman" w:cs="Times New Roman"/>
                <w:b/>
                <w:bCs/>
                <w:i/>
                <w:iCs/>
                <w:sz w:val="24"/>
                <w:szCs w:val="24"/>
                <w:lang w:val="en-US"/>
              </w:rPr>
              <w:t>.</w:t>
            </w:r>
            <w:r>
              <w:rPr>
                <w:rFonts w:ascii="Times New Roman" w:hAnsi="Times New Roman" w:cs="Times New Roman"/>
                <w:b/>
                <w:bCs/>
                <w:sz w:val="24"/>
                <w:szCs w:val="24"/>
                <w:lang w:val="en-US"/>
              </w:rPr>
              <w:t xml:space="preserve"> (M 32)</w:t>
            </w:r>
          </w:p>
        </w:tc>
        <w:tc>
          <w:tcPr>
            <w:tcW w:w="1766"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w:t>
            </w:r>
          </w:p>
        </w:tc>
        <w:tc>
          <w:tcPr>
            <w:tcW w:w="1798"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Oval</w:t>
            </w:r>
          </w:p>
        </w:tc>
        <w:tc>
          <w:tcPr>
            <w:tcW w:w="1300"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3.4</w:t>
            </w:r>
          </w:p>
        </w:tc>
        <w:tc>
          <w:tcPr>
            <w:tcW w:w="1349"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1.7</w:t>
            </w:r>
          </w:p>
        </w:tc>
      </w:tr>
      <w:tr w:rsidR="00B512CD">
        <w:trPr>
          <w:trHeight w:val="478"/>
          <w:jc w:val="center"/>
        </w:trPr>
        <w:tc>
          <w:tcPr>
            <w:tcW w:w="2924" w:type="dxa"/>
            <w:vAlign w:val="center"/>
          </w:tcPr>
          <w:p w:rsidR="00B512CD" w:rsidRDefault="00521215">
            <w:pPr>
              <w:spacing w:after="0" w:line="240" w:lineRule="auto"/>
              <w:rPr>
                <w:rFonts w:ascii="Times New Roman" w:hAnsi="Times New Roman" w:cs="Times New Roman"/>
                <w:sz w:val="24"/>
                <w:szCs w:val="24"/>
              </w:rPr>
            </w:pPr>
            <w:r>
              <w:rPr>
                <w:rFonts w:ascii="Times New Roman" w:hAnsi="Times New Roman" w:cs="Times New Roman"/>
                <w:b/>
                <w:bCs/>
                <w:sz w:val="24"/>
                <w:szCs w:val="24"/>
              </w:rPr>
              <w:t>NIK-2r</w:t>
            </w:r>
          </w:p>
        </w:tc>
        <w:tc>
          <w:tcPr>
            <w:tcW w:w="1766"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w:t>
            </w:r>
          </w:p>
        </w:tc>
        <w:tc>
          <w:tcPr>
            <w:tcW w:w="1798"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Oval</w:t>
            </w:r>
          </w:p>
        </w:tc>
        <w:tc>
          <w:tcPr>
            <w:tcW w:w="1300"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349"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B512CD">
        <w:trPr>
          <w:trHeight w:val="478"/>
          <w:jc w:val="center"/>
        </w:trPr>
        <w:tc>
          <w:tcPr>
            <w:tcW w:w="2924" w:type="dxa"/>
            <w:vAlign w:val="center"/>
          </w:tcPr>
          <w:p w:rsidR="00B512CD" w:rsidRDefault="00521215">
            <w:pPr>
              <w:spacing w:after="0" w:line="240" w:lineRule="auto"/>
              <w:rPr>
                <w:rFonts w:ascii="Times New Roman" w:hAnsi="Times New Roman" w:cs="Times New Roman"/>
                <w:sz w:val="24"/>
                <w:szCs w:val="24"/>
              </w:rPr>
            </w:pPr>
            <w:r>
              <w:rPr>
                <w:rFonts w:ascii="Times New Roman" w:hAnsi="Times New Roman" w:cs="Times New Roman"/>
                <w:b/>
                <w:bCs/>
                <w:sz w:val="24"/>
                <w:szCs w:val="24"/>
              </w:rPr>
              <w:t>NIK-4m</w:t>
            </w:r>
          </w:p>
        </w:tc>
        <w:tc>
          <w:tcPr>
            <w:tcW w:w="1766"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w:t>
            </w:r>
          </w:p>
        </w:tc>
        <w:tc>
          <w:tcPr>
            <w:tcW w:w="1798"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Oval</w:t>
            </w:r>
          </w:p>
        </w:tc>
        <w:tc>
          <w:tcPr>
            <w:tcW w:w="1300"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349"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B512CD">
        <w:trPr>
          <w:trHeight w:val="478"/>
          <w:jc w:val="center"/>
        </w:trPr>
        <w:tc>
          <w:tcPr>
            <w:tcW w:w="2924" w:type="dxa"/>
            <w:vAlign w:val="center"/>
          </w:tcPr>
          <w:p w:rsidR="00B512CD" w:rsidRDefault="00521215">
            <w:pPr>
              <w:spacing w:after="0" w:line="240" w:lineRule="auto"/>
              <w:rPr>
                <w:rFonts w:ascii="Times New Roman" w:hAnsi="Times New Roman" w:cs="Times New Roman"/>
                <w:sz w:val="24"/>
                <w:szCs w:val="24"/>
              </w:rPr>
            </w:pPr>
            <w:r>
              <w:rPr>
                <w:rFonts w:ascii="Times New Roman" w:hAnsi="Times New Roman" w:cs="Times New Roman"/>
                <w:b/>
                <w:bCs/>
                <w:sz w:val="24"/>
                <w:szCs w:val="24"/>
              </w:rPr>
              <w:t>NIK-5hm</w:t>
            </w:r>
          </w:p>
        </w:tc>
        <w:tc>
          <w:tcPr>
            <w:tcW w:w="1766"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High</w:t>
            </w:r>
          </w:p>
        </w:tc>
        <w:tc>
          <w:tcPr>
            <w:tcW w:w="1798"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Ovo-cylindrical</w:t>
            </w:r>
          </w:p>
        </w:tc>
        <w:tc>
          <w:tcPr>
            <w:tcW w:w="1300"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349"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B512CD">
        <w:trPr>
          <w:trHeight w:val="478"/>
          <w:jc w:val="center"/>
        </w:trPr>
        <w:tc>
          <w:tcPr>
            <w:tcW w:w="2924" w:type="dxa"/>
            <w:vAlign w:val="center"/>
          </w:tcPr>
          <w:p w:rsidR="00B512CD" w:rsidRDefault="00521215">
            <w:pPr>
              <w:spacing w:after="0" w:line="240" w:lineRule="auto"/>
              <w:rPr>
                <w:rFonts w:ascii="Times New Roman" w:hAnsi="Times New Roman" w:cs="Times New Roman"/>
                <w:sz w:val="24"/>
                <w:szCs w:val="24"/>
              </w:rPr>
            </w:pPr>
            <w:proofErr w:type="gramStart"/>
            <w:r>
              <w:rPr>
                <w:rFonts w:ascii="Times New Roman" w:hAnsi="Times New Roman" w:cs="Times New Roman"/>
                <w:b/>
                <w:bCs/>
                <w:i/>
                <w:iCs/>
                <w:sz w:val="24"/>
                <w:szCs w:val="24"/>
              </w:rPr>
              <w:t xml:space="preserve">Nosema  </w:t>
            </w:r>
            <w:r>
              <w:rPr>
                <w:rFonts w:ascii="Times New Roman" w:hAnsi="Times New Roman" w:cs="Times New Roman"/>
                <w:b/>
                <w:bCs/>
                <w:sz w:val="24"/>
                <w:szCs w:val="24"/>
              </w:rPr>
              <w:t>sp</w:t>
            </w:r>
            <w:r>
              <w:rPr>
                <w:rFonts w:ascii="Times New Roman" w:hAnsi="Times New Roman" w:cs="Times New Roman"/>
                <w:b/>
                <w:bCs/>
                <w:i/>
                <w:iCs/>
                <w:sz w:val="24"/>
                <w:szCs w:val="24"/>
              </w:rPr>
              <w:t>.</w:t>
            </w:r>
            <w:proofErr w:type="gram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Lb</w:t>
            </w:r>
            <w:r>
              <w:rPr>
                <w:rFonts w:ascii="Times New Roman" w:hAnsi="Times New Roman" w:cs="Times New Roman"/>
                <w:b/>
                <w:bCs/>
                <w:i/>
                <w:iCs/>
                <w:sz w:val="24"/>
                <w:szCs w:val="24"/>
                <w:vertAlign w:val="subscript"/>
              </w:rPr>
              <w:t>ms</w:t>
            </w:r>
            <w:proofErr w:type="spellEnd"/>
          </w:p>
        </w:tc>
        <w:tc>
          <w:tcPr>
            <w:tcW w:w="1766"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w:t>
            </w:r>
          </w:p>
        </w:tc>
        <w:tc>
          <w:tcPr>
            <w:tcW w:w="1798"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Ovo-cylindrical</w:t>
            </w:r>
          </w:p>
        </w:tc>
        <w:tc>
          <w:tcPr>
            <w:tcW w:w="1300"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4.36</w:t>
            </w:r>
          </w:p>
        </w:tc>
        <w:tc>
          <w:tcPr>
            <w:tcW w:w="1349"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2.14</w:t>
            </w:r>
          </w:p>
        </w:tc>
      </w:tr>
      <w:tr w:rsidR="00B512CD">
        <w:trPr>
          <w:trHeight w:val="478"/>
          <w:jc w:val="center"/>
        </w:trPr>
        <w:tc>
          <w:tcPr>
            <w:tcW w:w="2924" w:type="dxa"/>
            <w:vAlign w:val="center"/>
          </w:tcPr>
          <w:p w:rsidR="00B512CD" w:rsidRDefault="00521215">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 xml:space="preserve">Microsporidian </w:t>
            </w:r>
            <w:r>
              <w:rPr>
                <w:rFonts w:ascii="Times New Roman" w:hAnsi="Times New Roman" w:cs="Times New Roman"/>
                <w:b/>
                <w:bCs/>
                <w:sz w:val="24"/>
                <w:szCs w:val="24"/>
              </w:rPr>
              <w:t>sp</w:t>
            </w:r>
            <w:r>
              <w:rPr>
                <w:rFonts w:ascii="Times New Roman" w:hAnsi="Times New Roman" w:cs="Times New Roman"/>
                <w:b/>
                <w:bCs/>
                <w:i/>
                <w:iCs/>
                <w:sz w:val="24"/>
                <w:szCs w:val="24"/>
              </w:rPr>
              <w:t>.  S</w:t>
            </w:r>
            <w:r>
              <w:rPr>
                <w:rFonts w:ascii="Times New Roman" w:hAnsi="Times New Roman" w:cs="Times New Roman"/>
                <w:b/>
                <w:bCs/>
                <w:i/>
                <w:iCs/>
                <w:sz w:val="24"/>
                <w:szCs w:val="24"/>
                <w:vertAlign w:val="subscript"/>
              </w:rPr>
              <w:t>I</w:t>
            </w:r>
          </w:p>
        </w:tc>
        <w:tc>
          <w:tcPr>
            <w:tcW w:w="1766"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High</w:t>
            </w:r>
          </w:p>
        </w:tc>
        <w:tc>
          <w:tcPr>
            <w:tcW w:w="1798"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Oval</w:t>
            </w:r>
          </w:p>
        </w:tc>
        <w:tc>
          <w:tcPr>
            <w:tcW w:w="1300"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1.73</w:t>
            </w:r>
          </w:p>
        </w:tc>
        <w:tc>
          <w:tcPr>
            <w:tcW w:w="1349"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p>
        </w:tc>
      </w:tr>
      <w:tr w:rsidR="00B512CD">
        <w:trPr>
          <w:trHeight w:val="478"/>
          <w:jc w:val="center"/>
        </w:trPr>
        <w:tc>
          <w:tcPr>
            <w:tcW w:w="2924" w:type="dxa"/>
            <w:vAlign w:val="center"/>
          </w:tcPr>
          <w:p w:rsidR="00B512CD" w:rsidRDefault="00521215">
            <w:pPr>
              <w:spacing w:after="0" w:line="240" w:lineRule="auto"/>
              <w:rPr>
                <w:rFonts w:ascii="Times New Roman" w:hAnsi="Times New Roman" w:cs="Times New Roman"/>
                <w:sz w:val="24"/>
                <w:szCs w:val="24"/>
              </w:rPr>
            </w:pPr>
            <w:r>
              <w:rPr>
                <w:rFonts w:ascii="Times New Roman" w:hAnsi="Times New Roman" w:cs="Times New Roman"/>
                <w:b/>
                <w:bCs/>
                <w:sz w:val="24"/>
                <w:szCs w:val="24"/>
              </w:rPr>
              <w:t>NIAP-6p</w:t>
            </w:r>
          </w:p>
        </w:tc>
        <w:tc>
          <w:tcPr>
            <w:tcW w:w="1766"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98"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Oval</w:t>
            </w:r>
          </w:p>
        </w:tc>
        <w:tc>
          <w:tcPr>
            <w:tcW w:w="1300"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1349"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r>
      <w:tr w:rsidR="00B512CD">
        <w:trPr>
          <w:trHeight w:val="478"/>
          <w:jc w:val="center"/>
        </w:trPr>
        <w:tc>
          <w:tcPr>
            <w:tcW w:w="2924" w:type="dxa"/>
            <w:vAlign w:val="center"/>
          </w:tcPr>
          <w:p w:rsidR="00B512CD" w:rsidRDefault="00521215">
            <w:pPr>
              <w:spacing w:after="0" w:line="240" w:lineRule="auto"/>
              <w:rPr>
                <w:rFonts w:ascii="Times New Roman" w:hAnsi="Times New Roman" w:cs="Times New Roman"/>
                <w:sz w:val="24"/>
                <w:szCs w:val="24"/>
              </w:rPr>
            </w:pPr>
            <w:r>
              <w:rPr>
                <w:rFonts w:ascii="Times New Roman" w:hAnsi="Times New Roman" w:cs="Times New Roman"/>
                <w:b/>
                <w:bCs/>
                <w:sz w:val="24"/>
                <w:szCs w:val="24"/>
              </w:rPr>
              <w:t>NIAP-7g</w:t>
            </w:r>
          </w:p>
        </w:tc>
        <w:tc>
          <w:tcPr>
            <w:tcW w:w="1766"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98"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Oval</w:t>
            </w:r>
          </w:p>
        </w:tc>
        <w:tc>
          <w:tcPr>
            <w:tcW w:w="1300"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4.60</w:t>
            </w:r>
          </w:p>
        </w:tc>
        <w:tc>
          <w:tcPr>
            <w:tcW w:w="1349"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w:t>
            </w:r>
          </w:p>
        </w:tc>
      </w:tr>
      <w:tr w:rsidR="00B512CD">
        <w:trPr>
          <w:trHeight w:val="478"/>
          <w:jc w:val="center"/>
        </w:trPr>
        <w:tc>
          <w:tcPr>
            <w:tcW w:w="2924" w:type="dxa"/>
            <w:vAlign w:val="center"/>
          </w:tcPr>
          <w:p w:rsidR="00B512CD" w:rsidRDefault="00521215">
            <w:pPr>
              <w:spacing w:after="0" w:line="240" w:lineRule="auto"/>
              <w:rPr>
                <w:rFonts w:ascii="Times New Roman" w:hAnsi="Times New Roman" w:cs="Times New Roman"/>
                <w:sz w:val="24"/>
                <w:szCs w:val="24"/>
              </w:rPr>
            </w:pPr>
            <w:r>
              <w:rPr>
                <w:rFonts w:ascii="Times New Roman" w:hAnsi="Times New Roman" w:cs="Times New Roman"/>
                <w:b/>
                <w:bCs/>
                <w:sz w:val="24"/>
                <w:szCs w:val="24"/>
              </w:rPr>
              <w:t>NIK-5d</w:t>
            </w:r>
          </w:p>
        </w:tc>
        <w:tc>
          <w:tcPr>
            <w:tcW w:w="1766"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98"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Oval</w:t>
            </w:r>
          </w:p>
        </w:tc>
        <w:tc>
          <w:tcPr>
            <w:tcW w:w="1300"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3.70</w:t>
            </w:r>
          </w:p>
        </w:tc>
        <w:tc>
          <w:tcPr>
            <w:tcW w:w="1349"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w:t>
            </w:r>
          </w:p>
        </w:tc>
      </w:tr>
      <w:tr w:rsidR="00B512CD">
        <w:trPr>
          <w:trHeight w:val="478"/>
          <w:jc w:val="center"/>
        </w:trPr>
        <w:tc>
          <w:tcPr>
            <w:tcW w:w="2924" w:type="dxa"/>
            <w:vAlign w:val="center"/>
          </w:tcPr>
          <w:p w:rsidR="00B512CD" w:rsidRDefault="00521215">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NIK-1Pr</w:t>
            </w:r>
          </w:p>
        </w:tc>
        <w:tc>
          <w:tcPr>
            <w:tcW w:w="1766"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High</w:t>
            </w:r>
          </w:p>
        </w:tc>
        <w:tc>
          <w:tcPr>
            <w:tcW w:w="1798"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Ovo-cylindrical</w:t>
            </w:r>
          </w:p>
        </w:tc>
        <w:tc>
          <w:tcPr>
            <w:tcW w:w="1300"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5.41</w:t>
            </w:r>
          </w:p>
        </w:tc>
        <w:tc>
          <w:tcPr>
            <w:tcW w:w="1349"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2.85</w:t>
            </w:r>
          </w:p>
        </w:tc>
      </w:tr>
      <w:tr w:rsidR="00B512CD">
        <w:trPr>
          <w:trHeight w:val="478"/>
          <w:jc w:val="center"/>
        </w:trPr>
        <w:tc>
          <w:tcPr>
            <w:tcW w:w="2924" w:type="dxa"/>
            <w:vAlign w:val="center"/>
          </w:tcPr>
          <w:p w:rsidR="00B512CD" w:rsidRDefault="00521215">
            <w:pPr>
              <w:spacing w:after="0" w:line="240" w:lineRule="auto"/>
              <w:rPr>
                <w:rFonts w:ascii="Times New Roman" w:hAnsi="Times New Roman" w:cs="Times New Roman"/>
                <w:sz w:val="24"/>
                <w:szCs w:val="24"/>
              </w:rPr>
            </w:pPr>
            <w:r>
              <w:rPr>
                <w:rFonts w:ascii="Times New Roman" w:hAnsi="Times New Roman" w:cs="Times New Roman"/>
                <w:b/>
                <w:bCs/>
                <w:sz w:val="24"/>
                <w:szCs w:val="24"/>
              </w:rPr>
              <w:t>NIK-1Cc</w:t>
            </w:r>
          </w:p>
        </w:tc>
        <w:tc>
          <w:tcPr>
            <w:tcW w:w="1766"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w:t>
            </w:r>
          </w:p>
        </w:tc>
        <w:tc>
          <w:tcPr>
            <w:tcW w:w="1798"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Oval</w:t>
            </w:r>
          </w:p>
        </w:tc>
        <w:tc>
          <w:tcPr>
            <w:tcW w:w="1300"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4.60</w:t>
            </w:r>
          </w:p>
        </w:tc>
        <w:tc>
          <w:tcPr>
            <w:tcW w:w="1349"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2.77</w:t>
            </w:r>
          </w:p>
        </w:tc>
      </w:tr>
      <w:tr w:rsidR="00B512CD">
        <w:trPr>
          <w:trHeight w:val="478"/>
          <w:jc w:val="center"/>
        </w:trPr>
        <w:tc>
          <w:tcPr>
            <w:tcW w:w="2924" w:type="dxa"/>
            <w:vAlign w:val="center"/>
          </w:tcPr>
          <w:p w:rsidR="00B512CD" w:rsidRDefault="00521215">
            <w:pPr>
              <w:spacing w:after="0" w:line="240" w:lineRule="auto"/>
              <w:rPr>
                <w:rFonts w:ascii="Times New Roman" w:hAnsi="Times New Roman" w:cs="Times New Roman"/>
                <w:sz w:val="24"/>
                <w:szCs w:val="24"/>
              </w:rPr>
            </w:pPr>
            <w:r>
              <w:rPr>
                <w:rFonts w:ascii="Times New Roman" w:hAnsi="Times New Roman" w:cs="Times New Roman"/>
                <w:b/>
                <w:bCs/>
                <w:sz w:val="24"/>
                <w:szCs w:val="24"/>
              </w:rPr>
              <w:t>NIK-1Cpy</w:t>
            </w:r>
          </w:p>
        </w:tc>
        <w:tc>
          <w:tcPr>
            <w:tcW w:w="1766"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High</w:t>
            </w:r>
          </w:p>
        </w:tc>
        <w:tc>
          <w:tcPr>
            <w:tcW w:w="1798"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Oval</w:t>
            </w:r>
          </w:p>
        </w:tc>
        <w:tc>
          <w:tcPr>
            <w:tcW w:w="1300"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4.96</w:t>
            </w:r>
          </w:p>
        </w:tc>
        <w:tc>
          <w:tcPr>
            <w:tcW w:w="1349"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2.85</w:t>
            </w:r>
          </w:p>
        </w:tc>
      </w:tr>
      <w:tr w:rsidR="00B512CD">
        <w:trPr>
          <w:trHeight w:val="478"/>
          <w:jc w:val="center"/>
        </w:trPr>
        <w:tc>
          <w:tcPr>
            <w:tcW w:w="2924" w:type="dxa"/>
            <w:vAlign w:val="center"/>
          </w:tcPr>
          <w:p w:rsidR="00B512CD" w:rsidRDefault="00521215">
            <w:pPr>
              <w:spacing w:after="0" w:line="240" w:lineRule="auto"/>
              <w:rPr>
                <w:rFonts w:ascii="Times New Roman" w:hAnsi="Times New Roman" w:cs="Times New Roman"/>
                <w:sz w:val="24"/>
                <w:szCs w:val="24"/>
              </w:rPr>
            </w:pPr>
            <w:r>
              <w:rPr>
                <w:rFonts w:ascii="Times New Roman" w:hAnsi="Times New Roman" w:cs="Times New Roman"/>
                <w:b/>
                <w:bCs/>
                <w:sz w:val="24"/>
                <w:szCs w:val="24"/>
              </w:rPr>
              <w:t>NIK-1So</w:t>
            </w:r>
          </w:p>
        </w:tc>
        <w:tc>
          <w:tcPr>
            <w:tcW w:w="1766"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High</w:t>
            </w:r>
          </w:p>
        </w:tc>
        <w:tc>
          <w:tcPr>
            <w:tcW w:w="1798"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Ovo-cylindrical</w:t>
            </w:r>
          </w:p>
        </w:tc>
        <w:tc>
          <w:tcPr>
            <w:tcW w:w="1300"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5.26</w:t>
            </w:r>
          </w:p>
        </w:tc>
        <w:tc>
          <w:tcPr>
            <w:tcW w:w="1349"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2.61</w:t>
            </w:r>
          </w:p>
        </w:tc>
      </w:tr>
      <w:tr w:rsidR="00B512CD">
        <w:trPr>
          <w:trHeight w:val="478"/>
          <w:jc w:val="center"/>
        </w:trPr>
        <w:tc>
          <w:tcPr>
            <w:tcW w:w="2924" w:type="dxa"/>
            <w:vAlign w:val="center"/>
          </w:tcPr>
          <w:p w:rsidR="00B512CD" w:rsidRDefault="00521215">
            <w:pPr>
              <w:spacing w:after="0" w:line="240" w:lineRule="auto"/>
              <w:rPr>
                <w:rFonts w:ascii="Times New Roman" w:hAnsi="Times New Roman" w:cs="Times New Roman"/>
                <w:sz w:val="24"/>
                <w:szCs w:val="24"/>
              </w:rPr>
            </w:pPr>
            <w:r>
              <w:rPr>
                <w:rFonts w:ascii="Times New Roman" w:hAnsi="Times New Roman" w:cs="Times New Roman"/>
                <w:b/>
                <w:bCs/>
                <w:sz w:val="24"/>
                <w:szCs w:val="24"/>
              </w:rPr>
              <w:t>NIK-1Dp</w:t>
            </w:r>
          </w:p>
        </w:tc>
        <w:tc>
          <w:tcPr>
            <w:tcW w:w="1766"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Low</w:t>
            </w:r>
          </w:p>
        </w:tc>
        <w:tc>
          <w:tcPr>
            <w:tcW w:w="1798"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Oval</w:t>
            </w:r>
          </w:p>
        </w:tc>
        <w:tc>
          <w:tcPr>
            <w:tcW w:w="1300"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4.27</w:t>
            </w:r>
          </w:p>
        </w:tc>
        <w:tc>
          <w:tcPr>
            <w:tcW w:w="1349"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2.79</w:t>
            </w:r>
          </w:p>
        </w:tc>
      </w:tr>
      <w:tr w:rsidR="00B512CD">
        <w:trPr>
          <w:trHeight w:val="478"/>
          <w:jc w:val="center"/>
        </w:trPr>
        <w:tc>
          <w:tcPr>
            <w:tcW w:w="2924" w:type="dxa"/>
            <w:vAlign w:val="center"/>
          </w:tcPr>
          <w:p w:rsidR="00B512CD" w:rsidRDefault="00521215">
            <w:pPr>
              <w:spacing w:after="0" w:line="240" w:lineRule="auto"/>
              <w:rPr>
                <w:rFonts w:ascii="Times New Roman" w:hAnsi="Times New Roman" w:cs="Times New Roman"/>
                <w:sz w:val="24"/>
                <w:szCs w:val="24"/>
              </w:rPr>
            </w:pPr>
            <w:proofErr w:type="spellStart"/>
            <w:r>
              <w:rPr>
                <w:rFonts w:ascii="Times New Roman" w:hAnsi="Times New Roman" w:cs="Times New Roman"/>
                <w:b/>
                <w:bCs/>
                <w:sz w:val="24"/>
                <w:szCs w:val="24"/>
              </w:rPr>
              <w:t>Msp</w:t>
            </w:r>
            <w:proofErr w:type="spellEnd"/>
          </w:p>
        </w:tc>
        <w:tc>
          <w:tcPr>
            <w:tcW w:w="1766"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u w:val="single"/>
              </w:rPr>
              <w:t>-</w:t>
            </w:r>
          </w:p>
        </w:tc>
        <w:tc>
          <w:tcPr>
            <w:tcW w:w="1798"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Ovo-cylindrical</w:t>
            </w:r>
          </w:p>
        </w:tc>
        <w:tc>
          <w:tcPr>
            <w:tcW w:w="1300"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5.38</w:t>
            </w:r>
          </w:p>
        </w:tc>
        <w:tc>
          <w:tcPr>
            <w:tcW w:w="1349"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2.92</w:t>
            </w:r>
          </w:p>
        </w:tc>
      </w:tr>
    </w:tbl>
    <w:p w:rsidR="00B512CD" w:rsidRDefault="00B512CD">
      <w:pPr>
        <w:jc w:val="both"/>
        <w:rPr>
          <w:rFonts w:ascii="Times New Roman" w:hAnsi="Times New Roman" w:cs="Times New Roman"/>
          <w:sz w:val="24"/>
          <w:szCs w:val="24"/>
        </w:rPr>
      </w:pPr>
    </w:p>
    <w:p w:rsidR="00B512CD" w:rsidRDefault="00521215">
      <w:pPr>
        <w:rPr>
          <w:rFonts w:ascii="Times New Roman" w:hAnsi="Times New Roman" w:cs="Times New Roman"/>
          <w:b/>
          <w:bCs/>
          <w:sz w:val="24"/>
          <w:szCs w:val="24"/>
          <w:lang w:val="en-US"/>
        </w:rPr>
      </w:pPr>
      <w:r>
        <w:rPr>
          <w:rFonts w:ascii="Times New Roman" w:hAnsi="Times New Roman" w:cs="Times New Roman"/>
          <w:b/>
          <w:bCs/>
          <w:sz w:val="24"/>
          <w:szCs w:val="24"/>
        </w:rPr>
        <w:t xml:space="preserve">Table 2: Site of infection of different microsporidians in silkworm </w:t>
      </w:r>
      <w:r>
        <w:rPr>
          <w:rFonts w:ascii="Times New Roman" w:hAnsi="Times New Roman" w:cs="Times New Roman"/>
          <w:b/>
          <w:bCs/>
          <w:sz w:val="24"/>
          <w:szCs w:val="24"/>
          <w:lang w:val="en-US"/>
        </w:rPr>
        <w:t xml:space="preserve">(Bhat </w:t>
      </w:r>
      <w:r>
        <w:rPr>
          <w:rFonts w:ascii="Times New Roman" w:hAnsi="Times New Roman" w:cs="Times New Roman"/>
          <w:b/>
          <w:bCs/>
          <w:i/>
          <w:iCs/>
          <w:sz w:val="24"/>
          <w:szCs w:val="24"/>
          <w:lang w:val="en-US"/>
        </w:rPr>
        <w:t xml:space="preserve">et al., </w:t>
      </w:r>
      <w:r>
        <w:rPr>
          <w:rFonts w:ascii="Times New Roman" w:hAnsi="Times New Roman" w:cs="Times New Roman"/>
          <w:b/>
          <w:bCs/>
          <w:sz w:val="24"/>
          <w:szCs w:val="24"/>
          <w:lang w:val="en-US"/>
        </w:rPr>
        <w:t>2017).</w:t>
      </w:r>
    </w:p>
    <w:tbl>
      <w:tblPr>
        <w:tblStyle w:val="TableGrid"/>
        <w:tblW w:w="10146" w:type="dxa"/>
        <w:jc w:val="center"/>
        <w:tblLook w:val="04A0" w:firstRow="1" w:lastRow="0" w:firstColumn="1" w:lastColumn="0" w:noHBand="0" w:noVBand="1"/>
      </w:tblPr>
      <w:tblGrid>
        <w:gridCol w:w="2418"/>
        <w:gridCol w:w="1310"/>
        <w:gridCol w:w="1403"/>
        <w:gridCol w:w="1151"/>
        <w:gridCol w:w="1003"/>
        <w:gridCol w:w="1565"/>
        <w:gridCol w:w="1296"/>
      </w:tblGrid>
      <w:tr w:rsidR="00B512CD">
        <w:trPr>
          <w:trHeight w:val="620"/>
          <w:jc w:val="center"/>
        </w:trPr>
        <w:tc>
          <w:tcPr>
            <w:tcW w:w="2440" w:type="dxa"/>
            <w:vMerge w:val="restart"/>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Microsporidia</w:t>
            </w:r>
          </w:p>
        </w:tc>
        <w:tc>
          <w:tcPr>
            <w:tcW w:w="7706" w:type="dxa"/>
            <w:gridSpan w:val="6"/>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lang w:val="en-US"/>
              </w:rPr>
              <w:t>Host tissues</w:t>
            </w:r>
          </w:p>
        </w:tc>
      </w:tr>
      <w:tr w:rsidR="00B512CD">
        <w:trPr>
          <w:trHeight w:val="579"/>
          <w:jc w:val="center"/>
        </w:trPr>
        <w:tc>
          <w:tcPr>
            <w:tcW w:w="2440" w:type="dxa"/>
            <w:vMerge/>
            <w:vAlign w:val="center"/>
          </w:tcPr>
          <w:p w:rsidR="00B512CD" w:rsidRDefault="00B512CD">
            <w:pPr>
              <w:spacing w:after="0" w:line="240" w:lineRule="auto"/>
              <w:jc w:val="center"/>
              <w:rPr>
                <w:rFonts w:ascii="Times New Roman" w:hAnsi="Times New Roman" w:cs="Times New Roman"/>
                <w:sz w:val="24"/>
                <w:szCs w:val="24"/>
              </w:rPr>
            </w:pPr>
          </w:p>
        </w:tc>
        <w:tc>
          <w:tcPr>
            <w:tcW w:w="1271" w:type="dxa"/>
            <w:vAlign w:val="center"/>
          </w:tcPr>
          <w:p w:rsidR="00B512CD" w:rsidRDefault="0052121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Gut epithelium</w:t>
            </w:r>
          </w:p>
        </w:tc>
        <w:tc>
          <w:tcPr>
            <w:tcW w:w="1358" w:type="dxa"/>
            <w:vAlign w:val="center"/>
          </w:tcPr>
          <w:p w:rsidR="00B512CD" w:rsidRDefault="0052121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Malpighian tube</w:t>
            </w:r>
          </w:p>
        </w:tc>
        <w:tc>
          <w:tcPr>
            <w:tcW w:w="1159" w:type="dxa"/>
            <w:vAlign w:val="center"/>
          </w:tcPr>
          <w:p w:rsidR="00B512CD" w:rsidRDefault="0052121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Muscle</w:t>
            </w:r>
          </w:p>
        </w:tc>
        <w:tc>
          <w:tcPr>
            <w:tcW w:w="1014" w:type="dxa"/>
            <w:vAlign w:val="center"/>
          </w:tcPr>
          <w:p w:rsidR="00B512CD" w:rsidRDefault="0052121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Fat body</w:t>
            </w:r>
          </w:p>
        </w:tc>
        <w:tc>
          <w:tcPr>
            <w:tcW w:w="1594" w:type="dxa"/>
            <w:vAlign w:val="center"/>
          </w:tcPr>
          <w:p w:rsidR="00B512CD" w:rsidRDefault="0052121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Silk gland</w:t>
            </w:r>
          </w:p>
        </w:tc>
        <w:tc>
          <w:tcPr>
            <w:tcW w:w="1310" w:type="dxa"/>
            <w:vAlign w:val="center"/>
          </w:tcPr>
          <w:p w:rsidR="00B512CD" w:rsidRDefault="0052121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Gonad</w:t>
            </w:r>
          </w:p>
        </w:tc>
      </w:tr>
      <w:tr w:rsidR="00B512CD">
        <w:trPr>
          <w:trHeight w:val="579"/>
          <w:jc w:val="center"/>
        </w:trPr>
        <w:tc>
          <w:tcPr>
            <w:tcW w:w="2440" w:type="dxa"/>
            <w:vAlign w:val="center"/>
          </w:tcPr>
          <w:p w:rsidR="00B512CD" w:rsidRDefault="00521215">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 xml:space="preserve">N. </w:t>
            </w:r>
            <w:proofErr w:type="spellStart"/>
            <w:r>
              <w:rPr>
                <w:rFonts w:ascii="Times New Roman" w:hAnsi="Times New Roman" w:cs="Times New Roman"/>
                <w:b/>
                <w:bCs/>
                <w:i/>
                <w:iCs/>
                <w:sz w:val="24"/>
                <w:szCs w:val="24"/>
              </w:rPr>
              <w:t>bombycis</w:t>
            </w:r>
            <w:proofErr w:type="spellEnd"/>
            <w:r>
              <w:rPr>
                <w:rFonts w:ascii="Times New Roman" w:hAnsi="Times New Roman" w:cs="Times New Roman"/>
                <w:b/>
                <w:bCs/>
                <w:i/>
                <w:iCs/>
                <w:sz w:val="24"/>
                <w:szCs w:val="24"/>
              </w:rPr>
              <w:t xml:space="preserve"> </w:t>
            </w:r>
            <w:r>
              <w:rPr>
                <w:rFonts w:ascii="Times New Roman" w:hAnsi="Times New Roman" w:cs="Times New Roman"/>
                <w:b/>
                <w:bCs/>
                <w:sz w:val="24"/>
                <w:szCs w:val="24"/>
              </w:rPr>
              <w:t>NIS-001</w:t>
            </w:r>
          </w:p>
        </w:tc>
        <w:tc>
          <w:tcPr>
            <w:tcW w:w="1271"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8"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9"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4"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94"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10"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512CD">
        <w:trPr>
          <w:trHeight w:val="579"/>
          <w:jc w:val="center"/>
        </w:trPr>
        <w:tc>
          <w:tcPr>
            <w:tcW w:w="2440" w:type="dxa"/>
            <w:vAlign w:val="center"/>
          </w:tcPr>
          <w:p w:rsidR="00B512CD" w:rsidRDefault="00521215">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Nosema</w:t>
            </w:r>
            <w:r>
              <w:rPr>
                <w:rFonts w:ascii="Times New Roman" w:hAnsi="Times New Roman" w:cs="Times New Roman"/>
                <w:b/>
                <w:bCs/>
                <w:sz w:val="24"/>
                <w:szCs w:val="24"/>
              </w:rPr>
              <w:t xml:space="preserve"> sp. NIS-M11</w:t>
            </w:r>
          </w:p>
        </w:tc>
        <w:tc>
          <w:tcPr>
            <w:tcW w:w="1271"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8"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9"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4"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94"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10"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512CD">
        <w:trPr>
          <w:trHeight w:val="637"/>
          <w:jc w:val="center"/>
        </w:trPr>
        <w:tc>
          <w:tcPr>
            <w:tcW w:w="2440" w:type="dxa"/>
            <w:vAlign w:val="center"/>
          </w:tcPr>
          <w:p w:rsidR="00B512CD" w:rsidRDefault="00521215">
            <w:pPr>
              <w:spacing w:after="0" w:line="240" w:lineRule="auto"/>
              <w:rPr>
                <w:rFonts w:ascii="Times New Roman" w:hAnsi="Times New Roman" w:cs="Times New Roman"/>
                <w:sz w:val="24"/>
                <w:szCs w:val="24"/>
              </w:rPr>
            </w:pPr>
            <w:proofErr w:type="spellStart"/>
            <w:r>
              <w:rPr>
                <w:rFonts w:ascii="Times New Roman" w:hAnsi="Times New Roman" w:cs="Times New Roman"/>
                <w:b/>
                <w:bCs/>
                <w:i/>
                <w:iCs/>
                <w:sz w:val="24"/>
                <w:szCs w:val="24"/>
              </w:rPr>
              <w:t>Vairimorpha</w:t>
            </w:r>
            <w:proofErr w:type="spellEnd"/>
            <w:r>
              <w:rPr>
                <w:rFonts w:ascii="Times New Roman" w:hAnsi="Times New Roman" w:cs="Times New Roman"/>
                <w:b/>
                <w:bCs/>
                <w:sz w:val="24"/>
                <w:szCs w:val="24"/>
              </w:rPr>
              <w:t xml:space="preserve"> sp.</w:t>
            </w:r>
          </w:p>
          <w:p w:rsidR="00B512CD" w:rsidRDefault="00521215">
            <w:pPr>
              <w:spacing w:after="0" w:line="240" w:lineRule="auto"/>
              <w:rPr>
                <w:rFonts w:ascii="Times New Roman" w:hAnsi="Times New Roman" w:cs="Times New Roman"/>
                <w:sz w:val="24"/>
                <w:szCs w:val="24"/>
              </w:rPr>
            </w:pPr>
            <w:r>
              <w:rPr>
                <w:rFonts w:ascii="Times New Roman" w:hAnsi="Times New Roman" w:cs="Times New Roman"/>
                <w:b/>
                <w:bCs/>
                <w:sz w:val="24"/>
                <w:szCs w:val="24"/>
              </w:rPr>
              <w:t>NIS-M12</w:t>
            </w:r>
          </w:p>
        </w:tc>
        <w:tc>
          <w:tcPr>
            <w:tcW w:w="1271"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8"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9"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4"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94"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10"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512CD">
        <w:trPr>
          <w:trHeight w:val="579"/>
          <w:jc w:val="center"/>
        </w:trPr>
        <w:tc>
          <w:tcPr>
            <w:tcW w:w="2440" w:type="dxa"/>
            <w:vAlign w:val="center"/>
          </w:tcPr>
          <w:p w:rsidR="00B512CD" w:rsidRDefault="00521215">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Nosema</w:t>
            </w:r>
            <w:r>
              <w:rPr>
                <w:rFonts w:ascii="Times New Roman" w:hAnsi="Times New Roman" w:cs="Times New Roman"/>
                <w:b/>
                <w:bCs/>
                <w:sz w:val="24"/>
                <w:szCs w:val="24"/>
              </w:rPr>
              <w:t xml:space="preserve"> sp. NIS-M14</w:t>
            </w:r>
          </w:p>
        </w:tc>
        <w:tc>
          <w:tcPr>
            <w:tcW w:w="1271"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8"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9"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4"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94"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10"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512CD">
        <w:trPr>
          <w:trHeight w:val="540"/>
          <w:jc w:val="center"/>
        </w:trPr>
        <w:tc>
          <w:tcPr>
            <w:tcW w:w="2440" w:type="dxa"/>
            <w:vAlign w:val="center"/>
          </w:tcPr>
          <w:p w:rsidR="00B512CD" w:rsidRDefault="00521215">
            <w:pPr>
              <w:spacing w:after="0" w:line="240" w:lineRule="auto"/>
              <w:rPr>
                <w:rFonts w:ascii="Times New Roman" w:hAnsi="Times New Roman" w:cs="Times New Roman"/>
                <w:sz w:val="24"/>
                <w:szCs w:val="24"/>
              </w:rPr>
            </w:pPr>
            <w:r>
              <w:rPr>
                <w:rFonts w:ascii="Times New Roman" w:hAnsi="Times New Roman" w:cs="Times New Roman"/>
                <w:b/>
                <w:bCs/>
                <w:sz w:val="24"/>
                <w:szCs w:val="24"/>
              </w:rPr>
              <w:t>Microsporidian</w:t>
            </w:r>
          </w:p>
          <w:p w:rsidR="00B512CD" w:rsidRDefault="00521215">
            <w:pPr>
              <w:spacing w:after="0" w:line="240" w:lineRule="auto"/>
              <w:rPr>
                <w:rFonts w:ascii="Times New Roman" w:hAnsi="Times New Roman" w:cs="Times New Roman"/>
                <w:sz w:val="24"/>
                <w:szCs w:val="24"/>
              </w:rPr>
            </w:pPr>
            <w:r>
              <w:rPr>
                <w:rFonts w:ascii="Times New Roman" w:hAnsi="Times New Roman" w:cs="Times New Roman"/>
                <w:b/>
                <w:bCs/>
                <w:sz w:val="24"/>
                <w:szCs w:val="24"/>
              </w:rPr>
              <w:t>NIS-M25</w:t>
            </w:r>
          </w:p>
        </w:tc>
        <w:tc>
          <w:tcPr>
            <w:tcW w:w="1271"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8"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9"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4"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94"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10"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512CD">
        <w:trPr>
          <w:trHeight w:val="676"/>
          <w:jc w:val="center"/>
        </w:trPr>
        <w:tc>
          <w:tcPr>
            <w:tcW w:w="2440" w:type="dxa"/>
            <w:vAlign w:val="center"/>
          </w:tcPr>
          <w:p w:rsidR="00B512CD" w:rsidRDefault="00521215">
            <w:pPr>
              <w:spacing w:after="0" w:line="240" w:lineRule="auto"/>
              <w:rPr>
                <w:rFonts w:ascii="Times New Roman" w:hAnsi="Times New Roman" w:cs="Times New Roman"/>
                <w:sz w:val="24"/>
                <w:szCs w:val="24"/>
              </w:rPr>
            </w:pPr>
            <w:proofErr w:type="spellStart"/>
            <w:r>
              <w:rPr>
                <w:rFonts w:ascii="Times New Roman" w:hAnsi="Times New Roman" w:cs="Times New Roman"/>
                <w:b/>
                <w:bCs/>
                <w:i/>
                <w:iCs/>
                <w:sz w:val="24"/>
                <w:szCs w:val="24"/>
              </w:rPr>
              <w:t>Plistophora</w:t>
            </w:r>
            <w:proofErr w:type="spellEnd"/>
            <w:r>
              <w:rPr>
                <w:rFonts w:ascii="Times New Roman" w:hAnsi="Times New Roman" w:cs="Times New Roman"/>
                <w:b/>
                <w:bCs/>
                <w:sz w:val="24"/>
                <w:szCs w:val="24"/>
              </w:rPr>
              <w:t xml:space="preserve"> sp.</w:t>
            </w:r>
          </w:p>
          <w:p w:rsidR="00B512CD" w:rsidRDefault="00521215">
            <w:pPr>
              <w:spacing w:after="0" w:line="240" w:lineRule="auto"/>
              <w:rPr>
                <w:rFonts w:ascii="Times New Roman" w:hAnsi="Times New Roman" w:cs="Times New Roman"/>
                <w:sz w:val="24"/>
                <w:szCs w:val="24"/>
              </w:rPr>
            </w:pPr>
            <w:r>
              <w:rPr>
                <w:rFonts w:ascii="Times New Roman" w:hAnsi="Times New Roman" w:cs="Times New Roman"/>
                <w:b/>
                <w:bCs/>
                <w:sz w:val="24"/>
                <w:szCs w:val="24"/>
              </w:rPr>
              <w:t>NIS-M27</w:t>
            </w:r>
          </w:p>
        </w:tc>
        <w:tc>
          <w:tcPr>
            <w:tcW w:w="1271"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8"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9"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4"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94"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10"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B512CD" w:rsidRDefault="00B512CD">
            <w:pPr>
              <w:spacing w:after="0" w:line="240" w:lineRule="auto"/>
              <w:jc w:val="center"/>
              <w:rPr>
                <w:rFonts w:ascii="Times New Roman" w:hAnsi="Times New Roman" w:cs="Times New Roman"/>
                <w:sz w:val="24"/>
                <w:szCs w:val="24"/>
              </w:rPr>
            </w:pPr>
          </w:p>
        </w:tc>
      </w:tr>
      <w:tr w:rsidR="00B512CD">
        <w:trPr>
          <w:trHeight w:val="714"/>
          <w:jc w:val="center"/>
        </w:trPr>
        <w:tc>
          <w:tcPr>
            <w:tcW w:w="2440" w:type="dxa"/>
            <w:vAlign w:val="center"/>
          </w:tcPr>
          <w:p w:rsidR="00B512CD" w:rsidRDefault="00521215">
            <w:pPr>
              <w:spacing w:after="0" w:line="240" w:lineRule="auto"/>
              <w:rPr>
                <w:rFonts w:ascii="Times New Roman" w:hAnsi="Times New Roman" w:cs="Times New Roman"/>
                <w:sz w:val="24"/>
                <w:szCs w:val="24"/>
              </w:rPr>
            </w:pPr>
            <w:proofErr w:type="spellStart"/>
            <w:r>
              <w:rPr>
                <w:rFonts w:ascii="Times New Roman" w:hAnsi="Times New Roman" w:cs="Times New Roman"/>
                <w:b/>
                <w:bCs/>
                <w:i/>
                <w:iCs/>
                <w:sz w:val="24"/>
                <w:szCs w:val="24"/>
              </w:rPr>
              <w:t>Thelohania</w:t>
            </w:r>
            <w:proofErr w:type="spellEnd"/>
            <w:r>
              <w:rPr>
                <w:rFonts w:ascii="Times New Roman" w:hAnsi="Times New Roman" w:cs="Times New Roman"/>
                <w:b/>
                <w:bCs/>
                <w:sz w:val="24"/>
                <w:szCs w:val="24"/>
              </w:rPr>
              <w:t xml:space="preserve"> sp.</w:t>
            </w:r>
          </w:p>
          <w:p w:rsidR="00B512CD" w:rsidRDefault="00521215">
            <w:pPr>
              <w:spacing w:after="0" w:line="240" w:lineRule="auto"/>
              <w:rPr>
                <w:rFonts w:ascii="Times New Roman" w:hAnsi="Times New Roman" w:cs="Times New Roman"/>
                <w:sz w:val="24"/>
                <w:szCs w:val="24"/>
              </w:rPr>
            </w:pPr>
            <w:r>
              <w:rPr>
                <w:rFonts w:ascii="Times New Roman" w:hAnsi="Times New Roman" w:cs="Times New Roman"/>
                <w:b/>
                <w:bCs/>
                <w:sz w:val="24"/>
                <w:szCs w:val="24"/>
              </w:rPr>
              <w:t>NIS-M32</w:t>
            </w:r>
          </w:p>
        </w:tc>
        <w:tc>
          <w:tcPr>
            <w:tcW w:w="1271"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8"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9"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4"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94"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10"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512CD">
        <w:trPr>
          <w:trHeight w:val="579"/>
          <w:jc w:val="center"/>
        </w:trPr>
        <w:tc>
          <w:tcPr>
            <w:tcW w:w="2440" w:type="dxa"/>
            <w:vAlign w:val="center"/>
          </w:tcPr>
          <w:p w:rsidR="00B512CD" w:rsidRDefault="00521215">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Nosema</w:t>
            </w:r>
            <w:r>
              <w:rPr>
                <w:rFonts w:ascii="Times New Roman" w:hAnsi="Times New Roman" w:cs="Times New Roman"/>
                <w:b/>
                <w:bCs/>
                <w:sz w:val="24"/>
                <w:szCs w:val="24"/>
              </w:rPr>
              <w:t xml:space="preserve"> sp. NIK-is</w:t>
            </w:r>
          </w:p>
        </w:tc>
        <w:tc>
          <w:tcPr>
            <w:tcW w:w="1271"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8"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9"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4"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94"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10"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512CD">
        <w:trPr>
          <w:trHeight w:val="579"/>
          <w:jc w:val="center"/>
        </w:trPr>
        <w:tc>
          <w:tcPr>
            <w:tcW w:w="2440" w:type="dxa"/>
            <w:vAlign w:val="center"/>
          </w:tcPr>
          <w:p w:rsidR="00B512CD" w:rsidRDefault="00521215">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Nosema</w:t>
            </w:r>
            <w:r>
              <w:rPr>
                <w:rFonts w:ascii="Times New Roman" w:hAnsi="Times New Roman" w:cs="Times New Roman"/>
                <w:b/>
                <w:bCs/>
                <w:sz w:val="24"/>
                <w:szCs w:val="24"/>
              </w:rPr>
              <w:t xml:space="preserve"> sp. NIK-2r</w:t>
            </w:r>
          </w:p>
        </w:tc>
        <w:tc>
          <w:tcPr>
            <w:tcW w:w="1271"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8"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9"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4"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94"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10"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512CD">
        <w:trPr>
          <w:trHeight w:val="579"/>
          <w:jc w:val="center"/>
        </w:trPr>
        <w:tc>
          <w:tcPr>
            <w:tcW w:w="2440" w:type="dxa"/>
            <w:vAlign w:val="center"/>
          </w:tcPr>
          <w:p w:rsidR="00B512CD" w:rsidRDefault="00521215">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 xml:space="preserve">Nosema </w:t>
            </w:r>
            <w:r>
              <w:rPr>
                <w:rFonts w:ascii="Times New Roman" w:hAnsi="Times New Roman" w:cs="Times New Roman"/>
                <w:b/>
                <w:bCs/>
                <w:sz w:val="24"/>
                <w:szCs w:val="24"/>
              </w:rPr>
              <w:t>sp. NIK-3h</w:t>
            </w:r>
          </w:p>
        </w:tc>
        <w:tc>
          <w:tcPr>
            <w:tcW w:w="1271"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8"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9"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4"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94"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10"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512CD">
        <w:trPr>
          <w:trHeight w:val="726"/>
          <w:jc w:val="center"/>
        </w:trPr>
        <w:tc>
          <w:tcPr>
            <w:tcW w:w="2440" w:type="dxa"/>
            <w:vAlign w:val="center"/>
          </w:tcPr>
          <w:p w:rsidR="00B512CD" w:rsidRDefault="00521215">
            <w:pPr>
              <w:spacing w:after="0" w:line="240" w:lineRule="auto"/>
              <w:rPr>
                <w:rFonts w:ascii="Times New Roman" w:hAnsi="Times New Roman" w:cs="Times New Roman"/>
                <w:sz w:val="24"/>
                <w:szCs w:val="24"/>
              </w:rPr>
            </w:pPr>
            <w:proofErr w:type="spellStart"/>
            <w:r>
              <w:rPr>
                <w:rFonts w:ascii="Times New Roman" w:hAnsi="Times New Roman" w:cs="Times New Roman"/>
                <w:b/>
                <w:bCs/>
                <w:i/>
                <w:iCs/>
                <w:sz w:val="24"/>
                <w:szCs w:val="24"/>
              </w:rPr>
              <w:t>Vairimorpha</w:t>
            </w:r>
            <w:proofErr w:type="spellEnd"/>
            <w:r>
              <w:rPr>
                <w:rFonts w:ascii="Times New Roman" w:hAnsi="Times New Roman" w:cs="Times New Roman"/>
                <w:b/>
                <w:bCs/>
                <w:sz w:val="24"/>
                <w:szCs w:val="24"/>
              </w:rPr>
              <w:t xml:space="preserve"> sp. NIK-4m</w:t>
            </w:r>
          </w:p>
        </w:tc>
        <w:tc>
          <w:tcPr>
            <w:tcW w:w="1271"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8"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9"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4"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94"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10" w:type="dxa"/>
            <w:vAlign w:val="center"/>
          </w:tcPr>
          <w:p w:rsidR="00B512CD" w:rsidRDefault="005212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B512CD" w:rsidRDefault="00521215">
      <w:pPr>
        <w:jc w:val="both"/>
        <w:rPr>
          <w:rFonts w:ascii="Times New Roman" w:hAnsi="Times New Roman" w:cs="Times New Roman"/>
          <w:sz w:val="24"/>
          <w:szCs w:val="24"/>
        </w:rPr>
      </w:pPr>
      <w:r>
        <w:rPr>
          <w:rFonts w:ascii="Times New Roman" w:hAnsi="Times New Roman" w:cs="Times New Roman"/>
          <w:sz w:val="24"/>
          <w:szCs w:val="24"/>
        </w:rPr>
        <w:t xml:space="preserve">(-*): Cyst formation on the surface of gut, (+*): Formation of spores only in heavily infected larvae, (-): No infection, (+): Infection.   </w:t>
      </w:r>
    </w:p>
    <w:p w:rsidR="00B512CD" w:rsidRDefault="00521215">
      <w:pPr>
        <w:jc w:val="both"/>
        <w:rPr>
          <w:rFonts w:ascii="Times New Roman" w:hAnsi="Times New Roman" w:cs="Times New Roman"/>
          <w:sz w:val="24"/>
          <w:szCs w:val="24"/>
        </w:rPr>
      </w:pPr>
      <w:r>
        <w:rPr>
          <w:rFonts w:ascii="Times New Roman" w:hAnsi="Times New Roman" w:cs="Times New Roman"/>
          <w:b/>
          <w:bCs/>
          <w:sz w:val="24"/>
          <w:szCs w:val="24"/>
        </w:rPr>
        <w:t xml:space="preserve">Life cycle of </w:t>
      </w:r>
      <w:r>
        <w:rPr>
          <w:rFonts w:ascii="Times New Roman" w:hAnsi="Times New Roman" w:cs="Times New Roman"/>
          <w:b/>
          <w:bCs/>
          <w:i/>
          <w:iCs/>
          <w:sz w:val="24"/>
          <w:szCs w:val="24"/>
        </w:rPr>
        <w:t xml:space="preserve">Nosema </w:t>
      </w:r>
      <w:proofErr w:type="spellStart"/>
      <w:r>
        <w:rPr>
          <w:rFonts w:ascii="Times New Roman" w:hAnsi="Times New Roman" w:cs="Times New Roman"/>
          <w:b/>
          <w:bCs/>
          <w:i/>
          <w:iCs/>
          <w:sz w:val="24"/>
          <w:szCs w:val="24"/>
        </w:rPr>
        <w:t>bombycis</w:t>
      </w:r>
      <w:proofErr w:type="spellEnd"/>
      <w:r>
        <w:rPr>
          <w:rFonts w:ascii="Times New Roman" w:hAnsi="Times New Roman" w:cs="Times New Roman"/>
          <w:b/>
          <w:bCs/>
          <w:sz w:val="24"/>
          <w:szCs w:val="24"/>
        </w:rPr>
        <w:t>:</w:t>
      </w:r>
      <w:r>
        <w:rPr>
          <w:rFonts w:ascii="Times New Roman" w:hAnsi="Times New Roman" w:cs="Times New Roman"/>
          <w:sz w:val="24"/>
          <w:szCs w:val="24"/>
        </w:rPr>
        <w:t xml:space="preserve"> The intracellular cycles of </w:t>
      </w:r>
      <w:r>
        <w:rPr>
          <w:rFonts w:ascii="Times New Roman" w:hAnsi="Times New Roman" w:cs="Times New Roman"/>
          <w:i/>
          <w:iCs/>
          <w:sz w:val="24"/>
          <w:szCs w:val="24"/>
        </w:rPr>
        <w:t xml:space="preserve">N. </w:t>
      </w:r>
      <w:proofErr w:type="spellStart"/>
      <w:r>
        <w:rPr>
          <w:rFonts w:ascii="Times New Roman" w:hAnsi="Times New Roman" w:cs="Times New Roman"/>
          <w:i/>
          <w:iCs/>
          <w:sz w:val="24"/>
          <w:szCs w:val="24"/>
        </w:rPr>
        <w:t>bombycis</w:t>
      </w:r>
      <w:proofErr w:type="spellEnd"/>
      <w:r>
        <w:rPr>
          <w:rFonts w:ascii="Times New Roman" w:hAnsi="Times New Roman" w:cs="Times New Roman"/>
          <w:sz w:val="24"/>
          <w:szCs w:val="24"/>
        </w:rPr>
        <w:t xml:space="preserve"> include the proliferative merogonic stage (merogony) and </w:t>
      </w:r>
      <w:proofErr w:type="spellStart"/>
      <w:r>
        <w:rPr>
          <w:rFonts w:ascii="Times New Roman" w:hAnsi="Times New Roman" w:cs="Times New Roman"/>
          <w:sz w:val="24"/>
          <w:szCs w:val="24"/>
        </w:rPr>
        <w:t>sporogonic</w:t>
      </w:r>
      <w:proofErr w:type="spellEnd"/>
      <w:r>
        <w:rPr>
          <w:rFonts w:ascii="Times New Roman" w:hAnsi="Times New Roman" w:cs="Times New Roman"/>
          <w:sz w:val="24"/>
          <w:szCs w:val="24"/>
        </w:rPr>
        <w:t xml:space="preserve"> stage (</w:t>
      </w:r>
      <w:proofErr w:type="spellStart"/>
      <w:r>
        <w:rPr>
          <w:rFonts w:ascii="Times New Roman" w:hAnsi="Times New Roman" w:cs="Times New Roman"/>
          <w:sz w:val="24"/>
          <w:szCs w:val="24"/>
        </w:rPr>
        <w:t>sponogony</w:t>
      </w:r>
      <w:proofErr w:type="spellEnd"/>
      <w:r>
        <w:rPr>
          <w:rFonts w:ascii="Times New Roman" w:hAnsi="Times New Roman" w:cs="Times New Roman"/>
          <w:sz w:val="24"/>
          <w:szCs w:val="24"/>
        </w:rPr>
        <w:t xml:space="preserve">). The mature spore is oval or ovo-cylindrical and measures approximately 3.4-3.8 µm in length and 2.0 – 2.3 µm width, with three-layered membrane (inner, middle and outer). </w:t>
      </w:r>
      <w:r w:rsidR="0042375F">
        <w:rPr>
          <w:rFonts w:ascii="Times New Roman" w:hAnsi="Times New Roman" w:cs="Times New Roman"/>
          <w:sz w:val="24"/>
          <w:szCs w:val="24"/>
        </w:rPr>
        <w:t>“</w:t>
      </w:r>
      <w:r>
        <w:rPr>
          <w:rFonts w:ascii="Times New Roman" w:hAnsi="Times New Roman" w:cs="Times New Roman"/>
          <w:sz w:val="24"/>
          <w:szCs w:val="24"/>
        </w:rPr>
        <w:t xml:space="preserve">The spores are highly </w:t>
      </w:r>
      <w:r>
        <w:rPr>
          <w:rFonts w:ascii="Times New Roman" w:hAnsi="Times New Roman" w:cs="Times New Roman"/>
          <w:sz w:val="24"/>
          <w:szCs w:val="24"/>
        </w:rPr>
        <w:lastRenderedPageBreak/>
        <w:t xml:space="preserve">refractive, and shine bluish white under microscope exhibiting ‘Brownian movement’. The outline is smooth and the spores are heavier than water. The resistant form of the disease is spore and it remains either in an infected tissue of the body or discharged through excreta by leaving infected host tissue. </w:t>
      </w:r>
      <w:r>
        <w:rPr>
          <w:rFonts w:ascii="Times New Roman" w:hAnsi="Times New Roman" w:cs="Times New Roman"/>
          <w:i/>
          <w:iCs/>
          <w:sz w:val="24"/>
          <w:szCs w:val="24"/>
        </w:rPr>
        <w:t xml:space="preserve">N. </w:t>
      </w:r>
      <w:proofErr w:type="spellStart"/>
      <w:r>
        <w:rPr>
          <w:rFonts w:ascii="Times New Roman" w:hAnsi="Times New Roman" w:cs="Times New Roman"/>
          <w:i/>
          <w:iCs/>
          <w:sz w:val="24"/>
          <w:szCs w:val="24"/>
        </w:rPr>
        <w:t>bombycis</w:t>
      </w:r>
      <w:proofErr w:type="spellEnd"/>
      <w:r>
        <w:rPr>
          <w:rFonts w:ascii="Times New Roman" w:hAnsi="Times New Roman" w:cs="Times New Roman"/>
          <w:sz w:val="24"/>
          <w:szCs w:val="24"/>
        </w:rPr>
        <w:t xml:space="preserve"> infects silkworm both horizontally by ingestion of spores and transmitted to progeny by the vertical means</w:t>
      </w:r>
      <w:r w:rsidR="0042375F">
        <w:rPr>
          <w:rFonts w:ascii="Times New Roman" w:hAnsi="Times New Roman" w:cs="Times New Roman"/>
          <w:sz w:val="24"/>
          <w:szCs w:val="24"/>
        </w:rPr>
        <w:t>”</w:t>
      </w:r>
      <w:r>
        <w:rPr>
          <w:rFonts w:ascii="Times New Roman" w:hAnsi="Times New Roman" w:cs="Times New Roman"/>
          <w:sz w:val="24"/>
          <w:szCs w:val="24"/>
        </w:rPr>
        <w:t xml:space="preserve"> (Han and Watanabe, 1998). </w:t>
      </w:r>
      <w:r w:rsidR="0042375F">
        <w:rPr>
          <w:rFonts w:ascii="Times New Roman" w:hAnsi="Times New Roman" w:cs="Times New Roman"/>
          <w:sz w:val="24"/>
          <w:szCs w:val="24"/>
        </w:rPr>
        <w:t>“</w:t>
      </w:r>
      <w:r>
        <w:rPr>
          <w:rFonts w:ascii="Times New Roman" w:hAnsi="Times New Roman" w:cs="Times New Roman"/>
          <w:sz w:val="24"/>
          <w:szCs w:val="24"/>
        </w:rPr>
        <w:t xml:space="preserve">The spore, when swallowed by the silkworm through contaminated food germinates under alkaline conditions inside the gut of host with the help of digestive juice and produces a long polar filament measuring 500 µm in length and 0.5 µm in width [Fig.-1], and it is more than 30 times longer than that of the lengthwise dimension of the spore, on the end of which grows a </w:t>
      </w:r>
      <w:proofErr w:type="spellStart"/>
      <w:r>
        <w:rPr>
          <w:rFonts w:ascii="Times New Roman" w:hAnsi="Times New Roman" w:cs="Times New Roman"/>
          <w:sz w:val="24"/>
          <w:szCs w:val="24"/>
        </w:rPr>
        <w:t>sporoplasm</w:t>
      </w:r>
      <w:proofErr w:type="spellEnd"/>
      <w:r w:rsidR="0042375F">
        <w:rPr>
          <w:rFonts w:ascii="Times New Roman" w:hAnsi="Times New Roman" w:cs="Times New Roman"/>
          <w:sz w:val="24"/>
          <w:szCs w:val="24"/>
        </w:rPr>
        <w:t>”</w:t>
      </w:r>
      <w:r>
        <w:rPr>
          <w:rFonts w:ascii="Times New Roman" w:hAnsi="Times New Roman" w:cs="Times New Roman"/>
          <w:sz w:val="24"/>
          <w:szCs w:val="24"/>
        </w:rPr>
        <w:t xml:space="preserve"> (Peter </w:t>
      </w:r>
      <w:r>
        <w:rPr>
          <w:rFonts w:ascii="Times New Roman" w:hAnsi="Times New Roman" w:cs="Times New Roman"/>
          <w:i/>
          <w:iCs/>
          <w:sz w:val="24"/>
          <w:szCs w:val="24"/>
        </w:rPr>
        <w:t>et al.,</w:t>
      </w:r>
      <w:r>
        <w:rPr>
          <w:rFonts w:ascii="Times New Roman" w:hAnsi="Times New Roman" w:cs="Times New Roman"/>
          <w:sz w:val="24"/>
          <w:szCs w:val="24"/>
        </w:rPr>
        <w:t xml:space="preserve"> 1999). </w:t>
      </w:r>
      <w:r w:rsidR="0042375F">
        <w:rPr>
          <w:rFonts w:ascii="Times New Roman" w:hAnsi="Times New Roman" w:cs="Times New Roman"/>
          <w:sz w:val="24"/>
          <w:szCs w:val="24"/>
        </w:rPr>
        <w:t>“</w:t>
      </w:r>
      <w:r>
        <w:rPr>
          <w:rFonts w:ascii="Times New Roman" w:hAnsi="Times New Roman" w:cs="Times New Roman"/>
          <w:sz w:val="24"/>
          <w:szCs w:val="24"/>
        </w:rPr>
        <w:t xml:space="preserve">The </w:t>
      </w:r>
      <w:proofErr w:type="spellStart"/>
      <w:r>
        <w:rPr>
          <w:rFonts w:ascii="Times New Roman" w:hAnsi="Times New Roman" w:cs="Times New Roman"/>
          <w:sz w:val="24"/>
          <w:szCs w:val="24"/>
        </w:rPr>
        <w:t>sporoplasm</w:t>
      </w:r>
      <w:proofErr w:type="spellEnd"/>
      <w:r>
        <w:rPr>
          <w:rFonts w:ascii="Times New Roman" w:hAnsi="Times New Roman" w:cs="Times New Roman"/>
          <w:sz w:val="24"/>
          <w:szCs w:val="24"/>
        </w:rPr>
        <w:t xml:space="preserve"> has one or two nuclei and other cell organs and possesses limited membrane. The polar filaments are short our and anchor firmly to the gut wall by penetrating the epithelial cells of the alimentary canal. The </w:t>
      </w:r>
      <w:proofErr w:type="spellStart"/>
      <w:r>
        <w:rPr>
          <w:rFonts w:ascii="Times New Roman" w:hAnsi="Times New Roman" w:cs="Times New Roman"/>
          <w:sz w:val="24"/>
          <w:szCs w:val="24"/>
        </w:rPr>
        <w:t>sporoplasm</w:t>
      </w:r>
      <w:proofErr w:type="spellEnd"/>
      <w:r>
        <w:rPr>
          <w:rFonts w:ascii="Times New Roman" w:hAnsi="Times New Roman" w:cs="Times New Roman"/>
          <w:sz w:val="24"/>
          <w:szCs w:val="24"/>
        </w:rPr>
        <w:t xml:space="preserve"> emerging from the spore invades the cytoplasm of the host. The force that propels the everting of filament and drives the </w:t>
      </w:r>
      <w:proofErr w:type="spellStart"/>
      <w:r>
        <w:rPr>
          <w:rFonts w:ascii="Times New Roman" w:hAnsi="Times New Roman" w:cs="Times New Roman"/>
          <w:sz w:val="24"/>
          <w:szCs w:val="24"/>
        </w:rPr>
        <w:t>sporoplasm</w:t>
      </w:r>
      <w:proofErr w:type="spellEnd"/>
      <w:r>
        <w:rPr>
          <w:rFonts w:ascii="Times New Roman" w:hAnsi="Times New Roman" w:cs="Times New Roman"/>
          <w:sz w:val="24"/>
          <w:szCs w:val="24"/>
        </w:rPr>
        <w:t xml:space="preserve"> through the polar tube appears to be osmotic. Subsequently the polar filament gets digested in the alimentary tract. The two nuclei of the </w:t>
      </w:r>
      <w:proofErr w:type="spellStart"/>
      <w:r>
        <w:rPr>
          <w:rFonts w:ascii="Times New Roman" w:hAnsi="Times New Roman" w:cs="Times New Roman"/>
          <w:sz w:val="24"/>
          <w:szCs w:val="24"/>
        </w:rPr>
        <w:t>sporoplasm</w:t>
      </w:r>
      <w:proofErr w:type="spellEnd"/>
      <w:r>
        <w:rPr>
          <w:rFonts w:ascii="Times New Roman" w:hAnsi="Times New Roman" w:cs="Times New Roman"/>
          <w:sz w:val="24"/>
          <w:szCs w:val="24"/>
        </w:rPr>
        <w:t xml:space="preserve"> unite to form a uninucleate </w:t>
      </w:r>
      <w:proofErr w:type="spellStart"/>
      <w:r>
        <w:rPr>
          <w:rFonts w:ascii="Times New Roman" w:hAnsi="Times New Roman" w:cs="Times New Roman"/>
          <w:sz w:val="24"/>
          <w:szCs w:val="24"/>
        </w:rPr>
        <w:t>planont</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planont</w:t>
      </w:r>
      <w:proofErr w:type="spellEnd"/>
      <w:r>
        <w:rPr>
          <w:rFonts w:ascii="Times New Roman" w:hAnsi="Times New Roman" w:cs="Times New Roman"/>
          <w:sz w:val="24"/>
          <w:szCs w:val="24"/>
        </w:rPr>
        <w:t xml:space="preserve"> measures 0.5-1.5 µm and is formed in 1-2 days. The </w:t>
      </w:r>
      <w:proofErr w:type="spellStart"/>
      <w:r>
        <w:rPr>
          <w:rFonts w:ascii="Times New Roman" w:hAnsi="Times New Roman" w:cs="Times New Roman"/>
          <w:sz w:val="24"/>
          <w:szCs w:val="24"/>
        </w:rPr>
        <w:t>planont</w:t>
      </w:r>
      <w:proofErr w:type="spellEnd"/>
      <w:r>
        <w:rPr>
          <w:rFonts w:ascii="Times New Roman" w:hAnsi="Times New Roman" w:cs="Times New Roman"/>
          <w:sz w:val="24"/>
          <w:szCs w:val="24"/>
        </w:rPr>
        <w:t xml:space="preserve"> is sub shell, performs amoeboid movement and reproduces by binary fission. The </w:t>
      </w:r>
      <w:proofErr w:type="spellStart"/>
      <w:r>
        <w:rPr>
          <w:rFonts w:ascii="Times New Roman" w:hAnsi="Times New Roman" w:cs="Times New Roman"/>
          <w:sz w:val="24"/>
          <w:szCs w:val="24"/>
        </w:rPr>
        <w:t>planont</w:t>
      </w:r>
      <w:proofErr w:type="spellEnd"/>
      <w:r>
        <w:rPr>
          <w:rFonts w:ascii="Times New Roman" w:hAnsi="Times New Roman" w:cs="Times New Roman"/>
          <w:sz w:val="24"/>
          <w:szCs w:val="24"/>
        </w:rPr>
        <w:t xml:space="preserve"> which initially infects the gut later passes through the gut wall and invades the various tissues. Once the </w:t>
      </w:r>
      <w:proofErr w:type="spellStart"/>
      <w:r>
        <w:rPr>
          <w:rFonts w:ascii="Times New Roman" w:hAnsi="Times New Roman" w:cs="Times New Roman"/>
          <w:sz w:val="24"/>
          <w:szCs w:val="24"/>
        </w:rPr>
        <w:t>planont</w:t>
      </w:r>
      <w:proofErr w:type="spellEnd"/>
      <w:r>
        <w:rPr>
          <w:rFonts w:ascii="Times New Roman" w:hAnsi="Times New Roman" w:cs="Times New Roman"/>
          <w:sz w:val="24"/>
          <w:szCs w:val="24"/>
        </w:rPr>
        <w:t xml:space="preserve"> penetrates the host cell, it transforms in to a sedentary form and becomes localized. The stage is known as meront. Meront is an intracellular stage and has a definite cell wall which absorbs nutrients from host cell. The meront is formed in 2-3 days after infection. It reproduces by binary fission, multiple budding. When cytoplasm of the host cell is exhausted, meronts are arranged in parallel rows. The meront after massive proliferation fills up the host cells and when nutrients are depleted, sporulation takes place. The spore completes its life cycle within 4 days. Complete developmental stages of the pathogen have been studied and elucidated in detail</w:t>
      </w:r>
      <w:r w:rsidR="0042375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Takiwaza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1975). </w:t>
      </w:r>
      <w:r w:rsidR="0042375F">
        <w:rPr>
          <w:rFonts w:ascii="Times New Roman" w:hAnsi="Times New Roman" w:cs="Times New Roman"/>
          <w:sz w:val="24"/>
          <w:szCs w:val="24"/>
        </w:rPr>
        <w:t>“</w:t>
      </w:r>
      <w:r>
        <w:rPr>
          <w:rFonts w:ascii="Times New Roman" w:hAnsi="Times New Roman" w:cs="Times New Roman"/>
          <w:sz w:val="24"/>
          <w:szCs w:val="24"/>
        </w:rPr>
        <w:t>The mature spore is unicellular endomembranous differentiation of its sporoblast</w:t>
      </w:r>
      <w:r w:rsidR="0042375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Vavra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1976). </w:t>
      </w:r>
      <w:r w:rsidR="0042375F">
        <w:rPr>
          <w:rFonts w:ascii="Times New Roman" w:hAnsi="Times New Roman" w:cs="Times New Roman"/>
          <w:sz w:val="24"/>
          <w:szCs w:val="24"/>
        </w:rPr>
        <w:t>“</w:t>
      </w:r>
      <w:r>
        <w:rPr>
          <w:rFonts w:ascii="Times New Roman" w:hAnsi="Times New Roman" w:cs="Times New Roman"/>
          <w:sz w:val="24"/>
          <w:szCs w:val="24"/>
        </w:rPr>
        <w:t>These authors designated the sporoblasts as phase-I sporoblasts and Phase-II sporoblasts. The phase-I sporoblasts are characterized by the presence of a dark staining spherical body</w:t>
      </w:r>
      <w:r w:rsidR="0042375F">
        <w:rPr>
          <w:rFonts w:ascii="Times New Roman" w:hAnsi="Times New Roman" w:cs="Times New Roman"/>
          <w:sz w:val="24"/>
          <w:szCs w:val="24"/>
        </w:rPr>
        <w:t>”</w:t>
      </w:r>
      <w:r>
        <w:rPr>
          <w:rFonts w:ascii="Times New Roman" w:hAnsi="Times New Roman" w:cs="Times New Roman"/>
          <w:sz w:val="24"/>
          <w:szCs w:val="24"/>
        </w:rPr>
        <w:t xml:space="preserve"> (Singh </w:t>
      </w:r>
      <w:r>
        <w:rPr>
          <w:rFonts w:ascii="Times New Roman" w:hAnsi="Times New Roman" w:cs="Times New Roman"/>
          <w:i/>
          <w:iCs/>
          <w:sz w:val="24"/>
          <w:szCs w:val="24"/>
        </w:rPr>
        <w:t>et al.,</w:t>
      </w:r>
      <w:r>
        <w:rPr>
          <w:rFonts w:ascii="Times New Roman" w:hAnsi="Times New Roman" w:cs="Times New Roman"/>
          <w:sz w:val="24"/>
          <w:szCs w:val="24"/>
        </w:rPr>
        <w:t xml:space="preserve"> 2007). </w:t>
      </w:r>
      <w:r w:rsidR="0042375F">
        <w:rPr>
          <w:rFonts w:ascii="Times New Roman" w:hAnsi="Times New Roman" w:cs="Times New Roman"/>
          <w:sz w:val="24"/>
          <w:szCs w:val="24"/>
        </w:rPr>
        <w:t>“</w:t>
      </w:r>
      <w:r>
        <w:rPr>
          <w:rFonts w:ascii="Times New Roman" w:hAnsi="Times New Roman" w:cs="Times New Roman"/>
          <w:i/>
          <w:iCs/>
          <w:sz w:val="24"/>
          <w:szCs w:val="24"/>
        </w:rPr>
        <w:t xml:space="preserve">Nosema </w:t>
      </w:r>
      <w:proofErr w:type="spellStart"/>
      <w:r>
        <w:rPr>
          <w:rFonts w:ascii="Times New Roman" w:hAnsi="Times New Roman" w:cs="Times New Roman"/>
          <w:i/>
          <w:iCs/>
          <w:sz w:val="24"/>
          <w:szCs w:val="24"/>
        </w:rPr>
        <w:t>bombycis</w:t>
      </w:r>
      <w:proofErr w:type="spellEnd"/>
      <w:r>
        <w:rPr>
          <w:rFonts w:ascii="Times New Roman" w:hAnsi="Times New Roman" w:cs="Times New Roman"/>
          <w:sz w:val="24"/>
          <w:szCs w:val="24"/>
        </w:rPr>
        <w:t xml:space="preserve"> completes its relatively simple life cycle with two sporulation sequences both with </w:t>
      </w:r>
      <w:proofErr w:type="spellStart"/>
      <w:r>
        <w:rPr>
          <w:rFonts w:ascii="Times New Roman" w:hAnsi="Times New Roman" w:cs="Times New Roman"/>
          <w:sz w:val="24"/>
          <w:szCs w:val="24"/>
        </w:rPr>
        <w:t>diplokaryotic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sporont</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disporoblastic</w:t>
      </w:r>
      <w:proofErr w:type="spellEnd"/>
      <w:r>
        <w:rPr>
          <w:rFonts w:ascii="Times New Roman" w:hAnsi="Times New Roman" w:cs="Times New Roman"/>
          <w:sz w:val="24"/>
          <w:szCs w:val="24"/>
        </w:rPr>
        <w:t xml:space="preserve"> sporogony. The primary (early) sporulation sequence produces a thin-walled binucleate spore called “primary spore, internal spore or FC spore” (few coils of polar tube) with 4 coils of short polar filament and a large posterior vacuole. The primary spore can germinate quickly after formation in the infected cells and serve to disseminate infection within </w:t>
      </w:r>
      <w:r>
        <w:rPr>
          <w:rFonts w:ascii="Times New Roman" w:hAnsi="Times New Roman" w:cs="Times New Roman"/>
          <w:i/>
          <w:iCs/>
          <w:sz w:val="24"/>
          <w:szCs w:val="24"/>
        </w:rPr>
        <w:t>Bombyx mori</w:t>
      </w:r>
      <w:r>
        <w:rPr>
          <w:rFonts w:ascii="Times New Roman" w:hAnsi="Times New Roman" w:cs="Times New Roman"/>
          <w:sz w:val="24"/>
          <w:szCs w:val="24"/>
        </w:rPr>
        <w:t xml:space="preserve"> (auto infection) and they are responsible for transovarial transmission because of the infection of the gonads. In cultured insect cells or in vivo, the primary spores are present at 48 h after infestation</w:t>
      </w:r>
      <w:r w:rsidR="0042375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Kawarabata</w:t>
      </w:r>
      <w:proofErr w:type="spellEnd"/>
      <w:r>
        <w:rPr>
          <w:rFonts w:ascii="Times New Roman" w:hAnsi="Times New Roman" w:cs="Times New Roman"/>
          <w:sz w:val="24"/>
          <w:szCs w:val="24"/>
        </w:rPr>
        <w:t xml:space="preserve"> and Ishihara, 1984). </w:t>
      </w:r>
      <w:r w:rsidR="0042375F">
        <w:rPr>
          <w:rFonts w:ascii="Times New Roman" w:hAnsi="Times New Roman" w:cs="Times New Roman"/>
          <w:sz w:val="24"/>
          <w:szCs w:val="24"/>
        </w:rPr>
        <w:t>“</w:t>
      </w:r>
      <w:r>
        <w:rPr>
          <w:rFonts w:ascii="Times New Roman" w:hAnsi="Times New Roman" w:cs="Times New Roman"/>
          <w:sz w:val="24"/>
          <w:szCs w:val="24"/>
        </w:rPr>
        <w:t>The second sporulation sequence produces a binucleate spore with thicker spore wall and 10 to 13coils of long polar filament in one row arrangement</w:t>
      </w:r>
      <w:r w:rsidR="0042375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Iwano</w:t>
      </w:r>
      <w:proofErr w:type="spellEnd"/>
      <w:r>
        <w:rPr>
          <w:rFonts w:ascii="Times New Roman" w:hAnsi="Times New Roman" w:cs="Times New Roman"/>
          <w:sz w:val="24"/>
          <w:szCs w:val="24"/>
        </w:rPr>
        <w:t xml:space="preserve"> and Ishihara, 1991). </w:t>
      </w:r>
      <w:r w:rsidR="0042375F">
        <w:rPr>
          <w:rFonts w:ascii="Times New Roman" w:hAnsi="Times New Roman" w:cs="Times New Roman"/>
          <w:sz w:val="24"/>
          <w:szCs w:val="24"/>
        </w:rPr>
        <w:t>“</w:t>
      </w:r>
      <w:r>
        <w:rPr>
          <w:rFonts w:ascii="Times New Roman" w:hAnsi="Times New Roman" w:cs="Times New Roman"/>
          <w:sz w:val="24"/>
          <w:szCs w:val="24"/>
        </w:rPr>
        <w:t>They are detected 72 h after infestation of the insect cell cultures</w:t>
      </w:r>
      <w:r w:rsidR="0042375F">
        <w:rPr>
          <w:rFonts w:ascii="Times New Roman" w:hAnsi="Times New Roman" w:cs="Times New Roman"/>
          <w:sz w:val="24"/>
          <w:szCs w:val="24"/>
        </w:rPr>
        <w:t>”</w:t>
      </w:r>
      <w:r>
        <w:rPr>
          <w:rFonts w:ascii="Times New Roman" w:hAnsi="Times New Roman" w:cs="Times New Roman"/>
          <w:sz w:val="24"/>
          <w:szCs w:val="24"/>
        </w:rPr>
        <w:t xml:space="preserve"> (Ishihara and </w:t>
      </w:r>
      <w:proofErr w:type="spellStart"/>
      <w:r>
        <w:rPr>
          <w:rFonts w:ascii="Times New Roman" w:hAnsi="Times New Roman" w:cs="Times New Roman"/>
          <w:sz w:val="24"/>
          <w:szCs w:val="24"/>
        </w:rPr>
        <w:t>Sohi</w:t>
      </w:r>
      <w:proofErr w:type="spellEnd"/>
      <w:r>
        <w:rPr>
          <w:rFonts w:ascii="Times New Roman" w:hAnsi="Times New Roman" w:cs="Times New Roman"/>
          <w:sz w:val="24"/>
          <w:szCs w:val="24"/>
        </w:rPr>
        <w:t>, 1996). These external or environmental spores are involved in the infestation of new hosts and function to infect the new host in horizontal transmission.</w:t>
      </w:r>
    </w:p>
    <w:p w:rsidR="00B512CD" w:rsidRDefault="00521215">
      <w:pPr>
        <w:jc w:val="both"/>
        <w:rPr>
          <w:rFonts w:ascii="Times New Roman" w:hAnsi="Times New Roman" w:cs="Times New Roman"/>
          <w:sz w:val="24"/>
          <w:szCs w:val="24"/>
        </w:rPr>
      </w:pPr>
      <w:r>
        <w:rPr>
          <w:rFonts w:ascii="Times New Roman" w:hAnsi="Times New Roman" w:cs="Times New Roman"/>
          <w:noProof/>
          <w:sz w:val="24"/>
          <w:szCs w:val="24"/>
          <w:lang w:eastAsia="en-IN" w:bidi="kn-IN"/>
        </w:rPr>
        <w:lastRenderedPageBreak/>
        <w:drawing>
          <wp:inline distT="0" distB="0" distL="0" distR="0">
            <wp:extent cx="5731510" cy="303847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5731510" cy="3038475"/>
                    </a:xfrm>
                    <a:prstGeom prst="rect">
                      <a:avLst/>
                    </a:prstGeom>
                  </pic:spPr>
                </pic:pic>
              </a:graphicData>
            </a:graphic>
          </wp:inline>
        </w:drawing>
      </w:r>
    </w:p>
    <w:p w:rsidR="00B512CD" w:rsidRDefault="00521215">
      <w:pPr>
        <w:pStyle w:val="NormalWeb"/>
        <w:spacing w:line="276" w:lineRule="auto"/>
      </w:pPr>
      <w:r>
        <w:rPr>
          <w:b/>
          <w:bCs/>
        </w:rPr>
        <w:t>Fig. 1</w:t>
      </w:r>
      <w:r>
        <w:t xml:space="preserve">: Model of spore germination (Keeling and Fast, 2002). (A) Dormant spore, showing polar filament (black), nucleus (grey), </w:t>
      </w:r>
      <w:proofErr w:type="spellStart"/>
      <w:r>
        <w:t>polaroplastand</w:t>
      </w:r>
      <w:proofErr w:type="spellEnd"/>
      <w:r>
        <w:t xml:space="preserve"> posterior vacuole. (B) </w:t>
      </w:r>
      <w:proofErr w:type="spellStart"/>
      <w:r>
        <w:t>Polaroplastand</w:t>
      </w:r>
      <w:proofErr w:type="spellEnd"/>
      <w:r>
        <w:t xml:space="preserve"> posterior vacuole swells, anchoring disk ruptures, and polar filament begins to emerge and evert. (C) Polar filament continues to evert. (D) Once the polar tube is fully everted, the </w:t>
      </w:r>
      <w:proofErr w:type="spellStart"/>
      <w:r>
        <w:t>sporoplasm</w:t>
      </w:r>
      <w:proofErr w:type="spellEnd"/>
      <w:r>
        <w:t xml:space="preserve"> is forced into (E) through the polar tube. (F) </w:t>
      </w:r>
      <w:proofErr w:type="spellStart"/>
      <w:r>
        <w:t>Sporoplasm</w:t>
      </w:r>
      <w:proofErr w:type="spellEnd"/>
      <w:r>
        <w:t xml:space="preserve"> emerges from the polar tube bound by new membrane.</w:t>
      </w:r>
    </w:p>
    <w:p w:rsidR="00B512CD" w:rsidRDefault="00521215">
      <w:pPr>
        <w:rPr>
          <w:rFonts w:ascii="Times New Roman" w:hAnsi="Times New Roman" w:cs="Times New Roman"/>
          <w:b/>
          <w:bCs/>
          <w:sz w:val="24"/>
          <w:szCs w:val="24"/>
          <w:lang w:val="en-US"/>
        </w:rPr>
      </w:pPr>
      <w:r>
        <w:rPr>
          <w:rFonts w:ascii="Times New Roman" w:hAnsi="Times New Roman" w:cs="Times New Roman"/>
          <w:b/>
          <w:bCs/>
          <w:sz w:val="24"/>
          <w:szCs w:val="24"/>
          <w:lang w:val="en-US"/>
        </w:rPr>
        <w:t>Mode of infection and transmission method:</w:t>
      </w:r>
    </w:p>
    <w:p w:rsidR="00B512CD" w:rsidRDefault="00521215">
      <w:pPr>
        <w:jc w:val="both"/>
        <w:rPr>
          <w:rFonts w:ascii="Times New Roman" w:hAnsi="Times New Roman" w:cs="Times New Roman"/>
          <w:bCs/>
          <w:sz w:val="24"/>
          <w:szCs w:val="24"/>
        </w:rPr>
      </w:pPr>
      <w:r>
        <w:rPr>
          <w:rFonts w:ascii="Times New Roman" w:hAnsi="Times New Roman" w:cs="Times New Roman"/>
          <w:b/>
          <w:bCs/>
          <w:sz w:val="24"/>
          <w:szCs w:val="24"/>
          <w:lang w:val="en-US"/>
        </w:rPr>
        <w:t xml:space="preserve"> </w:t>
      </w:r>
      <w:r>
        <w:rPr>
          <w:rFonts w:ascii="Times New Roman" w:hAnsi="Times New Roman" w:cs="Times New Roman"/>
          <w:bCs/>
          <w:sz w:val="24"/>
          <w:szCs w:val="24"/>
        </w:rPr>
        <w:t xml:space="preserve">A. </w:t>
      </w:r>
      <w:r w:rsidR="004464A4">
        <w:rPr>
          <w:rFonts w:ascii="Times New Roman" w:hAnsi="Times New Roman" w:cs="Times New Roman"/>
          <w:bCs/>
          <w:sz w:val="24"/>
          <w:szCs w:val="24"/>
        </w:rPr>
        <w:t>“</w:t>
      </w:r>
      <w:r>
        <w:rPr>
          <w:rFonts w:ascii="Times New Roman" w:hAnsi="Times New Roman" w:cs="Times New Roman"/>
          <w:bCs/>
          <w:sz w:val="24"/>
          <w:szCs w:val="24"/>
        </w:rPr>
        <w:t xml:space="preserve">Transovarial/Embryonic/Vertical Transmission: </w:t>
      </w:r>
      <w:r>
        <w:rPr>
          <w:rFonts w:ascii="Times New Roman" w:hAnsi="Times New Roman" w:cs="Times New Roman"/>
          <w:sz w:val="24"/>
          <w:szCs w:val="24"/>
        </w:rPr>
        <w:t xml:space="preserve">Embryonic infection occurs when the pathogen infects fourth or fifth instar larvae in which it invades the epithelial cells of the ovaries and then parasites are transferred to the oogonia, oocytes and nutritive cells. Parasitism of the oocytes may result in death of the resultant eggs after being laid. If non-infected oocytes </w:t>
      </w:r>
      <w:proofErr w:type="gramStart"/>
      <w:r>
        <w:rPr>
          <w:rFonts w:ascii="Times New Roman" w:hAnsi="Times New Roman" w:cs="Times New Roman"/>
          <w:sz w:val="24"/>
          <w:szCs w:val="24"/>
        </w:rPr>
        <w:t>absorbs</w:t>
      </w:r>
      <w:proofErr w:type="gramEnd"/>
      <w:r>
        <w:rPr>
          <w:rFonts w:ascii="Times New Roman" w:hAnsi="Times New Roman" w:cs="Times New Roman"/>
          <w:sz w:val="24"/>
          <w:szCs w:val="24"/>
        </w:rPr>
        <w:t xml:space="preserve"> the nutrient material from infected nutritive cells, the protozoan will pass over to the oocytes and may cause infection to the embryos</w:t>
      </w:r>
      <w:r w:rsidR="004464A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lang w:val="en-GB"/>
        </w:rPr>
        <w:t>(</w:t>
      </w:r>
      <w:r>
        <w:rPr>
          <w:rFonts w:ascii="Times New Roman" w:hAnsi="Times New Roman" w:cs="Times New Roman"/>
          <w:bCs/>
          <w:sz w:val="24"/>
          <w:szCs w:val="24"/>
        </w:rPr>
        <w:t xml:space="preserve">Govindan </w:t>
      </w:r>
      <w:r>
        <w:rPr>
          <w:rFonts w:ascii="Times New Roman" w:hAnsi="Times New Roman" w:cs="Times New Roman"/>
          <w:bCs/>
          <w:i/>
          <w:iCs/>
          <w:sz w:val="24"/>
          <w:szCs w:val="24"/>
        </w:rPr>
        <w:t>et al.,</w:t>
      </w:r>
      <w:r>
        <w:rPr>
          <w:rFonts w:ascii="Times New Roman" w:hAnsi="Times New Roman" w:cs="Times New Roman"/>
          <w:bCs/>
          <w:sz w:val="24"/>
          <w:szCs w:val="24"/>
        </w:rPr>
        <w:t xml:space="preserve"> 1998).</w:t>
      </w:r>
    </w:p>
    <w:p w:rsidR="00B512CD" w:rsidRDefault="00521215">
      <w:pPr>
        <w:jc w:val="both"/>
        <w:rPr>
          <w:rFonts w:ascii="Times New Roman" w:hAnsi="Times New Roman" w:cs="Times New Roman"/>
          <w:bCs/>
          <w:sz w:val="24"/>
          <w:szCs w:val="24"/>
        </w:rPr>
      </w:pPr>
      <w:r>
        <w:rPr>
          <w:rFonts w:ascii="Times New Roman" w:hAnsi="Times New Roman" w:cs="Times New Roman"/>
          <w:bCs/>
          <w:sz w:val="24"/>
          <w:szCs w:val="24"/>
        </w:rPr>
        <w:t>B.</w:t>
      </w:r>
      <w:r>
        <w:rPr>
          <w:rFonts w:ascii="Times New Roman" w:hAnsi="Times New Roman" w:cs="Times New Roman"/>
          <w:sz w:val="24"/>
          <w:szCs w:val="24"/>
        </w:rPr>
        <w:t xml:space="preserve"> </w:t>
      </w:r>
      <w:r>
        <w:rPr>
          <w:rFonts w:ascii="Times New Roman" w:hAnsi="Times New Roman" w:cs="Times New Roman"/>
          <w:bCs/>
          <w:sz w:val="24"/>
          <w:szCs w:val="24"/>
        </w:rPr>
        <w:t xml:space="preserve">Horizontal Transmission: </w:t>
      </w:r>
      <w:proofErr w:type="spellStart"/>
      <w:r>
        <w:rPr>
          <w:rFonts w:ascii="Times New Roman" w:hAnsi="Times New Roman" w:cs="Times New Roman"/>
          <w:bCs/>
          <w:sz w:val="24"/>
          <w:szCs w:val="24"/>
        </w:rPr>
        <w:t>i</w:t>
      </w:r>
      <w:proofErr w:type="spellEnd"/>
      <w:r>
        <w:rPr>
          <w:rFonts w:ascii="Times New Roman" w:hAnsi="Times New Roman" w:cs="Times New Roman"/>
          <w:bCs/>
          <w:sz w:val="24"/>
          <w:szCs w:val="24"/>
        </w:rPr>
        <w:t>) Contamination in rearing bed:</w:t>
      </w:r>
      <w:r>
        <w:rPr>
          <w:rFonts w:ascii="Times New Roman" w:hAnsi="Times New Roman" w:cs="Times New Roman"/>
          <w:b/>
          <w:bCs/>
          <w:sz w:val="24"/>
          <w:szCs w:val="24"/>
        </w:rPr>
        <w:t xml:space="preserve"> </w:t>
      </w:r>
      <w:r>
        <w:rPr>
          <w:rFonts w:ascii="Times New Roman" w:hAnsi="Times New Roman" w:cs="Times New Roman"/>
          <w:sz w:val="24"/>
          <w:szCs w:val="24"/>
        </w:rPr>
        <w:t xml:space="preserve">Secondary contamination takes place in the rearing bed through the faecal matter of the infected larvae, contaminated tray, dust from the contaminated room and dead larvae infected with disease. </w:t>
      </w:r>
      <w:proofErr w:type="gramStart"/>
      <w:r>
        <w:rPr>
          <w:rFonts w:ascii="Times New Roman" w:hAnsi="Times New Roman" w:cs="Times New Roman"/>
          <w:sz w:val="24"/>
          <w:szCs w:val="24"/>
        </w:rPr>
        <w:t>ii)</w:t>
      </w:r>
      <w:r w:rsidR="004464A4">
        <w:rPr>
          <w:rFonts w:ascii="Times New Roman" w:hAnsi="Times New Roman" w:cs="Times New Roman"/>
          <w:sz w:val="24"/>
          <w:szCs w:val="24"/>
        </w:rPr>
        <w:t>”</w:t>
      </w:r>
      <w:r>
        <w:rPr>
          <w:rFonts w:ascii="Times New Roman" w:hAnsi="Times New Roman" w:cs="Times New Roman"/>
          <w:bCs/>
          <w:sz w:val="24"/>
          <w:szCs w:val="24"/>
        </w:rPr>
        <w:t>Through</w:t>
      </w:r>
      <w:proofErr w:type="gramEnd"/>
      <w:r>
        <w:rPr>
          <w:rFonts w:ascii="Times New Roman" w:hAnsi="Times New Roman" w:cs="Times New Roman"/>
          <w:bCs/>
          <w:sz w:val="24"/>
          <w:szCs w:val="24"/>
        </w:rPr>
        <w:t xml:space="preserve"> mulberry leaf:</w:t>
      </w:r>
      <w:r>
        <w:rPr>
          <w:rFonts w:ascii="Times New Roman" w:hAnsi="Times New Roman" w:cs="Times New Roman"/>
          <w:sz w:val="24"/>
          <w:szCs w:val="24"/>
        </w:rPr>
        <w:t xml:space="preserve"> Improper disposal of silkworm litter, infected larvae and use of incompletely decomposed silkworm bed refuse in mulberry fields as manure may form a source of contamination to the mulberry leaves. iii)</w:t>
      </w:r>
      <w:r>
        <w:rPr>
          <w:rFonts w:ascii="Times New Roman" w:hAnsi="Times New Roman" w:cs="Times New Roman"/>
          <w:bCs/>
          <w:sz w:val="24"/>
          <w:szCs w:val="24"/>
        </w:rPr>
        <w:t xml:space="preserve">Through </w:t>
      </w:r>
      <w:proofErr w:type="spellStart"/>
      <w:r>
        <w:rPr>
          <w:rFonts w:ascii="Times New Roman" w:hAnsi="Times New Roman" w:cs="Times New Roman"/>
          <w:bCs/>
          <w:sz w:val="24"/>
          <w:szCs w:val="24"/>
        </w:rPr>
        <w:t>layings</w:t>
      </w:r>
      <w:proofErr w:type="spellEnd"/>
      <w:r>
        <w:rPr>
          <w:rFonts w:ascii="Times New Roman" w:hAnsi="Times New Roman" w:cs="Times New Roman"/>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Incubation of </w:t>
      </w:r>
      <w:proofErr w:type="spellStart"/>
      <w:r>
        <w:rPr>
          <w:rFonts w:ascii="Times New Roman" w:hAnsi="Times New Roman" w:cs="Times New Roman"/>
          <w:sz w:val="24"/>
          <w:szCs w:val="24"/>
        </w:rPr>
        <w:t>layings</w:t>
      </w:r>
      <w:proofErr w:type="spellEnd"/>
      <w:r>
        <w:rPr>
          <w:rFonts w:ascii="Times New Roman" w:hAnsi="Times New Roman" w:cs="Times New Roman"/>
          <w:sz w:val="24"/>
          <w:szCs w:val="24"/>
        </w:rPr>
        <w:t xml:space="preserve"> in contaminated room without proper disinfection, results in surface contamination of eggs and larvae get infected</w:t>
      </w:r>
      <w:r w:rsidR="004464A4">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w:t>
      </w:r>
      <w:r>
        <w:rPr>
          <w:rFonts w:ascii="Times New Roman" w:hAnsi="Times New Roman" w:cs="Times New Roman"/>
          <w:bCs/>
          <w:sz w:val="24"/>
          <w:szCs w:val="24"/>
          <w:lang w:val="en-GB"/>
        </w:rPr>
        <w:t>(</w:t>
      </w:r>
      <w:r>
        <w:rPr>
          <w:rFonts w:ascii="Times New Roman" w:hAnsi="Times New Roman" w:cs="Times New Roman"/>
          <w:bCs/>
          <w:sz w:val="24"/>
          <w:szCs w:val="24"/>
        </w:rPr>
        <w:t xml:space="preserve">Govindan </w:t>
      </w:r>
      <w:r>
        <w:rPr>
          <w:rFonts w:ascii="Times New Roman" w:hAnsi="Times New Roman" w:cs="Times New Roman"/>
          <w:bCs/>
          <w:i/>
          <w:iCs/>
          <w:sz w:val="24"/>
          <w:szCs w:val="24"/>
        </w:rPr>
        <w:t>et al.,</w:t>
      </w:r>
      <w:r>
        <w:rPr>
          <w:rFonts w:ascii="Times New Roman" w:hAnsi="Times New Roman" w:cs="Times New Roman"/>
          <w:bCs/>
          <w:sz w:val="24"/>
          <w:szCs w:val="24"/>
        </w:rPr>
        <w:t xml:space="preserve"> 1998).</w:t>
      </w:r>
    </w:p>
    <w:p w:rsidR="00B512CD" w:rsidRDefault="00521215">
      <w:pPr>
        <w:rPr>
          <w:rFonts w:ascii="Times New Roman" w:hAnsi="Times New Roman" w:cs="Times New Roman"/>
          <w:b/>
          <w:sz w:val="24"/>
          <w:szCs w:val="24"/>
        </w:rPr>
      </w:pPr>
      <w:r>
        <w:rPr>
          <w:rFonts w:ascii="Times New Roman" w:hAnsi="Times New Roman" w:cs="Times New Roman"/>
          <w:b/>
          <w:sz w:val="24"/>
          <w:szCs w:val="24"/>
        </w:rPr>
        <w:t xml:space="preserve">SYMPTOMS OF THE DISEASE: </w:t>
      </w:r>
      <w:r>
        <w:rPr>
          <w:rFonts w:ascii="Times New Roman" w:hAnsi="Times New Roman" w:cs="Times New Roman"/>
          <w:bCs/>
          <w:sz w:val="24"/>
          <w:szCs w:val="24"/>
        </w:rPr>
        <w:t xml:space="preserve">Govindan </w:t>
      </w:r>
      <w:r>
        <w:rPr>
          <w:rFonts w:ascii="Times New Roman" w:hAnsi="Times New Roman" w:cs="Times New Roman"/>
          <w:bCs/>
          <w:i/>
          <w:iCs/>
          <w:sz w:val="24"/>
          <w:szCs w:val="24"/>
        </w:rPr>
        <w:t>et al.,</w:t>
      </w:r>
      <w:r>
        <w:rPr>
          <w:rFonts w:ascii="Times New Roman" w:hAnsi="Times New Roman" w:cs="Times New Roman"/>
          <w:bCs/>
          <w:sz w:val="24"/>
          <w:szCs w:val="24"/>
        </w:rPr>
        <w:t xml:space="preserve"> 1998 stated that </w:t>
      </w:r>
      <w:r>
        <w:rPr>
          <w:rFonts w:ascii="Times New Roman" w:hAnsi="Times New Roman" w:cs="Times New Roman"/>
          <w:sz w:val="24"/>
          <w:szCs w:val="24"/>
        </w:rPr>
        <w:t>symptoms of this disease are observed in all the developmental stages of silkworm as given below</w:t>
      </w:r>
    </w:p>
    <w:p w:rsidR="00B512CD" w:rsidRDefault="00521215">
      <w:pPr>
        <w:pStyle w:val="ListParagraph"/>
        <w:numPr>
          <w:ilvl w:val="0"/>
          <w:numId w:val="1"/>
        </w:numPr>
        <w:rPr>
          <w:rFonts w:ascii="Times New Roman" w:hAnsi="Times New Roman" w:cs="Times New Roman"/>
          <w:b/>
          <w:sz w:val="24"/>
          <w:szCs w:val="24"/>
        </w:rPr>
      </w:pPr>
      <w:r>
        <w:rPr>
          <w:rFonts w:ascii="Times New Roman" w:hAnsi="Times New Roman" w:cs="Times New Roman"/>
          <w:b/>
          <w:bCs/>
          <w:sz w:val="24"/>
          <w:szCs w:val="24"/>
        </w:rPr>
        <w:t xml:space="preserve">Egg Stage: </w:t>
      </w:r>
      <w:r>
        <w:rPr>
          <w:rFonts w:ascii="Times New Roman" w:hAnsi="Times New Roman" w:cs="Times New Roman"/>
          <w:sz w:val="24"/>
          <w:szCs w:val="24"/>
        </w:rPr>
        <w:t xml:space="preserve">The egg count of the infected moth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very less and eggs fail to attach to the egg sheets firmly. The eggs laid by infected moth are mostly unfertile and may be dead. Heavily infected eggs are generally seen in lumps.</w:t>
      </w:r>
    </w:p>
    <w:p w:rsidR="00B512CD" w:rsidRDefault="00521215">
      <w:pPr>
        <w:pStyle w:val="ListParagraph"/>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lastRenderedPageBreak/>
        <w:t>Larval stage</w:t>
      </w:r>
    </w:p>
    <w:p w:rsidR="00B512CD" w:rsidRDefault="00521215">
      <w:pPr>
        <w:pStyle w:val="ListParagraph"/>
        <w:numPr>
          <w:ilvl w:val="0"/>
          <w:numId w:val="2"/>
        </w:numPr>
        <w:ind w:hanging="153"/>
        <w:jc w:val="both"/>
        <w:rPr>
          <w:rFonts w:ascii="Times New Roman" w:hAnsi="Times New Roman" w:cs="Times New Roman"/>
          <w:sz w:val="24"/>
          <w:szCs w:val="24"/>
        </w:rPr>
      </w:pPr>
      <w:r>
        <w:rPr>
          <w:rFonts w:ascii="Times New Roman" w:hAnsi="Times New Roman" w:cs="Times New Roman"/>
          <w:sz w:val="24"/>
          <w:szCs w:val="24"/>
        </w:rPr>
        <w:t xml:space="preserve">The infected larvae </w:t>
      </w:r>
      <w:proofErr w:type="gramStart"/>
      <w:r>
        <w:rPr>
          <w:rFonts w:ascii="Times New Roman" w:hAnsi="Times New Roman" w:cs="Times New Roman"/>
          <w:sz w:val="24"/>
          <w:szCs w:val="24"/>
        </w:rPr>
        <w:t>shows</w:t>
      </w:r>
      <w:proofErr w:type="gramEnd"/>
      <w:r>
        <w:rPr>
          <w:rFonts w:ascii="Times New Roman" w:hAnsi="Times New Roman" w:cs="Times New Roman"/>
          <w:sz w:val="24"/>
          <w:szCs w:val="24"/>
        </w:rPr>
        <w:t xml:space="preserve"> poor appetite, Irregular moulting retarded growth and development results in disparity of size</w:t>
      </w:r>
    </w:p>
    <w:p w:rsidR="00B512CD" w:rsidRDefault="00521215">
      <w:pPr>
        <w:pStyle w:val="ListParagraph"/>
        <w:numPr>
          <w:ilvl w:val="0"/>
          <w:numId w:val="2"/>
        </w:numPr>
        <w:ind w:hanging="153"/>
        <w:jc w:val="both"/>
        <w:rPr>
          <w:rFonts w:ascii="Times New Roman" w:hAnsi="Times New Roman" w:cs="Times New Roman"/>
          <w:sz w:val="24"/>
          <w:szCs w:val="24"/>
        </w:rPr>
      </w:pPr>
      <w:r>
        <w:rPr>
          <w:rFonts w:ascii="Times New Roman" w:hAnsi="Times New Roman" w:cs="Times New Roman"/>
          <w:sz w:val="24"/>
          <w:szCs w:val="24"/>
        </w:rPr>
        <w:t>Black pepper like spots are also noticed on the skin of heavily infected larvae</w:t>
      </w:r>
    </w:p>
    <w:p w:rsidR="00B512CD" w:rsidRDefault="00521215">
      <w:pPr>
        <w:pStyle w:val="ListParagraph"/>
        <w:numPr>
          <w:ilvl w:val="0"/>
          <w:numId w:val="2"/>
        </w:numPr>
        <w:ind w:hanging="153"/>
        <w:jc w:val="both"/>
        <w:rPr>
          <w:rFonts w:ascii="Times New Roman" w:hAnsi="Times New Roman" w:cs="Times New Roman"/>
          <w:sz w:val="24"/>
          <w:szCs w:val="24"/>
        </w:rPr>
      </w:pPr>
      <w:proofErr w:type="spellStart"/>
      <w:r>
        <w:rPr>
          <w:rFonts w:ascii="Times New Roman" w:hAnsi="Times New Roman" w:cs="Times New Roman"/>
          <w:sz w:val="24"/>
          <w:szCs w:val="24"/>
        </w:rPr>
        <w:t>Pebrinised</w:t>
      </w:r>
      <w:proofErr w:type="spellEnd"/>
      <w:r>
        <w:rPr>
          <w:rFonts w:ascii="Times New Roman" w:hAnsi="Times New Roman" w:cs="Times New Roman"/>
          <w:sz w:val="24"/>
          <w:szCs w:val="24"/>
        </w:rPr>
        <w:t xml:space="preserve"> larvae generally die</w:t>
      </w:r>
    </w:p>
    <w:p w:rsidR="00B512CD" w:rsidRDefault="00521215">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rPr>
        <w:t>Pupal stage</w:t>
      </w:r>
    </w:p>
    <w:p w:rsidR="00B512CD" w:rsidRDefault="0052121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Infected pupae have swollen and blackish abdomen</w:t>
      </w:r>
    </w:p>
    <w:p w:rsidR="00B512CD" w:rsidRDefault="0052121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Heavily infected pupae fail to metamorphose into an adult</w:t>
      </w:r>
    </w:p>
    <w:p w:rsidR="00B512CD" w:rsidRDefault="0052121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Cocoons spun by infected silkworm may become flimsy and malformed</w:t>
      </w:r>
    </w:p>
    <w:p w:rsidR="00B512CD" w:rsidRDefault="00521215">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rPr>
        <w:t>Moth stage</w:t>
      </w:r>
    </w:p>
    <w:p w:rsidR="00B512CD" w:rsidRDefault="00521215">
      <w:pPr>
        <w:pStyle w:val="ListParagraph"/>
        <w:numPr>
          <w:ilvl w:val="0"/>
          <w:numId w:val="4"/>
        </w:numPr>
        <w:ind w:left="993" w:hanging="284"/>
        <w:rPr>
          <w:rFonts w:ascii="Times New Roman" w:hAnsi="Times New Roman" w:cs="Times New Roman"/>
          <w:sz w:val="24"/>
          <w:szCs w:val="24"/>
        </w:rPr>
      </w:pPr>
      <w:r>
        <w:rPr>
          <w:rFonts w:ascii="Times New Roman" w:hAnsi="Times New Roman" w:cs="Times New Roman"/>
          <w:sz w:val="24"/>
          <w:szCs w:val="24"/>
        </w:rPr>
        <w:t>Infected moths have deformed wings, distorted antennae and discoloured body</w:t>
      </w:r>
    </w:p>
    <w:p w:rsidR="00B512CD" w:rsidRDefault="00521215">
      <w:pPr>
        <w:pStyle w:val="ListParagraph"/>
        <w:numPr>
          <w:ilvl w:val="0"/>
          <w:numId w:val="4"/>
        </w:numPr>
        <w:ind w:left="993" w:hanging="284"/>
        <w:rPr>
          <w:rFonts w:ascii="Times New Roman" w:hAnsi="Times New Roman" w:cs="Times New Roman"/>
          <w:sz w:val="24"/>
          <w:szCs w:val="24"/>
        </w:rPr>
      </w:pPr>
      <w:r>
        <w:rPr>
          <w:rFonts w:ascii="Times New Roman" w:hAnsi="Times New Roman" w:cs="Times New Roman"/>
          <w:sz w:val="24"/>
          <w:szCs w:val="24"/>
        </w:rPr>
        <w:t>Infected moths do not exhibit typical mating behaviour and have poor fecundity</w:t>
      </w:r>
    </w:p>
    <w:p w:rsidR="00B512CD" w:rsidRDefault="00521215">
      <w:pPr>
        <w:pStyle w:val="ListParagraph"/>
        <w:numPr>
          <w:ilvl w:val="0"/>
          <w:numId w:val="4"/>
        </w:numPr>
        <w:ind w:left="851" w:hanging="153"/>
        <w:rPr>
          <w:rFonts w:ascii="Times New Roman" w:hAnsi="Times New Roman" w:cs="Times New Roman"/>
          <w:sz w:val="24"/>
          <w:szCs w:val="24"/>
        </w:rPr>
      </w:pPr>
      <w:r>
        <w:rPr>
          <w:rFonts w:ascii="Times New Roman" w:hAnsi="Times New Roman" w:cs="Times New Roman"/>
          <w:sz w:val="24"/>
          <w:szCs w:val="24"/>
        </w:rPr>
        <w:t xml:space="preserve">  In </w:t>
      </w:r>
      <w:proofErr w:type="spellStart"/>
      <w:r>
        <w:rPr>
          <w:rFonts w:ascii="Times New Roman" w:hAnsi="Times New Roman" w:cs="Times New Roman"/>
          <w:sz w:val="24"/>
          <w:szCs w:val="24"/>
        </w:rPr>
        <w:t>pebrinised</w:t>
      </w:r>
      <w:proofErr w:type="spellEnd"/>
      <w:r>
        <w:rPr>
          <w:rFonts w:ascii="Times New Roman" w:hAnsi="Times New Roman" w:cs="Times New Roman"/>
          <w:sz w:val="24"/>
          <w:szCs w:val="24"/>
        </w:rPr>
        <w:t xml:space="preserve"> moths, accessory glands are infected, which results in laying loose egg</w:t>
      </w:r>
    </w:p>
    <w:p w:rsidR="00B512CD" w:rsidRDefault="00521215">
      <w:pPr>
        <w:pStyle w:val="NormalWeb"/>
        <w:spacing w:line="276" w:lineRule="auto"/>
      </w:pPr>
      <w:r>
        <w:rPr>
          <w:rFonts w:eastAsiaTheme="minorEastAsia"/>
          <w:b/>
          <w:bCs/>
        </w:rPr>
        <w:t xml:space="preserve">Management of the </w:t>
      </w:r>
      <w:proofErr w:type="spellStart"/>
      <w:r>
        <w:rPr>
          <w:rFonts w:eastAsiaTheme="minorEastAsia"/>
          <w:b/>
          <w:bCs/>
        </w:rPr>
        <w:t>pebrine</w:t>
      </w:r>
      <w:proofErr w:type="spellEnd"/>
      <w:r>
        <w:rPr>
          <w:rFonts w:eastAsiaTheme="minorEastAsia"/>
          <w:b/>
          <w:bCs/>
        </w:rPr>
        <w:t xml:space="preserve"> disease</w:t>
      </w:r>
      <w:r>
        <w:rPr>
          <w:b/>
          <w:bCs/>
        </w:rPr>
        <w:t>:</w:t>
      </w:r>
      <w:r>
        <w:t xml:space="preserve"> </w:t>
      </w:r>
      <w:r>
        <w:rPr>
          <w:rFonts w:eastAsiaTheme="minorEastAsia"/>
        </w:rPr>
        <w:t xml:space="preserve">For successful prevention and timely curtailing of </w:t>
      </w:r>
      <w:proofErr w:type="spellStart"/>
      <w:r>
        <w:rPr>
          <w:rFonts w:eastAsiaTheme="minorEastAsia"/>
        </w:rPr>
        <w:t>pebrine</w:t>
      </w:r>
      <w:proofErr w:type="spellEnd"/>
      <w:r>
        <w:rPr>
          <w:rFonts w:eastAsiaTheme="minorEastAsia"/>
        </w:rPr>
        <w:t xml:space="preserve"> disease all the possible detective methods should be employed effectively.</w:t>
      </w:r>
    </w:p>
    <w:p w:rsidR="00B512CD" w:rsidRDefault="00521215">
      <w:pPr>
        <w:pStyle w:val="NormalWeb"/>
        <w:spacing w:line="276" w:lineRule="auto"/>
        <w:jc w:val="both"/>
      </w:pPr>
      <w:r>
        <w:rPr>
          <w:b/>
          <w:bCs/>
          <w:lang w:val="en-US"/>
        </w:rPr>
        <w:t xml:space="preserve">1. Predictive test: </w:t>
      </w:r>
      <w:r>
        <w:rPr>
          <w:lang w:val="en-US"/>
        </w:rPr>
        <w:t xml:space="preserve">The suspected silkworm in early instars and </w:t>
      </w:r>
      <w:proofErr w:type="spellStart"/>
      <w:r>
        <w:rPr>
          <w:lang w:val="en-US"/>
        </w:rPr>
        <w:t>faeces</w:t>
      </w:r>
      <w:proofErr w:type="spellEnd"/>
      <w:r>
        <w:rPr>
          <w:lang w:val="en-US"/>
        </w:rPr>
        <w:t xml:space="preserve"> will be subjected for detection of spores</w:t>
      </w:r>
      <w:r>
        <w:t xml:space="preserve">. </w:t>
      </w:r>
      <w:r>
        <w:rPr>
          <w:lang w:val="en-US"/>
        </w:rPr>
        <w:t xml:space="preserve">First sampling must be done during first and second instar, another sampling must be made from fourth instars </w:t>
      </w:r>
      <w:proofErr w:type="spellStart"/>
      <w:r>
        <w:rPr>
          <w:lang w:val="en-US"/>
        </w:rPr>
        <w:t>upto</w:t>
      </w:r>
      <w:proofErr w:type="spellEnd"/>
      <w:r>
        <w:rPr>
          <w:lang w:val="en-US"/>
        </w:rPr>
        <w:t xml:space="preserve"> the mounting period to identify second stage of contamination.</w:t>
      </w:r>
    </w:p>
    <w:p w:rsidR="00B512CD" w:rsidRDefault="00521215">
      <w:pPr>
        <w:pStyle w:val="NormalWeb"/>
        <w:spacing w:line="276" w:lineRule="auto"/>
        <w:jc w:val="both"/>
      </w:pPr>
      <w:r>
        <w:rPr>
          <w:b/>
          <w:bCs/>
          <w:lang w:val="en-US"/>
        </w:rPr>
        <w:t xml:space="preserve">2. Pupal test: </w:t>
      </w:r>
      <w:r>
        <w:rPr>
          <w:lang w:val="en-US"/>
        </w:rPr>
        <w:t xml:space="preserve">When the seed cocoon lots arrive to the market, random sampling of cocoons suspected to be </w:t>
      </w:r>
      <w:proofErr w:type="spellStart"/>
      <w:r>
        <w:rPr>
          <w:lang w:val="en-US"/>
        </w:rPr>
        <w:t>pebrinised</w:t>
      </w:r>
      <w:proofErr w:type="spellEnd"/>
      <w:r>
        <w:rPr>
          <w:lang w:val="en-US"/>
        </w:rPr>
        <w:t xml:space="preserve"> will be made and the presence of the pathogen in pupae is confirmed before the disposal of seed cocoons to the </w:t>
      </w:r>
      <w:proofErr w:type="spellStart"/>
      <w:r>
        <w:rPr>
          <w:lang w:val="en-US"/>
        </w:rPr>
        <w:t>grainages</w:t>
      </w:r>
      <w:proofErr w:type="spellEnd"/>
      <w:r>
        <w:rPr>
          <w:lang w:val="en-US"/>
        </w:rPr>
        <w:t>.</w:t>
      </w:r>
    </w:p>
    <w:p w:rsidR="00B512CD" w:rsidRDefault="00521215">
      <w:pPr>
        <w:pStyle w:val="NormalWeb"/>
        <w:spacing w:line="276" w:lineRule="auto"/>
        <w:jc w:val="both"/>
      </w:pPr>
      <w:r>
        <w:rPr>
          <w:b/>
          <w:bCs/>
          <w:lang w:val="en-US"/>
        </w:rPr>
        <w:t xml:space="preserve">3. Forced </w:t>
      </w:r>
      <w:proofErr w:type="spellStart"/>
      <w:r>
        <w:rPr>
          <w:b/>
          <w:bCs/>
          <w:lang w:val="en-US"/>
        </w:rPr>
        <w:t>eclosion</w:t>
      </w:r>
      <w:proofErr w:type="spellEnd"/>
      <w:r>
        <w:rPr>
          <w:b/>
          <w:bCs/>
          <w:lang w:val="en-US"/>
        </w:rPr>
        <w:t xml:space="preserve"> test: </w:t>
      </w:r>
      <w:r>
        <w:rPr>
          <w:lang w:val="en-US"/>
        </w:rPr>
        <w:t xml:space="preserve">The </w:t>
      </w:r>
      <w:proofErr w:type="spellStart"/>
      <w:r>
        <w:rPr>
          <w:lang w:val="en-US"/>
        </w:rPr>
        <w:t>confirmity</w:t>
      </w:r>
      <w:proofErr w:type="spellEnd"/>
      <w:r>
        <w:rPr>
          <w:lang w:val="en-US"/>
        </w:rPr>
        <w:t xml:space="preserve"> for the presence of pathogen is made even before the moth emergence so that if the lot contains more </w:t>
      </w:r>
      <w:proofErr w:type="spellStart"/>
      <w:r>
        <w:rPr>
          <w:lang w:val="en-US"/>
        </w:rPr>
        <w:t>pebrine</w:t>
      </w:r>
      <w:proofErr w:type="spellEnd"/>
      <w:r>
        <w:rPr>
          <w:lang w:val="en-US"/>
        </w:rPr>
        <w:t xml:space="preserve">, </w:t>
      </w:r>
      <w:proofErr w:type="spellStart"/>
      <w:r>
        <w:rPr>
          <w:lang w:val="en-US"/>
        </w:rPr>
        <w:t>atleast</w:t>
      </w:r>
      <w:proofErr w:type="spellEnd"/>
      <w:r>
        <w:rPr>
          <w:lang w:val="en-US"/>
        </w:rPr>
        <w:t xml:space="preserve"> those cocoons can be used for reeling silk.</w:t>
      </w:r>
    </w:p>
    <w:p w:rsidR="00B512CD" w:rsidRDefault="00521215">
      <w:pPr>
        <w:pStyle w:val="NormalWeb"/>
        <w:numPr>
          <w:ilvl w:val="0"/>
          <w:numId w:val="5"/>
        </w:numPr>
        <w:spacing w:line="276" w:lineRule="auto"/>
        <w:jc w:val="both"/>
      </w:pPr>
      <w:r>
        <w:rPr>
          <w:lang w:val="en-US"/>
        </w:rPr>
        <w:t>In this test, a small number of seed cocoons from each batch is preserved at temperature of 32</w:t>
      </w:r>
      <m:oMath>
        <m:r>
          <w:rPr>
            <w:rFonts w:ascii="Cambria Math" w:hAnsi="Cambria Math"/>
            <w:lang w:val="en-US"/>
          </w:rPr>
          <m:t>℃</m:t>
        </m:r>
      </m:oMath>
      <w:r>
        <w:rPr>
          <w:lang w:val="en-US"/>
        </w:rPr>
        <w:t xml:space="preserve"> which facilitates early emergence by 1-2 days</w:t>
      </w:r>
    </w:p>
    <w:p w:rsidR="00B512CD" w:rsidRDefault="00521215">
      <w:pPr>
        <w:pStyle w:val="NormalWeb"/>
        <w:numPr>
          <w:ilvl w:val="0"/>
          <w:numId w:val="5"/>
        </w:numPr>
        <w:spacing w:line="276" w:lineRule="auto"/>
        <w:jc w:val="both"/>
      </w:pPr>
      <w:r>
        <w:rPr>
          <w:lang w:val="en-US"/>
        </w:rPr>
        <w:t xml:space="preserve">The early </w:t>
      </w:r>
      <w:proofErr w:type="spellStart"/>
      <w:r>
        <w:rPr>
          <w:lang w:val="en-US"/>
        </w:rPr>
        <w:t>ecloded</w:t>
      </w:r>
      <w:proofErr w:type="spellEnd"/>
      <w:r>
        <w:rPr>
          <w:lang w:val="en-US"/>
        </w:rPr>
        <w:t xml:space="preserve"> moths are examined and if found to be </w:t>
      </w:r>
      <w:proofErr w:type="spellStart"/>
      <w:r>
        <w:rPr>
          <w:lang w:val="en-US"/>
        </w:rPr>
        <w:t>pebrinised</w:t>
      </w:r>
      <w:proofErr w:type="spellEnd"/>
      <w:r>
        <w:rPr>
          <w:lang w:val="en-US"/>
        </w:rPr>
        <w:t>, the whole batch of cocoons is sent for reeling after proper stifling</w:t>
      </w:r>
    </w:p>
    <w:p w:rsidR="00B512CD" w:rsidRDefault="00521215">
      <w:pPr>
        <w:pStyle w:val="NormalWeb"/>
        <w:spacing w:line="276" w:lineRule="auto"/>
        <w:jc w:val="both"/>
        <w:rPr>
          <w:b/>
          <w:bCs/>
        </w:rPr>
      </w:pPr>
      <w:r>
        <w:rPr>
          <w:b/>
          <w:bCs/>
        </w:rPr>
        <w:t>4. Mother moth examination method:</w:t>
      </w:r>
    </w:p>
    <w:p w:rsidR="00B512CD" w:rsidRDefault="00521215">
      <w:pPr>
        <w:pStyle w:val="NormalWeb"/>
        <w:spacing w:line="276" w:lineRule="auto"/>
        <w:jc w:val="both"/>
      </w:pPr>
      <w:r>
        <w:t>For the examination of mother moths, the standard method of Fujiwara (1984) is followed</w:t>
      </w:r>
    </w:p>
    <w:p w:rsidR="00B512CD" w:rsidRDefault="00521215">
      <w:pPr>
        <w:pStyle w:val="NormalWeb"/>
        <w:spacing w:line="276" w:lineRule="auto"/>
        <w:jc w:val="both"/>
      </w:pPr>
      <w:r>
        <w:rPr>
          <w:b/>
          <w:bCs/>
          <w:lang w:val="en-US"/>
        </w:rPr>
        <w:t xml:space="preserve">Step 1. </w:t>
      </w:r>
      <w:r>
        <w:rPr>
          <w:lang w:val="en-US"/>
        </w:rPr>
        <w:t>Collection of mother moths and labelling</w:t>
      </w:r>
    </w:p>
    <w:p w:rsidR="00B512CD" w:rsidRDefault="00521215">
      <w:pPr>
        <w:pStyle w:val="NormalWeb"/>
        <w:spacing w:line="276" w:lineRule="auto"/>
        <w:jc w:val="both"/>
        <w:rPr>
          <w:lang w:val="en-GB"/>
        </w:rPr>
      </w:pPr>
      <w:r>
        <w:rPr>
          <w:b/>
          <w:bCs/>
          <w:lang w:val="en-GB"/>
        </w:rPr>
        <w:t>Step 2</w:t>
      </w:r>
      <w:r>
        <w:rPr>
          <w:lang w:val="en-GB"/>
        </w:rPr>
        <w:t xml:space="preserve">. Mother moths crushed in a domestic mixer for 2 minutes by adding 4ml of 0.6% of potassium carbonate solution in the ratio of 1:4 </w:t>
      </w:r>
    </w:p>
    <w:p w:rsidR="00B512CD" w:rsidRDefault="00521215">
      <w:pPr>
        <w:pStyle w:val="NormalWeb"/>
        <w:spacing w:line="276" w:lineRule="auto"/>
        <w:jc w:val="both"/>
        <w:rPr>
          <w:lang w:val="en-GB"/>
        </w:rPr>
      </w:pPr>
      <w:r>
        <w:rPr>
          <w:b/>
          <w:bCs/>
          <w:lang w:val="en-GB"/>
        </w:rPr>
        <w:lastRenderedPageBreak/>
        <w:t>Step 3.</w:t>
      </w:r>
      <w:r>
        <w:rPr>
          <w:lang w:val="en-GB"/>
        </w:rPr>
        <w:t xml:space="preserve"> The homogenate is allowed to settle for 3-5 minutes in a beaker</w:t>
      </w:r>
    </w:p>
    <w:p w:rsidR="00B512CD" w:rsidRDefault="00521215">
      <w:pPr>
        <w:pStyle w:val="NormalWeb"/>
        <w:spacing w:line="276" w:lineRule="auto"/>
        <w:jc w:val="both"/>
        <w:rPr>
          <w:lang w:val="en-GB"/>
        </w:rPr>
      </w:pPr>
      <w:r>
        <w:rPr>
          <w:b/>
          <w:bCs/>
          <w:lang w:val="en-GB"/>
        </w:rPr>
        <w:t>Step 4.</w:t>
      </w:r>
      <w:r>
        <w:rPr>
          <w:lang w:val="en-GB"/>
        </w:rPr>
        <w:t xml:space="preserve"> The un-macerated tissue and debris is separated and discarded by decantation</w:t>
      </w:r>
      <w:r>
        <w:t xml:space="preserve">. </w:t>
      </w:r>
      <w:r>
        <w:rPr>
          <w:lang w:val="en-GB"/>
        </w:rPr>
        <w:t>The bottom liquid is filtered by using filter paper</w:t>
      </w:r>
    </w:p>
    <w:p w:rsidR="00B512CD" w:rsidRDefault="00521215">
      <w:pPr>
        <w:pStyle w:val="NormalWeb"/>
        <w:spacing w:line="276" w:lineRule="auto"/>
        <w:jc w:val="both"/>
        <w:rPr>
          <w:lang w:val="en-GB"/>
        </w:rPr>
      </w:pPr>
      <w:r>
        <w:rPr>
          <w:b/>
          <w:bCs/>
          <w:lang w:val="en-GB"/>
        </w:rPr>
        <w:t xml:space="preserve">Step 5. </w:t>
      </w:r>
      <w:r>
        <w:rPr>
          <w:lang w:val="en-GB"/>
        </w:rPr>
        <w:t>The filtered sample is centrifuged at 3000 rpm for 3 minutes</w:t>
      </w:r>
    </w:p>
    <w:p w:rsidR="00B512CD" w:rsidRDefault="00521215">
      <w:pPr>
        <w:pStyle w:val="NormalWeb"/>
        <w:spacing w:line="276" w:lineRule="auto"/>
        <w:jc w:val="both"/>
      </w:pPr>
      <w:r>
        <w:rPr>
          <w:b/>
          <w:bCs/>
          <w:lang w:val="en-GB"/>
        </w:rPr>
        <w:t>Step 6.</w:t>
      </w:r>
      <w:r>
        <w:rPr>
          <w:lang w:val="en-GB"/>
        </w:rPr>
        <w:t xml:space="preserve"> Later the supernatant liquid is decanted and pellet is dispersed in a few drops of 2% KOH solution over a cyclomixer</w:t>
      </w:r>
    </w:p>
    <w:p w:rsidR="00B512CD" w:rsidRDefault="00521215">
      <w:pPr>
        <w:pStyle w:val="NormalWeb"/>
        <w:spacing w:line="276" w:lineRule="auto"/>
        <w:jc w:val="both"/>
      </w:pPr>
      <w:r>
        <w:rPr>
          <w:b/>
          <w:bCs/>
          <w:lang w:val="en-GB"/>
        </w:rPr>
        <w:t>Step 7.</w:t>
      </w:r>
      <w:r>
        <w:rPr>
          <w:lang w:val="en-GB"/>
        </w:rPr>
        <w:t xml:space="preserve"> Two smears from each sample is examined under microscope (600X)</w:t>
      </w:r>
      <w:r>
        <w:t xml:space="preserve">. The intensity of infection is estimated on the basis of the number of </w:t>
      </w:r>
      <w:proofErr w:type="gramStart"/>
      <w:r>
        <w:t>spores/field</w:t>
      </w:r>
      <w:proofErr w:type="gramEnd"/>
    </w:p>
    <w:p w:rsidR="00B512CD" w:rsidRDefault="00521215">
      <w:pPr>
        <w:pStyle w:val="NormalWeb"/>
        <w:spacing w:line="276" w:lineRule="auto"/>
        <w:rPr>
          <w:b/>
          <w:bCs/>
          <w:lang w:val="en-US"/>
        </w:rPr>
      </w:pPr>
      <w:r>
        <w:rPr>
          <w:noProof/>
        </w:rPr>
        <w:lastRenderedPageBreak/>
        <w:drawing>
          <wp:inline distT="0" distB="0" distL="0" distR="0">
            <wp:extent cx="5448300" cy="7958455"/>
            <wp:effectExtent l="0" t="0" r="0" b="4445"/>
            <wp:docPr id="22" name="Picture 22" descr="Fi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Fig.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474575" cy="7997149"/>
                    </a:xfrm>
                    <a:prstGeom prst="rect">
                      <a:avLst/>
                    </a:prstGeom>
                    <a:noFill/>
                    <a:ln>
                      <a:noFill/>
                    </a:ln>
                  </pic:spPr>
                </pic:pic>
              </a:graphicData>
            </a:graphic>
          </wp:inline>
        </w:drawing>
      </w:r>
    </w:p>
    <w:p w:rsidR="00B512CD" w:rsidRDefault="00521215">
      <w:pPr>
        <w:pStyle w:val="NormalWeb"/>
        <w:spacing w:line="276" w:lineRule="auto"/>
        <w:jc w:val="both"/>
        <w:rPr>
          <w:b/>
          <w:bCs/>
        </w:rPr>
      </w:pPr>
      <w:r>
        <w:rPr>
          <w:b/>
          <w:bCs/>
          <w:lang w:val="en-US"/>
        </w:rPr>
        <w:t xml:space="preserve">Fig. 2: Steps followed during mother moth examination. Source: TNAU </w:t>
      </w:r>
      <w:proofErr w:type="spellStart"/>
      <w:r>
        <w:rPr>
          <w:b/>
          <w:bCs/>
          <w:lang w:val="en-US"/>
        </w:rPr>
        <w:t>Agritechportal</w:t>
      </w:r>
      <w:proofErr w:type="spellEnd"/>
    </w:p>
    <w:p w:rsidR="00B512CD" w:rsidRDefault="00B512CD">
      <w:pPr>
        <w:pStyle w:val="NormalWeb"/>
        <w:spacing w:line="276" w:lineRule="auto"/>
        <w:jc w:val="both"/>
        <w:rPr>
          <w:b/>
          <w:bCs/>
          <w:lang w:val="en-US"/>
        </w:rPr>
      </w:pPr>
    </w:p>
    <w:p w:rsidR="00B512CD" w:rsidRDefault="00521215">
      <w:pPr>
        <w:pStyle w:val="NormalWeb"/>
        <w:spacing w:line="276" w:lineRule="auto"/>
        <w:jc w:val="both"/>
      </w:pPr>
      <w:r>
        <w:rPr>
          <w:b/>
          <w:bCs/>
          <w:lang w:val="en-US"/>
        </w:rPr>
        <w:lastRenderedPageBreak/>
        <w:t>5. Delayed mother moth examination</w:t>
      </w:r>
    </w:p>
    <w:p w:rsidR="00B512CD" w:rsidRDefault="00521215">
      <w:pPr>
        <w:pStyle w:val="NormalWeb"/>
        <w:numPr>
          <w:ilvl w:val="0"/>
          <w:numId w:val="6"/>
        </w:numPr>
        <w:spacing w:line="276" w:lineRule="auto"/>
        <w:jc w:val="both"/>
      </w:pPr>
      <w:r>
        <w:t xml:space="preserve">For delayed mother moth examination method (Sing </w:t>
      </w:r>
      <w:r>
        <w:rPr>
          <w:i/>
          <w:iCs/>
        </w:rPr>
        <w:t xml:space="preserve">et al., </w:t>
      </w:r>
      <w:r>
        <w:t>2004), the moths after oviposition were collected in groups in perforated cardboard boxes/covers and preserved in an isolated, well-ventilated room at 25-30</w:t>
      </w:r>
      <w:r>
        <w:rPr>
          <w:vertAlign w:val="superscript"/>
        </w:rPr>
        <w:t>º</w:t>
      </w:r>
      <w:r>
        <w:t>C for a period of 3-4 days and examined under microscope (600X) at 4 days interval.</w:t>
      </w:r>
    </w:p>
    <w:p w:rsidR="00B512CD" w:rsidRDefault="00521215">
      <w:pPr>
        <w:pStyle w:val="NormalWeb"/>
        <w:numPr>
          <w:ilvl w:val="0"/>
          <w:numId w:val="6"/>
        </w:numPr>
        <w:spacing w:line="276" w:lineRule="auto"/>
        <w:jc w:val="both"/>
      </w:pPr>
      <w:r>
        <w:t xml:space="preserve">Moths were examined as per the procedure of mother moth examination. </w:t>
      </w:r>
    </w:p>
    <w:p w:rsidR="00B512CD" w:rsidRDefault="00521215">
      <w:pPr>
        <w:pStyle w:val="NormalWeb"/>
        <w:spacing w:line="276" w:lineRule="auto"/>
        <w:jc w:val="both"/>
      </w:pPr>
      <w:r>
        <w:rPr>
          <w:b/>
          <w:bCs/>
          <w:lang w:val="en-US"/>
        </w:rPr>
        <w:t>6. Immunological techniques</w:t>
      </w:r>
    </w:p>
    <w:p w:rsidR="00B512CD" w:rsidRDefault="00521215">
      <w:pPr>
        <w:pStyle w:val="NormalWeb"/>
        <w:numPr>
          <w:ilvl w:val="0"/>
          <w:numId w:val="7"/>
        </w:numPr>
        <w:spacing w:line="276" w:lineRule="auto"/>
        <w:jc w:val="both"/>
      </w:pPr>
      <w:r>
        <w:rPr>
          <w:lang w:val="en-US"/>
        </w:rPr>
        <w:t xml:space="preserve">Immunological techniques have been applied for detection of </w:t>
      </w:r>
      <w:proofErr w:type="spellStart"/>
      <w:r>
        <w:rPr>
          <w:lang w:val="en-US"/>
        </w:rPr>
        <w:t>pebrine</w:t>
      </w:r>
      <w:proofErr w:type="spellEnd"/>
      <w:r>
        <w:rPr>
          <w:lang w:val="en-US"/>
        </w:rPr>
        <w:t xml:space="preserve"> and identification of species of </w:t>
      </w:r>
      <w:r>
        <w:rPr>
          <w:i/>
          <w:iCs/>
          <w:lang w:val="en-US"/>
        </w:rPr>
        <w:t xml:space="preserve">N. </w:t>
      </w:r>
      <w:proofErr w:type="spellStart"/>
      <w:r>
        <w:rPr>
          <w:i/>
          <w:iCs/>
          <w:lang w:val="en-US"/>
        </w:rPr>
        <w:t>bombycis</w:t>
      </w:r>
      <w:proofErr w:type="spellEnd"/>
      <w:r>
        <w:rPr>
          <w:i/>
          <w:iCs/>
          <w:lang w:val="en-US"/>
        </w:rPr>
        <w:t xml:space="preserve"> </w:t>
      </w:r>
      <w:r>
        <w:rPr>
          <w:lang w:val="en-US"/>
        </w:rPr>
        <w:t xml:space="preserve">and closely related species with the use of </w:t>
      </w:r>
    </w:p>
    <w:p w:rsidR="00B512CD" w:rsidRDefault="00521215">
      <w:pPr>
        <w:pStyle w:val="NormalWeb"/>
        <w:numPr>
          <w:ilvl w:val="0"/>
          <w:numId w:val="7"/>
        </w:numPr>
        <w:spacing w:line="276" w:lineRule="auto"/>
        <w:jc w:val="both"/>
      </w:pPr>
      <w:r>
        <w:rPr>
          <w:lang w:val="en-US"/>
        </w:rPr>
        <w:t>Double immunodiffusion technique</w:t>
      </w:r>
    </w:p>
    <w:p w:rsidR="00B512CD" w:rsidRDefault="00521215">
      <w:pPr>
        <w:pStyle w:val="NormalWeb"/>
        <w:numPr>
          <w:ilvl w:val="0"/>
          <w:numId w:val="7"/>
        </w:numPr>
        <w:spacing w:line="276" w:lineRule="auto"/>
        <w:jc w:val="both"/>
      </w:pPr>
      <w:r>
        <w:rPr>
          <w:lang w:val="en-US"/>
        </w:rPr>
        <w:t xml:space="preserve">Slide agglutination test: </w:t>
      </w:r>
    </w:p>
    <w:p w:rsidR="00B512CD" w:rsidRDefault="00521215">
      <w:pPr>
        <w:pStyle w:val="NormalWeb"/>
        <w:numPr>
          <w:ilvl w:val="0"/>
          <w:numId w:val="7"/>
        </w:numPr>
        <w:spacing w:line="276" w:lineRule="auto"/>
        <w:jc w:val="both"/>
      </w:pPr>
      <w:r>
        <w:rPr>
          <w:lang w:val="en-US"/>
        </w:rPr>
        <w:t>Antibody sensitized latex</w:t>
      </w:r>
    </w:p>
    <w:p w:rsidR="00B512CD" w:rsidRDefault="00521215">
      <w:pPr>
        <w:pStyle w:val="NormalWeb"/>
        <w:numPr>
          <w:ilvl w:val="0"/>
          <w:numId w:val="7"/>
        </w:numPr>
        <w:spacing w:line="276" w:lineRule="auto"/>
        <w:jc w:val="both"/>
      </w:pPr>
      <w:r>
        <w:rPr>
          <w:lang w:val="en-US"/>
        </w:rPr>
        <w:t>Fluorescent antibody technique</w:t>
      </w:r>
    </w:p>
    <w:p w:rsidR="00B512CD" w:rsidRDefault="00521215">
      <w:pPr>
        <w:pStyle w:val="NormalWeb"/>
        <w:spacing w:line="276" w:lineRule="auto"/>
        <w:jc w:val="both"/>
        <w:rPr>
          <w:lang w:val="en-US"/>
        </w:rPr>
      </w:pPr>
      <w:r>
        <w:rPr>
          <w:lang w:val="en-US"/>
        </w:rPr>
        <w:t xml:space="preserve">These tests could be mainly used for early detection thereby enabling adoption of adequate preventive and control measures </w:t>
      </w:r>
      <w:r>
        <w:rPr>
          <w:bCs/>
          <w:lang w:val="en-GB"/>
        </w:rPr>
        <w:t>(</w:t>
      </w:r>
      <w:r>
        <w:rPr>
          <w:bCs/>
        </w:rPr>
        <w:t xml:space="preserve">Govindan </w:t>
      </w:r>
      <w:r>
        <w:rPr>
          <w:bCs/>
          <w:i/>
          <w:iCs/>
        </w:rPr>
        <w:t>et al.,</w:t>
      </w:r>
      <w:r>
        <w:rPr>
          <w:bCs/>
        </w:rPr>
        <w:t xml:space="preserve"> 1998).</w:t>
      </w:r>
    </w:p>
    <w:p w:rsidR="00B512CD" w:rsidRDefault="00521215">
      <w:pPr>
        <w:pStyle w:val="NormalWeb"/>
        <w:spacing w:line="276" w:lineRule="auto"/>
        <w:jc w:val="center"/>
        <w:rPr>
          <w:b/>
          <w:bCs/>
          <w:lang w:val="en-US"/>
        </w:rPr>
      </w:pPr>
      <w:r>
        <w:rPr>
          <w:b/>
          <w:bCs/>
          <w:lang w:val="en-US"/>
        </w:rPr>
        <w:t>PREVENTION AND CONTROL</w:t>
      </w:r>
    </w:p>
    <w:p w:rsidR="00B512CD" w:rsidRDefault="00521215">
      <w:pPr>
        <w:pStyle w:val="NormalWeb"/>
        <w:numPr>
          <w:ilvl w:val="0"/>
          <w:numId w:val="8"/>
        </w:numPr>
        <w:tabs>
          <w:tab w:val="clear" w:pos="720"/>
          <w:tab w:val="left" w:pos="360"/>
        </w:tabs>
        <w:spacing w:line="276" w:lineRule="auto"/>
        <w:jc w:val="both"/>
      </w:pPr>
      <w:r>
        <w:t>The disease is transmitted both vertically and horizontally, this unique characteristic of the disease has made it difficult to completely eliminate it from the silkworm crops</w:t>
      </w:r>
    </w:p>
    <w:p w:rsidR="00B512CD" w:rsidRDefault="00521215">
      <w:pPr>
        <w:pStyle w:val="NormalWeb"/>
        <w:numPr>
          <w:ilvl w:val="0"/>
          <w:numId w:val="8"/>
        </w:numPr>
        <w:spacing w:line="276" w:lineRule="auto"/>
        <w:jc w:val="both"/>
      </w:pPr>
      <w:r>
        <w:t>The disease has become more complex now because of the occurrence of different strains of microsporidians infecting the silkworm</w:t>
      </w:r>
    </w:p>
    <w:p w:rsidR="00B512CD" w:rsidRDefault="00521215">
      <w:pPr>
        <w:pStyle w:val="NormalWeb"/>
        <w:numPr>
          <w:ilvl w:val="0"/>
          <w:numId w:val="8"/>
        </w:numPr>
        <w:spacing w:line="276" w:lineRule="auto"/>
        <w:jc w:val="both"/>
      </w:pPr>
      <w:r>
        <w:rPr>
          <w:lang w:val="en-US"/>
        </w:rPr>
        <w:t xml:space="preserve">So, it is essential that one should have a thorough knowledge of the available methods of detection of </w:t>
      </w:r>
      <w:proofErr w:type="spellStart"/>
      <w:r>
        <w:rPr>
          <w:lang w:val="en-US"/>
        </w:rPr>
        <w:t>pebrine</w:t>
      </w:r>
      <w:proofErr w:type="spellEnd"/>
      <w:r>
        <w:rPr>
          <w:lang w:val="en-US"/>
        </w:rPr>
        <w:t xml:space="preserve"> pathogen can be detected timely and effectively which further helps to plan for successful prevention of the disease</w:t>
      </w:r>
    </w:p>
    <w:p w:rsidR="00B512CD" w:rsidRDefault="00521215">
      <w:pPr>
        <w:pStyle w:val="NormalWeb"/>
        <w:numPr>
          <w:ilvl w:val="0"/>
          <w:numId w:val="9"/>
        </w:numPr>
        <w:spacing w:line="276" w:lineRule="auto"/>
        <w:jc w:val="both"/>
      </w:pPr>
      <w:r>
        <w:rPr>
          <w:lang w:val="en-US"/>
        </w:rPr>
        <w:t xml:space="preserve">In </w:t>
      </w:r>
      <w:proofErr w:type="spellStart"/>
      <w:r>
        <w:rPr>
          <w:lang w:val="en-US"/>
        </w:rPr>
        <w:t>grainages</w:t>
      </w:r>
      <w:proofErr w:type="spellEnd"/>
      <w:r>
        <w:rPr>
          <w:lang w:val="en-US"/>
        </w:rPr>
        <w:t xml:space="preserve"> only disease- free </w:t>
      </w:r>
      <w:proofErr w:type="spellStart"/>
      <w:r>
        <w:rPr>
          <w:lang w:val="en-US"/>
        </w:rPr>
        <w:t>layings</w:t>
      </w:r>
      <w:proofErr w:type="spellEnd"/>
      <w:r>
        <w:rPr>
          <w:lang w:val="en-US"/>
        </w:rPr>
        <w:t xml:space="preserve"> will be allowed for rearing. </w:t>
      </w:r>
    </w:p>
    <w:p w:rsidR="00B512CD" w:rsidRDefault="00521215">
      <w:pPr>
        <w:pStyle w:val="NormalWeb"/>
        <w:numPr>
          <w:ilvl w:val="0"/>
          <w:numId w:val="9"/>
        </w:numPr>
        <w:spacing w:line="276" w:lineRule="auto"/>
        <w:jc w:val="both"/>
      </w:pPr>
      <w:r>
        <w:rPr>
          <w:lang w:val="en-US"/>
        </w:rPr>
        <w:t>Two rounds of effective disinfection of rearing house and appliances may have to be ensured once immediately after cocoon harvest</w:t>
      </w:r>
      <w:r>
        <w:t xml:space="preserve"> with 3% formalin and the other just prior to the next brushing with 5% bleaching powder solution</w:t>
      </w:r>
    </w:p>
    <w:p w:rsidR="00B512CD" w:rsidRDefault="00521215">
      <w:pPr>
        <w:pStyle w:val="NormalWeb"/>
        <w:numPr>
          <w:ilvl w:val="0"/>
          <w:numId w:val="9"/>
        </w:numPr>
        <w:spacing w:line="276" w:lineRule="auto"/>
        <w:jc w:val="both"/>
      </w:pPr>
      <w:r>
        <w:rPr>
          <w:lang w:val="en-US"/>
        </w:rPr>
        <w:t>Surface disinfection of incubated eggs two days before hatching with 2% formalin for 5 min to overcome the contamination during incubation</w:t>
      </w:r>
    </w:p>
    <w:p w:rsidR="00B512CD" w:rsidRDefault="00521215">
      <w:pPr>
        <w:pStyle w:val="NormalWeb"/>
        <w:numPr>
          <w:ilvl w:val="0"/>
          <w:numId w:val="9"/>
        </w:numPr>
        <w:spacing w:line="276" w:lineRule="auto"/>
        <w:jc w:val="both"/>
      </w:pPr>
      <w:r>
        <w:rPr>
          <w:lang w:val="en-US"/>
        </w:rPr>
        <w:t xml:space="preserve">Rearing of silkworm breeds most </w:t>
      </w:r>
      <w:proofErr w:type="spellStart"/>
      <w:r>
        <w:rPr>
          <w:lang w:val="en-US"/>
        </w:rPr>
        <w:t>tolarent</w:t>
      </w:r>
      <w:proofErr w:type="spellEnd"/>
      <w:r>
        <w:rPr>
          <w:lang w:val="en-US"/>
        </w:rPr>
        <w:t xml:space="preserve"> or resistant to silkworm pathogen is the best option against the loss due to disease</w:t>
      </w:r>
    </w:p>
    <w:p w:rsidR="00B512CD" w:rsidRDefault="00521215">
      <w:pPr>
        <w:pStyle w:val="NormalWeb"/>
        <w:numPr>
          <w:ilvl w:val="0"/>
          <w:numId w:val="9"/>
        </w:numPr>
        <w:spacing w:line="276" w:lineRule="auto"/>
        <w:jc w:val="both"/>
      </w:pPr>
      <w:r>
        <w:rPr>
          <w:lang w:val="en-US"/>
        </w:rPr>
        <w:t>Collection and disposal of diseased larvae</w:t>
      </w:r>
    </w:p>
    <w:p w:rsidR="00B512CD" w:rsidRDefault="00521215">
      <w:pPr>
        <w:pStyle w:val="NormalWeb"/>
        <w:numPr>
          <w:ilvl w:val="0"/>
          <w:numId w:val="9"/>
        </w:numPr>
        <w:spacing w:line="276" w:lineRule="auto"/>
        <w:jc w:val="both"/>
      </w:pPr>
      <w:r>
        <w:rPr>
          <w:lang w:val="en-US"/>
        </w:rPr>
        <w:t xml:space="preserve"> Prompt destruction </w:t>
      </w:r>
      <w:proofErr w:type="gramStart"/>
      <w:r>
        <w:rPr>
          <w:lang w:val="en-US"/>
        </w:rPr>
        <w:t xml:space="preserve">of  </w:t>
      </w:r>
      <w:proofErr w:type="spellStart"/>
      <w:r>
        <w:rPr>
          <w:lang w:val="en-US"/>
        </w:rPr>
        <w:t>pebrine</w:t>
      </w:r>
      <w:proofErr w:type="spellEnd"/>
      <w:proofErr w:type="gramEnd"/>
      <w:r>
        <w:rPr>
          <w:lang w:val="en-US"/>
        </w:rPr>
        <w:t xml:space="preserve"> infected </w:t>
      </w:r>
      <w:proofErr w:type="spellStart"/>
      <w:r>
        <w:rPr>
          <w:lang w:val="en-US"/>
        </w:rPr>
        <w:t>rearings</w:t>
      </w:r>
      <w:proofErr w:type="spellEnd"/>
      <w:r>
        <w:rPr>
          <w:lang w:val="en-US"/>
        </w:rPr>
        <w:t xml:space="preserve"> by burning.</w:t>
      </w:r>
    </w:p>
    <w:p w:rsidR="00B512CD" w:rsidRDefault="00521215">
      <w:pPr>
        <w:pStyle w:val="NormalWeb"/>
        <w:numPr>
          <w:ilvl w:val="0"/>
          <w:numId w:val="9"/>
        </w:numPr>
        <w:spacing w:line="276" w:lineRule="auto"/>
        <w:jc w:val="both"/>
      </w:pPr>
      <w:r>
        <w:rPr>
          <w:lang w:val="en-US"/>
        </w:rPr>
        <w:t>Avoid contamination of mulberry leaf with silkworm pathogens</w:t>
      </w:r>
    </w:p>
    <w:p w:rsidR="00B512CD" w:rsidRDefault="00521215">
      <w:pPr>
        <w:pStyle w:val="NormalWeb"/>
        <w:numPr>
          <w:ilvl w:val="0"/>
          <w:numId w:val="9"/>
        </w:numPr>
        <w:spacing w:line="276" w:lineRule="auto"/>
        <w:jc w:val="both"/>
      </w:pPr>
      <w:r>
        <w:rPr>
          <w:lang w:val="en-US"/>
        </w:rPr>
        <w:t xml:space="preserve"> Maintain hygienic conditions in egg production room and rearing sites.</w:t>
      </w:r>
    </w:p>
    <w:p w:rsidR="00B512CD" w:rsidRDefault="00521215">
      <w:pPr>
        <w:pStyle w:val="NormalWeb"/>
        <w:numPr>
          <w:ilvl w:val="0"/>
          <w:numId w:val="9"/>
        </w:numPr>
        <w:spacing w:line="276" w:lineRule="auto"/>
        <w:jc w:val="both"/>
      </w:pPr>
      <w:r>
        <w:rPr>
          <w:lang w:val="en-US"/>
        </w:rPr>
        <w:t>Maintain personal hygiene by proper disinfection of hand and foot during rearing</w:t>
      </w:r>
    </w:p>
    <w:p w:rsidR="00B512CD" w:rsidRDefault="00521215">
      <w:pPr>
        <w:pStyle w:val="NormalWeb"/>
        <w:numPr>
          <w:ilvl w:val="0"/>
          <w:numId w:val="9"/>
        </w:numPr>
        <w:spacing w:line="276" w:lineRule="auto"/>
        <w:jc w:val="both"/>
      </w:pPr>
      <w:r>
        <w:rPr>
          <w:lang w:val="en-US"/>
        </w:rPr>
        <w:t>Bed cleaning and disinfection at regular intervals</w:t>
      </w:r>
    </w:p>
    <w:p w:rsidR="00B512CD" w:rsidRDefault="00521215">
      <w:pPr>
        <w:pStyle w:val="NormalWeb"/>
        <w:numPr>
          <w:ilvl w:val="0"/>
          <w:numId w:val="9"/>
        </w:numPr>
        <w:spacing w:line="276" w:lineRule="auto"/>
        <w:jc w:val="both"/>
      </w:pPr>
      <w:r>
        <w:rPr>
          <w:lang w:val="en-US"/>
        </w:rPr>
        <w:lastRenderedPageBreak/>
        <w:t xml:space="preserve">Regulate humidity in rearing bed by dusting slaked lime at the time of every </w:t>
      </w:r>
      <w:proofErr w:type="spellStart"/>
      <w:r>
        <w:rPr>
          <w:lang w:val="en-US"/>
        </w:rPr>
        <w:t>moult</w:t>
      </w:r>
      <w:proofErr w:type="spellEnd"/>
    </w:p>
    <w:p w:rsidR="00B512CD" w:rsidRDefault="00521215">
      <w:pPr>
        <w:pStyle w:val="NormalWeb"/>
        <w:numPr>
          <w:ilvl w:val="0"/>
          <w:numId w:val="9"/>
        </w:numPr>
        <w:spacing w:line="276" w:lineRule="auto"/>
        <w:jc w:val="both"/>
      </w:pPr>
      <w:r>
        <w:rPr>
          <w:lang w:val="en-US"/>
        </w:rPr>
        <w:t xml:space="preserve">Provide good quality and sufficient quantity of mulberry, requisite spacing and ventilation especially during </w:t>
      </w:r>
      <w:proofErr w:type="gramStart"/>
      <w:r>
        <w:rPr>
          <w:lang w:val="en-US"/>
        </w:rPr>
        <w:t>fourth  and</w:t>
      </w:r>
      <w:proofErr w:type="gramEnd"/>
      <w:r>
        <w:rPr>
          <w:lang w:val="en-US"/>
        </w:rPr>
        <w:t xml:space="preserve"> fifth  instars</w:t>
      </w:r>
    </w:p>
    <w:p w:rsidR="00B512CD" w:rsidRDefault="00521215">
      <w:pPr>
        <w:pStyle w:val="NormalWeb"/>
        <w:numPr>
          <w:ilvl w:val="0"/>
          <w:numId w:val="9"/>
        </w:numPr>
        <w:spacing w:line="276" w:lineRule="auto"/>
        <w:jc w:val="both"/>
      </w:pPr>
      <w:r>
        <w:t>The earliest method suggested by Pasteur based on selection of pathogen free eggs through careful systematic examination of mother moths for pathogens, after egg laying has been one of the most effective methods even today to avoid the disease in the silkworm crops (</w:t>
      </w:r>
      <w:r>
        <w:rPr>
          <w:bCs/>
        </w:rPr>
        <w:t xml:space="preserve">Govindan </w:t>
      </w:r>
      <w:r>
        <w:rPr>
          <w:bCs/>
          <w:i/>
          <w:iCs/>
        </w:rPr>
        <w:t>et al.,</w:t>
      </w:r>
      <w:r>
        <w:rPr>
          <w:bCs/>
        </w:rPr>
        <w:t xml:space="preserve"> 1998).</w:t>
      </w:r>
    </w:p>
    <w:p w:rsidR="00B512CD" w:rsidRDefault="00521215">
      <w:pPr>
        <w:pStyle w:val="NormalWeb"/>
        <w:spacing w:line="276" w:lineRule="auto"/>
        <w:jc w:val="both"/>
      </w:pPr>
      <w:r>
        <w:rPr>
          <w:b/>
          <w:bCs/>
        </w:rPr>
        <w:t>Biological Control:</w:t>
      </w:r>
      <w:r>
        <w:t xml:space="preserve"> </w:t>
      </w:r>
      <w:proofErr w:type="spellStart"/>
      <w:r>
        <w:t>Sripuk</w:t>
      </w:r>
      <w:proofErr w:type="spellEnd"/>
      <w:r>
        <w:t xml:space="preserve"> </w:t>
      </w:r>
      <w:r>
        <w:rPr>
          <w:i/>
          <w:iCs/>
        </w:rPr>
        <w:t>et al.</w:t>
      </w:r>
      <w:r>
        <w:t xml:space="preserve"> 2021, studied on supplementation of </w:t>
      </w:r>
      <w:r>
        <w:rPr>
          <w:i/>
        </w:rPr>
        <w:t xml:space="preserve">Lactobacillus </w:t>
      </w:r>
      <w:proofErr w:type="spellStart"/>
      <w:r>
        <w:rPr>
          <w:i/>
        </w:rPr>
        <w:t>casei</w:t>
      </w:r>
      <w:proofErr w:type="spellEnd"/>
      <w:r>
        <w:t xml:space="preserve"> reduces the mortality of </w:t>
      </w:r>
      <w:r>
        <w:rPr>
          <w:i/>
        </w:rPr>
        <w:t>Bombyx mori</w:t>
      </w:r>
      <w:r>
        <w:t xml:space="preserve"> larvae challenged by </w:t>
      </w:r>
      <w:r>
        <w:rPr>
          <w:i/>
        </w:rPr>
        <w:t xml:space="preserve">Nosema </w:t>
      </w:r>
      <w:proofErr w:type="spellStart"/>
      <w:r>
        <w:rPr>
          <w:i/>
        </w:rPr>
        <w:t>bombycis</w:t>
      </w:r>
      <w:proofErr w:type="spellEnd"/>
      <w:r>
        <w:rPr>
          <w:i/>
        </w:rPr>
        <w:t xml:space="preserve">. </w:t>
      </w:r>
      <w:r>
        <w:rPr>
          <w:iCs/>
        </w:rPr>
        <w:t xml:space="preserve">The study reveals </w:t>
      </w:r>
      <w:r>
        <w:t xml:space="preserve">that higher survival percentage for silkworm larvae supplemented with </w:t>
      </w:r>
      <w:r>
        <w:rPr>
          <w:i/>
          <w:iCs/>
        </w:rPr>
        <w:t xml:space="preserve">L. </w:t>
      </w:r>
      <w:proofErr w:type="spellStart"/>
      <w:r>
        <w:rPr>
          <w:i/>
          <w:iCs/>
        </w:rPr>
        <w:t>casei</w:t>
      </w:r>
      <w:proofErr w:type="spellEnd"/>
      <w:r>
        <w:rPr>
          <w:i/>
          <w:iCs/>
        </w:rPr>
        <w:t xml:space="preserve"> </w:t>
      </w:r>
      <w:r>
        <w:t xml:space="preserve">(100.00 ± 0.00%) followed by control larvae (96.00 ± 0.33) and larvae receiving both </w:t>
      </w:r>
      <w:r>
        <w:rPr>
          <w:i/>
          <w:iCs/>
        </w:rPr>
        <w:t xml:space="preserve">L. </w:t>
      </w:r>
      <w:proofErr w:type="spellStart"/>
      <w:r>
        <w:rPr>
          <w:i/>
          <w:iCs/>
        </w:rPr>
        <w:t>casei</w:t>
      </w:r>
      <w:proofErr w:type="spellEnd"/>
      <w:r>
        <w:t xml:space="preserve"> and </w:t>
      </w:r>
      <w:r>
        <w:rPr>
          <w:i/>
          <w:iCs/>
        </w:rPr>
        <w:t xml:space="preserve">N. </w:t>
      </w:r>
      <w:proofErr w:type="spellStart"/>
      <w:r>
        <w:rPr>
          <w:i/>
          <w:iCs/>
        </w:rPr>
        <w:t>bombycis</w:t>
      </w:r>
      <w:proofErr w:type="spellEnd"/>
      <w:r>
        <w:t xml:space="preserve"> (91.00 ± 0.33%) and less survival percentage was observed in </w:t>
      </w:r>
      <w:proofErr w:type="spellStart"/>
      <w:r>
        <w:t>pebrine</w:t>
      </w:r>
      <w:proofErr w:type="spellEnd"/>
      <w:r>
        <w:t xml:space="preserve">-infected larvae not receiving </w:t>
      </w:r>
      <w:r>
        <w:rPr>
          <w:i/>
          <w:iCs/>
        </w:rPr>
        <w:t xml:space="preserve">L. </w:t>
      </w:r>
      <w:proofErr w:type="spellStart"/>
      <w:r>
        <w:rPr>
          <w:i/>
          <w:iCs/>
        </w:rPr>
        <w:t>casei</w:t>
      </w:r>
      <w:proofErr w:type="spellEnd"/>
      <w:r>
        <w:rPr>
          <w:i/>
          <w:iCs/>
        </w:rPr>
        <w:t xml:space="preserve"> </w:t>
      </w:r>
      <w:r>
        <w:t xml:space="preserve">(68.00 ± 0.33% (Fig. 3). The study also confirms </w:t>
      </w:r>
      <w:r>
        <w:rPr>
          <w:bCs/>
        </w:rPr>
        <w:t xml:space="preserve">that </w:t>
      </w:r>
      <w:r>
        <w:rPr>
          <w:i/>
        </w:rPr>
        <w:t xml:space="preserve">L. </w:t>
      </w:r>
      <w:proofErr w:type="spellStart"/>
      <w:r>
        <w:rPr>
          <w:i/>
        </w:rPr>
        <w:t>casei</w:t>
      </w:r>
      <w:proofErr w:type="spellEnd"/>
      <w:r>
        <w:t xml:space="preserve"> supplementation had positive impact on the growth characters. As compared to larvae receiving only </w:t>
      </w:r>
      <w:r>
        <w:rPr>
          <w:i/>
          <w:iCs/>
        </w:rPr>
        <w:t xml:space="preserve">N. </w:t>
      </w:r>
      <w:proofErr w:type="spellStart"/>
      <w:r>
        <w:rPr>
          <w:i/>
          <w:iCs/>
        </w:rPr>
        <w:t>bombycis</w:t>
      </w:r>
      <w:proofErr w:type="spellEnd"/>
      <w:r>
        <w:t xml:space="preserve">, the 5th larval instar weight was </w:t>
      </w:r>
      <w:proofErr w:type="spellStart"/>
      <w:r>
        <w:t>signifcantly</w:t>
      </w:r>
      <w:proofErr w:type="spellEnd"/>
      <w:r>
        <w:t xml:space="preserve"> higher in all groups. </w:t>
      </w:r>
      <w:r>
        <w:rPr>
          <w:i/>
        </w:rPr>
        <w:t xml:space="preserve">N. </w:t>
      </w:r>
      <w:proofErr w:type="spellStart"/>
      <w:r>
        <w:rPr>
          <w:i/>
        </w:rPr>
        <w:t>bombycis</w:t>
      </w:r>
      <w:proofErr w:type="spellEnd"/>
      <w:r>
        <w:t xml:space="preserve"> infection </w:t>
      </w:r>
      <w:proofErr w:type="spellStart"/>
      <w:r>
        <w:t>signifcantly</w:t>
      </w:r>
      <w:proofErr w:type="spellEnd"/>
      <w:r>
        <w:t xml:space="preserve"> lowered the cocooning ratio, but </w:t>
      </w:r>
      <w:r>
        <w:rPr>
          <w:i/>
        </w:rPr>
        <w:t xml:space="preserve">L. </w:t>
      </w:r>
      <w:proofErr w:type="spellStart"/>
      <w:r>
        <w:rPr>
          <w:i/>
        </w:rPr>
        <w:t>casei</w:t>
      </w:r>
      <w:proofErr w:type="spellEnd"/>
      <w:r>
        <w:t xml:space="preserve"> treatment made the ratio remain on an intermediate level. The pupation ratio was 100% in the groups not infected by </w:t>
      </w:r>
      <w:r>
        <w:rPr>
          <w:i/>
        </w:rPr>
        <w:t xml:space="preserve">N. </w:t>
      </w:r>
      <w:proofErr w:type="spellStart"/>
      <w:r>
        <w:rPr>
          <w:i/>
        </w:rPr>
        <w:t>bombycis</w:t>
      </w:r>
      <w:proofErr w:type="spellEnd"/>
      <w:r>
        <w:t xml:space="preserve">. The </w:t>
      </w:r>
      <w:r>
        <w:rPr>
          <w:i/>
        </w:rPr>
        <w:t xml:space="preserve">L. </w:t>
      </w:r>
      <w:proofErr w:type="spellStart"/>
      <w:r>
        <w:rPr>
          <w:i/>
        </w:rPr>
        <w:t>casei</w:t>
      </w:r>
      <w:proofErr w:type="spellEnd"/>
      <w:r>
        <w:t xml:space="preserve"> treatment resulted in a </w:t>
      </w:r>
      <w:proofErr w:type="spellStart"/>
      <w:r>
        <w:t>signifcantly</w:t>
      </w:r>
      <w:proofErr w:type="spellEnd"/>
      <w:r>
        <w:t xml:space="preserve"> higher pupation ratio in </w:t>
      </w:r>
      <w:r>
        <w:rPr>
          <w:i/>
        </w:rPr>
        <w:t xml:space="preserve">N. </w:t>
      </w:r>
      <w:proofErr w:type="spellStart"/>
      <w:r>
        <w:rPr>
          <w:i/>
        </w:rPr>
        <w:t>bombycis</w:t>
      </w:r>
      <w:proofErr w:type="spellEnd"/>
      <w:r>
        <w:t xml:space="preserve"> infected larvae (95% with </w:t>
      </w:r>
      <w:r>
        <w:rPr>
          <w:i/>
        </w:rPr>
        <w:t xml:space="preserve">L. </w:t>
      </w:r>
      <w:proofErr w:type="spellStart"/>
      <w:r>
        <w:rPr>
          <w:i/>
        </w:rPr>
        <w:t>casei</w:t>
      </w:r>
      <w:proofErr w:type="spellEnd"/>
      <w:r>
        <w:t xml:space="preserve"> vs. 87% without </w:t>
      </w:r>
      <w:r>
        <w:rPr>
          <w:i/>
        </w:rPr>
        <w:t xml:space="preserve">L. </w:t>
      </w:r>
      <w:proofErr w:type="spellStart"/>
      <w:r>
        <w:rPr>
          <w:i/>
        </w:rPr>
        <w:t>casei</w:t>
      </w:r>
      <w:proofErr w:type="spellEnd"/>
      <w:r>
        <w:t xml:space="preserve">). The highest cocoon weight and cocoon shell weight were obtained in those larvae receiving </w:t>
      </w:r>
      <w:r>
        <w:rPr>
          <w:i/>
        </w:rPr>
        <w:t xml:space="preserve">L. </w:t>
      </w:r>
      <w:proofErr w:type="spellStart"/>
      <w:r>
        <w:rPr>
          <w:i/>
        </w:rPr>
        <w:t>casei</w:t>
      </w:r>
      <w:proofErr w:type="spellEnd"/>
      <w:r>
        <w:t xml:space="preserve">, although this </w:t>
      </w:r>
      <w:proofErr w:type="spellStart"/>
      <w:r>
        <w:t>diference</w:t>
      </w:r>
      <w:proofErr w:type="spellEnd"/>
      <w:r>
        <w:t xml:space="preserve"> was not statistically significant (Table 3).</w:t>
      </w:r>
    </w:p>
    <w:p w:rsidR="00B512CD" w:rsidRDefault="00521215">
      <w:pPr>
        <w:pStyle w:val="NormalWeb"/>
        <w:spacing w:line="276" w:lineRule="auto"/>
        <w:jc w:val="center"/>
      </w:pPr>
      <w:r>
        <w:rPr>
          <w:noProof/>
        </w:rPr>
        <w:drawing>
          <wp:inline distT="0" distB="0" distL="0" distR="0">
            <wp:extent cx="3705225" cy="2459355"/>
            <wp:effectExtent l="0" t="0" r="13335" b="9525"/>
            <wp:docPr id="5" name="Content Placeholder 4"/>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pic:cNvPicPr>
                  </pic:nvPicPr>
                  <pic:blipFill>
                    <a:blip r:embed="rId10"/>
                    <a:stretch>
                      <a:fillRect/>
                    </a:stretch>
                  </pic:blipFill>
                  <pic:spPr>
                    <a:xfrm>
                      <a:off x="0" y="0"/>
                      <a:ext cx="3705225" cy="2459355"/>
                    </a:xfrm>
                    <a:prstGeom prst="rect">
                      <a:avLst/>
                    </a:prstGeom>
                  </pic:spPr>
                </pic:pic>
              </a:graphicData>
            </a:graphic>
          </wp:inline>
        </w:drawing>
      </w:r>
    </w:p>
    <w:p w:rsidR="00B512CD" w:rsidRDefault="00521215">
      <w:pPr>
        <w:pStyle w:val="NormalWeb"/>
        <w:jc w:val="center"/>
      </w:pPr>
      <w:r>
        <w:rPr>
          <w:b/>
          <w:bCs/>
        </w:rPr>
        <w:t xml:space="preserve">Fig 3. </w:t>
      </w:r>
      <w:r>
        <w:t xml:space="preserve">The effects of </w:t>
      </w:r>
      <w:proofErr w:type="spellStart"/>
      <w:proofErr w:type="gramStart"/>
      <w:r>
        <w:rPr>
          <w:i/>
          <w:iCs/>
        </w:rPr>
        <w:t>L.casei</w:t>
      </w:r>
      <w:proofErr w:type="spellEnd"/>
      <w:proofErr w:type="gramEnd"/>
      <w:r>
        <w:t xml:space="preserve"> (LC) and </w:t>
      </w:r>
      <w:r>
        <w:rPr>
          <w:i/>
          <w:iCs/>
        </w:rPr>
        <w:t xml:space="preserve">N. </w:t>
      </w:r>
      <w:proofErr w:type="spellStart"/>
      <w:r>
        <w:rPr>
          <w:i/>
          <w:iCs/>
        </w:rPr>
        <w:t>bombycis</w:t>
      </w:r>
      <w:proofErr w:type="spellEnd"/>
      <w:r>
        <w:t xml:space="preserve"> (NB) on survival ratio of </w:t>
      </w:r>
      <w:proofErr w:type="spellStart"/>
      <w:r>
        <w:rPr>
          <w:i/>
          <w:iCs/>
        </w:rPr>
        <w:t>B.mori</w:t>
      </w:r>
      <w:proofErr w:type="spellEnd"/>
      <w:r>
        <w:t xml:space="preserve"> larvae</w:t>
      </w:r>
    </w:p>
    <w:p w:rsidR="00B512CD" w:rsidRDefault="00521215">
      <w:pPr>
        <w:pStyle w:val="NormalWeb"/>
        <w:jc w:val="both"/>
      </w:pPr>
      <w:r>
        <w:rPr>
          <w:lang w:val="en-US"/>
        </w:rPr>
        <w:t xml:space="preserve">Note: </w:t>
      </w:r>
      <w:proofErr w:type="spellStart"/>
      <w:r>
        <w:rPr>
          <w:lang w:val="en-US"/>
        </w:rPr>
        <w:t>Diferent</w:t>
      </w:r>
      <w:proofErr w:type="spellEnd"/>
      <w:r>
        <w:rPr>
          <w:lang w:val="en-US"/>
        </w:rPr>
        <w:t xml:space="preserve"> letters on the top of each bar represent </w:t>
      </w:r>
      <w:proofErr w:type="spellStart"/>
      <w:r>
        <w:rPr>
          <w:lang w:val="en-US"/>
        </w:rPr>
        <w:t>diference</w:t>
      </w:r>
      <w:proofErr w:type="spellEnd"/>
      <w:r>
        <w:rPr>
          <w:lang w:val="en-US"/>
        </w:rPr>
        <w:t xml:space="preserve"> </w:t>
      </w:r>
      <w:proofErr w:type="spellStart"/>
      <w:r>
        <w:rPr>
          <w:lang w:val="en-US"/>
        </w:rPr>
        <w:t>identifed</w:t>
      </w:r>
      <w:proofErr w:type="spellEnd"/>
      <w:r>
        <w:rPr>
          <w:lang w:val="en-US"/>
        </w:rPr>
        <w:t xml:space="preserve"> by the Analysis of Variance coupled with Duncan’s Multiple Range Test at 95% </w:t>
      </w:r>
      <w:proofErr w:type="spellStart"/>
      <w:r>
        <w:rPr>
          <w:lang w:val="en-US"/>
        </w:rPr>
        <w:t>signifcant</w:t>
      </w:r>
      <w:proofErr w:type="spellEnd"/>
      <w:r>
        <w:rPr>
          <w:lang w:val="en-US"/>
        </w:rPr>
        <w:t xml:space="preserve"> level. Bars represent 1 unit of standard deviation</w:t>
      </w:r>
      <w:r>
        <w:t xml:space="preserve">, </w:t>
      </w:r>
      <w:r>
        <w:rPr>
          <w:lang w:val="en-US"/>
        </w:rPr>
        <w:t xml:space="preserve">Breed - polyvoltine hybrid </w:t>
      </w:r>
      <w:proofErr w:type="spellStart"/>
      <w:r>
        <w:rPr>
          <w:lang w:val="en-US"/>
        </w:rPr>
        <w:t>DokBua</w:t>
      </w:r>
      <w:proofErr w:type="spellEnd"/>
      <w:r>
        <w:t>.</w:t>
      </w:r>
    </w:p>
    <w:p w:rsidR="00B512CD" w:rsidRDefault="00521215">
      <w:pPr>
        <w:pStyle w:val="NormalWeb"/>
        <w:spacing w:line="276" w:lineRule="auto"/>
        <w:ind w:right="-188"/>
        <w:rPr>
          <w:b/>
          <w:bCs/>
          <w:i/>
          <w:iCs/>
        </w:rPr>
      </w:pPr>
      <w:r>
        <w:rPr>
          <w:b/>
          <w:bCs/>
        </w:rPr>
        <w:t xml:space="preserve">Table 3: Effects of </w:t>
      </w:r>
      <w:r>
        <w:rPr>
          <w:b/>
          <w:bCs/>
          <w:i/>
          <w:iCs/>
        </w:rPr>
        <w:t xml:space="preserve">L. </w:t>
      </w:r>
      <w:proofErr w:type="spellStart"/>
      <w:r>
        <w:rPr>
          <w:b/>
          <w:bCs/>
          <w:i/>
          <w:iCs/>
        </w:rPr>
        <w:t>casei</w:t>
      </w:r>
      <w:proofErr w:type="spellEnd"/>
      <w:r>
        <w:rPr>
          <w:b/>
          <w:bCs/>
          <w:i/>
          <w:iCs/>
        </w:rPr>
        <w:t xml:space="preserve"> </w:t>
      </w:r>
      <w:r>
        <w:rPr>
          <w:b/>
          <w:bCs/>
        </w:rPr>
        <w:t xml:space="preserve">and </w:t>
      </w:r>
      <w:r>
        <w:rPr>
          <w:b/>
          <w:bCs/>
          <w:i/>
          <w:iCs/>
        </w:rPr>
        <w:t xml:space="preserve">N. </w:t>
      </w:r>
      <w:proofErr w:type="spellStart"/>
      <w:r>
        <w:rPr>
          <w:b/>
          <w:bCs/>
          <w:i/>
          <w:iCs/>
        </w:rPr>
        <w:t>bombycis</w:t>
      </w:r>
      <w:proofErr w:type="spellEnd"/>
      <w:r>
        <w:rPr>
          <w:b/>
          <w:bCs/>
          <w:i/>
          <w:iCs/>
        </w:rPr>
        <w:t xml:space="preserve"> </w:t>
      </w:r>
      <w:r>
        <w:rPr>
          <w:b/>
          <w:bCs/>
        </w:rPr>
        <w:t xml:space="preserve">challenge on Thai polyvoltine strain, </w:t>
      </w:r>
      <w:r>
        <w:rPr>
          <w:b/>
          <w:bCs/>
        </w:rPr>
        <w:tab/>
        <w:t xml:space="preserve">    </w:t>
      </w:r>
      <w:r>
        <w:rPr>
          <w:b/>
          <w:bCs/>
        </w:rPr>
        <w:tab/>
      </w:r>
      <w:r>
        <w:t xml:space="preserve">      </w:t>
      </w:r>
      <w:proofErr w:type="spellStart"/>
      <w:r>
        <w:rPr>
          <w:b/>
          <w:bCs/>
        </w:rPr>
        <w:t>DokBua</w:t>
      </w:r>
      <w:proofErr w:type="spellEnd"/>
      <w:r>
        <w:rPr>
          <w:b/>
          <w:bCs/>
        </w:rPr>
        <w:t xml:space="preserve"> of the silkworm, </w:t>
      </w:r>
      <w:r>
        <w:rPr>
          <w:b/>
          <w:bCs/>
          <w:i/>
          <w:iCs/>
        </w:rPr>
        <w:t xml:space="preserve">B. mori </w:t>
      </w:r>
      <w:r>
        <w:rPr>
          <w:b/>
          <w:bCs/>
        </w:rPr>
        <w:t>(</w:t>
      </w:r>
      <w:proofErr w:type="spellStart"/>
      <w:r>
        <w:rPr>
          <w:b/>
        </w:rPr>
        <w:t>Siripuk</w:t>
      </w:r>
      <w:proofErr w:type="spellEnd"/>
      <w:r>
        <w:rPr>
          <w:b/>
        </w:rPr>
        <w:t xml:space="preserve"> </w:t>
      </w:r>
      <w:r>
        <w:rPr>
          <w:b/>
          <w:i/>
          <w:iCs/>
        </w:rPr>
        <w:t xml:space="preserve">et al. </w:t>
      </w:r>
      <w:r>
        <w:rPr>
          <w:b/>
        </w:rPr>
        <w:t>2021).</w:t>
      </w:r>
    </w:p>
    <w:tbl>
      <w:tblPr>
        <w:tblStyle w:val="TableGrid"/>
        <w:tblW w:w="10753" w:type="dxa"/>
        <w:jc w:val="center"/>
        <w:tblLook w:val="04A0" w:firstRow="1" w:lastRow="0" w:firstColumn="1" w:lastColumn="0" w:noHBand="0" w:noVBand="1"/>
      </w:tblPr>
      <w:tblGrid>
        <w:gridCol w:w="2866"/>
        <w:gridCol w:w="1701"/>
        <w:gridCol w:w="1623"/>
        <w:gridCol w:w="1704"/>
        <w:gridCol w:w="1437"/>
        <w:gridCol w:w="1422"/>
      </w:tblGrid>
      <w:tr w:rsidR="00B512CD">
        <w:trPr>
          <w:trHeight w:val="888"/>
          <w:jc w:val="center"/>
        </w:trPr>
        <w:tc>
          <w:tcPr>
            <w:tcW w:w="2866" w:type="dxa"/>
          </w:tcPr>
          <w:p w:rsidR="00B512CD" w:rsidRDefault="00521215">
            <w:pPr>
              <w:pStyle w:val="NormalWeb"/>
              <w:spacing w:line="276" w:lineRule="auto"/>
              <w:jc w:val="center"/>
            </w:pPr>
            <w:r>
              <w:rPr>
                <w:b/>
                <w:bCs/>
              </w:rPr>
              <w:lastRenderedPageBreak/>
              <w:t>Treatments</w:t>
            </w:r>
          </w:p>
        </w:tc>
        <w:tc>
          <w:tcPr>
            <w:tcW w:w="1701" w:type="dxa"/>
          </w:tcPr>
          <w:p w:rsidR="00B512CD" w:rsidRDefault="00521215">
            <w:pPr>
              <w:pStyle w:val="NormalWeb"/>
              <w:spacing w:line="276" w:lineRule="auto"/>
              <w:jc w:val="center"/>
            </w:pPr>
            <w:r>
              <w:rPr>
                <w:b/>
                <w:bCs/>
              </w:rPr>
              <w:t xml:space="preserve">Larval weight of </w:t>
            </w:r>
            <w:proofErr w:type="gramStart"/>
            <w:r>
              <w:rPr>
                <w:b/>
                <w:bCs/>
              </w:rPr>
              <w:t>fifth  instar</w:t>
            </w:r>
            <w:proofErr w:type="gramEnd"/>
            <w:r>
              <w:rPr>
                <w:b/>
                <w:bCs/>
              </w:rPr>
              <w:t xml:space="preserve"> (g)</w:t>
            </w:r>
          </w:p>
        </w:tc>
        <w:tc>
          <w:tcPr>
            <w:tcW w:w="1623" w:type="dxa"/>
          </w:tcPr>
          <w:p w:rsidR="00B512CD" w:rsidRDefault="00521215">
            <w:pPr>
              <w:pStyle w:val="NormalWeb"/>
              <w:spacing w:line="276" w:lineRule="auto"/>
              <w:jc w:val="center"/>
            </w:pPr>
            <w:r>
              <w:rPr>
                <w:b/>
                <w:bCs/>
              </w:rPr>
              <w:t>Cocooning ratio (%)</w:t>
            </w:r>
          </w:p>
        </w:tc>
        <w:tc>
          <w:tcPr>
            <w:tcW w:w="1704" w:type="dxa"/>
          </w:tcPr>
          <w:p w:rsidR="00B512CD" w:rsidRDefault="00521215">
            <w:pPr>
              <w:pStyle w:val="NormalWeb"/>
              <w:spacing w:line="276" w:lineRule="auto"/>
              <w:jc w:val="center"/>
            </w:pPr>
            <w:r>
              <w:rPr>
                <w:b/>
                <w:bCs/>
              </w:rPr>
              <w:t>Pupation ratio (%)</w:t>
            </w:r>
          </w:p>
        </w:tc>
        <w:tc>
          <w:tcPr>
            <w:tcW w:w="1437" w:type="dxa"/>
          </w:tcPr>
          <w:p w:rsidR="00B512CD" w:rsidRDefault="00521215">
            <w:pPr>
              <w:pStyle w:val="NormalWeb"/>
              <w:spacing w:line="276" w:lineRule="auto"/>
              <w:jc w:val="center"/>
            </w:pPr>
            <w:r>
              <w:rPr>
                <w:b/>
                <w:bCs/>
              </w:rPr>
              <w:t>Cocoon weight (g)</w:t>
            </w:r>
          </w:p>
        </w:tc>
        <w:tc>
          <w:tcPr>
            <w:tcW w:w="1422" w:type="dxa"/>
          </w:tcPr>
          <w:p w:rsidR="00B512CD" w:rsidRDefault="00521215">
            <w:pPr>
              <w:pStyle w:val="NormalWeb"/>
              <w:spacing w:line="276" w:lineRule="auto"/>
              <w:jc w:val="center"/>
            </w:pPr>
            <w:r>
              <w:rPr>
                <w:b/>
                <w:bCs/>
              </w:rPr>
              <w:t>Cocoon shell weight (g)</w:t>
            </w:r>
          </w:p>
        </w:tc>
      </w:tr>
      <w:tr w:rsidR="00B512CD">
        <w:trPr>
          <w:trHeight w:val="90"/>
          <w:jc w:val="center"/>
        </w:trPr>
        <w:tc>
          <w:tcPr>
            <w:tcW w:w="2866" w:type="dxa"/>
          </w:tcPr>
          <w:p w:rsidR="00B512CD" w:rsidRDefault="00521215">
            <w:pPr>
              <w:pStyle w:val="NormalWeb"/>
              <w:spacing w:line="276" w:lineRule="auto"/>
            </w:pPr>
            <w:r>
              <w:rPr>
                <w:b/>
                <w:bCs/>
                <w:i/>
                <w:iCs/>
              </w:rPr>
              <w:t xml:space="preserve">Lactobacillus </w:t>
            </w:r>
            <w:proofErr w:type="spellStart"/>
            <w:r>
              <w:rPr>
                <w:b/>
                <w:bCs/>
                <w:i/>
                <w:iCs/>
              </w:rPr>
              <w:t>casei</w:t>
            </w:r>
            <w:proofErr w:type="spellEnd"/>
            <w:r>
              <w:rPr>
                <w:b/>
                <w:bCs/>
                <w:i/>
                <w:iCs/>
              </w:rPr>
              <w:t xml:space="preserve"> </w:t>
            </w:r>
            <w:r>
              <w:rPr>
                <w:b/>
                <w:bCs/>
              </w:rPr>
              <w:t>(10</w:t>
            </w:r>
            <w:r>
              <w:rPr>
                <w:b/>
                <w:bCs/>
                <w:vertAlign w:val="superscript"/>
              </w:rPr>
              <w:t>8</w:t>
            </w:r>
            <w:r>
              <w:rPr>
                <w:b/>
                <w:bCs/>
              </w:rPr>
              <w:t xml:space="preserve"> cell/mL) followed by </w:t>
            </w:r>
            <w:r>
              <w:rPr>
                <w:b/>
                <w:bCs/>
                <w:i/>
                <w:iCs/>
              </w:rPr>
              <w:t xml:space="preserve">N. </w:t>
            </w:r>
            <w:proofErr w:type="spellStart"/>
            <w:r>
              <w:rPr>
                <w:b/>
                <w:bCs/>
                <w:i/>
                <w:iCs/>
              </w:rPr>
              <w:t>bombycis</w:t>
            </w:r>
            <w:proofErr w:type="spellEnd"/>
            <w:r>
              <w:rPr>
                <w:b/>
                <w:bCs/>
                <w:i/>
                <w:iCs/>
              </w:rPr>
              <w:t xml:space="preserve"> </w:t>
            </w:r>
            <w:r>
              <w:rPr>
                <w:b/>
                <w:bCs/>
              </w:rPr>
              <w:t>(10</w:t>
            </w:r>
            <w:r>
              <w:rPr>
                <w:b/>
                <w:bCs/>
                <w:vertAlign w:val="superscript"/>
              </w:rPr>
              <w:t>6</w:t>
            </w:r>
            <w:r>
              <w:rPr>
                <w:b/>
                <w:bCs/>
              </w:rPr>
              <w:t xml:space="preserve"> spores/mL)</w:t>
            </w:r>
          </w:p>
        </w:tc>
        <w:tc>
          <w:tcPr>
            <w:tcW w:w="1701" w:type="dxa"/>
          </w:tcPr>
          <w:p w:rsidR="00B512CD" w:rsidRDefault="00521215">
            <w:pPr>
              <w:pStyle w:val="NormalWeb"/>
              <w:spacing w:line="276" w:lineRule="auto"/>
              <w:jc w:val="center"/>
            </w:pPr>
            <w:r>
              <w:rPr>
                <w:bCs/>
              </w:rPr>
              <w:t>2.70 ± 0.96</w:t>
            </w:r>
            <w:r>
              <w:rPr>
                <w:bCs/>
                <w:vertAlign w:val="superscript"/>
              </w:rPr>
              <w:t>a</w:t>
            </w:r>
          </w:p>
        </w:tc>
        <w:tc>
          <w:tcPr>
            <w:tcW w:w="1623" w:type="dxa"/>
          </w:tcPr>
          <w:p w:rsidR="00B512CD" w:rsidRDefault="00521215">
            <w:pPr>
              <w:pStyle w:val="NormalWeb"/>
              <w:spacing w:line="276" w:lineRule="auto"/>
              <w:jc w:val="center"/>
            </w:pPr>
            <w:r>
              <w:t>95.00 ± 0.00</w:t>
            </w:r>
            <w:r>
              <w:rPr>
                <w:vertAlign w:val="superscript"/>
              </w:rPr>
              <w:t>ab</w:t>
            </w:r>
          </w:p>
        </w:tc>
        <w:tc>
          <w:tcPr>
            <w:tcW w:w="1704" w:type="dxa"/>
          </w:tcPr>
          <w:p w:rsidR="00B512CD" w:rsidRDefault="00521215">
            <w:pPr>
              <w:pStyle w:val="NormalWeb"/>
              <w:spacing w:line="276" w:lineRule="auto"/>
              <w:jc w:val="center"/>
            </w:pPr>
            <w:r>
              <w:t>95.00 ± 0.33</w:t>
            </w:r>
            <w:r>
              <w:rPr>
                <w:vertAlign w:val="superscript"/>
              </w:rPr>
              <w:t>a</w:t>
            </w:r>
          </w:p>
        </w:tc>
        <w:tc>
          <w:tcPr>
            <w:tcW w:w="1437" w:type="dxa"/>
          </w:tcPr>
          <w:p w:rsidR="00B512CD" w:rsidRDefault="00521215">
            <w:pPr>
              <w:pStyle w:val="NormalWeb"/>
              <w:spacing w:line="276" w:lineRule="auto"/>
              <w:jc w:val="center"/>
            </w:pPr>
            <w:r>
              <w:t>1.33 ± 0.33</w:t>
            </w:r>
            <w:r>
              <w:rPr>
                <w:vertAlign w:val="superscript"/>
              </w:rPr>
              <w:t>a</w:t>
            </w:r>
          </w:p>
        </w:tc>
        <w:tc>
          <w:tcPr>
            <w:tcW w:w="1422" w:type="dxa"/>
          </w:tcPr>
          <w:p w:rsidR="00B512CD" w:rsidRDefault="00521215">
            <w:pPr>
              <w:pStyle w:val="NormalWeb"/>
              <w:spacing w:line="276" w:lineRule="auto"/>
              <w:jc w:val="center"/>
            </w:pPr>
            <w:r>
              <w:t>0.23 ± 0.33</w:t>
            </w:r>
            <w:r>
              <w:rPr>
                <w:vertAlign w:val="superscript"/>
              </w:rPr>
              <w:t>a</w:t>
            </w:r>
          </w:p>
        </w:tc>
      </w:tr>
      <w:tr w:rsidR="00B512CD">
        <w:trPr>
          <w:trHeight w:val="90"/>
          <w:jc w:val="center"/>
        </w:trPr>
        <w:tc>
          <w:tcPr>
            <w:tcW w:w="2866" w:type="dxa"/>
          </w:tcPr>
          <w:p w:rsidR="00B512CD" w:rsidRDefault="00521215">
            <w:pPr>
              <w:pStyle w:val="NormalWeb"/>
              <w:spacing w:line="276" w:lineRule="auto"/>
            </w:pPr>
            <w:r>
              <w:rPr>
                <w:b/>
                <w:bCs/>
              </w:rPr>
              <w:t>No treatment</w:t>
            </w:r>
          </w:p>
        </w:tc>
        <w:tc>
          <w:tcPr>
            <w:tcW w:w="1701" w:type="dxa"/>
          </w:tcPr>
          <w:p w:rsidR="00B512CD" w:rsidRDefault="00521215">
            <w:pPr>
              <w:pStyle w:val="NormalWeb"/>
              <w:spacing w:line="276" w:lineRule="auto"/>
              <w:jc w:val="center"/>
            </w:pPr>
            <w:r>
              <w:t>2.55 ± 0.48</w:t>
            </w:r>
            <w:r>
              <w:rPr>
                <w:vertAlign w:val="superscript"/>
              </w:rPr>
              <w:t>a</w:t>
            </w:r>
          </w:p>
        </w:tc>
        <w:tc>
          <w:tcPr>
            <w:tcW w:w="1623" w:type="dxa"/>
          </w:tcPr>
          <w:p w:rsidR="00B512CD" w:rsidRDefault="00521215">
            <w:pPr>
              <w:pStyle w:val="NormalWeb"/>
              <w:spacing w:line="276" w:lineRule="auto"/>
              <w:jc w:val="center"/>
            </w:pPr>
            <w:r>
              <w:t>96.00 ± 0.33</w:t>
            </w:r>
            <w:r>
              <w:rPr>
                <w:vertAlign w:val="superscript"/>
              </w:rPr>
              <w:t>b</w:t>
            </w:r>
          </w:p>
        </w:tc>
        <w:tc>
          <w:tcPr>
            <w:tcW w:w="1704" w:type="dxa"/>
          </w:tcPr>
          <w:p w:rsidR="00B512CD" w:rsidRDefault="00521215">
            <w:pPr>
              <w:pStyle w:val="NormalWeb"/>
              <w:spacing w:line="276" w:lineRule="auto"/>
              <w:jc w:val="center"/>
            </w:pPr>
            <w:r>
              <w:t>100.00 ± 0.33</w:t>
            </w:r>
            <w:r>
              <w:rPr>
                <w:vertAlign w:val="superscript"/>
              </w:rPr>
              <w:t>b</w:t>
            </w:r>
          </w:p>
        </w:tc>
        <w:tc>
          <w:tcPr>
            <w:tcW w:w="1437" w:type="dxa"/>
          </w:tcPr>
          <w:p w:rsidR="00B512CD" w:rsidRDefault="00521215">
            <w:pPr>
              <w:pStyle w:val="NormalWeb"/>
              <w:spacing w:line="276" w:lineRule="auto"/>
              <w:jc w:val="center"/>
            </w:pPr>
            <w:r>
              <w:t>1.23 ± 0.67</w:t>
            </w:r>
            <w:r>
              <w:rPr>
                <w:vertAlign w:val="superscript"/>
              </w:rPr>
              <w:t>a</w:t>
            </w:r>
          </w:p>
        </w:tc>
        <w:tc>
          <w:tcPr>
            <w:tcW w:w="1422" w:type="dxa"/>
          </w:tcPr>
          <w:p w:rsidR="00B512CD" w:rsidRDefault="00521215">
            <w:pPr>
              <w:pStyle w:val="NormalWeb"/>
              <w:spacing w:line="276" w:lineRule="auto"/>
              <w:jc w:val="center"/>
            </w:pPr>
            <w:r>
              <w:t>0.20 ± 0.57</w:t>
            </w:r>
            <w:r>
              <w:rPr>
                <w:vertAlign w:val="superscript"/>
              </w:rPr>
              <w:t>a</w:t>
            </w:r>
          </w:p>
        </w:tc>
      </w:tr>
      <w:tr w:rsidR="00B512CD">
        <w:trPr>
          <w:trHeight w:val="303"/>
          <w:jc w:val="center"/>
        </w:trPr>
        <w:tc>
          <w:tcPr>
            <w:tcW w:w="2866" w:type="dxa"/>
          </w:tcPr>
          <w:p w:rsidR="00B512CD" w:rsidRDefault="00521215">
            <w:pPr>
              <w:pStyle w:val="NormalWeb"/>
              <w:spacing w:line="276" w:lineRule="auto"/>
            </w:pPr>
            <w:r>
              <w:rPr>
                <w:b/>
                <w:bCs/>
                <w:i/>
                <w:iCs/>
              </w:rPr>
              <w:t xml:space="preserve">Lactobacillus </w:t>
            </w:r>
            <w:proofErr w:type="spellStart"/>
            <w:r>
              <w:rPr>
                <w:b/>
                <w:bCs/>
                <w:i/>
                <w:iCs/>
              </w:rPr>
              <w:t>casei</w:t>
            </w:r>
            <w:proofErr w:type="spellEnd"/>
            <w:r>
              <w:rPr>
                <w:b/>
                <w:bCs/>
                <w:i/>
                <w:iCs/>
              </w:rPr>
              <w:t xml:space="preserve"> </w:t>
            </w:r>
            <w:r>
              <w:rPr>
                <w:b/>
                <w:bCs/>
              </w:rPr>
              <w:t>(10</w:t>
            </w:r>
            <w:r>
              <w:rPr>
                <w:b/>
                <w:bCs/>
                <w:vertAlign w:val="superscript"/>
              </w:rPr>
              <w:t>8</w:t>
            </w:r>
            <w:r>
              <w:rPr>
                <w:b/>
                <w:bCs/>
              </w:rPr>
              <w:t xml:space="preserve"> cells/mL)</w:t>
            </w:r>
          </w:p>
        </w:tc>
        <w:tc>
          <w:tcPr>
            <w:tcW w:w="1701" w:type="dxa"/>
          </w:tcPr>
          <w:p w:rsidR="00B512CD" w:rsidRDefault="00521215">
            <w:pPr>
              <w:pStyle w:val="NormalWeb"/>
              <w:spacing w:line="276" w:lineRule="auto"/>
              <w:jc w:val="center"/>
            </w:pPr>
            <w:r>
              <w:t>2.84 ± 0.48</w:t>
            </w:r>
            <w:r>
              <w:rPr>
                <w:vertAlign w:val="superscript"/>
              </w:rPr>
              <w:t>b</w:t>
            </w:r>
          </w:p>
        </w:tc>
        <w:tc>
          <w:tcPr>
            <w:tcW w:w="1623" w:type="dxa"/>
          </w:tcPr>
          <w:p w:rsidR="00B512CD" w:rsidRDefault="00521215">
            <w:pPr>
              <w:pStyle w:val="NormalWeb"/>
              <w:spacing w:line="276" w:lineRule="auto"/>
              <w:jc w:val="center"/>
            </w:pPr>
            <w:r>
              <w:t>96.00 ± 0.57</w:t>
            </w:r>
            <w:r>
              <w:rPr>
                <w:vertAlign w:val="superscript"/>
              </w:rPr>
              <w:t>a</w:t>
            </w:r>
          </w:p>
        </w:tc>
        <w:tc>
          <w:tcPr>
            <w:tcW w:w="1704" w:type="dxa"/>
          </w:tcPr>
          <w:p w:rsidR="00B512CD" w:rsidRDefault="00521215">
            <w:pPr>
              <w:pStyle w:val="NormalWeb"/>
              <w:spacing w:line="276" w:lineRule="auto"/>
              <w:jc w:val="center"/>
            </w:pPr>
            <w:r>
              <w:t>100.00 ± 0.57</w:t>
            </w:r>
            <w:r>
              <w:rPr>
                <w:vertAlign w:val="superscript"/>
              </w:rPr>
              <w:t>c</w:t>
            </w:r>
          </w:p>
        </w:tc>
        <w:tc>
          <w:tcPr>
            <w:tcW w:w="1437" w:type="dxa"/>
          </w:tcPr>
          <w:p w:rsidR="00B512CD" w:rsidRDefault="00521215">
            <w:pPr>
              <w:pStyle w:val="NormalWeb"/>
              <w:spacing w:line="276" w:lineRule="auto"/>
              <w:jc w:val="center"/>
            </w:pPr>
            <w:r>
              <w:t>1.40 ± 0.58</w:t>
            </w:r>
            <w:r>
              <w:rPr>
                <w:b/>
                <w:bCs/>
                <w:vertAlign w:val="superscript"/>
              </w:rPr>
              <w:t>a</w:t>
            </w:r>
          </w:p>
        </w:tc>
        <w:tc>
          <w:tcPr>
            <w:tcW w:w="1422" w:type="dxa"/>
          </w:tcPr>
          <w:p w:rsidR="00B512CD" w:rsidRDefault="00521215">
            <w:pPr>
              <w:pStyle w:val="NormalWeb"/>
              <w:spacing w:line="276" w:lineRule="auto"/>
              <w:jc w:val="center"/>
            </w:pPr>
            <w:r>
              <w:t>0.23 ± 0.67</w:t>
            </w:r>
            <w:r>
              <w:rPr>
                <w:b/>
                <w:bCs/>
                <w:vertAlign w:val="superscript"/>
              </w:rPr>
              <w:t>a</w:t>
            </w:r>
          </w:p>
        </w:tc>
      </w:tr>
      <w:tr w:rsidR="00B512CD">
        <w:trPr>
          <w:trHeight w:val="633"/>
          <w:jc w:val="center"/>
        </w:trPr>
        <w:tc>
          <w:tcPr>
            <w:tcW w:w="2866" w:type="dxa"/>
          </w:tcPr>
          <w:p w:rsidR="00B512CD" w:rsidRDefault="00521215">
            <w:pPr>
              <w:pStyle w:val="NormalWeb"/>
              <w:spacing w:line="276" w:lineRule="auto"/>
            </w:pPr>
            <w:r>
              <w:rPr>
                <w:b/>
                <w:bCs/>
                <w:i/>
                <w:iCs/>
              </w:rPr>
              <w:t xml:space="preserve">N. </w:t>
            </w:r>
            <w:proofErr w:type="spellStart"/>
            <w:r>
              <w:rPr>
                <w:b/>
                <w:bCs/>
                <w:i/>
                <w:iCs/>
              </w:rPr>
              <w:t>bombycis</w:t>
            </w:r>
            <w:proofErr w:type="spellEnd"/>
            <w:r>
              <w:rPr>
                <w:b/>
                <w:bCs/>
                <w:i/>
                <w:iCs/>
              </w:rPr>
              <w:t xml:space="preserve"> </w:t>
            </w:r>
            <w:r>
              <w:rPr>
                <w:b/>
                <w:bCs/>
              </w:rPr>
              <w:t>(10</w:t>
            </w:r>
            <w:r>
              <w:rPr>
                <w:b/>
                <w:bCs/>
                <w:vertAlign w:val="superscript"/>
              </w:rPr>
              <w:t>6</w:t>
            </w:r>
            <w:r>
              <w:rPr>
                <w:b/>
                <w:bCs/>
              </w:rPr>
              <w:t xml:space="preserve"> spores/mL)</w:t>
            </w:r>
          </w:p>
        </w:tc>
        <w:tc>
          <w:tcPr>
            <w:tcW w:w="1701" w:type="dxa"/>
          </w:tcPr>
          <w:p w:rsidR="00B512CD" w:rsidRDefault="00521215">
            <w:pPr>
              <w:pStyle w:val="NormalWeb"/>
              <w:spacing w:line="276" w:lineRule="auto"/>
              <w:jc w:val="center"/>
            </w:pPr>
            <w:r>
              <w:t>2.12 ± 0.96</w:t>
            </w:r>
          </w:p>
        </w:tc>
        <w:tc>
          <w:tcPr>
            <w:tcW w:w="1623" w:type="dxa"/>
          </w:tcPr>
          <w:p w:rsidR="00B512CD" w:rsidRDefault="00521215">
            <w:pPr>
              <w:pStyle w:val="NormalWeb"/>
              <w:spacing w:line="276" w:lineRule="auto"/>
              <w:jc w:val="center"/>
            </w:pPr>
            <w:r>
              <w:t>93.00 ± 0.33</w:t>
            </w:r>
          </w:p>
        </w:tc>
        <w:tc>
          <w:tcPr>
            <w:tcW w:w="1704" w:type="dxa"/>
          </w:tcPr>
          <w:p w:rsidR="00B512CD" w:rsidRDefault="00521215">
            <w:pPr>
              <w:pStyle w:val="NormalWeb"/>
              <w:spacing w:line="276" w:lineRule="auto"/>
              <w:jc w:val="center"/>
            </w:pPr>
            <w:r>
              <w:t>87.00 ± 0.66</w:t>
            </w:r>
          </w:p>
        </w:tc>
        <w:tc>
          <w:tcPr>
            <w:tcW w:w="1437" w:type="dxa"/>
          </w:tcPr>
          <w:p w:rsidR="00B512CD" w:rsidRDefault="00521215">
            <w:pPr>
              <w:pStyle w:val="NormalWeb"/>
              <w:spacing w:line="276" w:lineRule="auto"/>
              <w:jc w:val="center"/>
            </w:pPr>
            <w:r>
              <w:t>1.27 ± 0.33</w:t>
            </w:r>
          </w:p>
        </w:tc>
        <w:tc>
          <w:tcPr>
            <w:tcW w:w="1422" w:type="dxa"/>
          </w:tcPr>
          <w:p w:rsidR="00B512CD" w:rsidRDefault="00521215">
            <w:pPr>
              <w:pStyle w:val="NormalWeb"/>
              <w:spacing w:line="276" w:lineRule="auto"/>
              <w:jc w:val="center"/>
            </w:pPr>
            <w:r>
              <w:t>0.19 ± 0.33</w:t>
            </w:r>
          </w:p>
        </w:tc>
      </w:tr>
    </w:tbl>
    <w:p w:rsidR="00B512CD" w:rsidRDefault="00521215">
      <w:pPr>
        <w:pStyle w:val="NormalWeb"/>
        <w:spacing w:line="276" w:lineRule="auto"/>
        <w:jc w:val="both"/>
      </w:pPr>
      <w:r>
        <w:t xml:space="preserve">**Statistically </w:t>
      </w:r>
      <w:proofErr w:type="spellStart"/>
      <w:r>
        <w:t>signifcant</w:t>
      </w:r>
      <w:proofErr w:type="spellEnd"/>
      <w:r>
        <w:t xml:space="preserve"> </w:t>
      </w:r>
      <w:proofErr w:type="spellStart"/>
      <w:r>
        <w:t>diferences</w:t>
      </w:r>
      <w:proofErr w:type="spellEnd"/>
      <w:r>
        <w:t xml:space="preserve"> as measured by Duncan multiple range test are denoted with </w:t>
      </w:r>
      <w:proofErr w:type="spellStart"/>
      <w:r>
        <w:t>diferent</w:t>
      </w:r>
      <w:proofErr w:type="spellEnd"/>
      <w:r>
        <w:t xml:space="preserve"> letters.</w:t>
      </w:r>
    </w:p>
    <w:p w:rsidR="00B512CD" w:rsidRDefault="00521215">
      <w:pPr>
        <w:pStyle w:val="NormalWeb"/>
        <w:jc w:val="both"/>
        <w:rPr>
          <w:b/>
          <w:bCs/>
        </w:rPr>
      </w:pPr>
      <w:r>
        <w:rPr>
          <w:rStyle w:val="Strong"/>
        </w:rPr>
        <w:t xml:space="preserve">Inference: </w:t>
      </w:r>
      <w:r>
        <w:rPr>
          <w:i/>
          <w:iCs/>
        </w:rPr>
        <w:t xml:space="preserve">L. </w:t>
      </w:r>
      <w:proofErr w:type="spellStart"/>
      <w:r>
        <w:rPr>
          <w:i/>
          <w:iCs/>
        </w:rPr>
        <w:t>casei</w:t>
      </w:r>
      <w:proofErr w:type="spellEnd"/>
      <w:r>
        <w:t xml:space="preserve"> appears to bolster larval resistance perhaps via gut colonization or immune modulation, a promising non-chemical preventive agent against </w:t>
      </w:r>
      <w:proofErr w:type="spellStart"/>
      <w:r>
        <w:t>pebrine</w:t>
      </w:r>
      <w:proofErr w:type="spellEnd"/>
      <w:r>
        <w:t>. However, the study was limited to one silkworm hybrid (</w:t>
      </w:r>
      <w:proofErr w:type="spellStart"/>
      <w:r>
        <w:t>DokBua</w:t>
      </w:r>
      <w:proofErr w:type="spellEnd"/>
      <w:r>
        <w:t>), one probiotic strain and dose. Broader validation across strains, environmental conditions, and dosage regimens is required. Being a probiotic, it is likely safer and eco-friendlier than chemical treatments, but regulatory evaluation and assessment of microbial safety are necessary prior to commercial use.</w:t>
      </w:r>
    </w:p>
    <w:p w:rsidR="00B512CD" w:rsidRDefault="00521215">
      <w:pPr>
        <w:pStyle w:val="NormalWeb"/>
        <w:spacing w:line="276" w:lineRule="auto"/>
        <w:jc w:val="both"/>
        <w:rPr>
          <w:bCs/>
        </w:rPr>
      </w:pPr>
      <w:r>
        <w:rPr>
          <w:b/>
          <w:bCs/>
        </w:rPr>
        <w:t>Chemical control</w:t>
      </w:r>
      <w:r>
        <w:t xml:space="preserve">: </w:t>
      </w:r>
      <w:r>
        <w:rPr>
          <w:bCs/>
        </w:rPr>
        <w:t xml:space="preserve">Irfan </w:t>
      </w:r>
      <w:r>
        <w:rPr>
          <w:bCs/>
          <w:i/>
          <w:iCs/>
        </w:rPr>
        <w:t xml:space="preserve">et al. </w:t>
      </w:r>
      <w:r>
        <w:rPr>
          <w:bCs/>
        </w:rPr>
        <w:t xml:space="preserve">(2003) </w:t>
      </w:r>
      <w:r>
        <w:rPr>
          <w:color w:val="000000" w:themeColor="text1"/>
        </w:rPr>
        <w:t xml:space="preserve">evaluated different bed disinfectants against the spread of </w:t>
      </w:r>
      <w:proofErr w:type="spellStart"/>
      <w:r>
        <w:rPr>
          <w:color w:val="000000" w:themeColor="text1"/>
        </w:rPr>
        <w:t>pebrine</w:t>
      </w:r>
      <w:proofErr w:type="spellEnd"/>
      <w:r>
        <w:rPr>
          <w:color w:val="000000" w:themeColor="text1"/>
        </w:rPr>
        <w:t xml:space="preserve"> disease in silkworm, </w:t>
      </w:r>
      <w:r>
        <w:rPr>
          <w:i/>
          <w:color w:val="000000" w:themeColor="text1"/>
        </w:rPr>
        <w:t>Bombyx mori</w:t>
      </w:r>
      <w:r>
        <w:rPr>
          <w:color w:val="000000" w:themeColor="text1"/>
        </w:rPr>
        <w:t xml:space="preserve"> L</w:t>
      </w:r>
      <w:r>
        <w:t xml:space="preserve"> and reported that all the bed disinfectant formulations had limited efficacy in preventing the spread of </w:t>
      </w:r>
      <w:proofErr w:type="spellStart"/>
      <w:r>
        <w:t>pebrine</w:t>
      </w:r>
      <w:proofErr w:type="spellEnd"/>
      <w:r>
        <w:t xml:space="preserve"> in rearing bed. However, among the treatments, </w:t>
      </w:r>
      <w:proofErr w:type="spellStart"/>
      <w:r>
        <w:t>Vijetha</w:t>
      </w:r>
      <w:proofErr w:type="spellEnd"/>
      <w:r>
        <w:t xml:space="preserve"> was found to be comparatively more effective in reducing the spread of </w:t>
      </w:r>
      <w:proofErr w:type="spellStart"/>
      <w:r>
        <w:t>pebrine</w:t>
      </w:r>
      <w:proofErr w:type="spellEnd"/>
      <w:r>
        <w:t xml:space="preserve"> with 52.28% reduction in </w:t>
      </w:r>
      <w:proofErr w:type="spellStart"/>
      <w:r>
        <w:t>pebrine</w:t>
      </w:r>
      <w:proofErr w:type="spellEnd"/>
      <w:r>
        <w:t xml:space="preserve"> infection followed by </w:t>
      </w:r>
      <w:proofErr w:type="spellStart"/>
      <w:r>
        <w:t>Resham</w:t>
      </w:r>
      <w:proofErr w:type="spellEnd"/>
      <w:r>
        <w:t xml:space="preserve"> Jyothi (33.69%) and </w:t>
      </w:r>
      <w:proofErr w:type="spellStart"/>
      <w:r>
        <w:t>Labex</w:t>
      </w:r>
      <w:proofErr w:type="spellEnd"/>
      <w:r>
        <w:t xml:space="preserve"> (27.63%) </w:t>
      </w:r>
      <w:r>
        <w:rPr>
          <w:bCs/>
        </w:rPr>
        <w:t>(Table 4).</w:t>
      </w:r>
    </w:p>
    <w:p w:rsidR="00B512CD" w:rsidRDefault="00521215">
      <w:pPr>
        <w:pStyle w:val="NormalWeb"/>
        <w:jc w:val="both"/>
      </w:pPr>
      <w:proofErr w:type="spellStart"/>
      <w:proofErr w:type="gramStart"/>
      <w:r>
        <w:rPr>
          <w:rStyle w:val="Strong"/>
        </w:rPr>
        <w:t>Inference:</w:t>
      </w:r>
      <w:r>
        <w:rPr>
          <w:rStyle w:val="relative"/>
        </w:rPr>
        <w:t>Bed</w:t>
      </w:r>
      <w:proofErr w:type="spellEnd"/>
      <w:proofErr w:type="gramEnd"/>
      <w:r>
        <w:rPr>
          <w:rStyle w:val="relative"/>
        </w:rPr>
        <w:t xml:space="preserve"> disinfectants are </w:t>
      </w:r>
      <w:r>
        <w:rPr>
          <w:rStyle w:val="Strong"/>
          <w:b w:val="0"/>
          <w:bCs w:val="0"/>
        </w:rPr>
        <w:t>useful hygiene tools</w:t>
      </w:r>
      <w:r>
        <w:rPr>
          <w:rStyle w:val="relative"/>
        </w:rPr>
        <w:t xml:space="preserve"> to reduce horizontal spread via rearing beds, they offer </w:t>
      </w:r>
      <w:r>
        <w:rPr>
          <w:rStyle w:val="Strong"/>
          <w:b w:val="0"/>
          <w:bCs w:val="0"/>
        </w:rPr>
        <w:t>limited impact on vertical transmission or existing infections</w:t>
      </w:r>
      <w:r>
        <w:rPr>
          <w:rStyle w:val="relative"/>
        </w:rPr>
        <w:t>.</w:t>
      </w:r>
      <w:r>
        <w:t xml:space="preserve"> </w:t>
      </w:r>
      <w:proofErr w:type="spellStart"/>
      <w:r>
        <w:rPr>
          <w:rStyle w:val="relative"/>
        </w:rPr>
        <w:t>Vijetha</w:t>
      </w:r>
      <w:proofErr w:type="spellEnd"/>
      <w:r>
        <w:rPr>
          <w:rStyle w:val="relative"/>
        </w:rPr>
        <w:t xml:space="preserve"> remains the standard, but newer alternatives (e.g., Ankush) may offer similar efficacy with fewer health/environmental hazards</w:t>
      </w:r>
      <w:r>
        <w:t>. Disinfectants should be part of integrated disease management, not a standalone solution.</w:t>
      </w:r>
    </w:p>
    <w:p w:rsidR="00B512CD" w:rsidRDefault="00521215">
      <w:pPr>
        <w:pStyle w:val="NormalWeb"/>
        <w:spacing w:line="276" w:lineRule="auto"/>
        <w:jc w:val="both"/>
        <w:rPr>
          <w:b/>
        </w:rPr>
      </w:pPr>
      <w:r>
        <w:rPr>
          <w:b/>
          <w:bCs/>
        </w:rPr>
        <w:t xml:space="preserve">Table 4. Efficacy of different bed disinfectants against the spread of </w:t>
      </w:r>
      <w:proofErr w:type="spellStart"/>
      <w:r>
        <w:rPr>
          <w:b/>
          <w:bCs/>
        </w:rPr>
        <w:t>pebrine</w:t>
      </w:r>
      <w:proofErr w:type="spellEnd"/>
      <w:r>
        <w:rPr>
          <w:b/>
          <w:bCs/>
        </w:rPr>
        <w:t xml:space="preserve"> in silkworm rearing </w:t>
      </w:r>
      <w:r>
        <w:rPr>
          <w:b/>
        </w:rPr>
        <w:t xml:space="preserve">(Irfan </w:t>
      </w:r>
      <w:r>
        <w:rPr>
          <w:b/>
          <w:i/>
          <w:iCs/>
        </w:rPr>
        <w:t>et al.,</w:t>
      </w:r>
      <w:r>
        <w:rPr>
          <w:b/>
        </w:rPr>
        <w:t xml:space="preserve"> 2003).</w:t>
      </w:r>
    </w:p>
    <w:tbl>
      <w:tblPr>
        <w:tblStyle w:val="TableGrid"/>
        <w:tblW w:w="10317" w:type="dxa"/>
        <w:jc w:val="center"/>
        <w:tblLook w:val="04A0" w:firstRow="1" w:lastRow="0" w:firstColumn="1" w:lastColumn="0" w:noHBand="0" w:noVBand="1"/>
      </w:tblPr>
      <w:tblGrid>
        <w:gridCol w:w="827"/>
        <w:gridCol w:w="1534"/>
        <w:gridCol w:w="2094"/>
        <w:gridCol w:w="1954"/>
        <w:gridCol w:w="1819"/>
        <w:gridCol w:w="2089"/>
      </w:tblGrid>
      <w:tr w:rsidR="00B512CD">
        <w:trPr>
          <w:trHeight w:val="403"/>
          <w:jc w:val="center"/>
        </w:trPr>
        <w:tc>
          <w:tcPr>
            <w:tcW w:w="827" w:type="dxa"/>
            <w:vAlign w:val="center"/>
          </w:tcPr>
          <w:p w:rsidR="00B512CD" w:rsidRDefault="00521215">
            <w:pPr>
              <w:pStyle w:val="NormalWeb"/>
              <w:spacing w:line="276" w:lineRule="auto"/>
              <w:jc w:val="center"/>
            </w:pPr>
            <w:r>
              <w:rPr>
                <w:b/>
                <w:bCs/>
              </w:rPr>
              <w:t>Sl. No.</w:t>
            </w:r>
          </w:p>
        </w:tc>
        <w:tc>
          <w:tcPr>
            <w:tcW w:w="1534" w:type="dxa"/>
            <w:vAlign w:val="center"/>
          </w:tcPr>
          <w:p w:rsidR="00B512CD" w:rsidRDefault="00521215">
            <w:pPr>
              <w:pStyle w:val="NormalWeb"/>
              <w:spacing w:line="276" w:lineRule="auto"/>
              <w:jc w:val="center"/>
            </w:pPr>
            <w:r>
              <w:rPr>
                <w:b/>
                <w:bCs/>
              </w:rPr>
              <w:t>Treatment</w:t>
            </w:r>
          </w:p>
        </w:tc>
        <w:tc>
          <w:tcPr>
            <w:tcW w:w="2094" w:type="dxa"/>
            <w:vAlign w:val="center"/>
          </w:tcPr>
          <w:p w:rsidR="00B512CD" w:rsidRDefault="00521215">
            <w:pPr>
              <w:pStyle w:val="NormalWeb"/>
              <w:spacing w:line="276" w:lineRule="auto"/>
              <w:jc w:val="center"/>
            </w:pPr>
            <w:r>
              <w:rPr>
                <w:b/>
                <w:bCs/>
              </w:rPr>
              <w:t>No. of larvae/bed</w:t>
            </w:r>
          </w:p>
        </w:tc>
        <w:tc>
          <w:tcPr>
            <w:tcW w:w="1954" w:type="dxa"/>
            <w:vAlign w:val="center"/>
          </w:tcPr>
          <w:p w:rsidR="00B512CD" w:rsidRDefault="00521215">
            <w:pPr>
              <w:pStyle w:val="NormalWeb"/>
              <w:spacing w:line="276" w:lineRule="auto"/>
              <w:jc w:val="center"/>
            </w:pPr>
            <w:proofErr w:type="spellStart"/>
            <w:r>
              <w:rPr>
                <w:b/>
                <w:bCs/>
              </w:rPr>
              <w:t>Pebrine</w:t>
            </w:r>
            <w:proofErr w:type="spellEnd"/>
            <w:r>
              <w:rPr>
                <w:b/>
                <w:bCs/>
              </w:rPr>
              <w:t xml:space="preserve"> disease</w:t>
            </w:r>
            <w:r>
              <w:t xml:space="preserve"> </w:t>
            </w:r>
            <w:r>
              <w:rPr>
                <w:b/>
                <w:bCs/>
              </w:rPr>
              <w:t>(%)</w:t>
            </w:r>
          </w:p>
        </w:tc>
        <w:tc>
          <w:tcPr>
            <w:tcW w:w="1819" w:type="dxa"/>
            <w:vAlign w:val="center"/>
          </w:tcPr>
          <w:p w:rsidR="00B512CD" w:rsidRDefault="00521215">
            <w:pPr>
              <w:pStyle w:val="NormalWeb"/>
              <w:spacing w:line="276" w:lineRule="auto"/>
              <w:jc w:val="center"/>
            </w:pPr>
            <w:r>
              <w:rPr>
                <w:b/>
                <w:bCs/>
              </w:rPr>
              <w:t>Healthy larvae (%)</w:t>
            </w:r>
          </w:p>
        </w:tc>
        <w:tc>
          <w:tcPr>
            <w:tcW w:w="2089" w:type="dxa"/>
            <w:vAlign w:val="center"/>
          </w:tcPr>
          <w:p w:rsidR="00B512CD" w:rsidRDefault="00521215">
            <w:pPr>
              <w:pStyle w:val="NormalWeb"/>
              <w:spacing w:line="276" w:lineRule="auto"/>
              <w:jc w:val="center"/>
            </w:pPr>
            <w:r>
              <w:rPr>
                <w:b/>
                <w:bCs/>
              </w:rPr>
              <w:t>Disease reduction over control (%)</w:t>
            </w:r>
          </w:p>
        </w:tc>
      </w:tr>
      <w:tr w:rsidR="00B512CD">
        <w:trPr>
          <w:trHeight w:val="1018"/>
          <w:jc w:val="center"/>
        </w:trPr>
        <w:tc>
          <w:tcPr>
            <w:tcW w:w="827" w:type="dxa"/>
            <w:vAlign w:val="center"/>
          </w:tcPr>
          <w:p w:rsidR="00B512CD" w:rsidRDefault="00521215">
            <w:pPr>
              <w:pStyle w:val="NormalWeb"/>
              <w:spacing w:line="276" w:lineRule="auto"/>
              <w:jc w:val="center"/>
            </w:pPr>
            <w:r>
              <w:rPr>
                <w:b/>
                <w:bCs/>
              </w:rPr>
              <w:t>1</w:t>
            </w:r>
          </w:p>
          <w:p w:rsidR="00B512CD" w:rsidRDefault="00521215">
            <w:pPr>
              <w:pStyle w:val="NormalWeb"/>
              <w:jc w:val="center"/>
            </w:pPr>
            <w:r>
              <w:rPr>
                <w:b/>
                <w:bCs/>
              </w:rPr>
              <w:t>2</w:t>
            </w:r>
          </w:p>
          <w:p w:rsidR="00B512CD" w:rsidRDefault="00521215">
            <w:pPr>
              <w:pStyle w:val="NormalWeb"/>
              <w:jc w:val="center"/>
            </w:pPr>
            <w:r>
              <w:rPr>
                <w:b/>
                <w:bCs/>
              </w:rPr>
              <w:t>3</w:t>
            </w:r>
          </w:p>
          <w:p w:rsidR="00B512CD" w:rsidRDefault="00B512CD">
            <w:pPr>
              <w:pStyle w:val="NormalWeb"/>
              <w:spacing w:line="276" w:lineRule="auto"/>
              <w:jc w:val="center"/>
              <w:rPr>
                <w:b/>
                <w:bCs/>
              </w:rPr>
            </w:pPr>
          </w:p>
          <w:p w:rsidR="00B512CD" w:rsidRDefault="00521215">
            <w:pPr>
              <w:pStyle w:val="NormalWeb"/>
              <w:spacing w:line="276" w:lineRule="auto"/>
              <w:jc w:val="center"/>
            </w:pPr>
            <w:r>
              <w:rPr>
                <w:b/>
                <w:bCs/>
              </w:rPr>
              <w:t>4</w:t>
            </w:r>
          </w:p>
        </w:tc>
        <w:tc>
          <w:tcPr>
            <w:tcW w:w="1534" w:type="dxa"/>
            <w:vAlign w:val="center"/>
          </w:tcPr>
          <w:p w:rsidR="00B512CD" w:rsidRDefault="00521215">
            <w:pPr>
              <w:pStyle w:val="NormalWeb"/>
              <w:spacing w:line="276" w:lineRule="auto"/>
              <w:jc w:val="center"/>
            </w:pPr>
            <w:proofErr w:type="spellStart"/>
            <w:r>
              <w:rPr>
                <w:bCs/>
              </w:rPr>
              <w:lastRenderedPageBreak/>
              <w:t>Vijetha</w:t>
            </w:r>
            <w:proofErr w:type="spellEnd"/>
          </w:p>
          <w:p w:rsidR="00B512CD" w:rsidRDefault="00521215">
            <w:pPr>
              <w:pStyle w:val="NormalWeb"/>
              <w:spacing w:line="276" w:lineRule="auto"/>
              <w:jc w:val="center"/>
            </w:pPr>
            <w:proofErr w:type="spellStart"/>
            <w:r>
              <w:t>Labex</w:t>
            </w:r>
            <w:proofErr w:type="spellEnd"/>
          </w:p>
          <w:p w:rsidR="00B512CD" w:rsidRDefault="00521215">
            <w:pPr>
              <w:pStyle w:val="NormalWeb"/>
              <w:spacing w:line="276" w:lineRule="auto"/>
              <w:jc w:val="center"/>
            </w:pPr>
            <w:proofErr w:type="spellStart"/>
            <w:r>
              <w:lastRenderedPageBreak/>
              <w:t>Resham</w:t>
            </w:r>
            <w:proofErr w:type="spellEnd"/>
            <w:r>
              <w:t xml:space="preserve"> Jyothi</w:t>
            </w:r>
          </w:p>
          <w:p w:rsidR="00B512CD" w:rsidRDefault="00521215">
            <w:pPr>
              <w:pStyle w:val="NormalWeb"/>
              <w:spacing w:line="276" w:lineRule="auto"/>
              <w:jc w:val="center"/>
            </w:pPr>
            <w:r>
              <w:t>Inoculated control</w:t>
            </w:r>
          </w:p>
        </w:tc>
        <w:tc>
          <w:tcPr>
            <w:tcW w:w="2094" w:type="dxa"/>
            <w:vAlign w:val="center"/>
          </w:tcPr>
          <w:p w:rsidR="00B512CD" w:rsidRDefault="00521215">
            <w:pPr>
              <w:pStyle w:val="NormalWeb"/>
              <w:spacing w:line="276" w:lineRule="auto"/>
              <w:jc w:val="center"/>
            </w:pPr>
            <w:r>
              <w:lastRenderedPageBreak/>
              <w:t>100</w:t>
            </w:r>
          </w:p>
          <w:p w:rsidR="00B512CD" w:rsidRDefault="00521215">
            <w:pPr>
              <w:pStyle w:val="NormalWeb"/>
              <w:spacing w:line="276" w:lineRule="auto"/>
              <w:jc w:val="center"/>
            </w:pPr>
            <w:r>
              <w:t>I00</w:t>
            </w:r>
          </w:p>
          <w:p w:rsidR="00B512CD" w:rsidRDefault="00521215">
            <w:pPr>
              <w:pStyle w:val="NormalWeb"/>
              <w:spacing w:line="276" w:lineRule="auto"/>
              <w:jc w:val="center"/>
            </w:pPr>
            <w:r>
              <w:t>100</w:t>
            </w:r>
          </w:p>
          <w:p w:rsidR="00B512CD" w:rsidRDefault="00B512CD">
            <w:pPr>
              <w:pStyle w:val="NormalWeb"/>
              <w:spacing w:line="276" w:lineRule="auto"/>
              <w:jc w:val="center"/>
            </w:pPr>
          </w:p>
          <w:p w:rsidR="00B512CD" w:rsidRDefault="00521215">
            <w:pPr>
              <w:pStyle w:val="NormalWeb"/>
              <w:spacing w:line="276" w:lineRule="auto"/>
              <w:jc w:val="center"/>
            </w:pPr>
            <w:r>
              <w:t>100</w:t>
            </w:r>
          </w:p>
        </w:tc>
        <w:tc>
          <w:tcPr>
            <w:tcW w:w="1954" w:type="dxa"/>
            <w:vAlign w:val="center"/>
          </w:tcPr>
          <w:p w:rsidR="00B512CD" w:rsidRDefault="00521215">
            <w:pPr>
              <w:pStyle w:val="NormalWeb"/>
              <w:spacing w:line="276" w:lineRule="auto"/>
              <w:jc w:val="center"/>
            </w:pPr>
            <w:r>
              <w:lastRenderedPageBreak/>
              <w:t>09.55</w:t>
            </w:r>
          </w:p>
          <w:p w:rsidR="00B512CD" w:rsidRDefault="00521215">
            <w:pPr>
              <w:pStyle w:val="NormalWeb"/>
              <w:spacing w:line="276" w:lineRule="auto"/>
              <w:jc w:val="center"/>
            </w:pPr>
            <w:r>
              <w:t>16.00</w:t>
            </w:r>
          </w:p>
          <w:p w:rsidR="00B512CD" w:rsidRDefault="00521215">
            <w:pPr>
              <w:pStyle w:val="NormalWeb"/>
              <w:spacing w:line="276" w:lineRule="auto"/>
              <w:jc w:val="center"/>
            </w:pPr>
            <w:r>
              <w:t>14.66</w:t>
            </w:r>
          </w:p>
          <w:p w:rsidR="00B512CD" w:rsidRDefault="00B512CD">
            <w:pPr>
              <w:pStyle w:val="NormalWeb"/>
              <w:spacing w:line="276" w:lineRule="auto"/>
              <w:jc w:val="center"/>
            </w:pPr>
          </w:p>
          <w:p w:rsidR="00B512CD" w:rsidRDefault="00521215">
            <w:pPr>
              <w:pStyle w:val="NormalWeb"/>
              <w:spacing w:line="276" w:lineRule="auto"/>
              <w:jc w:val="center"/>
            </w:pPr>
            <w:r>
              <w:t>22.11</w:t>
            </w:r>
          </w:p>
        </w:tc>
        <w:tc>
          <w:tcPr>
            <w:tcW w:w="1819" w:type="dxa"/>
            <w:vAlign w:val="center"/>
          </w:tcPr>
          <w:p w:rsidR="00B512CD" w:rsidRDefault="00521215">
            <w:pPr>
              <w:pStyle w:val="NormalWeb"/>
              <w:spacing w:line="276" w:lineRule="auto"/>
              <w:jc w:val="center"/>
            </w:pPr>
            <w:r>
              <w:lastRenderedPageBreak/>
              <w:t>90.4</w:t>
            </w:r>
          </w:p>
          <w:p w:rsidR="00B512CD" w:rsidRDefault="00521215">
            <w:pPr>
              <w:pStyle w:val="NormalWeb"/>
              <w:spacing w:line="276" w:lineRule="auto"/>
              <w:jc w:val="center"/>
            </w:pPr>
            <w:r>
              <w:t>84.00</w:t>
            </w:r>
          </w:p>
          <w:p w:rsidR="00B512CD" w:rsidRDefault="00521215">
            <w:pPr>
              <w:pStyle w:val="NormalWeb"/>
              <w:spacing w:line="276" w:lineRule="auto"/>
              <w:jc w:val="center"/>
            </w:pPr>
            <w:r>
              <w:t>83.34</w:t>
            </w:r>
          </w:p>
          <w:p w:rsidR="00B512CD" w:rsidRDefault="00B512CD">
            <w:pPr>
              <w:pStyle w:val="NormalWeb"/>
              <w:spacing w:line="276" w:lineRule="auto"/>
              <w:jc w:val="center"/>
            </w:pPr>
          </w:p>
          <w:p w:rsidR="00B512CD" w:rsidRDefault="00521215">
            <w:pPr>
              <w:pStyle w:val="NormalWeb"/>
              <w:spacing w:line="276" w:lineRule="auto"/>
              <w:jc w:val="center"/>
            </w:pPr>
            <w:r>
              <w:t>77.89</w:t>
            </w:r>
          </w:p>
        </w:tc>
        <w:tc>
          <w:tcPr>
            <w:tcW w:w="2089" w:type="dxa"/>
            <w:vAlign w:val="center"/>
          </w:tcPr>
          <w:p w:rsidR="00B512CD" w:rsidRDefault="00521215">
            <w:pPr>
              <w:pStyle w:val="NormalWeb"/>
              <w:spacing w:line="276" w:lineRule="auto"/>
              <w:jc w:val="center"/>
            </w:pPr>
            <w:r>
              <w:rPr>
                <w:bCs/>
              </w:rPr>
              <w:lastRenderedPageBreak/>
              <w:t>52.28</w:t>
            </w:r>
          </w:p>
          <w:p w:rsidR="00B512CD" w:rsidRDefault="00521215">
            <w:pPr>
              <w:pStyle w:val="NormalWeb"/>
              <w:spacing w:line="276" w:lineRule="auto"/>
              <w:jc w:val="center"/>
            </w:pPr>
            <w:r>
              <w:t>27.63</w:t>
            </w:r>
          </w:p>
          <w:p w:rsidR="00B512CD" w:rsidRDefault="00521215">
            <w:pPr>
              <w:pStyle w:val="NormalWeb"/>
              <w:spacing w:line="276" w:lineRule="auto"/>
              <w:jc w:val="center"/>
            </w:pPr>
            <w:r>
              <w:t>33.69</w:t>
            </w:r>
          </w:p>
        </w:tc>
      </w:tr>
      <w:tr w:rsidR="00B512CD">
        <w:trPr>
          <w:trHeight w:val="205"/>
          <w:jc w:val="center"/>
        </w:trPr>
        <w:tc>
          <w:tcPr>
            <w:tcW w:w="827" w:type="dxa"/>
            <w:vAlign w:val="center"/>
          </w:tcPr>
          <w:p w:rsidR="00B512CD" w:rsidRDefault="00B512CD">
            <w:pPr>
              <w:pStyle w:val="NormalWeb"/>
              <w:spacing w:line="276" w:lineRule="auto"/>
              <w:jc w:val="center"/>
            </w:pPr>
          </w:p>
        </w:tc>
        <w:tc>
          <w:tcPr>
            <w:tcW w:w="1534" w:type="dxa"/>
            <w:vAlign w:val="center"/>
          </w:tcPr>
          <w:p w:rsidR="00B512CD" w:rsidRDefault="00521215">
            <w:pPr>
              <w:pStyle w:val="NormalWeb"/>
              <w:spacing w:line="276" w:lineRule="auto"/>
              <w:jc w:val="center"/>
            </w:pPr>
            <w:r>
              <w:t>S.E ±</w:t>
            </w:r>
          </w:p>
        </w:tc>
        <w:tc>
          <w:tcPr>
            <w:tcW w:w="2094" w:type="dxa"/>
            <w:vAlign w:val="center"/>
          </w:tcPr>
          <w:p w:rsidR="00B512CD" w:rsidRDefault="00B512CD">
            <w:pPr>
              <w:pStyle w:val="NormalWeb"/>
              <w:spacing w:line="276" w:lineRule="auto"/>
              <w:jc w:val="center"/>
            </w:pPr>
          </w:p>
        </w:tc>
        <w:tc>
          <w:tcPr>
            <w:tcW w:w="1954" w:type="dxa"/>
            <w:vAlign w:val="center"/>
          </w:tcPr>
          <w:p w:rsidR="00B512CD" w:rsidRDefault="00521215">
            <w:pPr>
              <w:pStyle w:val="NormalWeb"/>
              <w:spacing w:line="276" w:lineRule="auto"/>
              <w:jc w:val="center"/>
            </w:pPr>
            <w:r>
              <w:t>1.32</w:t>
            </w:r>
          </w:p>
        </w:tc>
        <w:tc>
          <w:tcPr>
            <w:tcW w:w="1819" w:type="dxa"/>
            <w:vAlign w:val="center"/>
          </w:tcPr>
          <w:p w:rsidR="00B512CD" w:rsidRDefault="00B512CD">
            <w:pPr>
              <w:pStyle w:val="NormalWeb"/>
              <w:spacing w:line="276" w:lineRule="auto"/>
              <w:jc w:val="center"/>
            </w:pPr>
          </w:p>
        </w:tc>
        <w:tc>
          <w:tcPr>
            <w:tcW w:w="2089" w:type="dxa"/>
            <w:vAlign w:val="center"/>
          </w:tcPr>
          <w:p w:rsidR="00B512CD" w:rsidRDefault="00B512CD">
            <w:pPr>
              <w:pStyle w:val="NormalWeb"/>
              <w:spacing w:line="276" w:lineRule="auto"/>
              <w:jc w:val="center"/>
            </w:pPr>
          </w:p>
        </w:tc>
      </w:tr>
      <w:tr w:rsidR="00B512CD">
        <w:trPr>
          <w:trHeight w:val="257"/>
          <w:jc w:val="center"/>
        </w:trPr>
        <w:tc>
          <w:tcPr>
            <w:tcW w:w="827" w:type="dxa"/>
            <w:vAlign w:val="center"/>
          </w:tcPr>
          <w:p w:rsidR="00B512CD" w:rsidRDefault="00B512CD">
            <w:pPr>
              <w:pStyle w:val="NormalWeb"/>
              <w:spacing w:line="276" w:lineRule="auto"/>
              <w:jc w:val="center"/>
            </w:pPr>
          </w:p>
        </w:tc>
        <w:tc>
          <w:tcPr>
            <w:tcW w:w="1534" w:type="dxa"/>
            <w:vAlign w:val="center"/>
          </w:tcPr>
          <w:p w:rsidR="00B512CD" w:rsidRDefault="00521215">
            <w:pPr>
              <w:pStyle w:val="NormalWeb"/>
              <w:spacing w:line="276" w:lineRule="auto"/>
              <w:jc w:val="center"/>
            </w:pPr>
            <w:r>
              <w:t>C.D at 5%</w:t>
            </w:r>
          </w:p>
        </w:tc>
        <w:tc>
          <w:tcPr>
            <w:tcW w:w="2094" w:type="dxa"/>
            <w:vAlign w:val="center"/>
          </w:tcPr>
          <w:p w:rsidR="00B512CD" w:rsidRDefault="00B512CD">
            <w:pPr>
              <w:pStyle w:val="NormalWeb"/>
              <w:spacing w:line="276" w:lineRule="auto"/>
              <w:jc w:val="center"/>
            </w:pPr>
          </w:p>
        </w:tc>
        <w:tc>
          <w:tcPr>
            <w:tcW w:w="1954" w:type="dxa"/>
            <w:vAlign w:val="center"/>
          </w:tcPr>
          <w:p w:rsidR="00B512CD" w:rsidRDefault="00521215">
            <w:pPr>
              <w:pStyle w:val="NormalWeb"/>
              <w:spacing w:line="276" w:lineRule="auto"/>
              <w:jc w:val="center"/>
            </w:pPr>
            <w:r>
              <w:t>4.58</w:t>
            </w:r>
          </w:p>
        </w:tc>
        <w:tc>
          <w:tcPr>
            <w:tcW w:w="1819" w:type="dxa"/>
            <w:vAlign w:val="center"/>
          </w:tcPr>
          <w:p w:rsidR="00B512CD" w:rsidRDefault="00B512CD">
            <w:pPr>
              <w:pStyle w:val="NormalWeb"/>
              <w:spacing w:line="276" w:lineRule="auto"/>
              <w:jc w:val="center"/>
            </w:pPr>
          </w:p>
        </w:tc>
        <w:tc>
          <w:tcPr>
            <w:tcW w:w="2089" w:type="dxa"/>
            <w:vAlign w:val="center"/>
          </w:tcPr>
          <w:p w:rsidR="00B512CD" w:rsidRDefault="00B512CD">
            <w:pPr>
              <w:pStyle w:val="NormalWeb"/>
              <w:spacing w:line="276" w:lineRule="auto"/>
              <w:jc w:val="center"/>
            </w:pPr>
          </w:p>
        </w:tc>
      </w:tr>
    </w:tbl>
    <w:p w:rsidR="00B512CD" w:rsidRDefault="00521215">
      <w:pPr>
        <w:pStyle w:val="NormalWeb"/>
        <w:spacing w:line="276" w:lineRule="auto"/>
        <w:jc w:val="both"/>
      </w:pPr>
      <w:r>
        <w:rPr>
          <w:bCs/>
        </w:rPr>
        <w:t xml:space="preserve">Jyothi </w:t>
      </w:r>
      <w:r>
        <w:rPr>
          <w:bCs/>
          <w:i/>
          <w:iCs/>
        </w:rPr>
        <w:t xml:space="preserve">et al. </w:t>
      </w:r>
      <w:r>
        <w:rPr>
          <w:bCs/>
        </w:rPr>
        <w:t xml:space="preserve">(2004) investigated on </w:t>
      </w:r>
      <w:r>
        <w:t xml:space="preserve">effect of carbendazim treatment on </w:t>
      </w:r>
      <w:r>
        <w:rPr>
          <w:i/>
          <w:iCs/>
        </w:rPr>
        <w:t xml:space="preserve">N. </w:t>
      </w:r>
      <w:proofErr w:type="spellStart"/>
      <w:r>
        <w:rPr>
          <w:i/>
          <w:iCs/>
        </w:rPr>
        <w:t>bombycis</w:t>
      </w:r>
      <w:proofErr w:type="spellEnd"/>
      <w:r>
        <w:t xml:space="preserve"> infected silkworms and r</w:t>
      </w:r>
      <w:r>
        <w:rPr>
          <w:bCs/>
        </w:rPr>
        <w:t xml:space="preserve">eported that </w:t>
      </w:r>
      <w:r>
        <w:t>among all the treatments, TRI-4 shows better effect in all the parameters such as average weight of average weight of ten larvae at fifth instar of sixth day (38.69 g</w:t>
      </w:r>
      <w:r>
        <w:rPr>
          <w:b/>
        </w:rPr>
        <w:t>)</w:t>
      </w:r>
      <w:r>
        <w:t xml:space="preserve">, larval mortality due to </w:t>
      </w:r>
      <w:proofErr w:type="spellStart"/>
      <w:r>
        <w:t>pebrine</w:t>
      </w:r>
      <w:proofErr w:type="spellEnd"/>
      <w:r>
        <w:t xml:space="preserve"> (0.0 %) and toxicity (0.0%), </w:t>
      </w:r>
      <w:r>
        <w:rPr>
          <w:lang w:val="en-US"/>
        </w:rPr>
        <w:t xml:space="preserve">ERR (95.40%), </w:t>
      </w:r>
      <w:r>
        <w:t xml:space="preserve">single cocoon weight (1.72 g), cocoon shell ratio (20.23) and </w:t>
      </w:r>
      <w:proofErr w:type="spellStart"/>
      <w:r>
        <w:t>pebrinized</w:t>
      </w:r>
      <w:proofErr w:type="spellEnd"/>
      <w:r>
        <w:t xml:space="preserve"> cocoons (0.0). Because, observation of the ultrastructural changes, revealed that carbendazim has a profound effect on the cellular organization of the parasite and also interferes very effectively in the progression of development of the spores causing abnormalities in both the merogonic and </w:t>
      </w:r>
      <w:proofErr w:type="spellStart"/>
      <w:r>
        <w:t>sporogonic</w:t>
      </w:r>
      <w:proofErr w:type="spellEnd"/>
      <w:r>
        <w:t xml:space="preserve"> stages of </w:t>
      </w:r>
      <w:r>
        <w:rPr>
          <w:i/>
          <w:iCs/>
        </w:rPr>
        <w:t xml:space="preserve">N. </w:t>
      </w:r>
      <w:proofErr w:type="spellStart"/>
      <w:r>
        <w:rPr>
          <w:i/>
          <w:iCs/>
        </w:rPr>
        <w:t>bombycis</w:t>
      </w:r>
      <w:proofErr w:type="spellEnd"/>
      <w:r>
        <w:rPr>
          <w:i/>
          <w:iCs/>
        </w:rPr>
        <w:t xml:space="preserve"> </w:t>
      </w:r>
      <w:r>
        <w:t xml:space="preserve">in the silkworm. However, the host-cell organization remained normal (Table 5). </w:t>
      </w:r>
      <w:r>
        <w:rPr>
          <w:bCs/>
        </w:rPr>
        <w:t xml:space="preserve">Jyothi </w:t>
      </w:r>
      <w:r>
        <w:rPr>
          <w:bCs/>
          <w:i/>
          <w:iCs/>
        </w:rPr>
        <w:t xml:space="preserve">et al. </w:t>
      </w:r>
      <w:r>
        <w:rPr>
          <w:bCs/>
        </w:rPr>
        <w:t xml:space="preserve">(2004) also revealed that </w:t>
      </w:r>
      <w:r>
        <w:t xml:space="preserve">the larval weight was significantly high in all treatments from TRI-24 to TRI-120 when compared with infected control. During the larval stage, mortality caused by </w:t>
      </w:r>
      <w:proofErr w:type="spellStart"/>
      <w:r>
        <w:t>pebrine</w:t>
      </w:r>
      <w:proofErr w:type="spellEnd"/>
      <w:r>
        <w:t xml:space="preserve"> was not observed up to 72 h pi but was observed in the 96 and 120-h pi batches. The moths that emerged from the 24- and 48-h pi batches showed no </w:t>
      </w:r>
      <w:proofErr w:type="spellStart"/>
      <w:r>
        <w:t>pebrine</w:t>
      </w:r>
      <w:proofErr w:type="spellEnd"/>
      <w:r>
        <w:t xml:space="preserve"> infection. Infection rate was significantly high in moths that emerged from batches where treatment of the chemical started after 72 and 120 h pi. The percentage of infected moths was 38.78% in TRI-72, 68.23% in TRI-96 and 100% in TRI-120 batches. Hence, the administration of the drug should start within 48 h pi before the parasite establishes itself in the host tissues (Table 6).</w:t>
      </w:r>
    </w:p>
    <w:p w:rsidR="00B512CD" w:rsidRDefault="00521215">
      <w:pPr>
        <w:pStyle w:val="NormalWeb"/>
      </w:pPr>
      <w:r>
        <w:rPr>
          <w:rStyle w:val="Strong"/>
        </w:rPr>
        <w:t>Inference</w:t>
      </w:r>
      <w:r>
        <w:rPr>
          <w:b/>
          <w:bCs/>
        </w:rPr>
        <w:t xml:space="preserve">: </w:t>
      </w:r>
      <w:r>
        <w:t xml:space="preserve">Carbendazim shows </w:t>
      </w:r>
      <w:r>
        <w:rPr>
          <w:rStyle w:val="Strong"/>
          <w:b w:val="0"/>
          <w:bCs w:val="0"/>
        </w:rPr>
        <w:t>robust efficacy</w:t>
      </w:r>
      <w:r>
        <w:t xml:space="preserve"> when properly timed, likely disrupting spore development stages. However, its </w:t>
      </w:r>
      <w:r>
        <w:rPr>
          <w:rStyle w:val="Strong"/>
          <w:b w:val="0"/>
          <w:bCs w:val="0"/>
        </w:rPr>
        <w:t>chemical toxicity</w:t>
      </w:r>
      <w:r>
        <w:t>, potential environmental persistence, and regulatory status raise concerns. Accurate timing and dosage are essential; delayed treatment may be ineffective or unsafe.</w:t>
      </w:r>
    </w:p>
    <w:p w:rsidR="00B512CD" w:rsidRDefault="00521215">
      <w:pPr>
        <w:pStyle w:val="NormalWeb"/>
        <w:spacing w:line="276" w:lineRule="auto"/>
        <w:jc w:val="both"/>
        <w:rPr>
          <w:b/>
        </w:rPr>
      </w:pPr>
      <w:r>
        <w:rPr>
          <w:b/>
          <w:bCs/>
        </w:rPr>
        <w:t xml:space="preserve">Table 5: Effect of carbendazim treatment on </w:t>
      </w:r>
      <w:r>
        <w:rPr>
          <w:b/>
          <w:bCs/>
          <w:i/>
          <w:iCs/>
        </w:rPr>
        <w:t xml:space="preserve">N. </w:t>
      </w:r>
      <w:proofErr w:type="spellStart"/>
      <w:r>
        <w:rPr>
          <w:b/>
          <w:bCs/>
          <w:i/>
          <w:iCs/>
        </w:rPr>
        <w:t>bombycis</w:t>
      </w:r>
      <w:proofErr w:type="spellEnd"/>
      <w:r>
        <w:rPr>
          <w:b/>
          <w:bCs/>
        </w:rPr>
        <w:t xml:space="preserve"> infected silkworms </w:t>
      </w:r>
      <w:r>
        <w:rPr>
          <w:bCs/>
        </w:rPr>
        <w:t>(</w:t>
      </w:r>
      <w:r>
        <w:rPr>
          <w:b/>
        </w:rPr>
        <w:t xml:space="preserve">Jyothi </w:t>
      </w:r>
      <w:r>
        <w:rPr>
          <w:b/>
          <w:i/>
          <w:iCs/>
        </w:rPr>
        <w:t xml:space="preserve">et al.., </w:t>
      </w:r>
      <w:r>
        <w:rPr>
          <w:b/>
        </w:rPr>
        <w:t xml:space="preserve">2004) </w:t>
      </w:r>
    </w:p>
    <w:tbl>
      <w:tblPr>
        <w:tblStyle w:val="TableGrid"/>
        <w:tblW w:w="10780" w:type="dxa"/>
        <w:jc w:val="center"/>
        <w:tblLook w:val="04A0" w:firstRow="1" w:lastRow="0" w:firstColumn="1" w:lastColumn="0" w:noHBand="0" w:noVBand="1"/>
      </w:tblPr>
      <w:tblGrid>
        <w:gridCol w:w="2135"/>
        <w:gridCol w:w="1724"/>
        <w:gridCol w:w="1013"/>
        <w:gridCol w:w="1130"/>
        <w:gridCol w:w="896"/>
        <w:gridCol w:w="1050"/>
        <w:gridCol w:w="1054"/>
        <w:gridCol w:w="1778"/>
      </w:tblGrid>
      <w:tr w:rsidR="00B512CD">
        <w:trPr>
          <w:trHeight w:val="1100"/>
          <w:jc w:val="center"/>
        </w:trPr>
        <w:tc>
          <w:tcPr>
            <w:tcW w:w="2135" w:type="dxa"/>
            <w:vMerge w:val="restart"/>
            <w:vAlign w:val="center"/>
          </w:tcPr>
          <w:p w:rsidR="00B512CD" w:rsidRDefault="00521215">
            <w:pPr>
              <w:pStyle w:val="NormalWeb"/>
              <w:jc w:val="center"/>
              <w:rPr>
                <w:b/>
                <w:bCs/>
              </w:rPr>
            </w:pPr>
            <w:r>
              <w:rPr>
                <w:b/>
                <w:bCs/>
              </w:rPr>
              <w:t>Treatment</w:t>
            </w:r>
          </w:p>
          <w:p w:rsidR="00B512CD" w:rsidRDefault="00B512CD">
            <w:pPr>
              <w:pStyle w:val="NormalWeb"/>
              <w:jc w:val="center"/>
              <w:rPr>
                <w:b/>
                <w:bCs/>
              </w:rPr>
            </w:pPr>
          </w:p>
          <w:p w:rsidR="00B512CD" w:rsidRDefault="00B512CD">
            <w:pPr>
              <w:pStyle w:val="NormalWeb"/>
              <w:jc w:val="center"/>
            </w:pPr>
          </w:p>
        </w:tc>
        <w:tc>
          <w:tcPr>
            <w:tcW w:w="1724" w:type="dxa"/>
            <w:vMerge w:val="restart"/>
            <w:vAlign w:val="center"/>
          </w:tcPr>
          <w:p w:rsidR="00B512CD" w:rsidRDefault="00521215">
            <w:pPr>
              <w:pStyle w:val="NormalWeb"/>
              <w:jc w:val="center"/>
            </w:pPr>
            <w:r>
              <w:rPr>
                <w:b/>
                <w:bCs/>
              </w:rPr>
              <w:t>Average weight of ten larvae at fifth instar of sixth day (g)</w:t>
            </w:r>
          </w:p>
        </w:tc>
        <w:tc>
          <w:tcPr>
            <w:tcW w:w="2143" w:type="dxa"/>
            <w:gridSpan w:val="2"/>
            <w:vAlign w:val="center"/>
          </w:tcPr>
          <w:p w:rsidR="00B512CD" w:rsidRDefault="00521215">
            <w:pPr>
              <w:pStyle w:val="NormalWeb"/>
              <w:jc w:val="center"/>
            </w:pPr>
            <w:r>
              <w:rPr>
                <w:b/>
                <w:bCs/>
              </w:rPr>
              <w:t>Larval mortality (%) due to</w:t>
            </w:r>
          </w:p>
        </w:tc>
        <w:tc>
          <w:tcPr>
            <w:tcW w:w="896" w:type="dxa"/>
            <w:vMerge w:val="restart"/>
            <w:vAlign w:val="center"/>
          </w:tcPr>
          <w:p w:rsidR="00B512CD" w:rsidRDefault="00521215">
            <w:pPr>
              <w:pStyle w:val="NormalWeb"/>
              <w:jc w:val="center"/>
              <w:rPr>
                <w:b/>
                <w:bCs/>
              </w:rPr>
            </w:pPr>
            <w:r>
              <w:rPr>
                <w:b/>
                <w:bCs/>
              </w:rPr>
              <w:t>ERR</w:t>
            </w:r>
            <w:r>
              <w:rPr>
                <w:b/>
                <w:bCs/>
              </w:rPr>
              <w:br/>
              <w:t>(%)</w:t>
            </w:r>
          </w:p>
          <w:p w:rsidR="00B512CD" w:rsidRDefault="00B512CD">
            <w:pPr>
              <w:pStyle w:val="NormalWeb"/>
              <w:jc w:val="center"/>
              <w:rPr>
                <w:b/>
                <w:bCs/>
              </w:rPr>
            </w:pPr>
          </w:p>
          <w:p w:rsidR="00B512CD" w:rsidRDefault="00B512CD">
            <w:pPr>
              <w:pStyle w:val="NormalWeb"/>
              <w:jc w:val="center"/>
            </w:pPr>
          </w:p>
        </w:tc>
        <w:tc>
          <w:tcPr>
            <w:tcW w:w="1050" w:type="dxa"/>
            <w:vMerge w:val="restart"/>
            <w:vAlign w:val="center"/>
          </w:tcPr>
          <w:p w:rsidR="00B512CD" w:rsidRDefault="00521215">
            <w:pPr>
              <w:pStyle w:val="NormalWeb"/>
              <w:jc w:val="center"/>
              <w:rPr>
                <w:b/>
                <w:bCs/>
              </w:rPr>
            </w:pPr>
            <w:r>
              <w:rPr>
                <w:b/>
                <w:bCs/>
              </w:rPr>
              <w:t>Single cocoon weight (g)</w:t>
            </w:r>
          </w:p>
          <w:p w:rsidR="00B512CD" w:rsidRDefault="00B512CD">
            <w:pPr>
              <w:pStyle w:val="NormalWeb"/>
              <w:jc w:val="center"/>
            </w:pPr>
          </w:p>
        </w:tc>
        <w:tc>
          <w:tcPr>
            <w:tcW w:w="1054" w:type="dxa"/>
            <w:vMerge w:val="restart"/>
            <w:vAlign w:val="center"/>
          </w:tcPr>
          <w:p w:rsidR="00B512CD" w:rsidRDefault="00521215">
            <w:pPr>
              <w:pStyle w:val="NormalWeb"/>
              <w:jc w:val="center"/>
              <w:rPr>
                <w:b/>
                <w:bCs/>
              </w:rPr>
            </w:pPr>
            <w:r>
              <w:rPr>
                <w:b/>
                <w:bCs/>
              </w:rPr>
              <w:t>Cocoon shell ratio (%)</w:t>
            </w:r>
          </w:p>
          <w:p w:rsidR="00B512CD" w:rsidRDefault="00B512CD">
            <w:pPr>
              <w:pStyle w:val="NormalWeb"/>
              <w:jc w:val="center"/>
            </w:pPr>
          </w:p>
        </w:tc>
        <w:tc>
          <w:tcPr>
            <w:tcW w:w="1778" w:type="dxa"/>
            <w:vMerge w:val="restart"/>
            <w:vAlign w:val="center"/>
          </w:tcPr>
          <w:p w:rsidR="00B512CD" w:rsidRDefault="00521215">
            <w:pPr>
              <w:pStyle w:val="NormalWeb"/>
              <w:jc w:val="center"/>
              <w:rPr>
                <w:b/>
                <w:bCs/>
              </w:rPr>
            </w:pPr>
            <w:proofErr w:type="spellStart"/>
            <w:r>
              <w:rPr>
                <w:b/>
                <w:bCs/>
              </w:rPr>
              <w:t>Pebrinized</w:t>
            </w:r>
            <w:proofErr w:type="spellEnd"/>
            <w:r>
              <w:rPr>
                <w:b/>
                <w:bCs/>
              </w:rPr>
              <w:t xml:space="preserve"> cocoons</w:t>
            </w:r>
          </w:p>
          <w:p w:rsidR="00B512CD" w:rsidRDefault="00B512CD">
            <w:pPr>
              <w:pStyle w:val="NormalWeb"/>
              <w:jc w:val="center"/>
              <w:rPr>
                <w:b/>
                <w:bCs/>
              </w:rPr>
            </w:pPr>
          </w:p>
          <w:p w:rsidR="00B512CD" w:rsidRDefault="00B512CD">
            <w:pPr>
              <w:pStyle w:val="NormalWeb"/>
              <w:jc w:val="center"/>
            </w:pPr>
          </w:p>
        </w:tc>
      </w:tr>
      <w:tr w:rsidR="00B512CD">
        <w:trPr>
          <w:trHeight w:val="128"/>
          <w:jc w:val="center"/>
        </w:trPr>
        <w:tc>
          <w:tcPr>
            <w:tcW w:w="2135" w:type="dxa"/>
            <w:vMerge/>
            <w:vAlign w:val="center"/>
          </w:tcPr>
          <w:p w:rsidR="00B512CD" w:rsidRDefault="00B512CD">
            <w:pPr>
              <w:pStyle w:val="NormalWeb"/>
              <w:jc w:val="center"/>
            </w:pPr>
          </w:p>
        </w:tc>
        <w:tc>
          <w:tcPr>
            <w:tcW w:w="1724" w:type="dxa"/>
            <w:vMerge/>
            <w:vAlign w:val="center"/>
          </w:tcPr>
          <w:p w:rsidR="00B512CD" w:rsidRDefault="00B512CD">
            <w:pPr>
              <w:pStyle w:val="NormalWeb"/>
              <w:jc w:val="center"/>
            </w:pPr>
          </w:p>
        </w:tc>
        <w:tc>
          <w:tcPr>
            <w:tcW w:w="1013" w:type="dxa"/>
            <w:vAlign w:val="center"/>
          </w:tcPr>
          <w:p w:rsidR="00B512CD" w:rsidRDefault="00521215">
            <w:pPr>
              <w:pStyle w:val="NormalWeb"/>
              <w:jc w:val="center"/>
            </w:pPr>
            <w:proofErr w:type="spellStart"/>
            <w:r>
              <w:rPr>
                <w:b/>
                <w:bCs/>
              </w:rPr>
              <w:t>pebrine</w:t>
            </w:r>
            <w:proofErr w:type="spellEnd"/>
          </w:p>
        </w:tc>
        <w:tc>
          <w:tcPr>
            <w:tcW w:w="1130" w:type="dxa"/>
            <w:vAlign w:val="center"/>
          </w:tcPr>
          <w:p w:rsidR="00B512CD" w:rsidRDefault="00521215">
            <w:pPr>
              <w:pStyle w:val="NormalWeb"/>
              <w:jc w:val="center"/>
            </w:pPr>
            <w:r>
              <w:rPr>
                <w:b/>
                <w:bCs/>
              </w:rPr>
              <w:t>toxicity</w:t>
            </w:r>
          </w:p>
        </w:tc>
        <w:tc>
          <w:tcPr>
            <w:tcW w:w="896" w:type="dxa"/>
            <w:vMerge/>
            <w:vAlign w:val="center"/>
          </w:tcPr>
          <w:p w:rsidR="00B512CD" w:rsidRDefault="00B512CD">
            <w:pPr>
              <w:pStyle w:val="NormalWeb"/>
              <w:jc w:val="center"/>
            </w:pPr>
          </w:p>
        </w:tc>
        <w:tc>
          <w:tcPr>
            <w:tcW w:w="1050" w:type="dxa"/>
            <w:vMerge/>
            <w:vAlign w:val="center"/>
          </w:tcPr>
          <w:p w:rsidR="00B512CD" w:rsidRDefault="00B512CD">
            <w:pPr>
              <w:pStyle w:val="NormalWeb"/>
              <w:jc w:val="center"/>
            </w:pPr>
          </w:p>
        </w:tc>
        <w:tc>
          <w:tcPr>
            <w:tcW w:w="1054" w:type="dxa"/>
            <w:vMerge/>
            <w:vAlign w:val="center"/>
          </w:tcPr>
          <w:p w:rsidR="00B512CD" w:rsidRDefault="00B512CD">
            <w:pPr>
              <w:pStyle w:val="NormalWeb"/>
              <w:jc w:val="center"/>
            </w:pPr>
          </w:p>
        </w:tc>
        <w:tc>
          <w:tcPr>
            <w:tcW w:w="1778" w:type="dxa"/>
            <w:vMerge/>
            <w:vAlign w:val="center"/>
          </w:tcPr>
          <w:p w:rsidR="00B512CD" w:rsidRDefault="00B512CD">
            <w:pPr>
              <w:pStyle w:val="NormalWeb"/>
              <w:jc w:val="center"/>
            </w:pPr>
          </w:p>
        </w:tc>
      </w:tr>
      <w:tr w:rsidR="00B512CD">
        <w:trPr>
          <w:trHeight w:val="90"/>
          <w:jc w:val="center"/>
        </w:trPr>
        <w:tc>
          <w:tcPr>
            <w:tcW w:w="2135" w:type="dxa"/>
            <w:vAlign w:val="center"/>
          </w:tcPr>
          <w:p w:rsidR="00B512CD" w:rsidRDefault="00521215">
            <w:pPr>
              <w:pStyle w:val="NormalWeb"/>
            </w:pPr>
            <w:r>
              <w:rPr>
                <w:b/>
                <w:bCs/>
              </w:rPr>
              <w:t>TRI-1</w:t>
            </w:r>
          </w:p>
        </w:tc>
        <w:tc>
          <w:tcPr>
            <w:tcW w:w="1724" w:type="dxa"/>
            <w:vAlign w:val="center"/>
          </w:tcPr>
          <w:p w:rsidR="00B512CD" w:rsidRDefault="00521215">
            <w:pPr>
              <w:pStyle w:val="NormalWeb"/>
              <w:jc w:val="center"/>
            </w:pPr>
            <w:r>
              <w:t>36.12</w:t>
            </w:r>
          </w:p>
        </w:tc>
        <w:tc>
          <w:tcPr>
            <w:tcW w:w="1013" w:type="dxa"/>
            <w:vAlign w:val="center"/>
          </w:tcPr>
          <w:p w:rsidR="00B512CD" w:rsidRDefault="00521215">
            <w:pPr>
              <w:pStyle w:val="NormalWeb"/>
              <w:jc w:val="center"/>
            </w:pPr>
            <w:r>
              <w:t>4.40</w:t>
            </w:r>
          </w:p>
        </w:tc>
        <w:tc>
          <w:tcPr>
            <w:tcW w:w="1130" w:type="dxa"/>
            <w:vAlign w:val="center"/>
          </w:tcPr>
          <w:p w:rsidR="00B512CD" w:rsidRDefault="00521215">
            <w:pPr>
              <w:pStyle w:val="NormalWeb"/>
              <w:jc w:val="center"/>
            </w:pPr>
            <w:r>
              <w:t>0.0</w:t>
            </w:r>
          </w:p>
        </w:tc>
        <w:tc>
          <w:tcPr>
            <w:tcW w:w="896" w:type="dxa"/>
            <w:vAlign w:val="center"/>
          </w:tcPr>
          <w:p w:rsidR="00B512CD" w:rsidRDefault="00521215">
            <w:pPr>
              <w:pStyle w:val="NormalWeb"/>
              <w:jc w:val="center"/>
            </w:pPr>
            <w:r>
              <w:t>90.80</w:t>
            </w:r>
          </w:p>
        </w:tc>
        <w:tc>
          <w:tcPr>
            <w:tcW w:w="1050" w:type="dxa"/>
            <w:vAlign w:val="center"/>
          </w:tcPr>
          <w:p w:rsidR="00B512CD" w:rsidRDefault="00521215">
            <w:pPr>
              <w:pStyle w:val="NormalWeb"/>
              <w:jc w:val="center"/>
            </w:pPr>
            <w:r>
              <w:t>1.69</w:t>
            </w:r>
          </w:p>
        </w:tc>
        <w:tc>
          <w:tcPr>
            <w:tcW w:w="1054" w:type="dxa"/>
            <w:vAlign w:val="center"/>
          </w:tcPr>
          <w:p w:rsidR="00B512CD" w:rsidRDefault="00521215">
            <w:pPr>
              <w:pStyle w:val="NormalWeb"/>
              <w:jc w:val="center"/>
            </w:pPr>
            <w:r>
              <w:t>18.98</w:t>
            </w:r>
          </w:p>
        </w:tc>
        <w:tc>
          <w:tcPr>
            <w:tcW w:w="1778" w:type="dxa"/>
            <w:vAlign w:val="center"/>
          </w:tcPr>
          <w:p w:rsidR="00B512CD" w:rsidRDefault="00521215">
            <w:pPr>
              <w:pStyle w:val="NormalWeb"/>
              <w:jc w:val="center"/>
            </w:pPr>
            <w:r>
              <w:t>100</w:t>
            </w:r>
          </w:p>
        </w:tc>
      </w:tr>
      <w:tr w:rsidR="00B512CD">
        <w:trPr>
          <w:trHeight w:val="90"/>
          <w:jc w:val="center"/>
        </w:trPr>
        <w:tc>
          <w:tcPr>
            <w:tcW w:w="2135" w:type="dxa"/>
            <w:vAlign w:val="center"/>
          </w:tcPr>
          <w:p w:rsidR="00B512CD" w:rsidRDefault="00521215">
            <w:pPr>
              <w:pStyle w:val="NormalWeb"/>
            </w:pPr>
            <w:r>
              <w:rPr>
                <w:b/>
                <w:bCs/>
              </w:rPr>
              <w:t>TRI-2</w:t>
            </w:r>
          </w:p>
        </w:tc>
        <w:tc>
          <w:tcPr>
            <w:tcW w:w="1724" w:type="dxa"/>
            <w:vAlign w:val="center"/>
          </w:tcPr>
          <w:p w:rsidR="00B512CD" w:rsidRDefault="00521215">
            <w:pPr>
              <w:pStyle w:val="NormalWeb"/>
              <w:jc w:val="center"/>
            </w:pPr>
            <w:r>
              <w:t>36.97</w:t>
            </w:r>
          </w:p>
        </w:tc>
        <w:tc>
          <w:tcPr>
            <w:tcW w:w="1013" w:type="dxa"/>
            <w:vAlign w:val="center"/>
          </w:tcPr>
          <w:p w:rsidR="00B512CD" w:rsidRDefault="00521215">
            <w:pPr>
              <w:pStyle w:val="NormalWeb"/>
              <w:jc w:val="center"/>
            </w:pPr>
            <w:r>
              <w:t>0.0</w:t>
            </w:r>
          </w:p>
        </w:tc>
        <w:tc>
          <w:tcPr>
            <w:tcW w:w="1130" w:type="dxa"/>
            <w:vAlign w:val="center"/>
          </w:tcPr>
          <w:p w:rsidR="00B512CD" w:rsidRDefault="00521215">
            <w:pPr>
              <w:pStyle w:val="NormalWeb"/>
              <w:jc w:val="center"/>
            </w:pPr>
            <w:r>
              <w:t>23.20</w:t>
            </w:r>
          </w:p>
        </w:tc>
        <w:tc>
          <w:tcPr>
            <w:tcW w:w="896" w:type="dxa"/>
            <w:vAlign w:val="center"/>
          </w:tcPr>
          <w:p w:rsidR="00B512CD" w:rsidRDefault="00521215">
            <w:pPr>
              <w:pStyle w:val="NormalWeb"/>
              <w:jc w:val="center"/>
            </w:pPr>
            <w:r>
              <w:t>71.60</w:t>
            </w:r>
          </w:p>
        </w:tc>
        <w:tc>
          <w:tcPr>
            <w:tcW w:w="1050" w:type="dxa"/>
            <w:vAlign w:val="center"/>
          </w:tcPr>
          <w:p w:rsidR="00B512CD" w:rsidRDefault="00521215">
            <w:pPr>
              <w:pStyle w:val="NormalWeb"/>
              <w:jc w:val="center"/>
            </w:pPr>
            <w:r>
              <w:t>1.70</w:t>
            </w:r>
          </w:p>
        </w:tc>
        <w:tc>
          <w:tcPr>
            <w:tcW w:w="1054" w:type="dxa"/>
            <w:vAlign w:val="center"/>
          </w:tcPr>
          <w:p w:rsidR="00B512CD" w:rsidRDefault="00521215">
            <w:pPr>
              <w:pStyle w:val="NormalWeb"/>
              <w:jc w:val="center"/>
            </w:pPr>
            <w:r>
              <w:t>19.08</w:t>
            </w:r>
          </w:p>
        </w:tc>
        <w:tc>
          <w:tcPr>
            <w:tcW w:w="1778" w:type="dxa"/>
            <w:vAlign w:val="center"/>
          </w:tcPr>
          <w:p w:rsidR="00B512CD" w:rsidRDefault="00521215">
            <w:pPr>
              <w:pStyle w:val="NormalWeb"/>
              <w:jc w:val="center"/>
            </w:pPr>
            <w:r>
              <w:t>13.92</w:t>
            </w:r>
          </w:p>
        </w:tc>
      </w:tr>
      <w:tr w:rsidR="00B512CD">
        <w:trPr>
          <w:trHeight w:val="133"/>
          <w:jc w:val="center"/>
        </w:trPr>
        <w:tc>
          <w:tcPr>
            <w:tcW w:w="2135" w:type="dxa"/>
            <w:vAlign w:val="center"/>
          </w:tcPr>
          <w:p w:rsidR="00B512CD" w:rsidRDefault="00521215">
            <w:pPr>
              <w:pStyle w:val="NormalWeb"/>
            </w:pPr>
            <w:r>
              <w:rPr>
                <w:b/>
                <w:bCs/>
              </w:rPr>
              <w:t>TRI-3</w:t>
            </w:r>
          </w:p>
        </w:tc>
        <w:tc>
          <w:tcPr>
            <w:tcW w:w="1724" w:type="dxa"/>
            <w:vAlign w:val="center"/>
          </w:tcPr>
          <w:p w:rsidR="00B512CD" w:rsidRDefault="00521215">
            <w:pPr>
              <w:pStyle w:val="NormalWeb"/>
              <w:jc w:val="center"/>
            </w:pPr>
            <w:r>
              <w:t>34.64</w:t>
            </w:r>
          </w:p>
        </w:tc>
        <w:tc>
          <w:tcPr>
            <w:tcW w:w="1013" w:type="dxa"/>
            <w:vAlign w:val="center"/>
          </w:tcPr>
          <w:p w:rsidR="00B512CD" w:rsidRDefault="00521215">
            <w:pPr>
              <w:pStyle w:val="NormalWeb"/>
              <w:jc w:val="center"/>
            </w:pPr>
            <w:r>
              <w:t>0.0</w:t>
            </w:r>
          </w:p>
        </w:tc>
        <w:tc>
          <w:tcPr>
            <w:tcW w:w="1130" w:type="dxa"/>
            <w:vAlign w:val="center"/>
          </w:tcPr>
          <w:p w:rsidR="00B512CD" w:rsidRDefault="00521215">
            <w:pPr>
              <w:pStyle w:val="NormalWeb"/>
              <w:jc w:val="center"/>
            </w:pPr>
            <w:r>
              <w:t>55.80</w:t>
            </w:r>
          </w:p>
        </w:tc>
        <w:tc>
          <w:tcPr>
            <w:tcW w:w="896" w:type="dxa"/>
            <w:vAlign w:val="center"/>
          </w:tcPr>
          <w:p w:rsidR="00B512CD" w:rsidRDefault="00521215">
            <w:pPr>
              <w:pStyle w:val="NormalWeb"/>
              <w:jc w:val="center"/>
            </w:pPr>
            <w:r>
              <w:t>41.00</w:t>
            </w:r>
          </w:p>
        </w:tc>
        <w:tc>
          <w:tcPr>
            <w:tcW w:w="1050" w:type="dxa"/>
            <w:vAlign w:val="center"/>
          </w:tcPr>
          <w:p w:rsidR="00B512CD" w:rsidRDefault="00521215">
            <w:pPr>
              <w:pStyle w:val="NormalWeb"/>
              <w:jc w:val="center"/>
            </w:pPr>
            <w:r>
              <w:t>1.71</w:t>
            </w:r>
          </w:p>
        </w:tc>
        <w:tc>
          <w:tcPr>
            <w:tcW w:w="1054" w:type="dxa"/>
            <w:vAlign w:val="center"/>
          </w:tcPr>
          <w:p w:rsidR="00B512CD" w:rsidRDefault="00521215">
            <w:pPr>
              <w:pStyle w:val="NormalWeb"/>
              <w:jc w:val="center"/>
            </w:pPr>
            <w:r>
              <w:t>18.14</w:t>
            </w:r>
          </w:p>
        </w:tc>
        <w:tc>
          <w:tcPr>
            <w:tcW w:w="1778" w:type="dxa"/>
            <w:vAlign w:val="center"/>
          </w:tcPr>
          <w:p w:rsidR="00B512CD" w:rsidRDefault="00521215">
            <w:pPr>
              <w:pStyle w:val="NormalWeb"/>
              <w:jc w:val="center"/>
            </w:pPr>
            <w:r>
              <w:t>0.0</w:t>
            </w:r>
          </w:p>
        </w:tc>
      </w:tr>
      <w:tr w:rsidR="00B512CD">
        <w:trPr>
          <w:trHeight w:val="90"/>
          <w:jc w:val="center"/>
        </w:trPr>
        <w:tc>
          <w:tcPr>
            <w:tcW w:w="2135" w:type="dxa"/>
            <w:vAlign w:val="center"/>
          </w:tcPr>
          <w:p w:rsidR="00B512CD" w:rsidRDefault="00521215">
            <w:pPr>
              <w:pStyle w:val="NormalWeb"/>
              <w:rPr>
                <w:b/>
              </w:rPr>
            </w:pPr>
            <w:r>
              <w:rPr>
                <w:b/>
                <w:bCs/>
              </w:rPr>
              <w:t>TRI-4</w:t>
            </w:r>
          </w:p>
        </w:tc>
        <w:tc>
          <w:tcPr>
            <w:tcW w:w="1724" w:type="dxa"/>
            <w:vAlign w:val="center"/>
          </w:tcPr>
          <w:p w:rsidR="00B512CD" w:rsidRDefault="00521215">
            <w:pPr>
              <w:pStyle w:val="NormalWeb"/>
              <w:jc w:val="center"/>
            </w:pPr>
            <w:r>
              <w:t>38.69</w:t>
            </w:r>
          </w:p>
        </w:tc>
        <w:tc>
          <w:tcPr>
            <w:tcW w:w="1013" w:type="dxa"/>
            <w:vAlign w:val="center"/>
          </w:tcPr>
          <w:p w:rsidR="00B512CD" w:rsidRDefault="00521215">
            <w:pPr>
              <w:pStyle w:val="NormalWeb"/>
              <w:jc w:val="center"/>
            </w:pPr>
            <w:r>
              <w:t>0.0</w:t>
            </w:r>
          </w:p>
        </w:tc>
        <w:tc>
          <w:tcPr>
            <w:tcW w:w="1130" w:type="dxa"/>
            <w:vAlign w:val="center"/>
          </w:tcPr>
          <w:p w:rsidR="00B512CD" w:rsidRDefault="00521215">
            <w:pPr>
              <w:pStyle w:val="NormalWeb"/>
              <w:jc w:val="center"/>
            </w:pPr>
            <w:r>
              <w:t>0.0</w:t>
            </w:r>
          </w:p>
        </w:tc>
        <w:tc>
          <w:tcPr>
            <w:tcW w:w="896" w:type="dxa"/>
            <w:vAlign w:val="center"/>
          </w:tcPr>
          <w:p w:rsidR="00B512CD" w:rsidRDefault="00521215">
            <w:pPr>
              <w:pStyle w:val="NormalWeb"/>
              <w:jc w:val="center"/>
            </w:pPr>
            <w:r>
              <w:t>95.40</w:t>
            </w:r>
          </w:p>
        </w:tc>
        <w:tc>
          <w:tcPr>
            <w:tcW w:w="1050" w:type="dxa"/>
            <w:vAlign w:val="center"/>
          </w:tcPr>
          <w:p w:rsidR="00B512CD" w:rsidRDefault="00521215">
            <w:pPr>
              <w:pStyle w:val="NormalWeb"/>
              <w:jc w:val="center"/>
            </w:pPr>
            <w:r>
              <w:t>1.72</w:t>
            </w:r>
          </w:p>
        </w:tc>
        <w:tc>
          <w:tcPr>
            <w:tcW w:w="1054" w:type="dxa"/>
            <w:vAlign w:val="center"/>
          </w:tcPr>
          <w:p w:rsidR="00B512CD" w:rsidRDefault="00521215">
            <w:pPr>
              <w:pStyle w:val="NormalWeb"/>
              <w:jc w:val="center"/>
            </w:pPr>
            <w:r>
              <w:t>20.23</w:t>
            </w:r>
          </w:p>
        </w:tc>
        <w:tc>
          <w:tcPr>
            <w:tcW w:w="1778" w:type="dxa"/>
            <w:vAlign w:val="center"/>
          </w:tcPr>
          <w:p w:rsidR="00B512CD" w:rsidRDefault="00521215">
            <w:pPr>
              <w:pStyle w:val="NormalWeb"/>
              <w:jc w:val="center"/>
            </w:pPr>
            <w:r>
              <w:t>0.0</w:t>
            </w:r>
          </w:p>
        </w:tc>
      </w:tr>
      <w:tr w:rsidR="00B512CD">
        <w:trPr>
          <w:trHeight w:val="331"/>
          <w:jc w:val="center"/>
        </w:trPr>
        <w:tc>
          <w:tcPr>
            <w:tcW w:w="2135" w:type="dxa"/>
            <w:vAlign w:val="center"/>
          </w:tcPr>
          <w:p w:rsidR="00B512CD" w:rsidRDefault="00521215">
            <w:pPr>
              <w:pStyle w:val="NormalWeb"/>
            </w:pPr>
            <w:r>
              <w:rPr>
                <w:b/>
                <w:bCs/>
              </w:rPr>
              <w:lastRenderedPageBreak/>
              <w:t>Infected and untreated</w:t>
            </w:r>
          </w:p>
        </w:tc>
        <w:tc>
          <w:tcPr>
            <w:tcW w:w="1724" w:type="dxa"/>
            <w:vAlign w:val="center"/>
          </w:tcPr>
          <w:p w:rsidR="00B512CD" w:rsidRDefault="00521215">
            <w:pPr>
              <w:pStyle w:val="NormalWeb"/>
              <w:jc w:val="center"/>
            </w:pPr>
            <w:r>
              <w:t>0.0</w:t>
            </w:r>
          </w:p>
        </w:tc>
        <w:tc>
          <w:tcPr>
            <w:tcW w:w="1013" w:type="dxa"/>
            <w:vAlign w:val="center"/>
          </w:tcPr>
          <w:p w:rsidR="00B512CD" w:rsidRDefault="00521215">
            <w:pPr>
              <w:pStyle w:val="NormalWeb"/>
              <w:jc w:val="center"/>
            </w:pPr>
            <w:r>
              <w:t>100</w:t>
            </w:r>
          </w:p>
        </w:tc>
        <w:tc>
          <w:tcPr>
            <w:tcW w:w="1130" w:type="dxa"/>
            <w:vAlign w:val="center"/>
          </w:tcPr>
          <w:p w:rsidR="00B512CD" w:rsidRDefault="00521215">
            <w:pPr>
              <w:pStyle w:val="NormalWeb"/>
              <w:jc w:val="center"/>
            </w:pPr>
            <w:r>
              <w:t>0.0</w:t>
            </w:r>
          </w:p>
        </w:tc>
        <w:tc>
          <w:tcPr>
            <w:tcW w:w="896" w:type="dxa"/>
            <w:vAlign w:val="center"/>
          </w:tcPr>
          <w:p w:rsidR="00B512CD" w:rsidRDefault="00521215">
            <w:pPr>
              <w:pStyle w:val="NormalWeb"/>
              <w:jc w:val="center"/>
            </w:pPr>
            <w:r>
              <w:t>0.0</w:t>
            </w:r>
          </w:p>
        </w:tc>
        <w:tc>
          <w:tcPr>
            <w:tcW w:w="1050" w:type="dxa"/>
            <w:vAlign w:val="center"/>
          </w:tcPr>
          <w:p w:rsidR="00B512CD" w:rsidRDefault="00521215">
            <w:pPr>
              <w:pStyle w:val="NormalWeb"/>
              <w:jc w:val="center"/>
            </w:pPr>
            <w:r>
              <w:t>0.0</w:t>
            </w:r>
          </w:p>
        </w:tc>
        <w:tc>
          <w:tcPr>
            <w:tcW w:w="1054" w:type="dxa"/>
            <w:vAlign w:val="center"/>
          </w:tcPr>
          <w:p w:rsidR="00B512CD" w:rsidRDefault="00521215">
            <w:pPr>
              <w:pStyle w:val="NormalWeb"/>
              <w:jc w:val="center"/>
            </w:pPr>
            <w:r>
              <w:t>0.0</w:t>
            </w:r>
          </w:p>
        </w:tc>
        <w:tc>
          <w:tcPr>
            <w:tcW w:w="1778" w:type="dxa"/>
            <w:vAlign w:val="center"/>
          </w:tcPr>
          <w:p w:rsidR="00B512CD" w:rsidRDefault="00521215">
            <w:pPr>
              <w:pStyle w:val="NormalWeb"/>
              <w:jc w:val="center"/>
            </w:pPr>
            <w:r>
              <w:t>0.0</w:t>
            </w:r>
          </w:p>
        </w:tc>
      </w:tr>
      <w:tr w:rsidR="00B512CD">
        <w:trPr>
          <w:trHeight w:val="306"/>
          <w:jc w:val="center"/>
        </w:trPr>
        <w:tc>
          <w:tcPr>
            <w:tcW w:w="2135" w:type="dxa"/>
            <w:vAlign w:val="center"/>
          </w:tcPr>
          <w:p w:rsidR="00B512CD" w:rsidRDefault="00521215">
            <w:pPr>
              <w:pStyle w:val="NormalWeb"/>
            </w:pPr>
            <w:r>
              <w:rPr>
                <w:b/>
                <w:bCs/>
              </w:rPr>
              <w:t>Uninfected and untreated</w:t>
            </w:r>
          </w:p>
        </w:tc>
        <w:tc>
          <w:tcPr>
            <w:tcW w:w="1724" w:type="dxa"/>
            <w:vAlign w:val="center"/>
          </w:tcPr>
          <w:p w:rsidR="00B512CD" w:rsidRDefault="00521215">
            <w:pPr>
              <w:pStyle w:val="NormalWeb"/>
              <w:jc w:val="center"/>
            </w:pPr>
            <w:r>
              <w:t>39.36</w:t>
            </w:r>
          </w:p>
        </w:tc>
        <w:tc>
          <w:tcPr>
            <w:tcW w:w="1013" w:type="dxa"/>
            <w:vAlign w:val="center"/>
          </w:tcPr>
          <w:p w:rsidR="00B512CD" w:rsidRDefault="00521215">
            <w:pPr>
              <w:pStyle w:val="NormalWeb"/>
              <w:jc w:val="center"/>
            </w:pPr>
            <w:r>
              <w:t>0.0</w:t>
            </w:r>
          </w:p>
        </w:tc>
        <w:tc>
          <w:tcPr>
            <w:tcW w:w="1130" w:type="dxa"/>
            <w:vAlign w:val="center"/>
          </w:tcPr>
          <w:p w:rsidR="00B512CD" w:rsidRDefault="00521215">
            <w:pPr>
              <w:pStyle w:val="NormalWeb"/>
              <w:jc w:val="center"/>
            </w:pPr>
            <w:r>
              <w:t>0.0</w:t>
            </w:r>
          </w:p>
        </w:tc>
        <w:tc>
          <w:tcPr>
            <w:tcW w:w="896" w:type="dxa"/>
            <w:vAlign w:val="center"/>
          </w:tcPr>
          <w:p w:rsidR="00B512CD" w:rsidRDefault="00521215">
            <w:pPr>
              <w:pStyle w:val="NormalWeb"/>
              <w:jc w:val="center"/>
            </w:pPr>
            <w:r>
              <w:t>95.20</w:t>
            </w:r>
          </w:p>
        </w:tc>
        <w:tc>
          <w:tcPr>
            <w:tcW w:w="1050" w:type="dxa"/>
            <w:vAlign w:val="center"/>
          </w:tcPr>
          <w:p w:rsidR="00B512CD" w:rsidRDefault="00521215">
            <w:pPr>
              <w:pStyle w:val="NormalWeb"/>
              <w:jc w:val="center"/>
            </w:pPr>
            <w:r>
              <w:t>1.69</w:t>
            </w:r>
          </w:p>
        </w:tc>
        <w:tc>
          <w:tcPr>
            <w:tcW w:w="1054" w:type="dxa"/>
            <w:vAlign w:val="center"/>
          </w:tcPr>
          <w:p w:rsidR="00B512CD" w:rsidRDefault="00521215">
            <w:pPr>
              <w:pStyle w:val="NormalWeb"/>
              <w:jc w:val="center"/>
            </w:pPr>
            <w:r>
              <w:t>20.13</w:t>
            </w:r>
          </w:p>
        </w:tc>
        <w:tc>
          <w:tcPr>
            <w:tcW w:w="1778" w:type="dxa"/>
            <w:vAlign w:val="center"/>
          </w:tcPr>
          <w:p w:rsidR="00B512CD" w:rsidRDefault="00521215">
            <w:pPr>
              <w:pStyle w:val="NormalWeb"/>
              <w:jc w:val="center"/>
            </w:pPr>
            <w:r>
              <w:t>0.0</w:t>
            </w:r>
          </w:p>
        </w:tc>
      </w:tr>
      <w:tr w:rsidR="00B512CD">
        <w:trPr>
          <w:trHeight w:val="90"/>
          <w:jc w:val="center"/>
        </w:trPr>
        <w:tc>
          <w:tcPr>
            <w:tcW w:w="2135" w:type="dxa"/>
            <w:vAlign w:val="center"/>
          </w:tcPr>
          <w:p w:rsidR="00B512CD" w:rsidRDefault="00521215">
            <w:pPr>
              <w:pStyle w:val="NormalWeb"/>
            </w:pPr>
            <w:r>
              <w:rPr>
                <w:b/>
                <w:bCs/>
              </w:rPr>
              <w:t>F-test</w:t>
            </w:r>
          </w:p>
        </w:tc>
        <w:tc>
          <w:tcPr>
            <w:tcW w:w="1724" w:type="dxa"/>
            <w:vAlign w:val="center"/>
          </w:tcPr>
          <w:p w:rsidR="00B512CD" w:rsidRDefault="00521215">
            <w:pPr>
              <w:pStyle w:val="NormalWeb"/>
              <w:jc w:val="center"/>
            </w:pPr>
            <w:r>
              <w:t>HS</w:t>
            </w:r>
          </w:p>
        </w:tc>
        <w:tc>
          <w:tcPr>
            <w:tcW w:w="1013" w:type="dxa"/>
            <w:vAlign w:val="center"/>
          </w:tcPr>
          <w:p w:rsidR="00B512CD" w:rsidRDefault="00521215">
            <w:pPr>
              <w:pStyle w:val="NormalWeb"/>
              <w:jc w:val="center"/>
            </w:pPr>
            <w:r>
              <w:t>HS</w:t>
            </w:r>
          </w:p>
        </w:tc>
        <w:tc>
          <w:tcPr>
            <w:tcW w:w="1130" w:type="dxa"/>
            <w:vAlign w:val="center"/>
          </w:tcPr>
          <w:p w:rsidR="00B512CD" w:rsidRDefault="00521215">
            <w:pPr>
              <w:pStyle w:val="NormalWeb"/>
              <w:jc w:val="center"/>
            </w:pPr>
            <w:r>
              <w:t>HS</w:t>
            </w:r>
          </w:p>
        </w:tc>
        <w:tc>
          <w:tcPr>
            <w:tcW w:w="896" w:type="dxa"/>
            <w:vAlign w:val="center"/>
          </w:tcPr>
          <w:p w:rsidR="00B512CD" w:rsidRDefault="00521215">
            <w:pPr>
              <w:pStyle w:val="NormalWeb"/>
              <w:jc w:val="center"/>
            </w:pPr>
            <w:r>
              <w:t>HS</w:t>
            </w:r>
          </w:p>
        </w:tc>
        <w:tc>
          <w:tcPr>
            <w:tcW w:w="1050" w:type="dxa"/>
            <w:vAlign w:val="center"/>
          </w:tcPr>
          <w:p w:rsidR="00B512CD" w:rsidRDefault="00521215">
            <w:pPr>
              <w:pStyle w:val="NormalWeb"/>
              <w:jc w:val="center"/>
            </w:pPr>
            <w:r>
              <w:t>HS</w:t>
            </w:r>
          </w:p>
        </w:tc>
        <w:tc>
          <w:tcPr>
            <w:tcW w:w="1054" w:type="dxa"/>
            <w:vAlign w:val="center"/>
          </w:tcPr>
          <w:p w:rsidR="00B512CD" w:rsidRDefault="00521215">
            <w:pPr>
              <w:pStyle w:val="NormalWeb"/>
              <w:jc w:val="center"/>
            </w:pPr>
            <w:r>
              <w:t>HS</w:t>
            </w:r>
          </w:p>
        </w:tc>
        <w:tc>
          <w:tcPr>
            <w:tcW w:w="1778" w:type="dxa"/>
            <w:vAlign w:val="center"/>
          </w:tcPr>
          <w:p w:rsidR="00B512CD" w:rsidRDefault="00521215">
            <w:pPr>
              <w:pStyle w:val="NormalWeb"/>
              <w:jc w:val="center"/>
            </w:pPr>
            <w:r>
              <w:t>HS</w:t>
            </w:r>
          </w:p>
        </w:tc>
      </w:tr>
      <w:tr w:rsidR="00B512CD">
        <w:trPr>
          <w:trHeight w:val="125"/>
          <w:jc w:val="center"/>
        </w:trPr>
        <w:tc>
          <w:tcPr>
            <w:tcW w:w="2135" w:type="dxa"/>
            <w:vAlign w:val="center"/>
          </w:tcPr>
          <w:p w:rsidR="00B512CD" w:rsidRDefault="00521215">
            <w:pPr>
              <w:pStyle w:val="NormalWeb"/>
            </w:pPr>
            <w:r>
              <w:rPr>
                <w:b/>
                <w:bCs/>
              </w:rPr>
              <w:t>CD at 5%</w:t>
            </w:r>
          </w:p>
        </w:tc>
        <w:tc>
          <w:tcPr>
            <w:tcW w:w="1724" w:type="dxa"/>
            <w:vAlign w:val="center"/>
          </w:tcPr>
          <w:p w:rsidR="00B512CD" w:rsidRDefault="00521215">
            <w:pPr>
              <w:pStyle w:val="NormalWeb"/>
              <w:jc w:val="center"/>
            </w:pPr>
            <w:r>
              <w:t>0.64</w:t>
            </w:r>
          </w:p>
        </w:tc>
        <w:tc>
          <w:tcPr>
            <w:tcW w:w="1013" w:type="dxa"/>
            <w:vAlign w:val="center"/>
          </w:tcPr>
          <w:p w:rsidR="00B512CD" w:rsidRDefault="00521215">
            <w:pPr>
              <w:pStyle w:val="NormalWeb"/>
              <w:jc w:val="center"/>
            </w:pPr>
            <w:r>
              <w:t>1.04</w:t>
            </w:r>
          </w:p>
        </w:tc>
        <w:tc>
          <w:tcPr>
            <w:tcW w:w="1130" w:type="dxa"/>
            <w:vAlign w:val="center"/>
          </w:tcPr>
          <w:p w:rsidR="00B512CD" w:rsidRDefault="00521215">
            <w:pPr>
              <w:pStyle w:val="NormalWeb"/>
              <w:jc w:val="center"/>
            </w:pPr>
            <w:r>
              <w:t>4.98</w:t>
            </w:r>
          </w:p>
        </w:tc>
        <w:tc>
          <w:tcPr>
            <w:tcW w:w="896" w:type="dxa"/>
            <w:vAlign w:val="center"/>
          </w:tcPr>
          <w:p w:rsidR="00B512CD" w:rsidRDefault="00521215">
            <w:pPr>
              <w:pStyle w:val="NormalWeb"/>
              <w:jc w:val="center"/>
            </w:pPr>
            <w:r>
              <w:t>5.48</w:t>
            </w:r>
          </w:p>
        </w:tc>
        <w:tc>
          <w:tcPr>
            <w:tcW w:w="1050" w:type="dxa"/>
            <w:vAlign w:val="center"/>
          </w:tcPr>
          <w:p w:rsidR="00B512CD" w:rsidRDefault="00521215">
            <w:pPr>
              <w:pStyle w:val="NormalWeb"/>
              <w:jc w:val="center"/>
            </w:pPr>
            <w:r>
              <w:t>0.076</w:t>
            </w:r>
          </w:p>
        </w:tc>
        <w:tc>
          <w:tcPr>
            <w:tcW w:w="1054" w:type="dxa"/>
            <w:vAlign w:val="center"/>
          </w:tcPr>
          <w:p w:rsidR="00B512CD" w:rsidRDefault="00521215">
            <w:pPr>
              <w:pStyle w:val="NormalWeb"/>
              <w:jc w:val="center"/>
            </w:pPr>
            <w:r>
              <w:t>0.78</w:t>
            </w:r>
          </w:p>
        </w:tc>
        <w:tc>
          <w:tcPr>
            <w:tcW w:w="1778" w:type="dxa"/>
            <w:vAlign w:val="center"/>
          </w:tcPr>
          <w:p w:rsidR="00B512CD" w:rsidRDefault="00521215">
            <w:pPr>
              <w:pStyle w:val="NormalWeb"/>
              <w:jc w:val="center"/>
            </w:pPr>
            <w:r>
              <w:t>1.70</w:t>
            </w:r>
          </w:p>
        </w:tc>
      </w:tr>
      <w:tr w:rsidR="00B512CD">
        <w:trPr>
          <w:trHeight w:val="348"/>
          <w:jc w:val="center"/>
        </w:trPr>
        <w:tc>
          <w:tcPr>
            <w:tcW w:w="2135" w:type="dxa"/>
            <w:vAlign w:val="center"/>
          </w:tcPr>
          <w:p w:rsidR="00B512CD" w:rsidRDefault="00521215">
            <w:pPr>
              <w:pStyle w:val="NormalWeb"/>
            </w:pPr>
            <w:r>
              <w:rPr>
                <w:b/>
                <w:bCs/>
              </w:rPr>
              <w:t>CD at 1%</w:t>
            </w:r>
          </w:p>
        </w:tc>
        <w:tc>
          <w:tcPr>
            <w:tcW w:w="1724" w:type="dxa"/>
            <w:vAlign w:val="center"/>
          </w:tcPr>
          <w:p w:rsidR="00B512CD" w:rsidRDefault="00521215">
            <w:pPr>
              <w:pStyle w:val="NormalWeb"/>
              <w:jc w:val="center"/>
            </w:pPr>
            <w:r>
              <w:t>0.84</w:t>
            </w:r>
          </w:p>
        </w:tc>
        <w:tc>
          <w:tcPr>
            <w:tcW w:w="1013" w:type="dxa"/>
            <w:vAlign w:val="center"/>
          </w:tcPr>
          <w:p w:rsidR="00B512CD" w:rsidRDefault="00521215">
            <w:pPr>
              <w:pStyle w:val="NormalWeb"/>
              <w:jc w:val="center"/>
            </w:pPr>
            <w:r>
              <w:t>1.37</w:t>
            </w:r>
          </w:p>
        </w:tc>
        <w:tc>
          <w:tcPr>
            <w:tcW w:w="1130" w:type="dxa"/>
            <w:vAlign w:val="center"/>
          </w:tcPr>
          <w:p w:rsidR="00B512CD" w:rsidRDefault="00521215">
            <w:pPr>
              <w:pStyle w:val="NormalWeb"/>
              <w:jc w:val="center"/>
            </w:pPr>
            <w:r>
              <w:t>1.37</w:t>
            </w:r>
          </w:p>
        </w:tc>
        <w:tc>
          <w:tcPr>
            <w:tcW w:w="896" w:type="dxa"/>
            <w:vAlign w:val="center"/>
          </w:tcPr>
          <w:p w:rsidR="00B512CD" w:rsidRDefault="00521215">
            <w:pPr>
              <w:pStyle w:val="NormalWeb"/>
              <w:jc w:val="center"/>
            </w:pPr>
            <w:r>
              <w:t>7.23</w:t>
            </w:r>
          </w:p>
        </w:tc>
        <w:tc>
          <w:tcPr>
            <w:tcW w:w="1050" w:type="dxa"/>
            <w:vAlign w:val="center"/>
          </w:tcPr>
          <w:p w:rsidR="00B512CD" w:rsidRDefault="00521215">
            <w:pPr>
              <w:pStyle w:val="NormalWeb"/>
              <w:jc w:val="center"/>
            </w:pPr>
            <w:r>
              <w:t>0.10</w:t>
            </w:r>
          </w:p>
        </w:tc>
        <w:tc>
          <w:tcPr>
            <w:tcW w:w="1054" w:type="dxa"/>
            <w:vAlign w:val="center"/>
          </w:tcPr>
          <w:p w:rsidR="00B512CD" w:rsidRDefault="00521215">
            <w:pPr>
              <w:pStyle w:val="NormalWeb"/>
              <w:jc w:val="center"/>
            </w:pPr>
            <w:r>
              <w:t>1.03</w:t>
            </w:r>
          </w:p>
        </w:tc>
        <w:tc>
          <w:tcPr>
            <w:tcW w:w="1778" w:type="dxa"/>
            <w:vAlign w:val="center"/>
          </w:tcPr>
          <w:p w:rsidR="00B512CD" w:rsidRDefault="00521215">
            <w:pPr>
              <w:pStyle w:val="NormalWeb"/>
              <w:jc w:val="center"/>
            </w:pPr>
            <w:r>
              <w:t>2.25</w:t>
            </w:r>
          </w:p>
        </w:tc>
      </w:tr>
    </w:tbl>
    <w:p w:rsidR="00B512CD" w:rsidRDefault="00521215">
      <w:pPr>
        <w:pStyle w:val="NormalWeb"/>
        <w:jc w:val="both"/>
      </w:pPr>
      <w:r>
        <w:rPr>
          <w:b/>
          <w:bCs/>
        </w:rPr>
        <w:t xml:space="preserve">TRI-1: 2 mg/worm/day (from II instar to spinning), TRI-2: 6 mg/worm/day (from II instar to spinning), TRI-3: 8 mg/worm/day (from II instar to spinning), TRI-4: 2 mg/worm/day (from II to III instar and 8 g/worm/day from IV instar to spinning). TRI- Treatment infected, ERR- Effective rate of rearing, HS- Highly significant </w:t>
      </w:r>
      <w:r>
        <w:rPr>
          <w:b/>
          <w:bCs/>
          <w:lang w:val="en-US"/>
        </w:rPr>
        <w:t>Breed-NB4D2</w:t>
      </w:r>
      <w:r>
        <w:rPr>
          <w:b/>
          <w:bCs/>
        </w:rPr>
        <w:t xml:space="preserve">                   </w:t>
      </w:r>
      <w:r>
        <w:t xml:space="preserve">                                                         </w:t>
      </w:r>
    </w:p>
    <w:p w:rsidR="00B512CD" w:rsidRDefault="00B512CD">
      <w:pPr>
        <w:pStyle w:val="NormalWeb"/>
        <w:spacing w:line="276" w:lineRule="auto"/>
        <w:ind w:firstLine="720"/>
        <w:jc w:val="both"/>
      </w:pPr>
    </w:p>
    <w:p w:rsidR="00B512CD" w:rsidRDefault="00521215">
      <w:pPr>
        <w:pStyle w:val="NormalWeb"/>
        <w:jc w:val="both"/>
        <w:rPr>
          <w:b/>
          <w:bCs/>
        </w:rPr>
      </w:pPr>
      <w:r>
        <w:rPr>
          <w:b/>
          <w:bCs/>
        </w:rPr>
        <w:t xml:space="preserve">Table 6: Curative effect of carbendazim treatment on </w:t>
      </w:r>
      <w:r>
        <w:rPr>
          <w:b/>
          <w:bCs/>
          <w:i/>
          <w:iCs/>
        </w:rPr>
        <w:t xml:space="preserve">N. </w:t>
      </w:r>
      <w:proofErr w:type="spellStart"/>
      <w:r>
        <w:rPr>
          <w:b/>
          <w:bCs/>
          <w:i/>
          <w:iCs/>
        </w:rPr>
        <w:t>bombycis</w:t>
      </w:r>
      <w:proofErr w:type="spellEnd"/>
      <w:r>
        <w:rPr>
          <w:b/>
          <w:bCs/>
          <w:i/>
          <w:iCs/>
        </w:rPr>
        <w:t xml:space="preserve"> </w:t>
      </w:r>
      <w:r>
        <w:rPr>
          <w:b/>
          <w:bCs/>
        </w:rPr>
        <w:t xml:space="preserve">infected silkworm    </w:t>
      </w:r>
      <w:r>
        <w:rPr>
          <w:b/>
          <w:bCs/>
        </w:rPr>
        <w:tab/>
        <w:t xml:space="preserve">      </w:t>
      </w:r>
      <w:r>
        <w:rPr>
          <w:b/>
          <w:bCs/>
          <w:i/>
          <w:iCs/>
        </w:rPr>
        <w:t xml:space="preserve">B. mori </w:t>
      </w:r>
      <w:r>
        <w:rPr>
          <w:b/>
          <w:bCs/>
        </w:rPr>
        <w:t xml:space="preserve">after different post-infection (pi) periods (Jyothi </w:t>
      </w:r>
      <w:r>
        <w:rPr>
          <w:b/>
          <w:bCs/>
          <w:i/>
          <w:iCs/>
        </w:rPr>
        <w:t xml:space="preserve">et al., </w:t>
      </w:r>
      <w:r>
        <w:rPr>
          <w:b/>
          <w:bCs/>
        </w:rPr>
        <w:t>2004)</w:t>
      </w:r>
    </w:p>
    <w:tbl>
      <w:tblPr>
        <w:tblStyle w:val="TableGrid"/>
        <w:tblW w:w="10795" w:type="dxa"/>
        <w:jc w:val="center"/>
        <w:tblLook w:val="04A0" w:firstRow="1" w:lastRow="0" w:firstColumn="1" w:lastColumn="0" w:noHBand="0" w:noVBand="1"/>
      </w:tblPr>
      <w:tblGrid>
        <w:gridCol w:w="1340"/>
        <w:gridCol w:w="2232"/>
        <w:gridCol w:w="1962"/>
        <w:gridCol w:w="987"/>
        <w:gridCol w:w="1540"/>
        <w:gridCol w:w="1407"/>
        <w:gridCol w:w="1327"/>
      </w:tblGrid>
      <w:tr w:rsidR="00B512CD">
        <w:trPr>
          <w:trHeight w:val="979"/>
          <w:jc w:val="center"/>
        </w:trPr>
        <w:tc>
          <w:tcPr>
            <w:tcW w:w="1340" w:type="dxa"/>
            <w:vAlign w:val="center"/>
          </w:tcPr>
          <w:p w:rsidR="00B512CD" w:rsidRDefault="00521215">
            <w:pPr>
              <w:pStyle w:val="NormalWeb"/>
              <w:jc w:val="center"/>
              <w:rPr>
                <w:b/>
                <w:bCs/>
              </w:rPr>
            </w:pPr>
            <w:r>
              <w:rPr>
                <w:b/>
                <w:bCs/>
              </w:rPr>
              <w:t>Treatment</w:t>
            </w:r>
          </w:p>
          <w:p w:rsidR="00B512CD" w:rsidRDefault="00B512CD">
            <w:pPr>
              <w:pStyle w:val="NormalWeb"/>
              <w:jc w:val="center"/>
            </w:pPr>
          </w:p>
        </w:tc>
        <w:tc>
          <w:tcPr>
            <w:tcW w:w="2232" w:type="dxa"/>
            <w:vAlign w:val="center"/>
          </w:tcPr>
          <w:p w:rsidR="00B512CD" w:rsidRDefault="00521215">
            <w:pPr>
              <w:pStyle w:val="NormalWeb"/>
              <w:jc w:val="center"/>
            </w:pPr>
            <w:r>
              <w:rPr>
                <w:b/>
                <w:bCs/>
              </w:rPr>
              <w:t>Average weight of ten larvae at fifth instar of sixth day (g)</w:t>
            </w:r>
          </w:p>
        </w:tc>
        <w:tc>
          <w:tcPr>
            <w:tcW w:w="1962" w:type="dxa"/>
            <w:vAlign w:val="center"/>
          </w:tcPr>
          <w:p w:rsidR="00B512CD" w:rsidRDefault="00521215">
            <w:pPr>
              <w:pStyle w:val="NormalWeb"/>
              <w:jc w:val="center"/>
            </w:pPr>
            <w:r>
              <w:rPr>
                <w:b/>
                <w:bCs/>
              </w:rPr>
              <w:t xml:space="preserve">Larval mortality due to </w:t>
            </w:r>
            <w:proofErr w:type="spellStart"/>
            <w:r>
              <w:rPr>
                <w:b/>
                <w:bCs/>
              </w:rPr>
              <w:t>pebrine</w:t>
            </w:r>
            <w:proofErr w:type="spellEnd"/>
            <w:r>
              <w:rPr>
                <w:b/>
                <w:bCs/>
              </w:rPr>
              <w:t xml:space="preserve"> (%)</w:t>
            </w:r>
          </w:p>
        </w:tc>
        <w:tc>
          <w:tcPr>
            <w:tcW w:w="987" w:type="dxa"/>
            <w:vAlign w:val="center"/>
          </w:tcPr>
          <w:p w:rsidR="00B512CD" w:rsidRDefault="00521215">
            <w:pPr>
              <w:pStyle w:val="NormalWeb"/>
              <w:jc w:val="center"/>
              <w:rPr>
                <w:b/>
                <w:bCs/>
              </w:rPr>
            </w:pPr>
            <w:r>
              <w:rPr>
                <w:b/>
                <w:bCs/>
              </w:rPr>
              <w:t>ERR (%)</w:t>
            </w:r>
          </w:p>
          <w:p w:rsidR="00B512CD" w:rsidRDefault="00B512CD">
            <w:pPr>
              <w:pStyle w:val="NormalWeb"/>
              <w:jc w:val="center"/>
            </w:pPr>
          </w:p>
        </w:tc>
        <w:tc>
          <w:tcPr>
            <w:tcW w:w="1540" w:type="dxa"/>
            <w:vAlign w:val="center"/>
          </w:tcPr>
          <w:p w:rsidR="00B512CD" w:rsidRDefault="00521215">
            <w:pPr>
              <w:pStyle w:val="NormalWeb"/>
              <w:jc w:val="center"/>
            </w:pPr>
            <w:r>
              <w:rPr>
                <w:b/>
                <w:bCs/>
              </w:rPr>
              <w:t>Single cocoon weight (g)</w:t>
            </w:r>
          </w:p>
        </w:tc>
        <w:tc>
          <w:tcPr>
            <w:tcW w:w="1407" w:type="dxa"/>
            <w:vAlign w:val="center"/>
          </w:tcPr>
          <w:p w:rsidR="00B512CD" w:rsidRDefault="00521215">
            <w:pPr>
              <w:pStyle w:val="NormalWeb"/>
              <w:jc w:val="center"/>
              <w:rPr>
                <w:b/>
                <w:bCs/>
              </w:rPr>
            </w:pPr>
            <w:r>
              <w:rPr>
                <w:b/>
                <w:bCs/>
              </w:rPr>
              <w:t>Cocoon shell ratio (%)</w:t>
            </w:r>
          </w:p>
          <w:p w:rsidR="00B512CD" w:rsidRDefault="00B512CD">
            <w:pPr>
              <w:pStyle w:val="NormalWeb"/>
              <w:jc w:val="center"/>
            </w:pPr>
          </w:p>
        </w:tc>
        <w:tc>
          <w:tcPr>
            <w:tcW w:w="1327" w:type="dxa"/>
            <w:vAlign w:val="center"/>
          </w:tcPr>
          <w:p w:rsidR="00B512CD" w:rsidRDefault="00521215">
            <w:pPr>
              <w:pStyle w:val="NormalWeb"/>
              <w:jc w:val="center"/>
            </w:pPr>
            <w:proofErr w:type="spellStart"/>
            <w:r>
              <w:rPr>
                <w:b/>
                <w:bCs/>
              </w:rPr>
              <w:t>Pebrinized</w:t>
            </w:r>
            <w:proofErr w:type="spellEnd"/>
            <w:r>
              <w:rPr>
                <w:b/>
                <w:bCs/>
              </w:rPr>
              <w:t xml:space="preserve"> cocoons</w:t>
            </w:r>
          </w:p>
        </w:tc>
      </w:tr>
      <w:tr w:rsidR="00B512CD">
        <w:trPr>
          <w:trHeight w:val="197"/>
          <w:jc w:val="center"/>
        </w:trPr>
        <w:tc>
          <w:tcPr>
            <w:tcW w:w="1340" w:type="dxa"/>
            <w:vAlign w:val="center"/>
          </w:tcPr>
          <w:p w:rsidR="00B512CD" w:rsidRDefault="00521215">
            <w:pPr>
              <w:pStyle w:val="NormalWeb"/>
            </w:pPr>
            <w:r>
              <w:rPr>
                <w:b/>
                <w:bCs/>
              </w:rPr>
              <w:t>TRI-24</w:t>
            </w:r>
          </w:p>
        </w:tc>
        <w:tc>
          <w:tcPr>
            <w:tcW w:w="2232" w:type="dxa"/>
            <w:vAlign w:val="center"/>
          </w:tcPr>
          <w:p w:rsidR="00B512CD" w:rsidRDefault="00521215">
            <w:pPr>
              <w:pStyle w:val="NormalWeb"/>
              <w:jc w:val="center"/>
            </w:pPr>
            <w:r>
              <w:t>40.03</w:t>
            </w:r>
          </w:p>
        </w:tc>
        <w:tc>
          <w:tcPr>
            <w:tcW w:w="1962" w:type="dxa"/>
            <w:vAlign w:val="center"/>
          </w:tcPr>
          <w:p w:rsidR="00B512CD" w:rsidRDefault="00521215">
            <w:pPr>
              <w:pStyle w:val="NormalWeb"/>
              <w:jc w:val="center"/>
            </w:pPr>
            <w:r>
              <w:t>0.0</w:t>
            </w:r>
          </w:p>
        </w:tc>
        <w:tc>
          <w:tcPr>
            <w:tcW w:w="987" w:type="dxa"/>
            <w:vAlign w:val="center"/>
          </w:tcPr>
          <w:p w:rsidR="00B512CD" w:rsidRDefault="00521215">
            <w:pPr>
              <w:pStyle w:val="NormalWeb"/>
              <w:jc w:val="center"/>
            </w:pPr>
            <w:r>
              <w:t>93.66</w:t>
            </w:r>
          </w:p>
        </w:tc>
        <w:tc>
          <w:tcPr>
            <w:tcW w:w="1540" w:type="dxa"/>
            <w:vAlign w:val="center"/>
          </w:tcPr>
          <w:p w:rsidR="00B512CD" w:rsidRDefault="00521215">
            <w:pPr>
              <w:pStyle w:val="NormalWeb"/>
              <w:jc w:val="center"/>
            </w:pPr>
            <w:r>
              <w:t>1.59</w:t>
            </w:r>
          </w:p>
        </w:tc>
        <w:tc>
          <w:tcPr>
            <w:tcW w:w="1407" w:type="dxa"/>
            <w:vAlign w:val="center"/>
          </w:tcPr>
          <w:p w:rsidR="00B512CD" w:rsidRDefault="00521215">
            <w:pPr>
              <w:pStyle w:val="NormalWeb"/>
              <w:jc w:val="center"/>
            </w:pPr>
            <w:r>
              <w:t>20.14</w:t>
            </w:r>
          </w:p>
        </w:tc>
        <w:tc>
          <w:tcPr>
            <w:tcW w:w="1327" w:type="dxa"/>
            <w:vAlign w:val="center"/>
          </w:tcPr>
          <w:p w:rsidR="00B512CD" w:rsidRDefault="00521215">
            <w:pPr>
              <w:pStyle w:val="NormalWeb"/>
              <w:jc w:val="center"/>
            </w:pPr>
            <w:r>
              <w:t>0.0</w:t>
            </w:r>
          </w:p>
        </w:tc>
      </w:tr>
      <w:tr w:rsidR="00B512CD">
        <w:trPr>
          <w:trHeight w:val="90"/>
          <w:jc w:val="center"/>
        </w:trPr>
        <w:tc>
          <w:tcPr>
            <w:tcW w:w="1340" w:type="dxa"/>
            <w:vAlign w:val="center"/>
          </w:tcPr>
          <w:p w:rsidR="00B512CD" w:rsidRDefault="00521215">
            <w:pPr>
              <w:pStyle w:val="NormalWeb"/>
            </w:pPr>
            <w:r>
              <w:rPr>
                <w:b/>
                <w:bCs/>
              </w:rPr>
              <w:t>TRI-48</w:t>
            </w:r>
          </w:p>
        </w:tc>
        <w:tc>
          <w:tcPr>
            <w:tcW w:w="2232" w:type="dxa"/>
            <w:vAlign w:val="center"/>
          </w:tcPr>
          <w:p w:rsidR="00B512CD" w:rsidRDefault="00521215">
            <w:pPr>
              <w:pStyle w:val="NormalWeb"/>
              <w:jc w:val="center"/>
            </w:pPr>
            <w:r>
              <w:t>39.01</w:t>
            </w:r>
          </w:p>
        </w:tc>
        <w:tc>
          <w:tcPr>
            <w:tcW w:w="1962" w:type="dxa"/>
            <w:vAlign w:val="center"/>
          </w:tcPr>
          <w:p w:rsidR="00B512CD" w:rsidRDefault="00521215">
            <w:pPr>
              <w:pStyle w:val="NormalWeb"/>
              <w:jc w:val="center"/>
            </w:pPr>
            <w:r>
              <w:t>0.0</w:t>
            </w:r>
          </w:p>
        </w:tc>
        <w:tc>
          <w:tcPr>
            <w:tcW w:w="987" w:type="dxa"/>
            <w:vAlign w:val="center"/>
          </w:tcPr>
          <w:p w:rsidR="00B512CD" w:rsidRDefault="00521215">
            <w:pPr>
              <w:pStyle w:val="NormalWeb"/>
              <w:jc w:val="center"/>
            </w:pPr>
            <w:r>
              <w:t>94.33</w:t>
            </w:r>
          </w:p>
        </w:tc>
        <w:tc>
          <w:tcPr>
            <w:tcW w:w="1540" w:type="dxa"/>
            <w:vAlign w:val="center"/>
          </w:tcPr>
          <w:p w:rsidR="00B512CD" w:rsidRDefault="00521215">
            <w:pPr>
              <w:pStyle w:val="NormalWeb"/>
              <w:jc w:val="center"/>
            </w:pPr>
            <w:r>
              <w:t>1.58</w:t>
            </w:r>
          </w:p>
        </w:tc>
        <w:tc>
          <w:tcPr>
            <w:tcW w:w="1407" w:type="dxa"/>
            <w:vAlign w:val="center"/>
          </w:tcPr>
          <w:p w:rsidR="00B512CD" w:rsidRDefault="00521215">
            <w:pPr>
              <w:pStyle w:val="NormalWeb"/>
              <w:jc w:val="center"/>
            </w:pPr>
            <w:r>
              <w:t>20.04</w:t>
            </w:r>
          </w:p>
        </w:tc>
        <w:tc>
          <w:tcPr>
            <w:tcW w:w="1327" w:type="dxa"/>
            <w:vAlign w:val="center"/>
          </w:tcPr>
          <w:p w:rsidR="00B512CD" w:rsidRDefault="00521215">
            <w:pPr>
              <w:pStyle w:val="NormalWeb"/>
              <w:jc w:val="center"/>
            </w:pPr>
            <w:r>
              <w:t>0.0</w:t>
            </w:r>
          </w:p>
        </w:tc>
      </w:tr>
      <w:tr w:rsidR="00B512CD">
        <w:trPr>
          <w:trHeight w:val="90"/>
          <w:jc w:val="center"/>
        </w:trPr>
        <w:tc>
          <w:tcPr>
            <w:tcW w:w="1340" w:type="dxa"/>
            <w:vAlign w:val="center"/>
          </w:tcPr>
          <w:p w:rsidR="00B512CD" w:rsidRDefault="00521215">
            <w:pPr>
              <w:pStyle w:val="NormalWeb"/>
            </w:pPr>
            <w:r>
              <w:rPr>
                <w:b/>
                <w:bCs/>
              </w:rPr>
              <w:t>TRI-72</w:t>
            </w:r>
          </w:p>
        </w:tc>
        <w:tc>
          <w:tcPr>
            <w:tcW w:w="2232" w:type="dxa"/>
            <w:vAlign w:val="center"/>
          </w:tcPr>
          <w:p w:rsidR="00B512CD" w:rsidRDefault="00521215">
            <w:pPr>
              <w:pStyle w:val="NormalWeb"/>
              <w:jc w:val="center"/>
            </w:pPr>
            <w:r>
              <w:t>38.30</w:t>
            </w:r>
          </w:p>
        </w:tc>
        <w:tc>
          <w:tcPr>
            <w:tcW w:w="1962" w:type="dxa"/>
            <w:vAlign w:val="center"/>
          </w:tcPr>
          <w:p w:rsidR="00B512CD" w:rsidRDefault="00521215">
            <w:pPr>
              <w:pStyle w:val="NormalWeb"/>
              <w:jc w:val="center"/>
            </w:pPr>
            <w:r>
              <w:t>0.0</w:t>
            </w:r>
          </w:p>
        </w:tc>
        <w:tc>
          <w:tcPr>
            <w:tcW w:w="987" w:type="dxa"/>
            <w:vAlign w:val="center"/>
          </w:tcPr>
          <w:p w:rsidR="00B512CD" w:rsidRDefault="00521215">
            <w:pPr>
              <w:pStyle w:val="NormalWeb"/>
              <w:jc w:val="center"/>
            </w:pPr>
            <w:r>
              <w:t>93.33</w:t>
            </w:r>
          </w:p>
        </w:tc>
        <w:tc>
          <w:tcPr>
            <w:tcW w:w="1540" w:type="dxa"/>
            <w:vAlign w:val="center"/>
          </w:tcPr>
          <w:p w:rsidR="00B512CD" w:rsidRDefault="00521215">
            <w:pPr>
              <w:pStyle w:val="NormalWeb"/>
              <w:jc w:val="center"/>
            </w:pPr>
            <w:r>
              <w:t>1.68</w:t>
            </w:r>
          </w:p>
        </w:tc>
        <w:tc>
          <w:tcPr>
            <w:tcW w:w="1407" w:type="dxa"/>
            <w:vAlign w:val="center"/>
          </w:tcPr>
          <w:p w:rsidR="00B512CD" w:rsidRDefault="00521215">
            <w:pPr>
              <w:pStyle w:val="NormalWeb"/>
              <w:jc w:val="center"/>
            </w:pPr>
            <w:r>
              <w:t>17.94</w:t>
            </w:r>
          </w:p>
        </w:tc>
        <w:tc>
          <w:tcPr>
            <w:tcW w:w="1327" w:type="dxa"/>
            <w:vAlign w:val="center"/>
          </w:tcPr>
          <w:p w:rsidR="00B512CD" w:rsidRDefault="00521215">
            <w:pPr>
              <w:pStyle w:val="NormalWeb"/>
              <w:jc w:val="center"/>
            </w:pPr>
            <w:r>
              <w:t>38.78</w:t>
            </w:r>
          </w:p>
        </w:tc>
      </w:tr>
      <w:tr w:rsidR="00B512CD">
        <w:trPr>
          <w:trHeight w:val="90"/>
          <w:jc w:val="center"/>
        </w:trPr>
        <w:tc>
          <w:tcPr>
            <w:tcW w:w="1340" w:type="dxa"/>
            <w:vAlign w:val="center"/>
          </w:tcPr>
          <w:p w:rsidR="00B512CD" w:rsidRDefault="00521215">
            <w:pPr>
              <w:pStyle w:val="NormalWeb"/>
            </w:pPr>
            <w:r>
              <w:rPr>
                <w:b/>
                <w:bCs/>
              </w:rPr>
              <w:t>TRI-96</w:t>
            </w:r>
          </w:p>
        </w:tc>
        <w:tc>
          <w:tcPr>
            <w:tcW w:w="2232" w:type="dxa"/>
            <w:vAlign w:val="center"/>
          </w:tcPr>
          <w:p w:rsidR="00B512CD" w:rsidRDefault="00521215">
            <w:pPr>
              <w:pStyle w:val="NormalWeb"/>
              <w:jc w:val="center"/>
            </w:pPr>
            <w:r>
              <w:t>37.60</w:t>
            </w:r>
          </w:p>
        </w:tc>
        <w:tc>
          <w:tcPr>
            <w:tcW w:w="1962" w:type="dxa"/>
            <w:vAlign w:val="center"/>
          </w:tcPr>
          <w:p w:rsidR="00B512CD" w:rsidRDefault="00521215">
            <w:pPr>
              <w:pStyle w:val="NormalWeb"/>
              <w:jc w:val="center"/>
            </w:pPr>
            <w:r>
              <w:t>4.33</w:t>
            </w:r>
          </w:p>
        </w:tc>
        <w:tc>
          <w:tcPr>
            <w:tcW w:w="987" w:type="dxa"/>
            <w:vAlign w:val="center"/>
          </w:tcPr>
          <w:p w:rsidR="00B512CD" w:rsidRDefault="00521215">
            <w:pPr>
              <w:pStyle w:val="NormalWeb"/>
              <w:jc w:val="center"/>
            </w:pPr>
            <w:r>
              <w:t>93.0</w:t>
            </w:r>
          </w:p>
        </w:tc>
        <w:tc>
          <w:tcPr>
            <w:tcW w:w="1540" w:type="dxa"/>
            <w:vAlign w:val="center"/>
          </w:tcPr>
          <w:p w:rsidR="00B512CD" w:rsidRDefault="00521215">
            <w:pPr>
              <w:pStyle w:val="NormalWeb"/>
              <w:jc w:val="center"/>
            </w:pPr>
            <w:r>
              <w:t>1.49</w:t>
            </w:r>
          </w:p>
        </w:tc>
        <w:tc>
          <w:tcPr>
            <w:tcW w:w="1407" w:type="dxa"/>
            <w:vAlign w:val="center"/>
          </w:tcPr>
          <w:p w:rsidR="00B512CD" w:rsidRDefault="00521215">
            <w:pPr>
              <w:pStyle w:val="NormalWeb"/>
              <w:jc w:val="center"/>
            </w:pPr>
            <w:r>
              <w:t>16.48</w:t>
            </w:r>
          </w:p>
        </w:tc>
        <w:tc>
          <w:tcPr>
            <w:tcW w:w="1327" w:type="dxa"/>
            <w:vAlign w:val="center"/>
          </w:tcPr>
          <w:p w:rsidR="00B512CD" w:rsidRDefault="00521215">
            <w:pPr>
              <w:pStyle w:val="NormalWeb"/>
              <w:jc w:val="center"/>
            </w:pPr>
            <w:r>
              <w:t>68.23</w:t>
            </w:r>
          </w:p>
        </w:tc>
      </w:tr>
      <w:tr w:rsidR="00B512CD">
        <w:trPr>
          <w:trHeight w:val="90"/>
          <w:jc w:val="center"/>
        </w:trPr>
        <w:tc>
          <w:tcPr>
            <w:tcW w:w="1340" w:type="dxa"/>
            <w:vAlign w:val="center"/>
          </w:tcPr>
          <w:p w:rsidR="00B512CD" w:rsidRDefault="00521215">
            <w:pPr>
              <w:pStyle w:val="NormalWeb"/>
            </w:pPr>
            <w:r>
              <w:rPr>
                <w:b/>
                <w:bCs/>
              </w:rPr>
              <w:t>TRI-120</w:t>
            </w:r>
          </w:p>
        </w:tc>
        <w:tc>
          <w:tcPr>
            <w:tcW w:w="2232" w:type="dxa"/>
            <w:vAlign w:val="center"/>
          </w:tcPr>
          <w:p w:rsidR="00B512CD" w:rsidRDefault="00521215">
            <w:pPr>
              <w:pStyle w:val="NormalWeb"/>
              <w:jc w:val="center"/>
            </w:pPr>
            <w:r>
              <w:t>35.40</w:t>
            </w:r>
          </w:p>
        </w:tc>
        <w:tc>
          <w:tcPr>
            <w:tcW w:w="1962" w:type="dxa"/>
            <w:vAlign w:val="center"/>
          </w:tcPr>
          <w:p w:rsidR="00B512CD" w:rsidRDefault="00521215">
            <w:pPr>
              <w:pStyle w:val="NormalWeb"/>
              <w:jc w:val="center"/>
            </w:pPr>
            <w:r>
              <w:t>4.98</w:t>
            </w:r>
          </w:p>
        </w:tc>
        <w:tc>
          <w:tcPr>
            <w:tcW w:w="987" w:type="dxa"/>
            <w:vAlign w:val="center"/>
          </w:tcPr>
          <w:p w:rsidR="00B512CD" w:rsidRDefault="00521215">
            <w:pPr>
              <w:pStyle w:val="NormalWeb"/>
              <w:jc w:val="center"/>
            </w:pPr>
            <w:r>
              <w:t>93.16</w:t>
            </w:r>
          </w:p>
        </w:tc>
        <w:tc>
          <w:tcPr>
            <w:tcW w:w="1540" w:type="dxa"/>
            <w:vAlign w:val="center"/>
          </w:tcPr>
          <w:p w:rsidR="00B512CD" w:rsidRDefault="00521215">
            <w:pPr>
              <w:pStyle w:val="NormalWeb"/>
              <w:jc w:val="center"/>
            </w:pPr>
            <w:r>
              <w:t>1.28</w:t>
            </w:r>
          </w:p>
        </w:tc>
        <w:tc>
          <w:tcPr>
            <w:tcW w:w="1407" w:type="dxa"/>
            <w:vAlign w:val="center"/>
          </w:tcPr>
          <w:p w:rsidR="00B512CD" w:rsidRDefault="00521215">
            <w:pPr>
              <w:pStyle w:val="NormalWeb"/>
              <w:jc w:val="center"/>
            </w:pPr>
            <w:r>
              <w:t>16.14</w:t>
            </w:r>
          </w:p>
        </w:tc>
        <w:tc>
          <w:tcPr>
            <w:tcW w:w="1327" w:type="dxa"/>
            <w:vAlign w:val="center"/>
          </w:tcPr>
          <w:p w:rsidR="00B512CD" w:rsidRDefault="00521215">
            <w:pPr>
              <w:pStyle w:val="NormalWeb"/>
              <w:jc w:val="center"/>
            </w:pPr>
            <w:r>
              <w:t>100</w:t>
            </w:r>
          </w:p>
        </w:tc>
      </w:tr>
      <w:tr w:rsidR="00B512CD">
        <w:trPr>
          <w:trHeight w:val="121"/>
          <w:jc w:val="center"/>
        </w:trPr>
        <w:tc>
          <w:tcPr>
            <w:tcW w:w="1340" w:type="dxa"/>
            <w:vAlign w:val="center"/>
          </w:tcPr>
          <w:p w:rsidR="00B512CD" w:rsidRDefault="00521215">
            <w:pPr>
              <w:pStyle w:val="NormalWeb"/>
            </w:pPr>
            <w:r>
              <w:rPr>
                <w:b/>
                <w:bCs/>
              </w:rPr>
              <w:t>Infected</w:t>
            </w:r>
          </w:p>
        </w:tc>
        <w:tc>
          <w:tcPr>
            <w:tcW w:w="2232" w:type="dxa"/>
            <w:vAlign w:val="center"/>
          </w:tcPr>
          <w:p w:rsidR="00B512CD" w:rsidRDefault="00521215">
            <w:pPr>
              <w:pStyle w:val="NormalWeb"/>
              <w:jc w:val="center"/>
            </w:pPr>
            <w:r>
              <w:t>0.0</w:t>
            </w:r>
          </w:p>
        </w:tc>
        <w:tc>
          <w:tcPr>
            <w:tcW w:w="1962" w:type="dxa"/>
            <w:vAlign w:val="center"/>
          </w:tcPr>
          <w:p w:rsidR="00B512CD" w:rsidRDefault="00521215">
            <w:pPr>
              <w:pStyle w:val="NormalWeb"/>
              <w:jc w:val="center"/>
            </w:pPr>
            <w:r>
              <w:t>97.0</w:t>
            </w:r>
          </w:p>
        </w:tc>
        <w:tc>
          <w:tcPr>
            <w:tcW w:w="987" w:type="dxa"/>
            <w:vAlign w:val="center"/>
          </w:tcPr>
          <w:p w:rsidR="00B512CD" w:rsidRDefault="00521215">
            <w:pPr>
              <w:pStyle w:val="NormalWeb"/>
              <w:jc w:val="center"/>
            </w:pPr>
            <w:r>
              <w:t>0.0</w:t>
            </w:r>
          </w:p>
        </w:tc>
        <w:tc>
          <w:tcPr>
            <w:tcW w:w="1540" w:type="dxa"/>
            <w:vAlign w:val="center"/>
          </w:tcPr>
          <w:p w:rsidR="00B512CD" w:rsidRDefault="00521215">
            <w:pPr>
              <w:pStyle w:val="NormalWeb"/>
              <w:jc w:val="center"/>
            </w:pPr>
            <w:r>
              <w:t>0.0</w:t>
            </w:r>
          </w:p>
        </w:tc>
        <w:tc>
          <w:tcPr>
            <w:tcW w:w="1407" w:type="dxa"/>
            <w:vAlign w:val="center"/>
          </w:tcPr>
          <w:p w:rsidR="00B512CD" w:rsidRDefault="00521215">
            <w:pPr>
              <w:pStyle w:val="NormalWeb"/>
              <w:jc w:val="center"/>
            </w:pPr>
            <w:r>
              <w:t>0.0</w:t>
            </w:r>
          </w:p>
        </w:tc>
        <w:tc>
          <w:tcPr>
            <w:tcW w:w="1327" w:type="dxa"/>
            <w:vAlign w:val="center"/>
          </w:tcPr>
          <w:p w:rsidR="00B512CD" w:rsidRDefault="00521215">
            <w:pPr>
              <w:pStyle w:val="NormalWeb"/>
              <w:jc w:val="center"/>
            </w:pPr>
            <w:r>
              <w:t>0.0</w:t>
            </w:r>
          </w:p>
        </w:tc>
      </w:tr>
      <w:tr w:rsidR="00B512CD">
        <w:trPr>
          <w:trHeight w:val="90"/>
          <w:jc w:val="center"/>
        </w:trPr>
        <w:tc>
          <w:tcPr>
            <w:tcW w:w="1340" w:type="dxa"/>
            <w:vAlign w:val="center"/>
          </w:tcPr>
          <w:p w:rsidR="00B512CD" w:rsidRDefault="00521215">
            <w:pPr>
              <w:pStyle w:val="NormalWeb"/>
            </w:pPr>
            <w:r>
              <w:rPr>
                <w:b/>
                <w:bCs/>
              </w:rPr>
              <w:t>Uninfected</w:t>
            </w:r>
          </w:p>
        </w:tc>
        <w:tc>
          <w:tcPr>
            <w:tcW w:w="2232" w:type="dxa"/>
            <w:vAlign w:val="center"/>
          </w:tcPr>
          <w:p w:rsidR="00B512CD" w:rsidRDefault="00521215">
            <w:pPr>
              <w:pStyle w:val="NormalWeb"/>
              <w:jc w:val="center"/>
            </w:pPr>
            <w:r>
              <w:t>40.88</w:t>
            </w:r>
          </w:p>
        </w:tc>
        <w:tc>
          <w:tcPr>
            <w:tcW w:w="1962" w:type="dxa"/>
            <w:vAlign w:val="center"/>
          </w:tcPr>
          <w:p w:rsidR="00B512CD" w:rsidRDefault="00521215">
            <w:pPr>
              <w:pStyle w:val="NormalWeb"/>
              <w:jc w:val="center"/>
            </w:pPr>
            <w:r>
              <w:t>0.0</w:t>
            </w:r>
          </w:p>
        </w:tc>
        <w:tc>
          <w:tcPr>
            <w:tcW w:w="987" w:type="dxa"/>
            <w:vAlign w:val="center"/>
          </w:tcPr>
          <w:p w:rsidR="00B512CD" w:rsidRDefault="00521215">
            <w:pPr>
              <w:pStyle w:val="NormalWeb"/>
              <w:jc w:val="center"/>
            </w:pPr>
            <w:r>
              <w:t>96</w:t>
            </w:r>
          </w:p>
        </w:tc>
        <w:tc>
          <w:tcPr>
            <w:tcW w:w="1540" w:type="dxa"/>
            <w:vAlign w:val="center"/>
          </w:tcPr>
          <w:p w:rsidR="00B512CD" w:rsidRDefault="00521215">
            <w:pPr>
              <w:pStyle w:val="NormalWeb"/>
              <w:jc w:val="center"/>
            </w:pPr>
            <w:r>
              <w:t>1.65</w:t>
            </w:r>
          </w:p>
        </w:tc>
        <w:tc>
          <w:tcPr>
            <w:tcW w:w="1407" w:type="dxa"/>
            <w:vAlign w:val="center"/>
          </w:tcPr>
          <w:p w:rsidR="00B512CD" w:rsidRDefault="00521215">
            <w:pPr>
              <w:pStyle w:val="NormalWeb"/>
              <w:jc w:val="center"/>
            </w:pPr>
            <w:r>
              <w:t>20.16</w:t>
            </w:r>
          </w:p>
        </w:tc>
        <w:tc>
          <w:tcPr>
            <w:tcW w:w="1327" w:type="dxa"/>
            <w:vAlign w:val="center"/>
          </w:tcPr>
          <w:p w:rsidR="00B512CD" w:rsidRDefault="00521215">
            <w:pPr>
              <w:pStyle w:val="NormalWeb"/>
              <w:jc w:val="center"/>
            </w:pPr>
            <w:r>
              <w:t>0.0</w:t>
            </w:r>
          </w:p>
        </w:tc>
      </w:tr>
      <w:tr w:rsidR="00B512CD">
        <w:trPr>
          <w:trHeight w:val="90"/>
          <w:jc w:val="center"/>
        </w:trPr>
        <w:tc>
          <w:tcPr>
            <w:tcW w:w="1340" w:type="dxa"/>
            <w:vAlign w:val="center"/>
          </w:tcPr>
          <w:p w:rsidR="00B512CD" w:rsidRDefault="00521215">
            <w:pPr>
              <w:pStyle w:val="NormalWeb"/>
            </w:pPr>
            <w:r>
              <w:rPr>
                <w:b/>
                <w:bCs/>
              </w:rPr>
              <w:t>F-test</w:t>
            </w:r>
          </w:p>
        </w:tc>
        <w:tc>
          <w:tcPr>
            <w:tcW w:w="2232" w:type="dxa"/>
            <w:vAlign w:val="center"/>
          </w:tcPr>
          <w:p w:rsidR="00B512CD" w:rsidRDefault="00521215">
            <w:pPr>
              <w:pStyle w:val="NormalWeb"/>
              <w:jc w:val="center"/>
            </w:pPr>
            <w:r>
              <w:t>HS</w:t>
            </w:r>
          </w:p>
        </w:tc>
        <w:tc>
          <w:tcPr>
            <w:tcW w:w="1962" w:type="dxa"/>
            <w:vAlign w:val="center"/>
          </w:tcPr>
          <w:p w:rsidR="00B512CD" w:rsidRDefault="00521215">
            <w:pPr>
              <w:pStyle w:val="NormalWeb"/>
              <w:jc w:val="center"/>
            </w:pPr>
            <w:r>
              <w:t>HS</w:t>
            </w:r>
          </w:p>
        </w:tc>
        <w:tc>
          <w:tcPr>
            <w:tcW w:w="987" w:type="dxa"/>
            <w:vAlign w:val="center"/>
          </w:tcPr>
          <w:p w:rsidR="00B512CD" w:rsidRDefault="00521215">
            <w:pPr>
              <w:pStyle w:val="NormalWeb"/>
              <w:jc w:val="center"/>
            </w:pPr>
            <w:r>
              <w:t>HS</w:t>
            </w:r>
          </w:p>
        </w:tc>
        <w:tc>
          <w:tcPr>
            <w:tcW w:w="1540" w:type="dxa"/>
            <w:vAlign w:val="center"/>
          </w:tcPr>
          <w:p w:rsidR="00B512CD" w:rsidRDefault="00521215">
            <w:pPr>
              <w:pStyle w:val="NormalWeb"/>
              <w:jc w:val="center"/>
            </w:pPr>
            <w:r>
              <w:t>HS</w:t>
            </w:r>
          </w:p>
        </w:tc>
        <w:tc>
          <w:tcPr>
            <w:tcW w:w="1407" w:type="dxa"/>
            <w:vAlign w:val="center"/>
          </w:tcPr>
          <w:p w:rsidR="00B512CD" w:rsidRDefault="00521215">
            <w:pPr>
              <w:pStyle w:val="NormalWeb"/>
              <w:jc w:val="center"/>
            </w:pPr>
            <w:r>
              <w:t>HS</w:t>
            </w:r>
          </w:p>
        </w:tc>
        <w:tc>
          <w:tcPr>
            <w:tcW w:w="1327" w:type="dxa"/>
            <w:vAlign w:val="center"/>
          </w:tcPr>
          <w:p w:rsidR="00B512CD" w:rsidRDefault="00521215">
            <w:pPr>
              <w:pStyle w:val="NormalWeb"/>
              <w:jc w:val="center"/>
            </w:pPr>
            <w:r>
              <w:t>HS</w:t>
            </w:r>
          </w:p>
        </w:tc>
      </w:tr>
      <w:tr w:rsidR="00B512CD">
        <w:trPr>
          <w:trHeight w:val="90"/>
          <w:jc w:val="center"/>
        </w:trPr>
        <w:tc>
          <w:tcPr>
            <w:tcW w:w="1340" w:type="dxa"/>
            <w:vAlign w:val="center"/>
          </w:tcPr>
          <w:p w:rsidR="00B512CD" w:rsidRDefault="00521215">
            <w:pPr>
              <w:pStyle w:val="NormalWeb"/>
            </w:pPr>
            <w:r>
              <w:rPr>
                <w:b/>
                <w:bCs/>
              </w:rPr>
              <w:t>CD at 5%</w:t>
            </w:r>
          </w:p>
        </w:tc>
        <w:tc>
          <w:tcPr>
            <w:tcW w:w="2232" w:type="dxa"/>
            <w:vAlign w:val="center"/>
          </w:tcPr>
          <w:p w:rsidR="00B512CD" w:rsidRDefault="00521215">
            <w:pPr>
              <w:pStyle w:val="NormalWeb"/>
              <w:jc w:val="center"/>
            </w:pPr>
            <w:r>
              <w:t>1.20</w:t>
            </w:r>
          </w:p>
        </w:tc>
        <w:tc>
          <w:tcPr>
            <w:tcW w:w="1962" w:type="dxa"/>
            <w:vAlign w:val="center"/>
          </w:tcPr>
          <w:p w:rsidR="00B512CD" w:rsidRDefault="00521215">
            <w:pPr>
              <w:pStyle w:val="NormalWeb"/>
              <w:jc w:val="center"/>
            </w:pPr>
            <w:r>
              <w:t>1.68</w:t>
            </w:r>
          </w:p>
        </w:tc>
        <w:tc>
          <w:tcPr>
            <w:tcW w:w="987" w:type="dxa"/>
            <w:vAlign w:val="center"/>
          </w:tcPr>
          <w:p w:rsidR="00B512CD" w:rsidRDefault="00521215">
            <w:pPr>
              <w:pStyle w:val="NormalWeb"/>
              <w:jc w:val="center"/>
            </w:pPr>
            <w:r>
              <w:t>1.75</w:t>
            </w:r>
          </w:p>
        </w:tc>
        <w:tc>
          <w:tcPr>
            <w:tcW w:w="1540" w:type="dxa"/>
            <w:vAlign w:val="center"/>
          </w:tcPr>
          <w:p w:rsidR="00B512CD" w:rsidRDefault="00521215">
            <w:pPr>
              <w:pStyle w:val="NormalWeb"/>
              <w:jc w:val="center"/>
            </w:pPr>
            <w:r>
              <w:t>0.09</w:t>
            </w:r>
          </w:p>
        </w:tc>
        <w:tc>
          <w:tcPr>
            <w:tcW w:w="1407" w:type="dxa"/>
            <w:vAlign w:val="center"/>
          </w:tcPr>
          <w:p w:rsidR="00B512CD" w:rsidRDefault="00521215">
            <w:pPr>
              <w:pStyle w:val="NormalWeb"/>
              <w:jc w:val="center"/>
            </w:pPr>
            <w:r>
              <w:t>0.53</w:t>
            </w:r>
          </w:p>
        </w:tc>
        <w:tc>
          <w:tcPr>
            <w:tcW w:w="1327" w:type="dxa"/>
            <w:vAlign w:val="center"/>
          </w:tcPr>
          <w:p w:rsidR="00B512CD" w:rsidRDefault="00521215">
            <w:pPr>
              <w:pStyle w:val="NormalWeb"/>
              <w:jc w:val="center"/>
            </w:pPr>
            <w:r>
              <w:t>5.79</w:t>
            </w:r>
          </w:p>
        </w:tc>
      </w:tr>
      <w:tr w:rsidR="00B512CD">
        <w:trPr>
          <w:trHeight w:val="90"/>
          <w:jc w:val="center"/>
        </w:trPr>
        <w:tc>
          <w:tcPr>
            <w:tcW w:w="1340" w:type="dxa"/>
            <w:vAlign w:val="center"/>
          </w:tcPr>
          <w:p w:rsidR="00B512CD" w:rsidRDefault="00521215">
            <w:pPr>
              <w:pStyle w:val="NormalWeb"/>
            </w:pPr>
            <w:r>
              <w:rPr>
                <w:b/>
                <w:bCs/>
              </w:rPr>
              <w:t>CD at 1%</w:t>
            </w:r>
          </w:p>
        </w:tc>
        <w:tc>
          <w:tcPr>
            <w:tcW w:w="2232" w:type="dxa"/>
            <w:vAlign w:val="center"/>
          </w:tcPr>
          <w:p w:rsidR="00B512CD" w:rsidRDefault="00521215">
            <w:pPr>
              <w:pStyle w:val="NormalWeb"/>
              <w:jc w:val="center"/>
            </w:pPr>
            <w:r>
              <w:t>1.74</w:t>
            </w:r>
          </w:p>
        </w:tc>
        <w:tc>
          <w:tcPr>
            <w:tcW w:w="1962" w:type="dxa"/>
            <w:vAlign w:val="center"/>
          </w:tcPr>
          <w:p w:rsidR="00B512CD" w:rsidRDefault="00521215">
            <w:pPr>
              <w:pStyle w:val="NormalWeb"/>
              <w:jc w:val="center"/>
            </w:pPr>
            <w:r>
              <w:t>2.45</w:t>
            </w:r>
          </w:p>
        </w:tc>
        <w:tc>
          <w:tcPr>
            <w:tcW w:w="987" w:type="dxa"/>
            <w:vAlign w:val="center"/>
          </w:tcPr>
          <w:p w:rsidR="00B512CD" w:rsidRDefault="00521215">
            <w:pPr>
              <w:pStyle w:val="NormalWeb"/>
              <w:jc w:val="center"/>
            </w:pPr>
            <w:r>
              <w:t>2.55</w:t>
            </w:r>
          </w:p>
        </w:tc>
        <w:tc>
          <w:tcPr>
            <w:tcW w:w="1540" w:type="dxa"/>
            <w:vAlign w:val="center"/>
          </w:tcPr>
          <w:p w:rsidR="00B512CD" w:rsidRDefault="00521215">
            <w:pPr>
              <w:pStyle w:val="NormalWeb"/>
              <w:jc w:val="center"/>
            </w:pPr>
            <w:r>
              <w:t>0.12</w:t>
            </w:r>
          </w:p>
        </w:tc>
        <w:tc>
          <w:tcPr>
            <w:tcW w:w="1407" w:type="dxa"/>
            <w:vAlign w:val="center"/>
          </w:tcPr>
          <w:p w:rsidR="00B512CD" w:rsidRDefault="00521215">
            <w:pPr>
              <w:pStyle w:val="NormalWeb"/>
              <w:jc w:val="center"/>
            </w:pPr>
            <w:r>
              <w:t>0.77</w:t>
            </w:r>
          </w:p>
        </w:tc>
        <w:tc>
          <w:tcPr>
            <w:tcW w:w="1327" w:type="dxa"/>
            <w:vAlign w:val="center"/>
          </w:tcPr>
          <w:p w:rsidR="00B512CD" w:rsidRDefault="00521215">
            <w:pPr>
              <w:pStyle w:val="NormalWeb"/>
              <w:jc w:val="center"/>
            </w:pPr>
            <w:r>
              <w:t>8.43</w:t>
            </w:r>
          </w:p>
        </w:tc>
      </w:tr>
    </w:tbl>
    <w:p w:rsidR="00B512CD" w:rsidRDefault="00521215">
      <w:pPr>
        <w:pStyle w:val="NormalWeb"/>
        <w:jc w:val="both"/>
        <w:rPr>
          <w:b/>
          <w:bCs/>
          <w:lang w:val="en-US"/>
        </w:rPr>
      </w:pPr>
      <w:r>
        <w:rPr>
          <w:b/>
          <w:bCs/>
        </w:rPr>
        <w:t>TRI-24:</w:t>
      </w:r>
      <w:r>
        <w:rPr>
          <w:rFonts w:eastAsiaTheme="minorEastAsia"/>
          <w:b/>
          <w:bCs/>
          <w:color w:val="000000" w:themeColor="dark1"/>
          <w:kern w:val="24"/>
        </w:rPr>
        <w:t xml:space="preserve"> </w:t>
      </w:r>
      <w:r>
        <w:rPr>
          <w:b/>
          <w:bCs/>
        </w:rPr>
        <w:t xml:space="preserve">After 24 h pi till spinning, TRI-48: After 48 h pi till spinning, TRI-72: After 72 h pi till spinning, TRI-96: After 96 h pi till spinning, TRI- 120: After 120 h pi till spinning.                                                                  TRI- Treatment infected, ERR- Effective rate of rearing, HS- Highly significant                                               </w:t>
      </w:r>
      <w:r>
        <w:rPr>
          <w:b/>
          <w:bCs/>
          <w:lang w:val="en-US"/>
        </w:rPr>
        <w:t>Breed-NB4D2.</w:t>
      </w:r>
    </w:p>
    <w:p w:rsidR="00B512CD" w:rsidRDefault="00521215">
      <w:pPr>
        <w:pStyle w:val="NormalWeb"/>
        <w:jc w:val="both"/>
      </w:pPr>
      <w:r>
        <w:t xml:space="preserve">Bhat </w:t>
      </w:r>
      <w:r>
        <w:rPr>
          <w:i/>
          <w:iCs/>
        </w:rPr>
        <w:t>et al</w:t>
      </w:r>
      <w:r>
        <w:t xml:space="preserve">. (2012) studied on </w:t>
      </w:r>
      <w:r>
        <w:rPr>
          <w:color w:val="000000" w:themeColor="text1"/>
        </w:rPr>
        <w:t xml:space="preserve">efficacy of different benzimidazole derivatives on </w:t>
      </w:r>
      <w:proofErr w:type="spellStart"/>
      <w:r>
        <w:rPr>
          <w:color w:val="000000" w:themeColor="text1"/>
        </w:rPr>
        <w:t>microsporidiosis</w:t>
      </w:r>
      <w:proofErr w:type="spellEnd"/>
      <w:r>
        <w:rPr>
          <w:color w:val="000000" w:themeColor="text1"/>
        </w:rPr>
        <w:t xml:space="preserve"> of </w:t>
      </w:r>
      <w:proofErr w:type="spellStart"/>
      <w:r>
        <w:rPr>
          <w:color w:val="000000" w:themeColor="text1"/>
        </w:rPr>
        <w:t>lamerin</w:t>
      </w:r>
      <w:proofErr w:type="spellEnd"/>
      <w:r>
        <w:rPr>
          <w:color w:val="000000" w:themeColor="text1"/>
        </w:rPr>
        <w:t xml:space="preserve"> breed of the silkworm, </w:t>
      </w:r>
      <w:r>
        <w:rPr>
          <w:color w:val="000000" w:themeColor="text1"/>
        </w:rPr>
        <w:tab/>
      </w:r>
      <w:r>
        <w:rPr>
          <w:i/>
          <w:color w:val="000000" w:themeColor="text1"/>
        </w:rPr>
        <w:t>Bombyx mori</w:t>
      </w:r>
      <w:r>
        <w:rPr>
          <w:color w:val="000000" w:themeColor="text1"/>
        </w:rPr>
        <w:t xml:space="preserve"> L</w:t>
      </w:r>
      <w:r>
        <w:t xml:space="preserve"> and reported</w:t>
      </w:r>
      <w:r>
        <w:rPr>
          <w:b/>
          <w:bCs/>
        </w:rPr>
        <w:t xml:space="preserve"> </w:t>
      </w:r>
      <w:r>
        <w:t xml:space="preserve">that among six drugs tested, mebendazole were found effective against microsporidian spores at all the concentrations. Rest of the drugs </w:t>
      </w:r>
      <w:r>
        <w:rPr>
          <w:i/>
        </w:rPr>
        <w:t>viz.,</w:t>
      </w:r>
      <w:r>
        <w:t xml:space="preserve"> metronidazole, albendazole, ornidazole and </w:t>
      </w:r>
      <w:proofErr w:type="spellStart"/>
      <w:r>
        <w:t>satinidizole</w:t>
      </w:r>
      <w:proofErr w:type="spellEnd"/>
      <w:r>
        <w:t xml:space="preserve"> were found effective only at 1%. However, </w:t>
      </w:r>
      <w:proofErr w:type="spellStart"/>
      <w:r>
        <w:t>tinidizole</w:t>
      </w:r>
      <w:proofErr w:type="spellEnd"/>
      <w:r>
        <w:t xml:space="preserve"> was not found effective against the microsporidian spores at any of the concentrations tested. The results showed that among tested benzimidazole derivatives, mebendazole (0.25 to 1.00%), albendazole (1.00%) were found effective in reduction of larval mortality to an extent of 100% (Table 7). </w:t>
      </w:r>
      <w:r>
        <w:rPr>
          <w:bCs/>
        </w:rPr>
        <w:t xml:space="preserve">Bhat </w:t>
      </w:r>
      <w:r>
        <w:rPr>
          <w:bCs/>
          <w:i/>
          <w:iCs/>
        </w:rPr>
        <w:t>et al</w:t>
      </w:r>
      <w:r>
        <w:rPr>
          <w:bCs/>
        </w:rPr>
        <w:t xml:space="preserve">. (2012) </w:t>
      </w:r>
      <w:r>
        <w:t xml:space="preserve">reported that the percent of infected moths was significantly low in all treatments as compared </w:t>
      </w:r>
      <w:r>
        <w:lastRenderedPageBreak/>
        <w:t xml:space="preserve">to the inoculated control. It is recorded 59.38% in inoculated control was reduced to 22.44 to 30.04% in treated batches (Table 8).        </w:t>
      </w:r>
    </w:p>
    <w:p w:rsidR="00B512CD" w:rsidRDefault="00521215">
      <w:pPr>
        <w:spacing w:before="100" w:beforeAutospacing="1" w:after="100" w:afterAutospacing="1" w:line="240" w:lineRule="auto"/>
        <w:rPr>
          <w:rFonts w:ascii="Times New Roman" w:eastAsia="Times New Roman" w:hAnsi="Times New Roman" w:cs="Times New Roman"/>
          <w:sz w:val="24"/>
          <w:szCs w:val="24"/>
          <w:lang w:eastAsia="en-IN" w:bidi="kn-IN"/>
        </w:rPr>
      </w:pPr>
      <w:r>
        <w:rPr>
          <w:rStyle w:val="Strong"/>
          <w:rFonts w:ascii="Times New Roman" w:hAnsi="Times New Roman" w:cs="Times New Roman"/>
          <w:sz w:val="24"/>
          <w:szCs w:val="24"/>
        </w:rPr>
        <w:t>Inference</w:t>
      </w:r>
      <w:r>
        <w:rPr>
          <w:b/>
          <w:bCs/>
        </w:rPr>
        <w:t xml:space="preserve">: </w:t>
      </w:r>
      <w:r>
        <w:rPr>
          <w:rFonts w:ascii="Times New Roman" w:eastAsia="Times New Roman" w:hAnsi="Times New Roman" w:cs="Times New Roman"/>
          <w:sz w:val="24"/>
          <w:szCs w:val="24"/>
          <w:lang w:eastAsia="en-IN" w:bidi="kn-IN"/>
        </w:rPr>
        <w:t xml:space="preserve">Certain benzimidazoles show strong antiprotozoal activity, but vary widely in efficacy and require precise application. Chemical residues and safety both in humans and silkworms are major concerns. Albendazole and mebendazole are </w:t>
      </w:r>
      <w:proofErr w:type="spellStart"/>
      <w:r>
        <w:rPr>
          <w:rFonts w:ascii="Times New Roman" w:eastAsia="Times New Roman" w:hAnsi="Times New Roman" w:cs="Times New Roman"/>
          <w:sz w:val="24"/>
          <w:szCs w:val="24"/>
          <w:lang w:eastAsia="en-IN" w:bidi="kn-IN"/>
        </w:rPr>
        <w:t>antiparasitics</w:t>
      </w:r>
      <w:proofErr w:type="spellEnd"/>
      <w:r>
        <w:rPr>
          <w:rFonts w:ascii="Times New Roman" w:eastAsia="Times New Roman" w:hAnsi="Times New Roman" w:cs="Times New Roman"/>
          <w:sz w:val="24"/>
          <w:szCs w:val="24"/>
          <w:lang w:eastAsia="en-IN" w:bidi="kn-IN"/>
        </w:rPr>
        <w:t xml:space="preserve"> with human medicinal use and thus subject to residue regulation. Moreover, environmental impact and the risk of resistance should be considered.</w:t>
      </w:r>
      <w:r>
        <w:rPr>
          <w:rFonts w:ascii="Times New Roman" w:hAnsi="Times New Roman" w:cs="Times New Roman"/>
          <w:sz w:val="24"/>
          <w:szCs w:val="24"/>
        </w:rPr>
        <w:t xml:space="preserve">                                                               </w:t>
      </w:r>
    </w:p>
    <w:p w:rsidR="00B512CD" w:rsidRDefault="00521215">
      <w:pPr>
        <w:pStyle w:val="NormalWeb"/>
        <w:rPr>
          <w:rFonts w:eastAsiaTheme="minorEastAsia"/>
          <w:b/>
          <w:bCs/>
        </w:rPr>
      </w:pPr>
      <w:r>
        <w:rPr>
          <w:rFonts w:eastAsiaTheme="minorEastAsia"/>
          <w:b/>
          <w:bCs/>
        </w:rPr>
        <w:t>Table 7: Efficacy of benzimidazole derivatives in larval mortality (</w:t>
      </w:r>
      <w:r>
        <w:rPr>
          <w:b/>
          <w:bCs/>
        </w:rPr>
        <w:t xml:space="preserve">Bhat </w:t>
      </w:r>
      <w:r>
        <w:rPr>
          <w:b/>
          <w:bCs/>
          <w:i/>
          <w:iCs/>
        </w:rPr>
        <w:t>et al</w:t>
      </w:r>
      <w:r>
        <w:rPr>
          <w:b/>
          <w:bCs/>
        </w:rPr>
        <w:t>., 2012)</w:t>
      </w:r>
    </w:p>
    <w:tbl>
      <w:tblPr>
        <w:tblStyle w:val="TableGrid"/>
        <w:tblW w:w="10058" w:type="dxa"/>
        <w:jc w:val="center"/>
        <w:tblLook w:val="04A0" w:firstRow="1" w:lastRow="0" w:firstColumn="1" w:lastColumn="0" w:noHBand="0" w:noVBand="1"/>
      </w:tblPr>
      <w:tblGrid>
        <w:gridCol w:w="1769"/>
        <w:gridCol w:w="2316"/>
        <w:gridCol w:w="2184"/>
        <w:gridCol w:w="2329"/>
        <w:gridCol w:w="1460"/>
      </w:tblGrid>
      <w:tr w:rsidR="00B512CD">
        <w:trPr>
          <w:trHeight w:val="192"/>
          <w:jc w:val="center"/>
        </w:trPr>
        <w:tc>
          <w:tcPr>
            <w:tcW w:w="1769" w:type="dxa"/>
            <w:vMerge w:val="restart"/>
            <w:vAlign w:val="center"/>
          </w:tcPr>
          <w:p w:rsidR="00B512CD" w:rsidRDefault="00521215">
            <w:pPr>
              <w:pStyle w:val="NormalWeb"/>
              <w:jc w:val="center"/>
            </w:pPr>
            <w:r>
              <w:rPr>
                <w:b/>
                <w:bCs/>
              </w:rPr>
              <w:t>Treatment</w:t>
            </w:r>
          </w:p>
        </w:tc>
        <w:tc>
          <w:tcPr>
            <w:tcW w:w="8289" w:type="dxa"/>
            <w:gridSpan w:val="4"/>
            <w:vAlign w:val="center"/>
          </w:tcPr>
          <w:p w:rsidR="00B512CD" w:rsidRDefault="00521215">
            <w:pPr>
              <w:pStyle w:val="NormalWeb"/>
              <w:jc w:val="center"/>
            </w:pPr>
            <w:r>
              <w:rPr>
                <w:b/>
                <w:bCs/>
              </w:rPr>
              <w:t>Mortality and disease reduction due to treatment (%)</w:t>
            </w:r>
          </w:p>
        </w:tc>
      </w:tr>
      <w:tr w:rsidR="00B512CD">
        <w:trPr>
          <w:trHeight w:val="90"/>
          <w:jc w:val="center"/>
        </w:trPr>
        <w:tc>
          <w:tcPr>
            <w:tcW w:w="1769" w:type="dxa"/>
            <w:vMerge/>
            <w:vAlign w:val="center"/>
          </w:tcPr>
          <w:p w:rsidR="00B512CD" w:rsidRDefault="00B512CD">
            <w:pPr>
              <w:pStyle w:val="NormalWeb"/>
              <w:jc w:val="center"/>
            </w:pPr>
          </w:p>
        </w:tc>
        <w:tc>
          <w:tcPr>
            <w:tcW w:w="2316" w:type="dxa"/>
            <w:vAlign w:val="center"/>
          </w:tcPr>
          <w:p w:rsidR="00B512CD" w:rsidRDefault="00521215">
            <w:pPr>
              <w:pStyle w:val="NormalWeb"/>
              <w:jc w:val="center"/>
            </w:pPr>
            <w:r>
              <w:t>0.25%</w:t>
            </w:r>
          </w:p>
        </w:tc>
        <w:tc>
          <w:tcPr>
            <w:tcW w:w="2184" w:type="dxa"/>
            <w:vAlign w:val="center"/>
          </w:tcPr>
          <w:p w:rsidR="00B512CD" w:rsidRDefault="00521215">
            <w:pPr>
              <w:pStyle w:val="NormalWeb"/>
              <w:jc w:val="center"/>
            </w:pPr>
            <w:r>
              <w:t>0.50%</w:t>
            </w:r>
          </w:p>
        </w:tc>
        <w:tc>
          <w:tcPr>
            <w:tcW w:w="2329" w:type="dxa"/>
            <w:vAlign w:val="center"/>
          </w:tcPr>
          <w:p w:rsidR="00B512CD" w:rsidRDefault="00521215">
            <w:pPr>
              <w:pStyle w:val="NormalWeb"/>
              <w:jc w:val="center"/>
            </w:pPr>
            <w:r>
              <w:t>1.00%</w:t>
            </w:r>
          </w:p>
        </w:tc>
        <w:tc>
          <w:tcPr>
            <w:tcW w:w="1458" w:type="dxa"/>
            <w:vAlign w:val="center"/>
          </w:tcPr>
          <w:p w:rsidR="00B512CD" w:rsidRDefault="00521215">
            <w:pPr>
              <w:pStyle w:val="NormalWeb"/>
              <w:jc w:val="center"/>
            </w:pPr>
            <w:r>
              <w:t>Control</w:t>
            </w:r>
          </w:p>
        </w:tc>
      </w:tr>
      <w:tr w:rsidR="00B512CD">
        <w:trPr>
          <w:trHeight w:val="318"/>
          <w:jc w:val="center"/>
        </w:trPr>
        <w:tc>
          <w:tcPr>
            <w:tcW w:w="1769" w:type="dxa"/>
            <w:vAlign w:val="center"/>
          </w:tcPr>
          <w:p w:rsidR="00B512CD" w:rsidRDefault="00521215">
            <w:pPr>
              <w:pStyle w:val="NormalWeb"/>
              <w:jc w:val="center"/>
            </w:pPr>
            <w:r>
              <w:rPr>
                <w:b/>
                <w:bCs/>
              </w:rPr>
              <w:t>Metronidazole</w:t>
            </w:r>
          </w:p>
        </w:tc>
        <w:tc>
          <w:tcPr>
            <w:tcW w:w="2316" w:type="dxa"/>
            <w:vAlign w:val="center"/>
          </w:tcPr>
          <w:p w:rsidR="00B512CD" w:rsidRDefault="00521215">
            <w:pPr>
              <w:pStyle w:val="NormalWeb"/>
              <w:jc w:val="center"/>
            </w:pPr>
            <w:r>
              <w:t>1.33 ± 0.57 (85.74)</w:t>
            </w:r>
          </w:p>
        </w:tc>
        <w:tc>
          <w:tcPr>
            <w:tcW w:w="2184" w:type="dxa"/>
            <w:vAlign w:val="center"/>
          </w:tcPr>
          <w:p w:rsidR="00B512CD" w:rsidRDefault="00521215">
            <w:pPr>
              <w:pStyle w:val="NormalWeb"/>
              <w:jc w:val="center"/>
            </w:pPr>
            <w:r>
              <w:t>1.00 ± 0.00 (89.28)</w:t>
            </w:r>
          </w:p>
        </w:tc>
        <w:tc>
          <w:tcPr>
            <w:tcW w:w="2329" w:type="dxa"/>
            <w:vAlign w:val="center"/>
          </w:tcPr>
          <w:p w:rsidR="00B512CD" w:rsidRDefault="00521215">
            <w:pPr>
              <w:pStyle w:val="NormalWeb"/>
              <w:jc w:val="center"/>
            </w:pPr>
            <w:r>
              <w:t>0.66 ± 0.57 (92.92)</w:t>
            </w:r>
          </w:p>
        </w:tc>
        <w:tc>
          <w:tcPr>
            <w:tcW w:w="1458" w:type="dxa"/>
            <w:vMerge w:val="restart"/>
            <w:vAlign w:val="center"/>
          </w:tcPr>
          <w:p w:rsidR="00B512CD" w:rsidRDefault="00B512CD">
            <w:pPr>
              <w:pStyle w:val="NormalWeb"/>
              <w:jc w:val="center"/>
            </w:pPr>
          </w:p>
          <w:p w:rsidR="00B512CD" w:rsidRDefault="00521215">
            <w:pPr>
              <w:pStyle w:val="NormalWeb"/>
              <w:jc w:val="center"/>
            </w:pPr>
            <w:r>
              <w:t>9.33 ± 0.57</w:t>
            </w:r>
          </w:p>
          <w:p w:rsidR="00B512CD" w:rsidRDefault="00B512CD">
            <w:pPr>
              <w:pStyle w:val="NormalWeb"/>
              <w:jc w:val="center"/>
            </w:pPr>
          </w:p>
          <w:p w:rsidR="00B512CD" w:rsidRDefault="00B512CD">
            <w:pPr>
              <w:pStyle w:val="NormalWeb"/>
              <w:jc w:val="center"/>
            </w:pPr>
          </w:p>
        </w:tc>
      </w:tr>
      <w:tr w:rsidR="00B512CD">
        <w:trPr>
          <w:trHeight w:val="282"/>
          <w:jc w:val="center"/>
        </w:trPr>
        <w:tc>
          <w:tcPr>
            <w:tcW w:w="1769" w:type="dxa"/>
            <w:vAlign w:val="center"/>
          </w:tcPr>
          <w:p w:rsidR="00B512CD" w:rsidRDefault="00521215">
            <w:pPr>
              <w:pStyle w:val="NormalWeb"/>
              <w:jc w:val="center"/>
            </w:pPr>
            <w:r>
              <w:rPr>
                <w:b/>
                <w:bCs/>
              </w:rPr>
              <w:t>Albendazole</w:t>
            </w:r>
          </w:p>
        </w:tc>
        <w:tc>
          <w:tcPr>
            <w:tcW w:w="2316" w:type="dxa"/>
            <w:vAlign w:val="center"/>
          </w:tcPr>
          <w:p w:rsidR="00B512CD" w:rsidRDefault="00521215">
            <w:pPr>
              <w:pStyle w:val="NormalWeb"/>
              <w:jc w:val="center"/>
            </w:pPr>
            <w:r>
              <w:t>1.33 ± 0.57 (85.74)</w:t>
            </w:r>
          </w:p>
        </w:tc>
        <w:tc>
          <w:tcPr>
            <w:tcW w:w="2184" w:type="dxa"/>
            <w:vAlign w:val="center"/>
          </w:tcPr>
          <w:p w:rsidR="00B512CD" w:rsidRDefault="00521215">
            <w:pPr>
              <w:pStyle w:val="NormalWeb"/>
              <w:jc w:val="center"/>
            </w:pPr>
            <w:r>
              <w:t>0.33 ± 0.57 (96.46)</w:t>
            </w:r>
          </w:p>
        </w:tc>
        <w:tc>
          <w:tcPr>
            <w:tcW w:w="2329" w:type="dxa"/>
            <w:vAlign w:val="center"/>
          </w:tcPr>
          <w:p w:rsidR="00B512CD" w:rsidRDefault="00521215">
            <w:pPr>
              <w:pStyle w:val="NormalWeb"/>
              <w:jc w:val="center"/>
            </w:pPr>
            <w:r>
              <w:t>0.00 ± 0.57 (100.0)</w:t>
            </w:r>
          </w:p>
        </w:tc>
        <w:tc>
          <w:tcPr>
            <w:tcW w:w="1458" w:type="dxa"/>
            <w:vMerge/>
            <w:vAlign w:val="center"/>
          </w:tcPr>
          <w:p w:rsidR="00B512CD" w:rsidRDefault="00B512CD">
            <w:pPr>
              <w:pStyle w:val="NormalWeb"/>
              <w:jc w:val="center"/>
            </w:pPr>
          </w:p>
        </w:tc>
      </w:tr>
      <w:tr w:rsidR="00B512CD">
        <w:trPr>
          <w:trHeight w:val="276"/>
          <w:jc w:val="center"/>
        </w:trPr>
        <w:tc>
          <w:tcPr>
            <w:tcW w:w="1769" w:type="dxa"/>
            <w:vAlign w:val="center"/>
          </w:tcPr>
          <w:p w:rsidR="00B512CD" w:rsidRDefault="00521215">
            <w:pPr>
              <w:pStyle w:val="NormalWeb"/>
              <w:jc w:val="center"/>
            </w:pPr>
            <w:proofErr w:type="spellStart"/>
            <w:r>
              <w:rPr>
                <w:b/>
                <w:bCs/>
              </w:rPr>
              <w:t>Tinidizdazole</w:t>
            </w:r>
            <w:proofErr w:type="spellEnd"/>
          </w:p>
        </w:tc>
        <w:tc>
          <w:tcPr>
            <w:tcW w:w="2316" w:type="dxa"/>
            <w:vAlign w:val="center"/>
          </w:tcPr>
          <w:p w:rsidR="00B512CD" w:rsidRDefault="00521215">
            <w:pPr>
              <w:pStyle w:val="NormalWeb"/>
              <w:jc w:val="center"/>
            </w:pPr>
            <w:r>
              <w:t>1.66 ± 0.57 (82.20)</w:t>
            </w:r>
          </w:p>
        </w:tc>
        <w:tc>
          <w:tcPr>
            <w:tcW w:w="2184" w:type="dxa"/>
            <w:vAlign w:val="center"/>
          </w:tcPr>
          <w:p w:rsidR="00B512CD" w:rsidRDefault="00521215">
            <w:pPr>
              <w:pStyle w:val="NormalWeb"/>
              <w:jc w:val="center"/>
            </w:pPr>
            <w:r>
              <w:t>1.66 ± 1.15 (82.20)</w:t>
            </w:r>
          </w:p>
        </w:tc>
        <w:tc>
          <w:tcPr>
            <w:tcW w:w="2329" w:type="dxa"/>
            <w:vAlign w:val="center"/>
          </w:tcPr>
          <w:p w:rsidR="00B512CD" w:rsidRDefault="00521215">
            <w:pPr>
              <w:pStyle w:val="NormalWeb"/>
              <w:jc w:val="center"/>
            </w:pPr>
            <w:r>
              <w:t>1.00 ± 1.00 (89.28)</w:t>
            </w:r>
          </w:p>
        </w:tc>
        <w:tc>
          <w:tcPr>
            <w:tcW w:w="1458" w:type="dxa"/>
            <w:vMerge/>
            <w:vAlign w:val="center"/>
          </w:tcPr>
          <w:p w:rsidR="00B512CD" w:rsidRDefault="00B512CD">
            <w:pPr>
              <w:pStyle w:val="NormalWeb"/>
              <w:jc w:val="center"/>
            </w:pPr>
          </w:p>
        </w:tc>
      </w:tr>
      <w:tr w:rsidR="00B512CD">
        <w:trPr>
          <w:trHeight w:val="291"/>
          <w:jc w:val="center"/>
        </w:trPr>
        <w:tc>
          <w:tcPr>
            <w:tcW w:w="1769" w:type="dxa"/>
            <w:vAlign w:val="center"/>
          </w:tcPr>
          <w:p w:rsidR="00B512CD" w:rsidRDefault="00521215">
            <w:pPr>
              <w:pStyle w:val="NormalWeb"/>
              <w:jc w:val="center"/>
            </w:pPr>
            <w:proofErr w:type="spellStart"/>
            <w:r>
              <w:rPr>
                <w:b/>
                <w:bCs/>
              </w:rPr>
              <w:t>Ornidizole</w:t>
            </w:r>
            <w:proofErr w:type="spellEnd"/>
          </w:p>
        </w:tc>
        <w:tc>
          <w:tcPr>
            <w:tcW w:w="2316" w:type="dxa"/>
            <w:vAlign w:val="center"/>
          </w:tcPr>
          <w:p w:rsidR="00B512CD" w:rsidRDefault="00521215">
            <w:pPr>
              <w:pStyle w:val="NormalWeb"/>
              <w:jc w:val="center"/>
            </w:pPr>
            <w:r>
              <w:t>2.00 ± 1.00 (78.56)</w:t>
            </w:r>
          </w:p>
        </w:tc>
        <w:tc>
          <w:tcPr>
            <w:tcW w:w="2184" w:type="dxa"/>
            <w:vAlign w:val="center"/>
          </w:tcPr>
          <w:p w:rsidR="00B512CD" w:rsidRDefault="00521215">
            <w:pPr>
              <w:pStyle w:val="NormalWeb"/>
              <w:jc w:val="center"/>
            </w:pPr>
            <w:r>
              <w:t>1.33 ± 0.57 (85.74)</w:t>
            </w:r>
          </w:p>
        </w:tc>
        <w:tc>
          <w:tcPr>
            <w:tcW w:w="2329" w:type="dxa"/>
            <w:vAlign w:val="center"/>
          </w:tcPr>
          <w:p w:rsidR="00B512CD" w:rsidRDefault="00521215">
            <w:pPr>
              <w:pStyle w:val="NormalWeb"/>
              <w:jc w:val="center"/>
            </w:pPr>
            <w:r>
              <w:t>0.33 ± 0.57 (96.46)</w:t>
            </w:r>
          </w:p>
        </w:tc>
        <w:tc>
          <w:tcPr>
            <w:tcW w:w="1458" w:type="dxa"/>
            <w:vMerge/>
            <w:vAlign w:val="center"/>
          </w:tcPr>
          <w:p w:rsidR="00B512CD" w:rsidRDefault="00B512CD">
            <w:pPr>
              <w:pStyle w:val="NormalWeb"/>
              <w:jc w:val="center"/>
            </w:pPr>
          </w:p>
        </w:tc>
      </w:tr>
      <w:tr w:rsidR="00B512CD">
        <w:trPr>
          <w:trHeight w:val="295"/>
          <w:jc w:val="center"/>
        </w:trPr>
        <w:tc>
          <w:tcPr>
            <w:tcW w:w="1769" w:type="dxa"/>
            <w:vAlign w:val="center"/>
          </w:tcPr>
          <w:p w:rsidR="00B512CD" w:rsidRDefault="00521215">
            <w:pPr>
              <w:pStyle w:val="NormalWeb"/>
              <w:jc w:val="center"/>
            </w:pPr>
            <w:r>
              <w:rPr>
                <w:b/>
                <w:bCs/>
              </w:rPr>
              <w:t>Mebendazole</w:t>
            </w:r>
          </w:p>
        </w:tc>
        <w:tc>
          <w:tcPr>
            <w:tcW w:w="2316" w:type="dxa"/>
            <w:vAlign w:val="center"/>
          </w:tcPr>
          <w:p w:rsidR="00B512CD" w:rsidRDefault="00521215">
            <w:pPr>
              <w:pStyle w:val="NormalWeb"/>
              <w:jc w:val="center"/>
            </w:pPr>
            <w:r>
              <w:t>0.00 ± 1.00 (100.00)</w:t>
            </w:r>
          </w:p>
        </w:tc>
        <w:tc>
          <w:tcPr>
            <w:tcW w:w="2184" w:type="dxa"/>
            <w:vAlign w:val="center"/>
          </w:tcPr>
          <w:p w:rsidR="00B512CD" w:rsidRDefault="00521215">
            <w:pPr>
              <w:pStyle w:val="NormalWeb"/>
              <w:jc w:val="center"/>
            </w:pPr>
            <w:r>
              <w:t>0.00 ± 0.57 (100.0)</w:t>
            </w:r>
          </w:p>
        </w:tc>
        <w:tc>
          <w:tcPr>
            <w:tcW w:w="2329" w:type="dxa"/>
            <w:vAlign w:val="center"/>
          </w:tcPr>
          <w:p w:rsidR="00B512CD" w:rsidRDefault="00521215">
            <w:pPr>
              <w:pStyle w:val="NormalWeb"/>
              <w:jc w:val="center"/>
            </w:pPr>
            <w:r>
              <w:t>0.00 ± 0.57 (100.0)</w:t>
            </w:r>
          </w:p>
        </w:tc>
        <w:tc>
          <w:tcPr>
            <w:tcW w:w="1458" w:type="dxa"/>
            <w:vMerge/>
            <w:vAlign w:val="center"/>
          </w:tcPr>
          <w:p w:rsidR="00B512CD" w:rsidRDefault="00B512CD">
            <w:pPr>
              <w:pStyle w:val="NormalWeb"/>
              <w:jc w:val="center"/>
            </w:pPr>
          </w:p>
        </w:tc>
      </w:tr>
      <w:tr w:rsidR="00B512CD">
        <w:trPr>
          <w:trHeight w:val="280"/>
          <w:jc w:val="center"/>
        </w:trPr>
        <w:tc>
          <w:tcPr>
            <w:tcW w:w="1769" w:type="dxa"/>
            <w:vAlign w:val="center"/>
          </w:tcPr>
          <w:p w:rsidR="00B512CD" w:rsidRDefault="00521215">
            <w:pPr>
              <w:pStyle w:val="NormalWeb"/>
              <w:jc w:val="center"/>
            </w:pPr>
            <w:proofErr w:type="spellStart"/>
            <w:r>
              <w:rPr>
                <w:b/>
                <w:bCs/>
              </w:rPr>
              <w:t>Satranidizole</w:t>
            </w:r>
            <w:proofErr w:type="spellEnd"/>
          </w:p>
        </w:tc>
        <w:tc>
          <w:tcPr>
            <w:tcW w:w="2316" w:type="dxa"/>
            <w:vAlign w:val="center"/>
          </w:tcPr>
          <w:p w:rsidR="00B512CD" w:rsidRDefault="00521215">
            <w:pPr>
              <w:pStyle w:val="NormalWeb"/>
              <w:jc w:val="center"/>
            </w:pPr>
            <w:r>
              <w:t>1.66 ± 0.57 (82.20)</w:t>
            </w:r>
          </w:p>
        </w:tc>
        <w:tc>
          <w:tcPr>
            <w:tcW w:w="2184" w:type="dxa"/>
            <w:vAlign w:val="center"/>
          </w:tcPr>
          <w:p w:rsidR="00B512CD" w:rsidRDefault="00521215">
            <w:pPr>
              <w:pStyle w:val="NormalWeb"/>
              <w:jc w:val="center"/>
            </w:pPr>
            <w:r>
              <w:t>2.00 ± 1.00 (78.56)</w:t>
            </w:r>
          </w:p>
        </w:tc>
        <w:tc>
          <w:tcPr>
            <w:tcW w:w="2329" w:type="dxa"/>
            <w:vAlign w:val="center"/>
          </w:tcPr>
          <w:p w:rsidR="00B512CD" w:rsidRDefault="00521215">
            <w:pPr>
              <w:pStyle w:val="NormalWeb"/>
              <w:jc w:val="center"/>
              <w:rPr>
                <w:b/>
              </w:rPr>
            </w:pPr>
            <w:r>
              <w:t>0.66 ± 0.57 (92.92</w:t>
            </w:r>
            <w:r>
              <w:rPr>
                <w:b/>
              </w:rPr>
              <w:t>)</w:t>
            </w:r>
          </w:p>
        </w:tc>
        <w:tc>
          <w:tcPr>
            <w:tcW w:w="1458" w:type="dxa"/>
            <w:vMerge/>
            <w:vAlign w:val="center"/>
          </w:tcPr>
          <w:p w:rsidR="00B512CD" w:rsidRDefault="00B512CD">
            <w:pPr>
              <w:pStyle w:val="NormalWeb"/>
              <w:jc w:val="center"/>
            </w:pPr>
          </w:p>
        </w:tc>
      </w:tr>
    </w:tbl>
    <w:p w:rsidR="00B512CD" w:rsidRDefault="00521215">
      <w:pPr>
        <w:pStyle w:val="NormalWeb"/>
        <w:jc w:val="both"/>
        <w:rPr>
          <w:b/>
          <w:bCs/>
        </w:rPr>
      </w:pPr>
      <w:r>
        <w:rPr>
          <w:b/>
          <w:bCs/>
        </w:rPr>
        <w:t>Each value is mean ±SD of three replications; values within parenthesis indicate % reduction in mortality. Breed-</w:t>
      </w:r>
      <w:proofErr w:type="spellStart"/>
      <w:r>
        <w:rPr>
          <w:b/>
          <w:bCs/>
        </w:rPr>
        <w:t>Lamerin</w:t>
      </w:r>
      <w:proofErr w:type="spellEnd"/>
      <w:r>
        <w:rPr>
          <w:b/>
          <w:bCs/>
        </w:rPr>
        <w:t xml:space="preserve"> breed</w:t>
      </w:r>
    </w:p>
    <w:p w:rsidR="00B512CD" w:rsidRDefault="00521215">
      <w:pPr>
        <w:pStyle w:val="NormalWeb"/>
        <w:spacing w:line="276" w:lineRule="auto"/>
      </w:pPr>
      <w:r>
        <w:rPr>
          <w:bCs/>
        </w:rPr>
        <w:t xml:space="preserve"> </w:t>
      </w:r>
      <w:r>
        <w:rPr>
          <w:b/>
          <w:bCs/>
        </w:rPr>
        <w:t xml:space="preserve">Table 8. Efficacy of benzimidazole derivatives on suppression of infection at moth stage </w:t>
      </w:r>
      <w:r>
        <w:rPr>
          <w:b/>
        </w:rPr>
        <w:t xml:space="preserve">Bhat </w:t>
      </w:r>
      <w:r>
        <w:rPr>
          <w:b/>
          <w:i/>
          <w:iCs/>
        </w:rPr>
        <w:t>et al</w:t>
      </w:r>
      <w:r>
        <w:rPr>
          <w:b/>
        </w:rPr>
        <w:t>. (2012).</w:t>
      </w:r>
    </w:p>
    <w:tbl>
      <w:tblPr>
        <w:tblStyle w:val="TableGrid"/>
        <w:tblW w:w="10258" w:type="dxa"/>
        <w:jc w:val="center"/>
        <w:tblLook w:val="04A0" w:firstRow="1" w:lastRow="0" w:firstColumn="1" w:lastColumn="0" w:noHBand="0" w:noVBand="1"/>
      </w:tblPr>
      <w:tblGrid>
        <w:gridCol w:w="1718"/>
        <w:gridCol w:w="2267"/>
        <w:gridCol w:w="2280"/>
        <w:gridCol w:w="2423"/>
        <w:gridCol w:w="1570"/>
      </w:tblGrid>
      <w:tr w:rsidR="00B512CD">
        <w:trPr>
          <w:trHeight w:val="475"/>
          <w:jc w:val="center"/>
        </w:trPr>
        <w:tc>
          <w:tcPr>
            <w:tcW w:w="1718" w:type="dxa"/>
            <w:vMerge w:val="restart"/>
            <w:vAlign w:val="center"/>
          </w:tcPr>
          <w:p w:rsidR="00B512CD" w:rsidRDefault="00521215">
            <w:pPr>
              <w:pStyle w:val="NormalWeb"/>
              <w:jc w:val="center"/>
            </w:pPr>
            <w:r>
              <w:rPr>
                <w:b/>
                <w:bCs/>
              </w:rPr>
              <w:t>Treatment</w:t>
            </w:r>
          </w:p>
        </w:tc>
        <w:tc>
          <w:tcPr>
            <w:tcW w:w="8540" w:type="dxa"/>
            <w:gridSpan w:val="4"/>
            <w:vAlign w:val="center"/>
          </w:tcPr>
          <w:p w:rsidR="00B512CD" w:rsidRDefault="00521215">
            <w:pPr>
              <w:pStyle w:val="NormalWeb"/>
              <w:jc w:val="center"/>
            </w:pPr>
            <w:r>
              <w:rPr>
                <w:b/>
                <w:bCs/>
              </w:rPr>
              <w:t>Disease suppression at moth stage due to treatment (</w:t>
            </w:r>
            <w:proofErr w:type="gramStart"/>
            <w:r>
              <w:rPr>
                <w:b/>
                <w:bCs/>
              </w:rPr>
              <w:t>% )</w:t>
            </w:r>
            <w:proofErr w:type="gramEnd"/>
          </w:p>
        </w:tc>
      </w:tr>
      <w:tr w:rsidR="00B512CD">
        <w:trPr>
          <w:trHeight w:val="272"/>
          <w:jc w:val="center"/>
        </w:trPr>
        <w:tc>
          <w:tcPr>
            <w:tcW w:w="1718" w:type="dxa"/>
            <w:vMerge/>
            <w:vAlign w:val="center"/>
          </w:tcPr>
          <w:p w:rsidR="00B512CD" w:rsidRDefault="00B512CD">
            <w:pPr>
              <w:pStyle w:val="NormalWeb"/>
              <w:jc w:val="center"/>
            </w:pPr>
          </w:p>
        </w:tc>
        <w:tc>
          <w:tcPr>
            <w:tcW w:w="2267" w:type="dxa"/>
            <w:vAlign w:val="center"/>
          </w:tcPr>
          <w:p w:rsidR="00B512CD" w:rsidRDefault="00521215">
            <w:pPr>
              <w:pStyle w:val="NormalWeb"/>
              <w:jc w:val="center"/>
            </w:pPr>
            <w:r>
              <w:t>0.25%</w:t>
            </w:r>
          </w:p>
        </w:tc>
        <w:tc>
          <w:tcPr>
            <w:tcW w:w="2280" w:type="dxa"/>
            <w:vAlign w:val="center"/>
          </w:tcPr>
          <w:p w:rsidR="00B512CD" w:rsidRDefault="00521215">
            <w:pPr>
              <w:pStyle w:val="NormalWeb"/>
              <w:jc w:val="center"/>
            </w:pPr>
            <w:r>
              <w:t>0.50%</w:t>
            </w:r>
          </w:p>
        </w:tc>
        <w:tc>
          <w:tcPr>
            <w:tcW w:w="2423" w:type="dxa"/>
            <w:vAlign w:val="center"/>
          </w:tcPr>
          <w:p w:rsidR="00B512CD" w:rsidRDefault="00521215">
            <w:pPr>
              <w:pStyle w:val="NormalWeb"/>
              <w:jc w:val="center"/>
            </w:pPr>
            <w:r>
              <w:t>1.00%</w:t>
            </w:r>
          </w:p>
        </w:tc>
        <w:tc>
          <w:tcPr>
            <w:tcW w:w="1568" w:type="dxa"/>
            <w:vMerge w:val="restart"/>
            <w:vAlign w:val="center"/>
          </w:tcPr>
          <w:p w:rsidR="00B512CD" w:rsidRDefault="00521215">
            <w:pPr>
              <w:pStyle w:val="NormalWeb"/>
              <w:jc w:val="center"/>
            </w:pPr>
            <w:r>
              <w:t>Control</w:t>
            </w:r>
          </w:p>
          <w:p w:rsidR="00B512CD" w:rsidRDefault="00B512CD">
            <w:pPr>
              <w:pStyle w:val="NormalWeb"/>
              <w:jc w:val="center"/>
            </w:pPr>
          </w:p>
          <w:p w:rsidR="00B512CD" w:rsidRDefault="00521215">
            <w:pPr>
              <w:pStyle w:val="NormalWeb"/>
              <w:jc w:val="center"/>
            </w:pPr>
            <w:r>
              <w:t>59.38 ± 4.78</w:t>
            </w:r>
          </w:p>
          <w:p w:rsidR="00B512CD" w:rsidRDefault="00B512CD">
            <w:pPr>
              <w:pStyle w:val="NormalWeb"/>
              <w:jc w:val="center"/>
            </w:pPr>
          </w:p>
          <w:p w:rsidR="00B512CD" w:rsidRDefault="00B512CD">
            <w:pPr>
              <w:pStyle w:val="NormalWeb"/>
              <w:jc w:val="center"/>
            </w:pPr>
          </w:p>
        </w:tc>
      </w:tr>
      <w:tr w:rsidR="00B512CD">
        <w:trPr>
          <w:trHeight w:val="381"/>
          <w:jc w:val="center"/>
        </w:trPr>
        <w:tc>
          <w:tcPr>
            <w:tcW w:w="1718" w:type="dxa"/>
            <w:vAlign w:val="center"/>
          </w:tcPr>
          <w:p w:rsidR="00B512CD" w:rsidRDefault="00521215">
            <w:pPr>
              <w:pStyle w:val="NormalWeb"/>
              <w:jc w:val="center"/>
            </w:pPr>
            <w:r>
              <w:rPr>
                <w:b/>
                <w:bCs/>
              </w:rPr>
              <w:t>Metronidazole</w:t>
            </w:r>
          </w:p>
        </w:tc>
        <w:tc>
          <w:tcPr>
            <w:tcW w:w="2267" w:type="dxa"/>
            <w:vAlign w:val="center"/>
          </w:tcPr>
          <w:p w:rsidR="00B512CD" w:rsidRDefault="00521215">
            <w:pPr>
              <w:pStyle w:val="NormalWeb"/>
              <w:jc w:val="center"/>
            </w:pPr>
            <w:r>
              <w:t>25.18 ± 2.88 (59.59)</w:t>
            </w:r>
          </w:p>
        </w:tc>
        <w:tc>
          <w:tcPr>
            <w:tcW w:w="2280" w:type="dxa"/>
            <w:vAlign w:val="center"/>
          </w:tcPr>
          <w:p w:rsidR="00B512CD" w:rsidRDefault="00521215">
            <w:pPr>
              <w:pStyle w:val="NormalWeb"/>
              <w:jc w:val="center"/>
            </w:pPr>
            <w:r>
              <w:t>24.56 ± 0.66 (58.63)</w:t>
            </w:r>
          </w:p>
        </w:tc>
        <w:tc>
          <w:tcPr>
            <w:tcW w:w="2423" w:type="dxa"/>
            <w:vAlign w:val="center"/>
          </w:tcPr>
          <w:p w:rsidR="00B512CD" w:rsidRDefault="00521215">
            <w:pPr>
              <w:pStyle w:val="NormalWeb"/>
              <w:jc w:val="center"/>
            </w:pPr>
            <w:r>
              <w:t>23.40 ±1.54 (60.59)</w:t>
            </w:r>
          </w:p>
        </w:tc>
        <w:tc>
          <w:tcPr>
            <w:tcW w:w="1568" w:type="dxa"/>
            <w:vMerge/>
            <w:vAlign w:val="center"/>
          </w:tcPr>
          <w:p w:rsidR="00B512CD" w:rsidRDefault="00B512CD">
            <w:pPr>
              <w:pStyle w:val="NormalWeb"/>
              <w:jc w:val="center"/>
            </w:pPr>
          </w:p>
        </w:tc>
      </w:tr>
      <w:tr w:rsidR="00B512CD">
        <w:trPr>
          <w:trHeight w:val="386"/>
          <w:jc w:val="center"/>
        </w:trPr>
        <w:tc>
          <w:tcPr>
            <w:tcW w:w="1718" w:type="dxa"/>
            <w:vAlign w:val="center"/>
          </w:tcPr>
          <w:p w:rsidR="00B512CD" w:rsidRDefault="00521215">
            <w:pPr>
              <w:pStyle w:val="NormalWeb"/>
              <w:jc w:val="center"/>
            </w:pPr>
            <w:r>
              <w:rPr>
                <w:b/>
                <w:bCs/>
              </w:rPr>
              <w:t>Albendazole</w:t>
            </w:r>
          </w:p>
        </w:tc>
        <w:tc>
          <w:tcPr>
            <w:tcW w:w="2267" w:type="dxa"/>
            <w:vAlign w:val="center"/>
          </w:tcPr>
          <w:p w:rsidR="00B512CD" w:rsidRDefault="00521215">
            <w:pPr>
              <w:pStyle w:val="NormalWeb"/>
              <w:jc w:val="center"/>
            </w:pPr>
            <w:r>
              <w:t>27.36 ± 1.06 (53.92)</w:t>
            </w:r>
          </w:p>
        </w:tc>
        <w:tc>
          <w:tcPr>
            <w:tcW w:w="2280" w:type="dxa"/>
            <w:vAlign w:val="center"/>
          </w:tcPr>
          <w:p w:rsidR="00B512CD" w:rsidRDefault="00521215">
            <w:pPr>
              <w:pStyle w:val="NormalWeb"/>
              <w:jc w:val="center"/>
            </w:pPr>
            <w:r>
              <w:t>22.76 ± 1.19 (61.67)</w:t>
            </w:r>
          </w:p>
        </w:tc>
        <w:tc>
          <w:tcPr>
            <w:tcW w:w="2423" w:type="dxa"/>
            <w:vAlign w:val="center"/>
          </w:tcPr>
          <w:p w:rsidR="00B512CD" w:rsidRDefault="00521215">
            <w:pPr>
              <w:pStyle w:val="NormalWeb"/>
              <w:jc w:val="center"/>
            </w:pPr>
            <w:r>
              <w:t>22.94 ± 0.51 (61.36)</w:t>
            </w:r>
          </w:p>
        </w:tc>
        <w:tc>
          <w:tcPr>
            <w:tcW w:w="1568" w:type="dxa"/>
            <w:vMerge/>
            <w:vAlign w:val="center"/>
          </w:tcPr>
          <w:p w:rsidR="00B512CD" w:rsidRDefault="00B512CD">
            <w:pPr>
              <w:pStyle w:val="NormalWeb"/>
              <w:jc w:val="center"/>
            </w:pPr>
          </w:p>
        </w:tc>
      </w:tr>
      <w:tr w:rsidR="00B512CD">
        <w:trPr>
          <w:trHeight w:val="378"/>
          <w:jc w:val="center"/>
        </w:trPr>
        <w:tc>
          <w:tcPr>
            <w:tcW w:w="1718" w:type="dxa"/>
            <w:vAlign w:val="center"/>
          </w:tcPr>
          <w:p w:rsidR="00B512CD" w:rsidRDefault="00521215">
            <w:pPr>
              <w:pStyle w:val="NormalWeb"/>
              <w:jc w:val="center"/>
            </w:pPr>
            <w:proofErr w:type="spellStart"/>
            <w:r>
              <w:rPr>
                <w:b/>
                <w:bCs/>
              </w:rPr>
              <w:t>Tinidizdazole</w:t>
            </w:r>
            <w:proofErr w:type="spellEnd"/>
          </w:p>
        </w:tc>
        <w:tc>
          <w:tcPr>
            <w:tcW w:w="2267" w:type="dxa"/>
            <w:vAlign w:val="center"/>
          </w:tcPr>
          <w:p w:rsidR="00B512CD" w:rsidRDefault="00521215">
            <w:pPr>
              <w:pStyle w:val="NormalWeb"/>
              <w:jc w:val="center"/>
            </w:pPr>
            <w:r>
              <w:t>25.56 ± 5.24 (56.95)</w:t>
            </w:r>
          </w:p>
        </w:tc>
        <w:tc>
          <w:tcPr>
            <w:tcW w:w="2280" w:type="dxa"/>
            <w:vAlign w:val="center"/>
          </w:tcPr>
          <w:p w:rsidR="00B512CD" w:rsidRDefault="00521215">
            <w:pPr>
              <w:pStyle w:val="NormalWeb"/>
              <w:jc w:val="center"/>
            </w:pPr>
            <w:r>
              <w:t>28.41 ± 1.98 (52.15)</w:t>
            </w:r>
          </w:p>
        </w:tc>
        <w:tc>
          <w:tcPr>
            <w:tcW w:w="2423" w:type="dxa"/>
            <w:vAlign w:val="center"/>
          </w:tcPr>
          <w:p w:rsidR="00B512CD" w:rsidRDefault="00521215">
            <w:pPr>
              <w:pStyle w:val="NormalWeb"/>
              <w:jc w:val="center"/>
            </w:pPr>
            <w:r>
              <w:t>27.44 ± 1.45 (53.78)</w:t>
            </w:r>
          </w:p>
        </w:tc>
        <w:tc>
          <w:tcPr>
            <w:tcW w:w="1568" w:type="dxa"/>
            <w:vMerge/>
            <w:vAlign w:val="center"/>
          </w:tcPr>
          <w:p w:rsidR="00B512CD" w:rsidRDefault="00B512CD">
            <w:pPr>
              <w:pStyle w:val="NormalWeb"/>
              <w:jc w:val="center"/>
            </w:pPr>
          </w:p>
        </w:tc>
      </w:tr>
      <w:tr w:rsidR="00B512CD">
        <w:trPr>
          <w:trHeight w:val="371"/>
          <w:jc w:val="center"/>
        </w:trPr>
        <w:tc>
          <w:tcPr>
            <w:tcW w:w="1718" w:type="dxa"/>
            <w:vAlign w:val="center"/>
          </w:tcPr>
          <w:p w:rsidR="00B512CD" w:rsidRDefault="00521215">
            <w:pPr>
              <w:pStyle w:val="NormalWeb"/>
              <w:jc w:val="center"/>
            </w:pPr>
            <w:proofErr w:type="spellStart"/>
            <w:r>
              <w:rPr>
                <w:b/>
                <w:bCs/>
              </w:rPr>
              <w:t>Ornidizole</w:t>
            </w:r>
            <w:proofErr w:type="spellEnd"/>
          </w:p>
        </w:tc>
        <w:tc>
          <w:tcPr>
            <w:tcW w:w="2267" w:type="dxa"/>
            <w:vAlign w:val="center"/>
          </w:tcPr>
          <w:p w:rsidR="00B512CD" w:rsidRDefault="00521215">
            <w:pPr>
              <w:pStyle w:val="NormalWeb"/>
              <w:jc w:val="center"/>
            </w:pPr>
            <w:r>
              <w:t>23.60 ± 3.55 (60.25)</w:t>
            </w:r>
          </w:p>
        </w:tc>
        <w:tc>
          <w:tcPr>
            <w:tcW w:w="2280" w:type="dxa"/>
            <w:vAlign w:val="center"/>
          </w:tcPr>
          <w:p w:rsidR="00B512CD" w:rsidRDefault="00521215">
            <w:pPr>
              <w:pStyle w:val="NormalWeb"/>
              <w:jc w:val="center"/>
            </w:pPr>
            <w:r>
              <w:t xml:space="preserve">30.04 ± 1.44 </w:t>
            </w:r>
            <w:proofErr w:type="gramStart"/>
            <w:r>
              <w:t>( 49.41</w:t>
            </w:r>
            <w:proofErr w:type="gramEnd"/>
            <w:r>
              <w:t>)</w:t>
            </w:r>
          </w:p>
        </w:tc>
        <w:tc>
          <w:tcPr>
            <w:tcW w:w="2423" w:type="dxa"/>
            <w:vAlign w:val="center"/>
          </w:tcPr>
          <w:p w:rsidR="00B512CD" w:rsidRDefault="00521215">
            <w:pPr>
              <w:pStyle w:val="NormalWeb"/>
              <w:jc w:val="center"/>
            </w:pPr>
            <w:r>
              <w:t>24.14 ± 1.81 (59.34)</w:t>
            </w:r>
          </w:p>
        </w:tc>
        <w:tc>
          <w:tcPr>
            <w:tcW w:w="1568" w:type="dxa"/>
            <w:vMerge/>
            <w:vAlign w:val="center"/>
          </w:tcPr>
          <w:p w:rsidR="00B512CD" w:rsidRDefault="00B512CD">
            <w:pPr>
              <w:pStyle w:val="NormalWeb"/>
              <w:jc w:val="center"/>
            </w:pPr>
          </w:p>
        </w:tc>
      </w:tr>
      <w:tr w:rsidR="00B512CD">
        <w:trPr>
          <w:trHeight w:val="389"/>
          <w:jc w:val="center"/>
        </w:trPr>
        <w:tc>
          <w:tcPr>
            <w:tcW w:w="1718" w:type="dxa"/>
            <w:vAlign w:val="center"/>
          </w:tcPr>
          <w:p w:rsidR="00B512CD" w:rsidRDefault="00521215">
            <w:pPr>
              <w:pStyle w:val="NormalWeb"/>
              <w:jc w:val="center"/>
            </w:pPr>
            <w:r>
              <w:rPr>
                <w:b/>
                <w:bCs/>
              </w:rPr>
              <w:t>Mebendazole</w:t>
            </w:r>
          </w:p>
        </w:tc>
        <w:tc>
          <w:tcPr>
            <w:tcW w:w="2267" w:type="dxa"/>
            <w:vAlign w:val="center"/>
          </w:tcPr>
          <w:p w:rsidR="00B512CD" w:rsidRDefault="00521215">
            <w:pPr>
              <w:pStyle w:val="NormalWeb"/>
              <w:jc w:val="center"/>
            </w:pPr>
            <w:r>
              <w:t xml:space="preserve">22.44 ± 1.02 </w:t>
            </w:r>
            <w:proofErr w:type="gramStart"/>
            <w:r>
              <w:t>( 62.20</w:t>
            </w:r>
            <w:proofErr w:type="gramEnd"/>
            <w:r>
              <w:t>)</w:t>
            </w:r>
          </w:p>
        </w:tc>
        <w:tc>
          <w:tcPr>
            <w:tcW w:w="2280" w:type="dxa"/>
            <w:vAlign w:val="center"/>
          </w:tcPr>
          <w:p w:rsidR="00B512CD" w:rsidRDefault="00521215">
            <w:pPr>
              <w:pStyle w:val="NormalWeb"/>
              <w:jc w:val="center"/>
            </w:pPr>
            <w:r>
              <w:t xml:space="preserve">22.51 ± 2.63 </w:t>
            </w:r>
            <w:proofErr w:type="gramStart"/>
            <w:r>
              <w:t>( 62</w:t>
            </w:r>
            <w:proofErr w:type="gramEnd"/>
            <w:r>
              <w:t>.09</w:t>
            </w:r>
          </w:p>
        </w:tc>
        <w:tc>
          <w:tcPr>
            <w:tcW w:w="2423" w:type="dxa"/>
            <w:vAlign w:val="center"/>
          </w:tcPr>
          <w:p w:rsidR="00B512CD" w:rsidRDefault="00521215">
            <w:pPr>
              <w:pStyle w:val="NormalWeb"/>
              <w:jc w:val="center"/>
            </w:pPr>
            <w:r>
              <w:t>23.79 ± 0.92 (59.93)</w:t>
            </w:r>
          </w:p>
        </w:tc>
        <w:tc>
          <w:tcPr>
            <w:tcW w:w="1568" w:type="dxa"/>
            <w:vMerge/>
            <w:vAlign w:val="center"/>
          </w:tcPr>
          <w:p w:rsidR="00B512CD" w:rsidRDefault="00B512CD">
            <w:pPr>
              <w:pStyle w:val="NormalWeb"/>
              <w:jc w:val="center"/>
            </w:pPr>
          </w:p>
        </w:tc>
      </w:tr>
      <w:tr w:rsidR="00B512CD">
        <w:trPr>
          <w:trHeight w:val="475"/>
          <w:jc w:val="center"/>
        </w:trPr>
        <w:tc>
          <w:tcPr>
            <w:tcW w:w="1718" w:type="dxa"/>
            <w:vAlign w:val="center"/>
          </w:tcPr>
          <w:p w:rsidR="00B512CD" w:rsidRDefault="00521215">
            <w:pPr>
              <w:pStyle w:val="NormalWeb"/>
              <w:jc w:val="center"/>
            </w:pPr>
            <w:proofErr w:type="spellStart"/>
            <w:r>
              <w:rPr>
                <w:b/>
                <w:bCs/>
              </w:rPr>
              <w:t>Satranidizole</w:t>
            </w:r>
            <w:proofErr w:type="spellEnd"/>
          </w:p>
        </w:tc>
        <w:tc>
          <w:tcPr>
            <w:tcW w:w="2267" w:type="dxa"/>
            <w:vAlign w:val="center"/>
          </w:tcPr>
          <w:p w:rsidR="00B512CD" w:rsidRDefault="00521215">
            <w:pPr>
              <w:pStyle w:val="NormalWeb"/>
              <w:jc w:val="center"/>
            </w:pPr>
            <w:r>
              <w:t xml:space="preserve">24.58 ± 2.52 </w:t>
            </w:r>
            <w:proofErr w:type="gramStart"/>
            <w:r>
              <w:t>( 58.60</w:t>
            </w:r>
            <w:proofErr w:type="gramEnd"/>
            <w:r>
              <w:t>)</w:t>
            </w:r>
          </w:p>
        </w:tc>
        <w:tc>
          <w:tcPr>
            <w:tcW w:w="2280" w:type="dxa"/>
            <w:vAlign w:val="center"/>
          </w:tcPr>
          <w:p w:rsidR="00B512CD" w:rsidRDefault="00521215">
            <w:pPr>
              <w:pStyle w:val="NormalWeb"/>
              <w:jc w:val="center"/>
            </w:pPr>
            <w:r>
              <w:t xml:space="preserve">24.05 ± 2.86 </w:t>
            </w:r>
            <w:proofErr w:type="gramStart"/>
            <w:r>
              <w:t>( 59.49</w:t>
            </w:r>
            <w:proofErr w:type="gramEnd"/>
            <w:r>
              <w:t>)</w:t>
            </w:r>
          </w:p>
        </w:tc>
        <w:tc>
          <w:tcPr>
            <w:tcW w:w="2423" w:type="dxa"/>
            <w:vAlign w:val="center"/>
          </w:tcPr>
          <w:p w:rsidR="00B512CD" w:rsidRDefault="00521215">
            <w:pPr>
              <w:pStyle w:val="NormalWeb"/>
              <w:jc w:val="center"/>
            </w:pPr>
            <w:r>
              <w:t>27.05 ± 1.61 (54.44)</w:t>
            </w:r>
          </w:p>
        </w:tc>
        <w:tc>
          <w:tcPr>
            <w:tcW w:w="1568" w:type="dxa"/>
            <w:vMerge/>
            <w:vAlign w:val="center"/>
          </w:tcPr>
          <w:p w:rsidR="00B512CD" w:rsidRDefault="00B512CD">
            <w:pPr>
              <w:pStyle w:val="NormalWeb"/>
              <w:jc w:val="center"/>
            </w:pPr>
          </w:p>
        </w:tc>
      </w:tr>
    </w:tbl>
    <w:p w:rsidR="00B512CD" w:rsidRDefault="00521215">
      <w:pPr>
        <w:pStyle w:val="NormalWeb"/>
      </w:pPr>
      <w:r>
        <w:t>Each value is mean ±SD of three replications; values within parenthesis indicate % reduction in mortality. Breed-</w:t>
      </w:r>
      <w:proofErr w:type="spellStart"/>
      <w:r>
        <w:t>Lamerin</w:t>
      </w:r>
      <w:proofErr w:type="spellEnd"/>
      <w:r>
        <w:t xml:space="preserve"> breed.</w:t>
      </w:r>
    </w:p>
    <w:p w:rsidR="00B512CD" w:rsidRDefault="00521215">
      <w:pPr>
        <w:pStyle w:val="NormalWeb"/>
        <w:rPr>
          <w:b/>
          <w:bCs/>
          <w:lang w:val="en-US"/>
        </w:rPr>
      </w:pPr>
      <w:r>
        <w:rPr>
          <w:b/>
          <w:bCs/>
          <w:lang w:val="en-US"/>
        </w:rPr>
        <w:t>CONCLUSION</w:t>
      </w:r>
    </w:p>
    <w:p w:rsidR="00B512CD" w:rsidRDefault="00521215">
      <w:pPr>
        <w:jc w:val="both"/>
        <w:rPr>
          <w:rFonts w:ascii="Times New Roman" w:hAnsi="Times New Roman" w:cs="Times New Roman"/>
          <w:sz w:val="24"/>
          <w:szCs w:val="24"/>
        </w:rPr>
      </w:pPr>
      <w:r>
        <w:rPr>
          <w:rFonts w:ascii="Times New Roman" w:hAnsi="Times New Roman" w:cs="Times New Roman"/>
          <w:i/>
          <w:iCs/>
          <w:sz w:val="24"/>
          <w:szCs w:val="24"/>
          <w:lang w:val="en-US"/>
        </w:rPr>
        <w:t xml:space="preserve">N. </w:t>
      </w:r>
      <w:proofErr w:type="spellStart"/>
      <w:r>
        <w:rPr>
          <w:rFonts w:ascii="Times New Roman" w:hAnsi="Times New Roman" w:cs="Times New Roman"/>
          <w:i/>
          <w:iCs/>
          <w:sz w:val="24"/>
          <w:szCs w:val="24"/>
          <w:lang w:val="en-US"/>
        </w:rPr>
        <w:t>bombycis</w:t>
      </w:r>
      <w:proofErr w:type="spellEnd"/>
      <w:r>
        <w:rPr>
          <w:rFonts w:ascii="Times New Roman" w:hAnsi="Times New Roman" w:cs="Times New Roman"/>
          <w:sz w:val="24"/>
          <w:szCs w:val="24"/>
          <w:lang w:val="en-US"/>
        </w:rPr>
        <w:t> infection causing </w:t>
      </w:r>
      <w:proofErr w:type="spellStart"/>
      <w:r>
        <w:rPr>
          <w:rFonts w:ascii="Times New Roman" w:hAnsi="Times New Roman" w:cs="Times New Roman"/>
          <w:sz w:val="24"/>
          <w:szCs w:val="24"/>
          <w:lang w:val="en-US"/>
        </w:rPr>
        <w:t>pebrine</w:t>
      </w:r>
      <w:proofErr w:type="spellEnd"/>
      <w:r>
        <w:rPr>
          <w:rFonts w:ascii="Times New Roman" w:hAnsi="Times New Roman" w:cs="Times New Roman"/>
          <w:sz w:val="24"/>
          <w:szCs w:val="24"/>
          <w:lang w:val="en-US"/>
        </w:rPr>
        <w:t xml:space="preserve"> in silkworm is transmitted </w:t>
      </w:r>
      <w:r>
        <w:rPr>
          <w:rFonts w:ascii="Times New Roman" w:hAnsi="Times New Roman" w:cs="Times New Roman"/>
          <w:sz w:val="24"/>
          <w:szCs w:val="24"/>
        </w:rPr>
        <w:t>both horizontally and vertically</w:t>
      </w:r>
      <w:r>
        <w:rPr>
          <w:rFonts w:ascii="Times New Roman" w:hAnsi="Times New Roman" w:cs="Times New Roman"/>
          <w:sz w:val="24"/>
          <w:szCs w:val="24"/>
          <w:lang w:val="en-US"/>
        </w:rPr>
        <w:t>, any lapse in monitoring the progeny could result in serious damage to the sericulture industry</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The literature reveals that, </w:t>
      </w:r>
      <w:proofErr w:type="spellStart"/>
      <w:r>
        <w:rPr>
          <w:rFonts w:ascii="Times New Roman" w:hAnsi="Times New Roman" w:cs="Times New Roman"/>
          <w:sz w:val="24"/>
          <w:szCs w:val="24"/>
          <w:lang w:val="en-US"/>
        </w:rPr>
        <w:t>pebrine</w:t>
      </w:r>
      <w:proofErr w:type="spellEnd"/>
      <w:r>
        <w:rPr>
          <w:rFonts w:ascii="Times New Roman" w:hAnsi="Times New Roman" w:cs="Times New Roman"/>
          <w:sz w:val="24"/>
          <w:szCs w:val="24"/>
          <w:lang w:val="en-US"/>
        </w:rPr>
        <w:t xml:space="preserve"> disease is manageable but very difficult to eradicate. The disease has become more complex now because of the perpetual incidence of </w:t>
      </w:r>
      <w:r>
        <w:rPr>
          <w:rFonts w:ascii="Times New Roman" w:hAnsi="Times New Roman" w:cs="Times New Roman"/>
          <w:sz w:val="24"/>
          <w:szCs w:val="24"/>
          <w:lang w:val="en-US"/>
        </w:rPr>
        <w:lastRenderedPageBreak/>
        <w:t xml:space="preserve">different strains of microsporidian infection in silkworm. </w:t>
      </w:r>
      <w:r>
        <w:rPr>
          <w:rStyle w:val="relative"/>
          <w:rFonts w:ascii="Times New Roman" w:hAnsi="Times New Roman" w:cs="Times New Roman"/>
          <w:sz w:val="24"/>
          <w:szCs w:val="24"/>
        </w:rPr>
        <w:t xml:space="preserve">Effective management of </w:t>
      </w:r>
      <w:proofErr w:type="spellStart"/>
      <w:r>
        <w:rPr>
          <w:rStyle w:val="relative"/>
          <w:rFonts w:ascii="Times New Roman" w:hAnsi="Times New Roman" w:cs="Times New Roman"/>
          <w:sz w:val="24"/>
          <w:szCs w:val="24"/>
        </w:rPr>
        <w:t>pebrine</w:t>
      </w:r>
      <w:proofErr w:type="spellEnd"/>
      <w:r>
        <w:rPr>
          <w:rStyle w:val="relative"/>
          <w:rFonts w:ascii="Times New Roman" w:hAnsi="Times New Roman" w:cs="Times New Roman"/>
          <w:sz w:val="24"/>
          <w:szCs w:val="24"/>
        </w:rPr>
        <w:t xml:space="preserve"> in </w:t>
      </w:r>
      <w:r>
        <w:rPr>
          <w:rStyle w:val="Emphasis"/>
          <w:rFonts w:ascii="Times New Roman" w:hAnsi="Times New Roman" w:cs="Times New Roman"/>
          <w:sz w:val="24"/>
          <w:szCs w:val="24"/>
        </w:rPr>
        <w:t>Bombyx mori</w:t>
      </w:r>
      <w:r>
        <w:rPr>
          <w:rStyle w:val="relative"/>
          <w:rFonts w:ascii="Times New Roman" w:hAnsi="Times New Roman" w:cs="Times New Roman"/>
          <w:sz w:val="24"/>
          <w:szCs w:val="24"/>
        </w:rPr>
        <w:t xml:space="preserve"> depends on a layered approach combining early detection (predictive, pupal, forced</w:t>
      </w:r>
      <w:r>
        <w:rPr>
          <w:rStyle w:val="relative"/>
          <w:rFonts w:ascii="Times New Roman" w:hAnsi="Times New Roman" w:cs="Times New Roman"/>
          <w:sz w:val="24"/>
          <w:szCs w:val="24"/>
        </w:rPr>
        <w:noBreakHyphen/>
      </w:r>
      <w:proofErr w:type="spellStart"/>
      <w:r>
        <w:rPr>
          <w:rStyle w:val="relative"/>
          <w:rFonts w:ascii="Times New Roman" w:hAnsi="Times New Roman" w:cs="Times New Roman"/>
          <w:sz w:val="24"/>
          <w:szCs w:val="24"/>
        </w:rPr>
        <w:t>eclosion</w:t>
      </w:r>
      <w:proofErr w:type="spellEnd"/>
      <w:r>
        <w:rPr>
          <w:rStyle w:val="relative"/>
          <w:rFonts w:ascii="Times New Roman" w:hAnsi="Times New Roman" w:cs="Times New Roman"/>
          <w:sz w:val="24"/>
          <w:szCs w:val="24"/>
        </w:rPr>
        <w:t xml:space="preserve"> and mother</w:t>
      </w:r>
      <w:r>
        <w:rPr>
          <w:rStyle w:val="relative"/>
          <w:rFonts w:ascii="Times New Roman" w:hAnsi="Times New Roman" w:cs="Times New Roman"/>
          <w:sz w:val="24"/>
          <w:szCs w:val="24"/>
        </w:rPr>
        <w:noBreakHyphen/>
        <w:t xml:space="preserve">moth microscopy or immunological screening), rigorous hygiene (egg surface sterilization, disinfection of </w:t>
      </w:r>
      <w:proofErr w:type="spellStart"/>
      <w:r>
        <w:rPr>
          <w:rStyle w:val="relative"/>
          <w:rFonts w:ascii="Times New Roman" w:hAnsi="Times New Roman" w:cs="Times New Roman"/>
          <w:sz w:val="24"/>
          <w:szCs w:val="24"/>
        </w:rPr>
        <w:t>layings</w:t>
      </w:r>
      <w:proofErr w:type="spellEnd"/>
      <w:r>
        <w:rPr>
          <w:rStyle w:val="relative"/>
          <w:rFonts w:ascii="Times New Roman" w:hAnsi="Times New Roman" w:cs="Times New Roman"/>
          <w:sz w:val="24"/>
          <w:szCs w:val="24"/>
        </w:rPr>
        <w:t xml:space="preserve">, rearing trays, </w:t>
      </w:r>
      <w:proofErr w:type="spellStart"/>
      <w:r>
        <w:rPr>
          <w:rStyle w:val="relative"/>
          <w:rFonts w:ascii="Times New Roman" w:hAnsi="Times New Roman" w:cs="Times New Roman"/>
          <w:sz w:val="24"/>
          <w:szCs w:val="24"/>
        </w:rPr>
        <w:t>grainage</w:t>
      </w:r>
      <w:proofErr w:type="spellEnd"/>
      <w:r>
        <w:rPr>
          <w:rStyle w:val="relative"/>
          <w:rFonts w:ascii="Times New Roman" w:hAnsi="Times New Roman" w:cs="Times New Roman"/>
          <w:sz w:val="24"/>
          <w:szCs w:val="24"/>
        </w:rPr>
        <w:t xml:space="preserve"> houses) and selective intervention. </w:t>
      </w:r>
      <w:r>
        <w:rPr>
          <w:rStyle w:val="Emphasis"/>
          <w:rFonts w:ascii="Times New Roman" w:hAnsi="Times New Roman" w:cs="Times New Roman"/>
          <w:sz w:val="24"/>
          <w:szCs w:val="24"/>
        </w:rPr>
        <w:t xml:space="preserve">Lactobacillus </w:t>
      </w:r>
      <w:proofErr w:type="spellStart"/>
      <w:r>
        <w:rPr>
          <w:rStyle w:val="Emphasis"/>
          <w:rFonts w:ascii="Times New Roman" w:hAnsi="Times New Roman" w:cs="Times New Roman"/>
          <w:sz w:val="24"/>
          <w:szCs w:val="24"/>
        </w:rPr>
        <w:t>casei</w:t>
      </w:r>
      <w:proofErr w:type="spellEnd"/>
      <w:r>
        <w:rPr>
          <w:rStyle w:val="relative"/>
          <w:rFonts w:ascii="Times New Roman" w:hAnsi="Times New Roman" w:cs="Times New Roman"/>
          <w:sz w:val="24"/>
          <w:szCs w:val="24"/>
        </w:rPr>
        <w:t xml:space="preserve"> supplementation, administered at 10⁸ CFU/mL during early instars, significantly enhances larval survival (91 % vs. 68 % in infected controls) and improves growth and cocoon metrics, likely through midgut pH modulation, competitive adhesion or immune stimulation</w:t>
      </w:r>
      <w:r>
        <w:rPr>
          <w:rFonts w:ascii="Times New Roman" w:hAnsi="Times New Roman" w:cs="Times New Roman"/>
          <w:sz w:val="24"/>
          <w:szCs w:val="24"/>
        </w:rPr>
        <w:t xml:space="preserve">. Meanwhile, chemical strategies such as bed disinfectants (e.g. </w:t>
      </w:r>
      <w:proofErr w:type="spellStart"/>
      <w:r>
        <w:rPr>
          <w:rFonts w:ascii="Times New Roman" w:hAnsi="Times New Roman" w:cs="Times New Roman"/>
          <w:sz w:val="24"/>
          <w:szCs w:val="24"/>
        </w:rPr>
        <w:t>Vijetha</w:t>
      </w:r>
      <w:proofErr w:type="spellEnd"/>
      <w:r>
        <w:rPr>
          <w:rFonts w:ascii="Times New Roman" w:hAnsi="Times New Roman" w:cs="Times New Roman"/>
          <w:sz w:val="24"/>
          <w:szCs w:val="24"/>
        </w:rPr>
        <w:t xml:space="preserve">), carbendazim formulations and benzimidazole derivatives offer variable efficacy but carry timing constraints and potential toxicological or residue risks. Taken together, these findings underscore that </w:t>
      </w:r>
      <w:r>
        <w:rPr>
          <w:rStyle w:val="Strong"/>
          <w:rFonts w:ascii="Times New Roman" w:hAnsi="Times New Roman" w:cs="Times New Roman"/>
          <w:b w:val="0"/>
          <w:bCs w:val="0"/>
          <w:sz w:val="24"/>
          <w:szCs w:val="24"/>
        </w:rPr>
        <w:t xml:space="preserve">integrated </w:t>
      </w:r>
      <w:proofErr w:type="spellStart"/>
      <w:r>
        <w:rPr>
          <w:rStyle w:val="Strong"/>
          <w:rFonts w:ascii="Times New Roman" w:hAnsi="Times New Roman" w:cs="Times New Roman"/>
          <w:b w:val="0"/>
          <w:bCs w:val="0"/>
          <w:sz w:val="24"/>
          <w:szCs w:val="24"/>
        </w:rPr>
        <w:t>pebrine</w:t>
      </w:r>
      <w:proofErr w:type="spellEnd"/>
      <w:r>
        <w:rPr>
          <w:rStyle w:val="Strong"/>
          <w:rFonts w:ascii="Times New Roman" w:hAnsi="Times New Roman" w:cs="Times New Roman"/>
          <w:b w:val="0"/>
          <w:bCs w:val="0"/>
          <w:sz w:val="24"/>
          <w:szCs w:val="24"/>
        </w:rPr>
        <w:t xml:space="preserve"> control, anchored in vigilant pathogen monitoring, probiotic protection and judicious chemical use offers the most sustainable path to disease prevention and improved </w:t>
      </w:r>
      <w:proofErr w:type="spellStart"/>
      <w:r>
        <w:rPr>
          <w:rStyle w:val="Strong"/>
          <w:rFonts w:ascii="Times New Roman" w:hAnsi="Times New Roman" w:cs="Times New Roman"/>
          <w:b w:val="0"/>
          <w:bCs w:val="0"/>
          <w:sz w:val="24"/>
          <w:szCs w:val="24"/>
        </w:rPr>
        <w:t>sericultural</w:t>
      </w:r>
      <w:proofErr w:type="spellEnd"/>
      <w:r>
        <w:rPr>
          <w:rStyle w:val="Strong"/>
          <w:rFonts w:ascii="Times New Roman" w:hAnsi="Times New Roman" w:cs="Times New Roman"/>
          <w:b w:val="0"/>
          <w:bCs w:val="0"/>
          <w:sz w:val="24"/>
          <w:szCs w:val="24"/>
        </w:rPr>
        <w:t xml:space="preserve"> outcomes</w:t>
      </w:r>
      <w:r>
        <w:rPr>
          <w:rFonts w:ascii="Times New Roman" w:hAnsi="Times New Roman" w:cs="Times New Roman"/>
          <w:b/>
          <w:bCs/>
          <w:sz w:val="24"/>
          <w:szCs w:val="24"/>
        </w:rPr>
        <w:t>.</w:t>
      </w:r>
    </w:p>
    <w:p w:rsidR="00B512CD" w:rsidRDefault="00521215">
      <w:pPr>
        <w:spacing w:after="200" w:line="276" w:lineRule="auto"/>
        <w:rPr>
          <w:rFonts w:ascii="Times New Roman" w:eastAsia="Calibri" w:hAnsi="Times New Roman" w:cs="Times New Roman"/>
          <w:b/>
          <w:bCs/>
          <w:kern w:val="2"/>
          <w:sz w:val="24"/>
          <w:szCs w:val="24"/>
          <w:lang w:val="en-US"/>
          <w14:ligatures w14:val="standardContextual"/>
        </w:rPr>
      </w:pPr>
      <w:r>
        <w:rPr>
          <w:rFonts w:ascii="Times New Roman" w:eastAsia="Calibri" w:hAnsi="Times New Roman" w:cs="Times New Roman"/>
          <w:b/>
          <w:bCs/>
          <w:kern w:val="2"/>
          <w:sz w:val="24"/>
          <w:szCs w:val="24"/>
          <w:lang w:val="en-US"/>
          <w14:ligatures w14:val="standardContextual"/>
        </w:rPr>
        <w:t>Disclaimer (Artificial intelligence)</w:t>
      </w:r>
    </w:p>
    <w:p w:rsidR="00B512CD" w:rsidRDefault="00521215">
      <w:pPr>
        <w:spacing w:after="200" w:line="276" w:lineRule="auto"/>
        <w:rPr>
          <w:rFonts w:ascii="Times New Roman" w:hAnsi="Times New Roman" w:cs="Times New Roman"/>
          <w:b/>
          <w:bCs/>
          <w:sz w:val="24"/>
          <w:szCs w:val="24"/>
        </w:rPr>
      </w:pPr>
      <w:r>
        <w:rPr>
          <w:rFonts w:ascii="Times New Roman" w:eastAsia="Calibri" w:hAnsi="Times New Roman" w:cs="Times New Roman"/>
          <w:kern w:val="2"/>
          <w:sz w:val="24"/>
          <w:szCs w:val="24"/>
          <w:lang w:val="en-US"/>
          <w14:ligatures w14:val="standardContextual"/>
        </w:rPr>
        <w:t>Author(s) hereby declare that NO generative AI technologies such as Large Language Models (</w:t>
      </w:r>
      <w:proofErr w:type="spellStart"/>
      <w:r>
        <w:rPr>
          <w:rFonts w:ascii="Times New Roman" w:eastAsia="Calibri" w:hAnsi="Times New Roman" w:cs="Times New Roman"/>
          <w:kern w:val="2"/>
          <w:sz w:val="24"/>
          <w:szCs w:val="24"/>
          <w:lang w:val="en-US"/>
          <w14:ligatures w14:val="standardContextual"/>
        </w:rPr>
        <w:t>ChatGPT</w:t>
      </w:r>
      <w:proofErr w:type="spellEnd"/>
      <w:r>
        <w:rPr>
          <w:rFonts w:ascii="Times New Roman" w:eastAsia="Calibri" w:hAnsi="Times New Roman" w:cs="Times New Roman"/>
          <w:kern w:val="2"/>
          <w:sz w:val="24"/>
          <w:szCs w:val="24"/>
          <w:lang w:val="en-US"/>
          <w14:ligatures w14:val="standardContextual"/>
        </w:rPr>
        <w:t xml:space="preserve">, COPILOT, etc.) and text-to-image generators have been used during the writing or editing of this manuscript. </w:t>
      </w:r>
    </w:p>
    <w:p w:rsidR="00B512CD" w:rsidRDefault="00521215">
      <w:pPr>
        <w:spacing w:after="0"/>
        <w:jc w:val="both"/>
        <w:rPr>
          <w:rFonts w:ascii="Times New Roman" w:hAnsi="Times New Roman" w:cs="Times New Roman"/>
          <w:b/>
          <w:bCs/>
          <w:sz w:val="24"/>
          <w:szCs w:val="24"/>
        </w:rPr>
      </w:pPr>
      <w:r>
        <w:rPr>
          <w:rFonts w:ascii="Times New Roman" w:hAnsi="Times New Roman" w:cs="Times New Roman"/>
          <w:b/>
          <w:bCs/>
          <w:sz w:val="24"/>
          <w:szCs w:val="24"/>
        </w:rPr>
        <w:t>References</w:t>
      </w:r>
    </w:p>
    <w:p w:rsidR="00B512CD" w:rsidRDefault="00521215">
      <w:pPr>
        <w:numPr>
          <w:ilvl w:val="0"/>
          <w:numId w:val="10"/>
        </w:numPr>
        <w:spacing w:after="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Baigh</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Ananthalakshmi</w:t>
      </w:r>
      <w:proofErr w:type="spellEnd"/>
      <w:r>
        <w:rPr>
          <w:rFonts w:ascii="Times New Roman" w:hAnsi="Times New Roman" w:cs="Times New Roman"/>
          <w:sz w:val="24"/>
          <w:szCs w:val="24"/>
        </w:rPr>
        <w:t xml:space="preserve">, K. V., </w:t>
      </w:r>
      <w:proofErr w:type="spellStart"/>
      <w:r>
        <w:rPr>
          <w:rFonts w:ascii="Times New Roman" w:hAnsi="Times New Roman" w:cs="Times New Roman"/>
          <w:sz w:val="24"/>
          <w:szCs w:val="24"/>
        </w:rPr>
        <w:t>Sasidharan</w:t>
      </w:r>
      <w:proofErr w:type="spellEnd"/>
      <w:r>
        <w:rPr>
          <w:rFonts w:ascii="Times New Roman" w:hAnsi="Times New Roman" w:cs="Times New Roman"/>
          <w:sz w:val="24"/>
          <w:szCs w:val="24"/>
        </w:rPr>
        <w:t xml:space="preserve">, T. O., &amp; Fujiwara, T. (1997). Manual on </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Microsporidian Disease and its Control., 1-28.</w:t>
      </w:r>
    </w:p>
    <w:p w:rsidR="00B512CD" w:rsidRDefault="00B512CD">
      <w:pPr>
        <w:tabs>
          <w:tab w:val="left" w:pos="425"/>
        </w:tabs>
        <w:spacing w:after="0" w:line="276" w:lineRule="auto"/>
        <w:ind w:left="425"/>
        <w:jc w:val="both"/>
        <w:rPr>
          <w:rFonts w:ascii="Times New Roman" w:hAnsi="Times New Roman" w:cs="Times New Roman"/>
          <w:sz w:val="24"/>
          <w:szCs w:val="24"/>
        </w:rPr>
      </w:pPr>
    </w:p>
    <w:p w:rsidR="00B512CD" w:rsidRDefault="00521215">
      <w:pPr>
        <w:numPr>
          <w:ilvl w:val="0"/>
          <w:numId w:val="1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Bhat, S. A., &amp; </w:t>
      </w:r>
      <w:proofErr w:type="spellStart"/>
      <w:r>
        <w:rPr>
          <w:rFonts w:ascii="Times New Roman" w:hAnsi="Times New Roman" w:cs="Times New Roman"/>
          <w:sz w:val="24"/>
          <w:szCs w:val="24"/>
        </w:rPr>
        <w:t>Nataraju</w:t>
      </w:r>
      <w:proofErr w:type="spellEnd"/>
      <w:r>
        <w:rPr>
          <w:rFonts w:ascii="Times New Roman" w:hAnsi="Times New Roman" w:cs="Times New Roman"/>
          <w:sz w:val="24"/>
          <w:szCs w:val="24"/>
        </w:rPr>
        <w:t xml:space="preserve">, B. (2006). Studies on the pathogenicity of a microsporidian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isolate (</w:t>
      </w:r>
      <w:proofErr w:type="spellStart"/>
      <w:r>
        <w:rPr>
          <w:rFonts w:ascii="Times New Roman" w:hAnsi="Times New Roman" w:cs="Times New Roman"/>
          <w:sz w:val="24"/>
          <w:szCs w:val="24"/>
        </w:rPr>
        <w:t>Lbms</w:t>
      </w:r>
      <w:proofErr w:type="spellEnd"/>
      <w:r>
        <w:rPr>
          <w:rFonts w:ascii="Times New Roman" w:hAnsi="Times New Roman" w:cs="Times New Roman"/>
          <w:sz w:val="24"/>
          <w:szCs w:val="24"/>
        </w:rPr>
        <w:t xml:space="preserve">) to the silkworm </w:t>
      </w:r>
      <w:r>
        <w:rPr>
          <w:rFonts w:ascii="Times New Roman" w:hAnsi="Times New Roman" w:cs="Times New Roman"/>
          <w:i/>
          <w:iCs/>
          <w:sz w:val="24"/>
          <w:szCs w:val="24"/>
        </w:rPr>
        <w:t>Bombyx mori</w:t>
      </w:r>
      <w:r>
        <w:rPr>
          <w:rFonts w:ascii="Times New Roman" w:hAnsi="Times New Roman" w:cs="Times New Roman"/>
          <w:sz w:val="24"/>
          <w:szCs w:val="24"/>
        </w:rPr>
        <w:t xml:space="preserve"> L. “New strategies in research </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and development of sericulture-</w:t>
      </w:r>
      <w:proofErr w:type="spellStart"/>
      <w:r>
        <w:rPr>
          <w:rFonts w:ascii="Times New Roman" w:hAnsi="Times New Roman" w:cs="Times New Roman"/>
          <w:sz w:val="24"/>
          <w:szCs w:val="24"/>
        </w:rPr>
        <w:t>indian</w:t>
      </w:r>
      <w:proofErr w:type="spellEnd"/>
      <w:r>
        <w:rPr>
          <w:rFonts w:ascii="Times New Roman" w:hAnsi="Times New Roman" w:cs="Times New Roman"/>
          <w:sz w:val="24"/>
          <w:szCs w:val="24"/>
        </w:rPr>
        <w:t xml:space="preserve"> perspective. 60.</w:t>
      </w:r>
    </w:p>
    <w:p w:rsidR="00B512CD" w:rsidRDefault="00B512CD">
      <w:pPr>
        <w:tabs>
          <w:tab w:val="left" w:pos="425"/>
        </w:tabs>
        <w:spacing w:after="0" w:line="276" w:lineRule="auto"/>
        <w:jc w:val="both"/>
        <w:rPr>
          <w:rFonts w:ascii="Times New Roman" w:hAnsi="Times New Roman" w:cs="Times New Roman"/>
          <w:sz w:val="24"/>
          <w:szCs w:val="24"/>
        </w:rPr>
      </w:pPr>
    </w:p>
    <w:p w:rsidR="00B512CD" w:rsidRDefault="00521215">
      <w:pPr>
        <w:pStyle w:val="NormalWeb"/>
        <w:numPr>
          <w:ilvl w:val="0"/>
          <w:numId w:val="10"/>
        </w:numPr>
        <w:spacing w:after="0" w:afterAutospacing="0" w:line="276" w:lineRule="auto"/>
        <w:jc w:val="both"/>
        <w:rPr>
          <w:color w:val="000000" w:themeColor="text1"/>
        </w:rPr>
      </w:pPr>
      <w:r>
        <w:rPr>
          <w:color w:val="000000" w:themeColor="text1"/>
        </w:rPr>
        <w:t xml:space="preserve">Bhat, S. A., </w:t>
      </w:r>
      <w:proofErr w:type="spellStart"/>
      <w:r>
        <w:rPr>
          <w:color w:val="000000" w:themeColor="text1"/>
        </w:rPr>
        <w:t>Nataraju</w:t>
      </w:r>
      <w:proofErr w:type="spellEnd"/>
      <w:r>
        <w:rPr>
          <w:color w:val="000000" w:themeColor="text1"/>
        </w:rPr>
        <w:t xml:space="preserve">, B., &amp; Bashir, I. (2012). Efficacy of different benzimidazole </w:t>
      </w:r>
      <w:r>
        <w:rPr>
          <w:color w:val="000000" w:themeColor="text1"/>
          <w:lang w:val="en-US"/>
        </w:rPr>
        <w:t xml:space="preserve">   </w:t>
      </w:r>
      <w:r>
        <w:rPr>
          <w:color w:val="000000" w:themeColor="text1"/>
          <w:lang w:val="en-US"/>
        </w:rPr>
        <w:tab/>
        <w:t xml:space="preserve">   </w:t>
      </w:r>
      <w:r>
        <w:rPr>
          <w:color w:val="000000" w:themeColor="text1"/>
          <w:lang w:val="en-US"/>
        </w:rPr>
        <w:tab/>
      </w:r>
      <w:r>
        <w:rPr>
          <w:color w:val="000000" w:themeColor="text1"/>
          <w:lang w:val="en-US"/>
        </w:rPr>
        <w:tab/>
      </w:r>
      <w:r>
        <w:rPr>
          <w:color w:val="000000" w:themeColor="text1"/>
        </w:rPr>
        <w:t xml:space="preserve">derivatives on </w:t>
      </w:r>
      <w:proofErr w:type="spellStart"/>
      <w:r>
        <w:rPr>
          <w:color w:val="000000" w:themeColor="text1"/>
        </w:rPr>
        <w:t>microsporidiosis</w:t>
      </w:r>
      <w:proofErr w:type="spellEnd"/>
      <w:r>
        <w:rPr>
          <w:color w:val="000000" w:themeColor="text1"/>
        </w:rPr>
        <w:t xml:space="preserve"> of </w:t>
      </w:r>
      <w:proofErr w:type="spellStart"/>
      <w:r>
        <w:rPr>
          <w:color w:val="000000" w:themeColor="text1"/>
        </w:rPr>
        <w:t>lamerin</w:t>
      </w:r>
      <w:proofErr w:type="spellEnd"/>
      <w:r>
        <w:rPr>
          <w:color w:val="000000" w:themeColor="text1"/>
        </w:rPr>
        <w:t xml:space="preserve"> breed of the silkworm, </w:t>
      </w:r>
      <w:r>
        <w:rPr>
          <w:i/>
          <w:color w:val="000000" w:themeColor="text1"/>
        </w:rPr>
        <w:t xml:space="preserve">Bombyx </w:t>
      </w:r>
      <w:r>
        <w:rPr>
          <w:i/>
          <w:color w:val="000000" w:themeColor="text1"/>
          <w:lang w:val="en-US"/>
        </w:rPr>
        <w:tab/>
      </w:r>
      <w:r>
        <w:rPr>
          <w:i/>
          <w:color w:val="000000" w:themeColor="text1"/>
          <w:lang w:val="en-US"/>
        </w:rPr>
        <w:tab/>
      </w:r>
      <w:r>
        <w:rPr>
          <w:i/>
          <w:color w:val="000000" w:themeColor="text1"/>
          <w:lang w:val="en-US"/>
        </w:rPr>
        <w:tab/>
      </w:r>
      <w:r>
        <w:rPr>
          <w:i/>
          <w:color w:val="000000" w:themeColor="text1"/>
        </w:rPr>
        <w:t>mori</w:t>
      </w:r>
      <w:r>
        <w:rPr>
          <w:color w:val="000000" w:themeColor="text1"/>
        </w:rPr>
        <w:t xml:space="preserve"> L. </w:t>
      </w:r>
      <w:r>
        <w:rPr>
          <w:rStyle w:val="Emphasis"/>
          <w:color w:val="000000" w:themeColor="text1"/>
          <w:shd w:val="clear" w:color="auto" w:fill="FFFFFF"/>
        </w:rPr>
        <w:t xml:space="preserve">J. </w:t>
      </w:r>
      <w:proofErr w:type="spellStart"/>
      <w:r>
        <w:rPr>
          <w:rStyle w:val="Emphasis"/>
          <w:color w:val="000000" w:themeColor="text1"/>
          <w:shd w:val="clear" w:color="auto" w:fill="FFFFFF"/>
        </w:rPr>
        <w:t>Entomol</w:t>
      </w:r>
      <w:proofErr w:type="spellEnd"/>
      <w:r>
        <w:rPr>
          <w:rStyle w:val="Emphasis"/>
          <w:color w:val="000000" w:themeColor="text1"/>
          <w:shd w:val="clear" w:color="auto" w:fill="FFFFFF"/>
        </w:rPr>
        <w:t xml:space="preserve">. </w:t>
      </w:r>
      <w:proofErr w:type="spellStart"/>
      <w:r>
        <w:rPr>
          <w:rStyle w:val="Emphasis"/>
          <w:color w:val="000000" w:themeColor="text1"/>
          <w:shd w:val="clear" w:color="auto" w:fill="FFFFFF"/>
        </w:rPr>
        <w:t>Nematol</w:t>
      </w:r>
      <w:proofErr w:type="spellEnd"/>
      <w:r>
        <w:rPr>
          <w:color w:val="000000" w:themeColor="text1"/>
          <w:shd w:val="clear" w:color="auto" w:fill="FFFFFF"/>
        </w:rPr>
        <w:t xml:space="preserve">., </w:t>
      </w:r>
      <w:r>
        <w:rPr>
          <w:bCs/>
          <w:color w:val="000000" w:themeColor="text1"/>
        </w:rPr>
        <w:t>4</w:t>
      </w:r>
      <w:r>
        <w:rPr>
          <w:color w:val="000000" w:themeColor="text1"/>
        </w:rPr>
        <w:t>(2), 12-14.</w:t>
      </w:r>
    </w:p>
    <w:p w:rsidR="00B512CD" w:rsidRDefault="00B512CD">
      <w:pPr>
        <w:pStyle w:val="NormalWeb"/>
        <w:tabs>
          <w:tab w:val="left" w:pos="425"/>
        </w:tabs>
        <w:spacing w:after="0" w:afterAutospacing="0" w:line="276" w:lineRule="auto"/>
        <w:ind w:left="425"/>
        <w:jc w:val="both"/>
        <w:rPr>
          <w:color w:val="000000" w:themeColor="text1"/>
        </w:rPr>
      </w:pPr>
    </w:p>
    <w:p w:rsidR="00B512CD" w:rsidRDefault="00521215">
      <w:pPr>
        <w:numPr>
          <w:ilvl w:val="0"/>
          <w:numId w:val="1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Chitra, C., </w:t>
      </w:r>
      <w:proofErr w:type="spellStart"/>
      <w:r>
        <w:rPr>
          <w:rFonts w:ascii="Times New Roman" w:hAnsi="Times New Roman" w:cs="Times New Roman"/>
          <w:sz w:val="24"/>
          <w:szCs w:val="24"/>
        </w:rPr>
        <w:t>Karanth</w:t>
      </w:r>
      <w:proofErr w:type="spellEnd"/>
      <w:r>
        <w:rPr>
          <w:rFonts w:ascii="Times New Roman" w:hAnsi="Times New Roman" w:cs="Times New Roman"/>
          <w:sz w:val="24"/>
          <w:szCs w:val="24"/>
        </w:rPr>
        <w:t xml:space="preserve">, N. G. K., &amp; </w:t>
      </w:r>
      <w:proofErr w:type="spellStart"/>
      <w:r>
        <w:rPr>
          <w:rFonts w:ascii="Times New Roman" w:hAnsi="Times New Roman" w:cs="Times New Roman"/>
          <w:sz w:val="24"/>
          <w:szCs w:val="24"/>
        </w:rPr>
        <w:t>Vasantharajan</w:t>
      </w:r>
      <w:proofErr w:type="spellEnd"/>
      <w:r>
        <w:rPr>
          <w:rFonts w:ascii="Times New Roman" w:hAnsi="Times New Roman" w:cs="Times New Roman"/>
          <w:sz w:val="24"/>
          <w:szCs w:val="24"/>
        </w:rPr>
        <w:t xml:space="preserve">, V. N. (1975). Diseases of mulberry </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 xml:space="preserve">silkworm </w:t>
      </w:r>
      <w:r>
        <w:rPr>
          <w:rFonts w:ascii="Times New Roman" w:hAnsi="Times New Roman" w:cs="Times New Roman"/>
          <w:i/>
          <w:iCs/>
          <w:sz w:val="24"/>
          <w:szCs w:val="24"/>
        </w:rPr>
        <w:t>Bombyx mori</w:t>
      </w:r>
      <w:r>
        <w:rPr>
          <w:rFonts w:ascii="Times New Roman" w:hAnsi="Times New Roman" w:cs="Times New Roman"/>
          <w:sz w:val="24"/>
          <w:szCs w:val="24"/>
        </w:rPr>
        <w:t xml:space="preserve"> L. </w:t>
      </w:r>
      <w:r>
        <w:rPr>
          <w:rFonts w:ascii="Times New Roman" w:hAnsi="Times New Roman" w:cs="Times New Roman"/>
          <w:i/>
          <w:iCs/>
          <w:sz w:val="24"/>
          <w:szCs w:val="24"/>
        </w:rPr>
        <w:t>J. Sci. Ind. Res</w:t>
      </w:r>
      <w:r>
        <w:rPr>
          <w:rFonts w:ascii="Times New Roman" w:hAnsi="Times New Roman" w:cs="Times New Roman"/>
          <w:sz w:val="24"/>
          <w:szCs w:val="24"/>
        </w:rPr>
        <w:t>., 34, 386-410.</w:t>
      </w:r>
    </w:p>
    <w:p w:rsidR="00B512CD" w:rsidRDefault="00B512CD">
      <w:pPr>
        <w:tabs>
          <w:tab w:val="left" w:pos="425"/>
        </w:tabs>
        <w:spacing w:after="0" w:line="276" w:lineRule="auto"/>
        <w:jc w:val="both"/>
        <w:rPr>
          <w:rFonts w:ascii="Times New Roman" w:hAnsi="Times New Roman" w:cs="Times New Roman"/>
          <w:sz w:val="24"/>
          <w:szCs w:val="24"/>
        </w:rPr>
      </w:pPr>
    </w:p>
    <w:p w:rsidR="00B512CD" w:rsidRDefault="00521215">
      <w:pPr>
        <w:numPr>
          <w:ilvl w:val="0"/>
          <w:numId w:val="10"/>
        </w:numPr>
        <w:spacing w:after="0"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Govindan, R., </w:t>
      </w:r>
      <w:proofErr w:type="spellStart"/>
      <w:r>
        <w:rPr>
          <w:rFonts w:ascii="Times New Roman" w:hAnsi="Times New Roman" w:cs="Times New Roman"/>
          <w:sz w:val="24"/>
          <w:szCs w:val="24"/>
          <w:lang w:val="en-GB"/>
        </w:rPr>
        <w:t>Narayanaswamy</w:t>
      </w:r>
      <w:proofErr w:type="spellEnd"/>
      <w:r>
        <w:rPr>
          <w:rFonts w:ascii="Times New Roman" w:hAnsi="Times New Roman" w:cs="Times New Roman"/>
          <w:sz w:val="24"/>
          <w:szCs w:val="24"/>
          <w:lang w:val="en-GB"/>
        </w:rPr>
        <w:t>, T. K.</w:t>
      </w:r>
      <w:r>
        <w:rPr>
          <w:rFonts w:ascii="Times New Roman" w:hAnsi="Times New Roman" w:cs="Times New Roman"/>
          <w:sz w:val="24"/>
          <w:szCs w:val="24"/>
        </w:rPr>
        <w:t>,</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&amp; </w:t>
      </w:r>
      <w:proofErr w:type="spellStart"/>
      <w:r>
        <w:rPr>
          <w:rFonts w:ascii="Times New Roman" w:hAnsi="Times New Roman" w:cs="Times New Roman"/>
          <w:sz w:val="24"/>
          <w:szCs w:val="24"/>
          <w:lang w:val="en-GB"/>
        </w:rPr>
        <w:t>Devaiah</w:t>
      </w:r>
      <w:proofErr w:type="spellEnd"/>
      <w:r>
        <w:rPr>
          <w:rFonts w:ascii="Times New Roman" w:hAnsi="Times New Roman" w:cs="Times New Roman"/>
          <w:sz w:val="24"/>
          <w:szCs w:val="24"/>
          <w:lang w:val="en-GB"/>
        </w:rPr>
        <w:t xml:space="preserve">, M. C. </w:t>
      </w:r>
      <w:r>
        <w:rPr>
          <w:rFonts w:ascii="Times New Roman" w:hAnsi="Times New Roman" w:cs="Times New Roman"/>
          <w:sz w:val="24"/>
          <w:szCs w:val="24"/>
        </w:rPr>
        <w:t>(</w:t>
      </w:r>
      <w:r>
        <w:rPr>
          <w:rFonts w:ascii="Times New Roman" w:hAnsi="Times New Roman" w:cs="Times New Roman"/>
          <w:sz w:val="24"/>
          <w:szCs w:val="24"/>
          <w:lang w:val="en-GB"/>
        </w:rPr>
        <w:t>1998</w:t>
      </w:r>
      <w:r>
        <w:rPr>
          <w:rFonts w:ascii="Times New Roman" w:hAnsi="Times New Roman" w:cs="Times New Roman"/>
          <w:sz w:val="24"/>
          <w:szCs w:val="24"/>
        </w:rPr>
        <w:t>).</w:t>
      </w:r>
      <w:r>
        <w:rPr>
          <w:rFonts w:ascii="Times New Roman" w:hAnsi="Times New Roman" w:cs="Times New Roman"/>
          <w:sz w:val="24"/>
          <w:szCs w:val="24"/>
          <w:lang w:val="en-GB"/>
        </w:rPr>
        <w:t xml:space="preserve"> </w:t>
      </w:r>
      <w:r>
        <w:rPr>
          <w:rFonts w:ascii="Times New Roman" w:hAnsi="Times New Roman" w:cs="Times New Roman"/>
          <w:i/>
          <w:sz w:val="24"/>
          <w:szCs w:val="24"/>
          <w:lang w:val="en-GB"/>
        </w:rPr>
        <w:t xml:space="preserve">Principles of Silkworm </w:t>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GB"/>
        </w:rPr>
        <w:t>Pathology</w:t>
      </w:r>
      <w:r>
        <w:rPr>
          <w:rFonts w:ascii="Times New Roman" w:hAnsi="Times New Roman" w:cs="Times New Roman"/>
          <w:i/>
          <w:color w:val="000000" w:themeColor="text1"/>
          <w:sz w:val="24"/>
          <w:szCs w:val="24"/>
          <w:lang w:val="en-GB"/>
        </w:rPr>
        <w:t>.</w:t>
      </w:r>
      <w:r>
        <w:rPr>
          <w:rFonts w:ascii="Times New Roman" w:hAnsi="Times New Roman" w:cs="Times New Roman"/>
          <w:i/>
          <w:iCs/>
          <w:color w:val="000000" w:themeColor="text1"/>
          <w:sz w:val="24"/>
          <w:szCs w:val="24"/>
          <w:lang w:val="en-GB"/>
        </w:rPr>
        <w:t xml:space="preserve"> </w:t>
      </w:r>
      <w:r>
        <w:rPr>
          <w:rFonts w:ascii="Times New Roman" w:hAnsi="Times New Roman" w:cs="Times New Roman"/>
          <w:color w:val="000000" w:themeColor="text1"/>
          <w:sz w:val="24"/>
          <w:szCs w:val="24"/>
          <w:shd w:val="clear" w:color="auto" w:fill="FFFFFF"/>
        </w:rPr>
        <w:t>Seri Scientific Publishers. pp.</w:t>
      </w:r>
      <w:r>
        <w:rPr>
          <w:rFonts w:ascii="Times New Roman" w:hAnsi="Times New Roman" w:cs="Times New Roman"/>
          <w:sz w:val="24"/>
          <w:szCs w:val="24"/>
          <w:lang w:val="en-GB"/>
        </w:rPr>
        <w:t xml:space="preserve"> 293-351.</w:t>
      </w:r>
    </w:p>
    <w:p w:rsidR="00B512CD" w:rsidRDefault="00B512CD">
      <w:pPr>
        <w:pStyle w:val="ListParagraph"/>
        <w:rPr>
          <w:rFonts w:ascii="Times New Roman" w:hAnsi="Times New Roman" w:cs="Times New Roman"/>
          <w:sz w:val="24"/>
          <w:szCs w:val="24"/>
          <w:lang w:val="en-GB"/>
        </w:rPr>
      </w:pPr>
    </w:p>
    <w:p w:rsidR="00B512CD" w:rsidRDefault="00521215">
      <w:pPr>
        <w:numPr>
          <w:ilvl w:val="0"/>
          <w:numId w:val="1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Han, M. S., &amp; Watanabe, H. (1998). Transovarian transmission of two microsporidia in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 xml:space="preserve">the silkworm, </w:t>
      </w:r>
      <w:r>
        <w:rPr>
          <w:rFonts w:ascii="Times New Roman" w:hAnsi="Times New Roman" w:cs="Times New Roman"/>
          <w:i/>
          <w:iCs/>
          <w:sz w:val="24"/>
          <w:szCs w:val="24"/>
        </w:rPr>
        <w:t xml:space="preserve">Bombyx mori </w:t>
      </w:r>
      <w:r>
        <w:rPr>
          <w:rFonts w:ascii="Times New Roman" w:hAnsi="Times New Roman" w:cs="Times New Roman"/>
          <w:sz w:val="24"/>
          <w:szCs w:val="24"/>
        </w:rPr>
        <w:t xml:space="preserve">and disease occurrence in progeny population. </w:t>
      </w:r>
      <w:r>
        <w:rPr>
          <w:rFonts w:ascii="Times New Roman" w:hAnsi="Times New Roman" w:cs="Times New Roman"/>
          <w:i/>
          <w:iCs/>
          <w:sz w:val="24"/>
          <w:szCs w:val="24"/>
        </w:rPr>
        <w:t xml:space="preserve">J. </w:t>
      </w:r>
      <w:r>
        <w:rPr>
          <w:rFonts w:ascii="Times New Roman" w:hAnsi="Times New Roman" w:cs="Times New Roman"/>
          <w:i/>
          <w:iCs/>
          <w:sz w:val="24"/>
          <w:szCs w:val="24"/>
          <w:lang w:val="en-US"/>
        </w:rPr>
        <w:tab/>
      </w:r>
      <w:r>
        <w:rPr>
          <w:rFonts w:ascii="Times New Roman" w:hAnsi="Times New Roman" w:cs="Times New Roman"/>
          <w:i/>
          <w:iCs/>
          <w:sz w:val="24"/>
          <w:szCs w:val="24"/>
          <w:lang w:val="en-US"/>
        </w:rPr>
        <w:tab/>
      </w:r>
      <w:proofErr w:type="spellStart"/>
      <w:r>
        <w:rPr>
          <w:rFonts w:ascii="Times New Roman" w:hAnsi="Times New Roman" w:cs="Times New Roman"/>
          <w:i/>
          <w:iCs/>
          <w:sz w:val="24"/>
          <w:szCs w:val="24"/>
        </w:rPr>
        <w:t>Invertebr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Pathol</w:t>
      </w:r>
      <w:proofErr w:type="spellEnd"/>
      <w:r>
        <w:rPr>
          <w:rFonts w:ascii="Times New Roman" w:hAnsi="Times New Roman" w:cs="Times New Roman"/>
          <w:sz w:val="24"/>
          <w:szCs w:val="24"/>
        </w:rPr>
        <w:t>., 51, 41-45.</w:t>
      </w:r>
    </w:p>
    <w:p w:rsidR="00B512CD" w:rsidRDefault="00B512CD">
      <w:pPr>
        <w:tabs>
          <w:tab w:val="left" w:pos="425"/>
        </w:tabs>
        <w:spacing w:after="0" w:line="276" w:lineRule="auto"/>
        <w:jc w:val="both"/>
        <w:rPr>
          <w:rFonts w:ascii="Times New Roman" w:hAnsi="Times New Roman" w:cs="Times New Roman"/>
          <w:sz w:val="24"/>
          <w:szCs w:val="24"/>
          <w:lang w:val="en-GB"/>
        </w:rPr>
      </w:pPr>
    </w:p>
    <w:p w:rsidR="00B512CD" w:rsidRDefault="00B512CD">
      <w:pPr>
        <w:tabs>
          <w:tab w:val="left" w:pos="425"/>
        </w:tabs>
        <w:spacing w:after="0" w:line="276" w:lineRule="auto"/>
        <w:ind w:left="425"/>
        <w:jc w:val="both"/>
        <w:rPr>
          <w:rFonts w:ascii="Times New Roman" w:hAnsi="Times New Roman" w:cs="Times New Roman"/>
          <w:sz w:val="24"/>
          <w:szCs w:val="24"/>
          <w:lang w:val="en-GB"/>
        </w:rPr>
      </w:pPr>
    </w:p>
    <w:p w:rsidR="00B512CD" w:rsidRDefault="00521215">
      <w:pPr>
        <w:numPr>
          <w:ilvl w:val="0"/>
          <w:numId w:val="10"/>
        </w:numPr>
        <w:spacing w:after="0" w:line="276" w:lineRule="auto"/>
        <w:ind w:right="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Irfan, I., Sharma, S. D., Chandrasekharan, K., </w:t>
      </w:r>
      <w:proofErr w:type="spellStart"/>
      <w:r>
        <w:rPr>
          <w:rFonts w:ascii="Times New Roman" w:hAnsi="Times New Roman" w:cs="Times New Roman"/>
          <w:color w:val="000000" w:themeColor="text1"/>
          <w:sz w:val="24"/>
          <w:szCs w:val="24"/>
        </w:rPr>
        <w:t>Nataraju</w:t>
      </w:r>
      <w:proofErr w:type="spellEnd"/>
      <w:r>
        <w:rPr>
          <w:rFonts w:ascii="Times New Roman" w:hAnsi="Times New Roman" w:cs="Times New Roman"/>
          <w:color w:val="000000" w:themeColor="text1"/>
          <w:sz w:val="24"/>
          <w:szCs w:val="24"/>
        </w:rPr>
        <w:t xml:space="preserve">, B., </w:t>
      </w:r>
      <w:proofErr w:type="spellStart"/>
      <w:r>
        <w:rPr>
          <w:rFonts w:ascii="Times New Roman" w:hAnsi="Times New Roman" w:cs="Times New Roman"/>
          <w:color w:val="000000" w:themeColor="text1"/>
          <w:sz w:val="24"/>
          <w:szCs w:val="24"/>
        </w:rPr>
        <w:t>Balavenkatasubbaiah</w:t>
      </w:r>
      <w:proofErr w:type="spellEnd"/>
      <w:r>
        <w:rPr>
          <w:rFonts w:ascii="Times New Roman" w:hAnsi="Times New Roman" w:cs="Times New Roman"/>
          <w:color w:val="000000" w:themeColor="text1"/>
          <w:sz w:val="24"/>
          <w:szCs w:val="24"/>
        </w:rPr>
        <w:t xml:space="preserve">, M., </w:t>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proofErr w:type="spellStart"/>
      <w:r>
        <w:rPr>
          <w:rFonts w:ascii="Times New Roman" w:hAnsi="Times New Roman" w:cs="Times New Roman"/>
          <w:color w:val="000000" w:themeColor="text1"/>
          <w:sz w:val="24"/>
          <w:szCs w:val="24"/>
        </w:rPr>
        <w:t>Selvakumar</w:t>
      </w:r>
      <w:proofErr w:type="spellEnd"/>
      <w:r>
        <w:rPr>
          <w:rFonts w:ascii="Times New Roman" w:hAnsi="Times New Roman" w:cs="Times New Roman"/>
          <w:color w:val="000000" w:themeColor="text1"/>
          <w:sz w:val="24"/>
          <w:szCs w:val="24"/>
        </w:rPr>
        <w:t xml:space="preserve">, T., Thiagarajan, V., &amp; </w:t>
      </w:r>
      <w:proofErr w:type="spellStart"/>
      <w:r>
        <w:rPr>
          <w:rFonts w:ascii="Times New Roman" w:hAnsi="Times New Roman" w:cs="Times New Roman"/>
          <w:color w:val="000000" w:themeColor="text1"/>
          <w:sz w:val="24"/>
          <w:szCs w:val="24"/>
        </w:rPr>
        <w:t>Dandin</w:t>
      </w:r>
      <w:proofErr w:type="spellEnd"/>
      <w:r>
        <w:rPr>
          <w:rFonts w:ascii="Times New Roman" w:hAnsi="Times New Roman" w:cs="Times New Roman"/>
          <w:color w:val="000000" w:themeColor="text1"/>
          <w:sz w:val="24"/>
          <w:szCs w:val="24"/>
        </w:rPr>
        <w:t xml:space="preserve">, S. B. (2003). Evaluation of </w:t>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rPr>
        <w:t xml:space="preserve">different bed disinfectants against the spread of common diseases in </w:t>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rPr>
        <w:t xml:space="preserve">silkworm, </w:t>
      </w:r>
      <w:r>
        <w:rPr>
          <w:rFonts w:ascii="Times New Roman" w:hAnsi="Times New Roman" w:cs="Times New Roman"/>
          <w:i/>
          <w:color w:val="000000" w:themeColor="text1"/>
          <w:sz w:val="24"/>
          <w:szCs w:val="24"/>
        </w:rPr>
        <w:t>Bombyx mori</w:t>
      </w:r>
      <w:r>
        <w:rPr>
          <w:rFonts w:ascii="Times New Roman" w:hAnsi="Times New Roman" w:cs="Times New Roman"/>
          <w:color w:val="000000" w:themeColor="text1"/>
          <w:sz w:val="24"/>
          <w:szCs w:val="24"/>
        </w:rPr>
        <w:t xml:space="preserve"> L. </w:t>
      </w:r>
      <w:r>
        <w:rPr>
          <w:rFonts w:ascii="Times New Roman" w:hAnsi="Times New Roman" w:cs="Times New Roman"/>
          <w:i/>
          <w:color w:val="000000" w:themeColor="text1"/>
          <w:sz w:val="24"/>
          <w:szCs w:val="24"/>
        </w:rPr>
        <w:t xml:space="preserve">Int. J. </w:t>
      </w:r>
      <w:proofErr w:type="spellStart"/>
      <w:r>
        <w:rPr>
          <w:rFonts w:ascii="Times New Roman" w:hAnsi="Times New Roman" w:cs="Times New Roman"/>
          <w:i/>
          <w:color w:val="000000" w:themeColor="text1"/>
          <w:sz w:val="24"/>
          <w:szCs w:val="24"/>
        </w:rPr>
        <w:t>Indust</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Entomol</w:t>
      </w:r>
      <w:proofErr w:type="spellEnd"/>
      <w:r>
        <w:rPr>
          <w:rFonts w:ascii="Times New Roman" w:hAnsi="Times New Roman" w:cs="Times New Roman"/>
          <w:color w:val="000000" w:themeColor="text1"/>
          <w:sz w:val="24"/>
          <w:szCs w:val="24"/>
        </w:rPr>
        <w:t>., 6(2), 191-196.</w:t>
      </w:r>
    </w:p>
    <w:p w:rsidR="00B512CD" w:rsidRDefault="00B512CD">
      <w:pPr>
        <w:tabs>
          <w:tab w:val="left" w:pos="425"/>
        </w:tabs>
        <w:spacing w:after="0" w:line="276" w:lineRule="auto"/>
        <w:ind w:right="57"/>
        <w:jc w:val="both"/>
        <w:rPr>
          <w:rFonts w:ascii="Times New Roman" w:hAnsi="Times New Roman" w:cs="Times New Roman"/>
          <w:color w:val="000000" w:themeColor="text1"/>
          <w:sz w:val="24"/>
          <w:szCs w:val="24"/>
        </w:rPr>
      </w:pPr>
    </w:p>
    <w:p w:rsidR="00B512CD" w:rsidRDefault="00B512CD">
      <w:pPr>
        <w:tabs>
          <w:tab w:val="left" w:pos="425"/>
        </w:tabs>
        <w:spacing w:after="0" w:line="276" w:lineRule="auto"/>
        <w:jc w:val="both"/>
        <w:rPr>
          <w:rFonts w:ascii="Times New Roman" w:hAnsi="Times New Roman" w:cs="Times New Roman"/>
          <w:sz w:val="24"/>
          <w:szCs w:val="24"/>
        </w:rPr>
      </w:pPr>
    </w:p>
    <w:p w:rsidR="00B512CD" w:rsidRDefault="00521215">
      <w:pPr>
        <w:numPr>
          <w:ilvl w:val="0"/>
          <w:numId w:val="1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Ishihara, R., &amp; </w:t>
      </w:r>
      <w:proofErr w:type="spellStart"/>
      <w:r>
        <w:rPr>
          <w:rFonts w:ascii="Times New Roman" w:hAnsi="Times New Roman" w:cs="Times New Roman"/>
          <w:sz w:val="24"/>
          <w:szCs w:val="24"/>
        </w:rPr>
        <w:t>Sohi</w:t>
      </w:r>
      <w:proofErr w:type="spellEnd"/>
      <w:r>
        <w:rPr>
          <w:rFonts w:ascii="Times New Roman" w:hAnsi="Times New Roman" w:cs="Times New Roman"/>
          <w:sz w:val="24"/>
          <w:szCs w:val="24"/>
        </w:rPr>
        <w:t xml:space="preserve">, S. (1966). Infection of ovarian tissue culture of </w:t>
      </w:r>
      <w:r>
        <w:rPr>
          <w:rFonts w:ascii="Times New Roman" w:hAnsi="Times New Roman" w:cs="Times New Roman"/>
          <w:i/>
          <w:iCs/>
          <w:sz w:val="24"/>
          <w:szCs w:val="24"/>
        </w:rPr>
        <w:t>Bombyx mori</w:t>
      </w:r>
      <w:r>
        <w:rPr>
          <w:rFonts w:ascii="Times New Roman" w:hAnsi="Times New Roman" w:cs="Times New Roman"/>
          <w:sz w:val="24"/>
          <w:szCs w:val="24"/>
        </w:rPr>
        <w:t xml:space="preserve"> by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i/>
          <w:iCs/>
          <w:sz w:val="24"/>
          <w:szCs w:val="24"/>
        </w:rPr>
        <w:t>Nosema</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bombycis</w:t>
      </w:r>
      <w:proofErr w:type="spellEnd"/>
      <w:r>
        <w:rPr>
          <w:rFonts w:ascii="Times New Roman" w:hAnsi="Times New Roman" w:cs="Times New Roman"/>
          <w:sz w:val="24"/>
          <w:szCs w:val="24"/>
        </w:rPr>
        <w:t xml:space="preserve"> spores. </w:t>
      </w:r>
      <w:r>
        <w:rPr>
          <w:rFonts w:ascii="Times New Roman" w:hAnsi="Times New Roman" w:cs="Times New Roman"/>
          <w:i/>
          <w:iCs/>
          <w:sz w:val="24"/>
          <w:szCs w:val="24"/>
        </w:rPr>
        <w:t xml:space="preserve">J. </w:t>
      </w:r>
      <w:proofErr w:type="spellStart"/>
      <w:r>
        <w:rPr>
          <w:rFonts w:ascii="Times New Roman" w:hAnsi="Times New Roman" w:cs="Times New Roman"/>
          <w:i/>
          <w:iCs/>
          <w:sz w:val="24"/>
          <w:szCs w:val="24"/>
        </w:rPr>
        <w:t>Invertebr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Pathol</w:t>
      </w:r>
      <w:proofErr w:type="spellEnd"/>
      <w:r>
        <w:rPr>
          <w:rFonts w:ascii="Times New Roman" w:hAnsi="Times New Roman" w:cs="Times New Roman"/>
          <w:i/>
          <w:iCs/>
          <w:sz w:val="24"/>
          <w:szCs w:val="24"/>
        </w:rPr>
        <w:t>.</w:t>
      </w:r>
      <w:r>
        <w:rPr>
          <w:rFonts w:ascii="Times New Roman" w:hAnsi="Times New Roman" w:cs="Times New Roman"/>
          <w:sz w:val="24"/>
          <w:szCs w:val="24"/>
        </w:rPr>
        <w:t>, 8, 538-540.</w:t>
      </w:r>
    </w:p>
    <w:p w:rsidR="00B512CD" w:rsidRDefault="00B512CD">
      <w:pPr>
        <w:tabs>
          <w:tab w:val="left" w:pos="425"/>
        </w:tabs>
        <w:spacing w:after="0" w:line="276" w:lineRule="auto"/>
        <w:jc w:val="both"/>
        <w:rPr>
          <w:rFonts w:ascii="Times New Roman" w:hAnsi="Times New Roman" w:cs="Times New Roman"/>
          <w:sz w:val="24"/>
          <w:szCs w:val="24"/>
        </w:rPr>
      </w:pPr>
    </w:p>
    <w:p w:rsidR="00B512CD" w:rsidRDefault="00521215">
      <w:pPr>
        <w:numPr>
          <w:ilvl w:val="0"/>
          <w:numId w:val="10"/>
        </w:numPr>
        <w:spacing w:after="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Iwano</w:t>
      </w:r>
      <w:proofErr w:type="spellEnd"/>
      <w:r>
        <w:rPr>
          <w:rFonts w:ascii="Times New Roman" w:hAnsi="Times New Roman" w:cs="Times New Roman"/>
          <w:sz w:val="24"/>
          <w:szCs w:val="24"/>
        </w:rPr>
        <w:t xml:space="preserve">, H., &amp; Ishihara, R. (1991). Dimorphism of spores of a </w:t>
      </w:r>
      <w:r>
        <w:rPr>
          <w:rFonts w:ascii="Times New Roman" w:hAnsi="Times New Roman" w:cs="Times New Roman"/>
          <w:i/>
          <w:iCs/>
          <w:sz w:val="24"/>
          <w:szCs w:val="24"/>
        </w:rPr>
        <w:t>Nosema sp</w:t>
      </w:r>
      <w:r>
        <w:rPr>
          <w:rFonts w:ascii="Times New Roman" w:hAnsi="Times New Roman" w:cs="Times New Roman"/>
          <w:sz w:val="24"/>
          <w:szCs w:val="24"/>
        </w:rPr>
        <w:t xml:space="preserve">. In cultured cell.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i/>
          <w:iCs/>
          <w:sz w:val="24"/>
          <w:szCs w:val="24"/>
        </w:rPr>
        <w:t xml:space="preserve">J. </w:t>
      </w:r>
      <w:proofErr w:type="spellStart"/>
      <w:r>
        <w:rPr>
          <w:rFonts w:ascii="Times New Roman" w:hAnsi="Times New Roman" w:cs="Times New Roman"/>
          <w:i/>
          <w:iCs/>
          <w:sz w:val="24"/>
          <w:szCs w:val="24"/>
        </w:rPr>
        <w:t>Invertebr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Pathol</w:t>
      </w:r>
      <w:proofErr w:type="spellEnd"/>
      <w:r>
        <w:rPr>
          <w:rFonts w:ascii="Times New Roman" w:hAnsi="Times New Roman" w:cs="Times New Roman"/>
          <w:sz w:val="24"/>
          <w:szCs w:val="24"/>
        </w:rPr>
        <w:t>., 57(2), 211-219.</w:t>
      </w:r>
    </w:p>
    <w:p w:rsidR="00B512CD" w:rsidRDefault="00521215">
      <w:pPr>
        <w:pStyle w:val="BodyText"/>
        <w:numPr>
          <w:ilvl w:val="0"/>
          <w:numId w:val="10"/>
        </w:numPr>
        <w:spacing w:before="240" w:line="276" w:lineRule="auto"/>
        <w:jc w:val="both"/>
        <w:rPr>
          <w:rFonts w:eastAsia="Courier New"/>
        </w:rPr>
      </w:pPr>
      <w:r>
        <w:t>Jyothi, N. B., Patil, C. S.</w:t>
      </w:r>
      <w:r>
        <w:rPr>
          <w:lang w:val="en-IN"/>
        </w:rPr>
        <w:t>, &amp;</w:t>
      </w:r>
      <w:r>
        <w:t xml:space="preserve"> </w:t>
      </w:r>
      <w:proofErr w:type="spellStart"/>
      <w:r>
        <w:t>Dass</w:t>
      </w:r>
      <w:proofErr w:type="spellEnd"/>
      <w:r>
        <w:t xml:space="preserve">, C. M. S. </w:t>
      </w:r>
      <w:r>
        <w:rPr>
          <w:lang w:val="en-IN"/>
        </w:rPr>
        <w:t>(</w:t>
      </w:r>
      <w:r>
        <w:t>2004</w:t>
      </w:r>
      <w:r>
        <w:rPr>
          <w:lang w:val="en-IN"/>
        </w:rPr>
        <w:t>).</w:t>
      </w:r>
      <w:r>
        <w:t xml:space="preserve"> Action of carbendazim on the </w:t>
      </w:r>
      <w:r>
        <w:tab/>
      </w:r>
      <w:r>
        <w:tab/>
      </w:r>
      <w:r>
        <w:tab/>
        <w:t xml:space="preserve">development of </w:t>
      </w:r>
      <w:r>
        <w:rPr>
          <w:i/>
        </w:rPr>
        <w:t xml:space="preserve">Nosema </w:t>
      </w:r>
      <w:proofErr w:type="spellStart"/>
      <w:r>
        <w:rPr>
          <w:i/>
        </w:rPr>
        <w:t>bombycis</w:t>
      </w:r>
      <w:proofErr w:type="spellEnd"/>
      <w:r>
        <w:t xml:space="preserve"> N. in silkworm </w:t>
      </w:r>
      <w:r>
        <w:rPr>
          <w:i/>
        </w:rPr>
        <w:t>Bombyx mori</w:t>
      </w:r>
      <w:r>
        <w:t xml:space="preserve"> L. </w:t>
      </w:r>
      <w:r>
        <w:rPr>
          <w:rFonts w:eastAsia="Courier New"/>
          <w:i/>
        </w:rPr>
        <w:t xml:space="preserve">J. </w:t>
      </w:r>
      <w:proofErr w:type="spellStart"/>
      <w:r>
        <w:rPr>
          <w:rFonts w:eastAsia="Courier New"/>
          <w:i/>
        </w:rPr>
        <w:t>Entomol</w:t>
      </w:r>
      <w:proofErr w:type="spellEnd"/>
      <w:r>
        <w:rPr>
          <w:rFonts w:eastAsia="Courier New"/>
        </w:rPr>
        <w:t xml:space="preserve">., </w:t>
      </w:r>
      <w:r>
        <w:rPr>
          <w:rFonts w:eastAsia="Courier New"/>
        </w:rPr>
        <w:tab/>
      </w:r>
      <w:r>
        <w:rPr>
          <w:rFonts w:eastAsia="Courier New"/>
        </w:rPr>
        <w:tab/>
      </w:r>
      <w:r>
        <w:rPr>
          <w:rFonts w:eastAsia="Courier New"/>
          <w:bCs/>
        </w:rPr>
        <w:t>129</w:t>
      </w:r>
      <w:r>
        <w:rPr>
          <w:rFonts w:eastAsia="Courier New"/>
        </w:rPr>
        <w:t>(4)</w:t>
      </w:r>
      <w:r>
        <w:rPr>
          <w:rFonts w:eastAsia="Courier New"/>
          <w:lang w:val="en-IN"/>
        </w:rPr>
        <w:t>,</w:t>
      </w:r>
      <w:r>
        <w:rPr>
          <w:rFonts w:eastAsia="Courier New"/>
        </w:rPr>
        <w:t xml:space="preserve"> 314-322.</w:t>
      </w:r>
    </w:p>
    <w:p w:rsidR="00B512CD" w:rsidRDefault="00B512CD">
      <w:pPr>
        <w:spacing w:after="0" w:line="276" w:lineRule="auto"/>
        <w:jc w:val="both"/>
        <w:rPr>
          <w:rFonts w:ascii="Times New Roman" w:hAnsi="Times New Roman" w:cs="Times New Roman"/>
          <w:sz w:val="24"/>
          <w:szCs w:val="24"/>
        </w:rPr>
      </w:pPr>
    </w:p>
    <w:p w:rsidR="00B512CD" w:rsidRDefault="00521215">
      <w:pPr>
        <w:numPr>
          <w:ilvl w:val="0"/>
          <w:numId w:val="10"/>
        </w:numPr>
        <w:spacing w:after="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Kamili</w:t>
      </w:r>
      <w:proofErr w:type="spellEnd"/>
      <w:r>
        <w:rPr>
          <w:rFonts w:ascii="Times New Roman" w:hAnsi="Times New Roman" w:cs="Times New Roman"/>
          <w:sz w:val="24"/>
          <w:szCs w:val="24"/>
        </w:rPr>
        <w:t xml:space="preserve">, A. S., &amp; </w:t>
      </w:r>
      <w:proofErr w:type="spellStart"/>
      <w:r>
        <w:rPr>
          <w:rFonts w:ascii="Times New Roman" w:hAnsi="Times New Roman" w:cs="Times New Roman"/>
          <w:sz w:val="24"/>
          <w:szCs w:val="24"/>
        </w:rPr>
        <w:t>Massodi</w:t>
      </w:r>
      <w:proofErr w:type="spellEnd"/>
      <w:r>
        <w:rPr>
          <w:rFonts w:ascii="Times New Roman" w:hAnsi="Times New Roman" w:cs="Times New Roman"/>
          <w:sz w:val="24"/>
          <w:szCs w:val="24"/>
        </w:rPr>
        <w:t xml:space="preserve">, M. A. (2000). Principles of temperate sericulture, Kalyani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publishers Ludhiana.163-169.</w:t>
      </w:r>
    </w:p>
    <w:p w:rsidR="00B512CD" w:rsidRDefault="00B512CD">
      <w:pPr>
        <w:spacing w:after="0" w:line="276" w:lineRule="auto"/>
        <w:jc w:val="both"/>
        <w:rPr>
          <w:rFonts w:ascii="Times New Roman" w:hAnsi="Times New Roman" w:cs="Times New Roman"/>
          <w:sz w:val="24"/>
          <w:szCs w:val="24"/>
        </w:rPr>
      </w:pPr>
    </w:p>
    <w:p w:rsidR="00B512CD" w:rsidRDefault="00521215">
      <w:pPr>
        <w:numPr>
          <w:ilvl w:val="0"/>
          <w:numId w:val="10"/>
        </w:numPr>
        <w:spacing w:after="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Kawarabata</w:t>
      </w:r>
      <w:proofErr w:type="spellEnd"/>
      <w:r>
        <w:rPr>
          <w:rFonts w:ascii="Times New Roman" w:hAnsi="Times New Roman" w:cs="Times New Roman"/>
          <w:sz w:val="24"/>
          <w:szCs w:val="24"/>
        </w:rPr>
        <w:t xml:space="preserve">, T., &amp; Ishihara, R. (1984). Infection and development of </w:t>
      </w:r>
      <w:r>
        <w:rPr>
          <w:rFonts w:ascii="Times New Roman" w:hAnsi="Times New Roman" w:cs="Times New Roman"/>
          <w:i/>
          <w:iCs/>
          <w:sz w:val="24"/>
          <w:szCs w:val="24"/>
        </w:rPr>
        <w:t xml:space="preserve">Nosema </w:t>
      </w:r>
      <w:proofErr w:type="spellStart"/>
      <w:r>
        <w:rPr>
          <w:rFonts w:ascii="Times New Roman" w:hAnsi="Times New Roman" w:cs="Times New Roman"/>
          <w:i/>
          <w:iCs/>
          <w:sz w:val="24"/>
          <w:szCs w:val="24"/>
        </w:rPr>
        <w:t>bombycis</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 xml:space="preserve">(Microsporidia: protozoa) in a cell line of </w:t>
      </w:r>
      <w:proofErr w:type="spellStart"/>
      <w:r>
        <w:rPr>
          <w:rFonts w:ascii="Times New Roman" w:hAnsi="Times New Roman" w:cs="Times New Roman"/>
          <w:i/>
          <w:iCs/>
          <w:sz w:val="24"/>
          <w:szCs w:val="24"/>
        </w:rPr>
        <w:t>Antheraea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euealupti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J. </w:t>
      </w:r>
      <w:proofErr w:type="spellStart"/>
      <w:r>
        <w:rPr>
          <w:rFonts w:ascii="Times New Roman" w:hAnsi="Times New Roman" w:cs="Times New Roman"/>
          <w:i/>
          <w:iCs/>
          <w:sz w:val="24"/>
          <w:szCs w:val="24"/>
        </w:rPr>
        <w:t>Invertebr</w:t>
      </w:r>
      <w:proofErr w:type="spellEnd"/>
      <w:r>
        <w:rPr>
          <w:rFonts w:ascii="Times New Roman" w:hAnsi="Times New Roman" w:cs="Times New Roman"/>
          <w:i/>
          <w:iCs/>
          <w:sz w:val="24"/>
          <w:szCs w:val="24"/>
        </w:rPr>
        <w:t xml:space="preserve">. </w:t>
      </w:r>
      <w:r>
        <w:rPr>
          <w:rFonts w:ascii="Times New Roman" w:hAnsi="Times New Roman" w:cs="Times New Roman"/>
          <w:i/>
          <w:iCs/>
          <w:sz w:val="24"/>
          <w:szCs w:val="24"/>
          <w:lang w:val="en-US"/>
        </w:rPr>
        <w:tab/>
      </w:r>
      <w:r>
        <w:rPr>
          <w:rFonts w:ascii="Times New Roman" w:hAnsi="Times New Roman" w:cs="Times New Roman"/>
          <w:i/>
          <w:iCs/>
          <w:sz w:val="24"/>
          <w:szCs w:val="24"/>
          <w:lang w:val="en-US"/>
        </w:rPr>
        <w:tab/>
      </w:r>
      <w:proofErr w:type="spellStart"/>
      <w:r>
        <w:rPr>
          <w:rFonts w:ascii="Times New Roman" w:hAnsi="Times New Roman" w:cs="Times New Roman"/>
          <w:i/>
          <w:iCs/>
          <w:sz w:val="24"/>
          <w:szCs w:val="24"/>
        </w:rPr>
        <w:t>Pathol</w:t>
      </w:r>
      <w:proofErr w:type="spellEnd"/>
      <w:r>
        <w:rPr>
          <w:rFonts w:ascii="Times New Roman" w:hAnsi="Times New Roman" w:cs="Times New Roman"/>
          <w:i/>
          <w:iCs/>
          <w:sz w:val="24"/>
          <w:szCs w:val="24"/>
        </w:rPr>
        <w:t>.</w:t>
      </w:r>
      <w:r>
        <w:rPr>
          <w:rFonts w:ascii="Times New Roman" w:hAnsi="Times New Roman" w:cs="Times New Roman"/>
          <w:sz w:val="24"/>
          <w:szCs w:val="24"/>
        </w:rPr>
        <w:t>, 44, 52-62.</w:t>
      </w:r>
    </w:p>
    <w:p w:rsidR="00B512CD" w:rsidRDefault="00B512CD">
      <w:pPr>
        <w:pStyle w:val="ListParagraph"/>
        <w:rPr>
          <w:rFonts w:ascii="Times New Roman" w:hAnsi="Times New Roman" w:cs="Times New Roman"/>
          <w:sz w:val="24"/>
          <w:szCs w:val="24"/>
        </w:rPr>
      </w:pPr>
    </w:p>
    <w:p w:rsidR="00B512CD" w:rsidRDefault="00521215">
      <w:pPr>
        <w:numPr>
          <w:ilvl w:val="0"/>
          <w:numId w:val="1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Keeling, P. J., &amp; Fast, N. M. (2002). Microsporidia: biology and evolution of highly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 xml:space="preserve">reduced intracellular parasites, Annual Review of </w:t>
      </w:r>
      <w:proofErr w:type="spellStart"/>
      <w:r>
        <w:rPr>
          <w:rFonts w:ascii="Times New Roman" w:hAnsi="Times New Roman" w:cs="Times New Roman"/>
          <w:sz w:val="24"/>
          <w:szCs w:val="24"/>
        </w:rPr>
        <w:t>Microbiolog</w:t>
      </w:r>
      <w:proofErr w:type="spellEnd"/>
      <w:r>
        <w:rPr>
          <w:rFonts w:ascii="Times New Roman" w:hAnsi="Times New Roman" w:cs="Times New Roman"/>
          <w:sz w:val="24"/>
          <w:szCs w:val="24"/>
        </w:rPr>
        <w:t>. 56,</w:t>
      </w:r>
      <w:r>
        <w:rPr>
          <w:rFonts w:ascii="Times New Roman" w:hAnsi="Times New Roman" w:cs="Times New Roman"/>
          <w:b/>
          <w:bCs/>
          <w:sz w:val="24"/>
          <w:szCs w:val="24"/>
        </w:rPr>
        <w:t xml:space="preserve"> </w:t>
      </w:r>
      <w:r>
        <w:rPr>
          <w:rFonts w:ascii="Times New Roman" w:hAnsi="Times New Roman" w:cs="Times New Roman"/>
          <w:sz w:val="24"/>
          <w:szCs w:val="24"/>
        </w:rPr>
        <w:t>93-116.</w:t>
      </w:r>
    </w:p>
    <w:p w:rsidR="00B512CD" w:rsidRDefault="00B512CD">
      <w:pPr>
        <w:tabs>
          <w:tab w:val="left" w:pos="425"/>
        </w:tabs>
        <w:spacing w:after="0" w:line="276" w:lineRule="auto"/>
        <w:jc w:val="both"/>
        <w:rPr>
          <w:rFonts w:ascii="Times New Roman" w:hAnsi="Times New Roman" w:cs="Times New Roman"/>
          <w:sz w:val="24"/>
          <w:szCs w:val="24"/>
        </w:rPr>
      </w:pPr>
    </w:p>
    <w:p w:rsidR="00B512CD" w:rsidRDefault="00521215">
      <w:pPr>
        <w:numPr>
          <w:ilvl w:val="0"/>
          <w:numId w:val="1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Peter, A., </w:t>
      </w:r>
      <w:proofErr w:type="spellStart"/>
      <w:r>
        <w:rPr>
          <w:rFonts w:ascii="Times New Roman" w:hAnsi="Times New Roman" w:cs="Times New Roman"/>
          <w:sz w:val="24"/>
          <w:szCs w:val="24"/>
        </w:rPr>
        <w:t>Sadatula</w:t>
      </w:r>
      <w:proofErr w:type="spellEnd"/>
      <w:r>
        <w:rPr>
          <w:rFonts w:ascii="Times New Roman" w:hAnsi="Times New Roman" w:cs="Times New Roman"/>
          <w:sz w:val="24"/>
          <w:szCs w:val="24"/>
        </w:rPr>
        <w:t xml:space="preserve">, F., &amp; </w:t>
      </w:r>
      <w:proofErr w:type="spellStart"/>
      <w:r>
        <w:rPr>
          <w:rFonts w:ascii="Times New Roman" w:hAnsi="Times New Roman" w:cs="Times New Roman"/>
          <w:sz w:val="24"/>
          <w:szCs w:val="24"/>
        </w:rPr>
        <w:t>Devaiah</w:t>
      </w:r>
      <w:proofErr w:type="spellEnd"/>
      <w:r>
        <w:rPr>
          <w:rFonts w:ascii="Times New Roman" w:hAnsi="Times New Roman" w:cs="Times New Roman"/>
          <w:sz w:val="24"/>
          <w:szCs w:val="24"/>
        </w:rPr>
        <w:t xml:space="preserve">, M. C., (1999). The viral bacterial and protozoan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 xml:space="preserve">diseases of the silkworm, </w:t>
      </w:r>
      <w:r>
        <w:rPr>
          <w:rFonts w:ascii="Times New Roman" w:hAnsi="Times New Roman" w:cs="Times New Roman"/>
          <w:i/>
          <w:iCs/>
          <w:sz w:val="24"/>
          <w:szCs w:val="24"/>
        </w:rPr>
        <w:t>Bombyx mori</w:t>
      </w:r>
      <w:r>
        <w:rPr>
          <w:rFonts w:ascii="Times New Roman" w:hAnsi="Times New Roman" w:cs="Times New Roman"/>
          <w:sz w:val="24"/>
          <w:szCs w:val="24"/>
        </w:rPr>
        <w:t xml:space="preserve"> L., Advances in mulberry sericulture </w:t>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Pr>
          <w:rFonts w:ascii="Times New Roman" w:hAnsi="Times New Roman" w:cs="Times New Roman"/>
          <w:sz w:val="24"/>
          <w:szCs w:val="24"/>
        </w:rPr>
        <w:t>Banglore</w:t>
      </w:r>
      <w:proofErr w:type="spellEnd"/>
      <w:r>
        <w:rPr>
          <w:rFonts w:ascii="Times New Roman" w:hAnsi="Times New Roman" w:cs="Times New Roman"/>
          <w:sz w:val="24"/>
          <w:szCs w:val="24"/>
        </w:rPr>
        <w:t>, India: C.V.G. publications. 378-457.</w:t>
      </w:r>
    </w:p>
    <w:p w:rsidR="00B512CD" w:rsidRDefault="00B512CD">
      <w:pPr>
        <w:pStyle w:val="ListParagraph"/>
        <w:rPr>
          <w:rFonts w:ascii="Times New Roman" w:hAnsi="Times New Roman" w:cs="Times New Roman"/>
          <w:sz w:val="24"/>
          <w:szCs w:val="24"/>
        </w:rPr>
      </w:pPr>
    </w:p>
    <w:p w:rsidR="00B512CD" w:rsidRDefault="00521215">
      <w:pPr>
        <w:numPr>
          <w:ilvl w:val="0"/>
          <w:numId w:val="1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Singh, R. N., Daniel, A. G. K., </w:t>
      </w:r>
      <w:proofErr w:type="spellStart"/>
      <w:r>
        <w:rPr>
          <w:rFonts w:ascii="Times New Roman" w:hAnsi="Times New Roman" w:cs="Times New Roman"/>
          <w:sz w:val="24"/>
          <w:szCs w:val="24"/>
        </w:rPr>
        <w:t>Sindaggi</w:t>
      </w:r>
      <w:proofErr w:type="spellEnd"/>
      <w:r>
        <w:rPr>
          <w:rFonts w:ascii="Times New Roman" w:hAnsi="Times New Roman" w:cs="Times New Roman"/>
          <w:sz w:val="24"/>
          <w:szCs w:val="24"/>
        </w:rPr>
        <w:t xml:space="preserve">, S. S., &amp; </w:t>
      </w:r>
      <w:proofErr w:type="spellStart"/>
      <w:r>
        <w:rPr>
          <w:rFonts w:ascii="Times New Roman" w:hAnsi="Times New Roman" w:cs="Times New Roman"/>
          <w:sz w:val="24"/>
          <w:szCs w:val="24"/>
        </w:rPr>
        <w:t>Kamble</w:t>
      </w:r>
      <w:proofErr w:type="spellEnd"/>
      <w:r>
        <w:rPr>
          <w:rFonts w:ascii="Times New Roman" w:hAnsi="Times New Roman" w:cs="Times New Roman"/>
          <w:sz w:val="24"/>
          <w:szCs w:val="24"/>
        </w:rPr>
        <w:t xml:space="preserve">, C. K. (2007). Microsporidians </w:t>
      </w:r>
      <w:r>
        <w:rPr>
          <w:rFonts w:ascii="Times New Roman" w:hAnsi="Times New Roman" w:cs="Times New Roman"/>
          <w:sz w:val="24"/>
          <w:szCs w:val="24"/>
          <w:lang w:val="en-US"/>
        </w:rPr>
        <w:tab/>
        <w:t xml:space="preserve"> </w:t>
      </w:r>
      <w:r>
        <w:rPr>
          <w:rFonts w:ascii="Times New Roman" w:hAnsi="Times New Roman" w:cs="Times New Roman"/>
          <w:sz w:val="24"/>
          <w:szCs w:val="24"/>
        </w:rPr>
        <w:t xml:space="preserve">infecting silkworm, </w:t>
      </w:r>
      <w:r>
        <w:rPr>
          <w:rFonts w:ascii="Times New Roman" w:hAnsi="Times New Roman" w:cs="Times New Roman"/>
          <w:i/>
          <w:iCs/>
          <w:sz w:val="24"/>
          <w:szCs w:val="24"/>
        </w:rPr>
        <w:t>Bombyx mori</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Sericologia</w:t>
      </w:r>
      <w:proofErr w:type="spellEnd"/>
      <w:r>
        <w:rPr>
          <w:rFonts w:ascii="Times New Roman" w:hAnsi="Times New Roman" w:cs="Times New Roman"/>
          <w:sz w:val="24"/>
          <w:szCs w:val="24"/>
        </w:rPr>
        <w:t>., 47,1-16.</w:t>
      </w:r>
    </w:p>
    <w:p w:rsidR="00B512CD" w:rsidRDefault="00B512CD">
      <w:pPr>
        <w:pStyle w:val="ListParagraph"/>
        <w:rPr>
          <w:rFonts w:ascii="Times New Roman" w:hAnsi="Times New Roman" w:cs="Times New Roman"/>
          <w:sz w:val="24"/>
          <w:szCs w:val="24"/>
        </w:rPr>
      </w:pPr>
    </w:p>
    <w:p w:rsidR="00B512CD" w:rsidRDefault="00521215">
      <w:pPr>
        <w:numPr>
          <w:ilvl w:val="0"/>
          <w:numId w:val="10"/>
        </w:numPr>
        <w:spacing w:after="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Siripuk</w:t>
      </w:r>
      <w:proofErr w:type="spellEnd"/>
      <w:r>
        <w:rPr>
          <w:rFonts w:ascii="Times New Roman" w:hAnsi="Times New Roman" w:cs="Times New Roman"/>
          <w:sz w:val="24"/>
          <w:szCs w:val="24"/>
        </w:rPr>
        <w:t xml:space="preserve">, S., &amp; </w:t>
      </w:r>
      <w:proofErr w:type="spellStart"/>
      <w:r>
        <w:rPr>
          <w:rFonts w:ascii="Times New Roman" w:hAnsi="Times New Roman" w:cs="Times New Roman"/>
          <w:sz w:val="24"/>
          <w:szCs w:val="24"/>
        </w:rPr>
        <w:t>Terenius</w:t>
      </w:r>
      <w:proofErr w:type="spellEnd"/>
      <w:r>
        <w:rPr>
          <w:rFonts w:ascii="Times New Roman" w:hAnsi="Times New Roman" w:cs="Times New Roman"/>
          <w:sz w:val="24"/>
          <w:szCs w:val="24"/>
        </w:rPr>
        <w:t>, O. (2021). Supplementation of </w:t>
      </w:r>
      <w:r>
        <w:rPr>
          <w:rFonts w:ascii="Times New Roman" w:hAnsi="Times New Roman" w:cs="Times New Roman"/>
          <w:i/>
          <w:sz w:val="24"/>
          <w:szCs w:val="24"/>
        </w:rPr>
        <w:t xml:space="preserve">Lactobacillus </w:t>
      </w:r>
      <w:proofErr w:type="spellStart"/>
      <w:r>
        <w:rPr>
          <w:rFonts w:ascii="Times New Roman" w:hAnsi="Times New Roman" w:cs="Times New Roman"/>
          <w:i/>
          <w:sz w:val="24"/>
          <w:szCs w:val="24"/>
        </w:rPr>
        <w:t>casei</w:t>
      </w:r>
      <w:proofErr w:type="spellEnd"/>
      <w:r>
        <w:rPr>
          <w:rFonts w:ascii="Times New Roman" w:hAnsi="Times New Roman" w:cs="Times New Roman"/>
          <w:sz w:val="24"/>
          <w:szCs w:val="24"/>
        </w:rPr>
        <w:t xml:space="preserve"> reduces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the mortality of </w:t>
      </w:r>
      <w:r>
        <w:rPr>
          <w:rFonts w:ascii="Times New Roman" w:hAnsi="Times New Roman" w:cs="Times New Roman"/>
          <w:i/>
          <w:sz w:val="24"/>
          <w:szCs w:val="24"/>
        </w:rPr>
        <w:t>Bombyx mori</w:t>
      </w:r>
      <w:r>
        <w:rPr>
          <w:rFonts w:ascii="Times New Roman" w:hAnsi="Times New Roman" w:cs="Times New Roman"/>
          <w:sz w:val="24"/>
          <w:szCs w:val="24"/>
        </w:rPr>
        <w:t xml:space="preserve"> larvae challenged by </w:t>
      </w:r>
      <w:r>
        <w:rPr>
          <w:rFonts w:ascii="Times New Roman" w:hAnsi="Times New Roman" w:cs="Times New Roman"/>
          <w:i/>
          <w:sz w:val="24"/>
          <w:szCs w:val="24"/>
        </w:rPr>
        <w:t xml:space="preserve">Nosema </w:t>
      </w:r>
      <w:proofErr w:type="spellStart"/>
      <w:r>
        <w:rPr>
          <w:rFonts w:ascii="Times New Roman" w:hAnsi="Times New Roman" w:cs="Times New Roman"/>
          <w:i/>
          <w:sz w:val="24"/>
          <w:szCs w:val="24"/>
        </w:rPr>
        <w:t>bombycis</w:t>
      </w:r>
      <w:proofErr w:type="spellEnd"/>
      <w:r>
        <w:rPr>
          <w:rFonts w:ascii="Times New Roman" w:hAnsi="Times New Roman" w:cs="Times New Roman"/>
          <w:i/>
          <w:sz w:val="24"/>
          <w:szCs w:val="24"/>
        </w:rPr>
        <w:t xml:space="preserve">. BMC </w:t>
      </w:r>
      <w:r>
        <w:rPr>
          <w:rFonts w:ascii="Times New Roman" w:hAnsi="Times New Roman" w:cs="Times New Roman"/>
          <w:i/>
          <w:sz w:val="24"/>
          <w:szCs w:val="24"/>
          <w:lang w:val="en-US"/>
        </w:rPr>
        <w:tab/>
      </w:r>
      <w:r>
        <w:rPr>
          <w:rFonts w:ascii="Times New Roman" w:hAnsi="Times New Roman" w:cs="Times New Roman"/>
          <w:i/>
          <w:sz w:val="24"/>
          <w:szCs w:val="24"/>
          <w:lang w:val="en-US"/>
        </w:rPr>
        <w:tab/>
      </w:r>
      <w:proofErr w:type="gramStart"/>
      <w:r>
        <w:rPr>
          <w:rFonts w:ascii="Times New Roman" w:hAnsi="Times New Roman" w:cs="Times New Roman"/>
          <w:i/>
          <w:sz w:val="24"/>
          <w:szCs w:val="24"/>
        </w:rPr>
        <w:t>Res  Notes</w:t>
      </w:r>
      <w:proofErr w:type="gramEnd"/>
      <w:r>
        <w:rPr>
          <w:rFonts w:ascii="Times New Roman" w:hAnsi="Times New Roman" w:cs="Times New Roman"/>
          <w:i/>
          <w:sz w:val="24"/>
          <w:szCs w:val="24"/>
        </w:rPr>
        <w:t>.,</w:t>
      </w:r>
      <w:r>
        <w:rPr>
          <w:rFonts w:ascii="Times New Roman" w:hAnsi="Times New Roman" w:cs="Times New Roman"/>
          <w:sz w:val="24"/>
          <w:szCs w:val="24"/>
        </w:rPr>
        <w:t xml:space="preserve"> 14(1), 398.</w:t>
      </w:r>
    </w:p>
    <w:p w:rsidR="00B512CD" w:rsidRDefault="00B512CD">
      <w:pPr>
        <w:spacing w:after="0" w:line="276" w:lineRule="auto"/>
        <w:jc w:val="both"/>
        <w:rPr>
          <w:rFonts w:ascii="Times New Roman" w:hAnsi="Times New Roman" w:cs="Times New Roman"/>
          <w:sz w:val="24"/>
          <w:szCs w:val="24"/>
        </w:rPr>
      </w:pPr>
    </w:p>
    <w:p w:rsidR="00B512CD" w:rsidRDefault="00521215">
      <w:pPr>
        <w:numPr>
          <w:ilvl w:val="0"/>
          <w:numId w:val="10"/>
        </w:numPr>
        <w:spacing w:after="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Steinlaus</w:t>
      </w:r>
      <w:proofErr w:type="spellEnd"/>
      <w:r>
        <w:rPr>
          <w:rFonts w:ascii="Times New Roman" w:hAnsi="Times New Roman" w:cs="Times New Roman"/>
          <w:sz w:val="24"/>
          <w:szCs w:val="24"/>
        </w:rPr>
        <w:t xml:space="preserve">, E. A. (1949). Protozoan infections. In: principles of insect pathology, MC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Graw Hills Book Company INC., New York.</w:t>
      </w:r>
    </w:p>
    <w:p w:rsidR="00B512CD" w:rsidRDefault="00B512CD">
      <w:pPr>
        <w:pStyle w:val="ListParagraph"/>
        <w:rPr>
          <w:rFonts w:ascii="Times New Roman" w:hAnsi="Times New Roman" w:cs="Times New Roman"/>
          <w:sz w:val="24"/>
          <w:szCs w:val="24"/>
        </w:rPr>
      </w:pPr>
    </w:p>
    <w:p w:rsidR="00B512CD" w:rsidRDefault="00521215">
      <w:pPr>
        <w:pStyle w:val="ListParagraph"/>
        <w:numPr>
          <w:ilvl w:val="0"/>
          <w:numId w:val="10"/>
        </w:numPr>
        <w:jc w:val="both"/>
        <w:rPr>
          <w:rFonts w:ascii="Times New Roman" w:hAnsi="Times New Roman" w:cs="Times New Roman"/>
          <w:sz w:val="24"/>
          <w:szCs w:val="24"/>
          <w:lang w:val="en-GB"/>
        </w:rPr>
      </w:pPr>
      <w:r>
        <w:rPr>
          <w:rFonts w:ascii="Times New Roman" w:hAnsi="Times New Roman" w:cs="Times New Roman"/>
          <w:sz w:val="24"/>
          <w:szCs w:val="24"/>
          <w:lang w:val="en-GB"/>
        </w:rPr>
        <w:t>Sudan, N., Sharma, M., Gupta, R. K., &amp; Bali, K. (2024). Enhancing Silkworm (</w:t>
      </w:r>
      <w:r>
        <w:rPr>
          <w:rFonts w:ascii="Times New Roman" w:hAnsi="Times New Roman" w:cs="Times New Roman"/>
          <w:i/>
          <w:iCs/>
          <w:sz w:val="24"/>
          <w:szCs w:val="24"/>
          <w:lang w:val="en-GB"/>
        </w:rPr>
        <w:t xml:space="preserve">Bombyx </w:t>
      </w:r>
      <w:r>
        <w:rPr>
          <w:rFonts w:ascii="Times New Roman" w:hAnsi="Times New Roman" w:cs="Times New Roman"/>
          <w:i/>
          <w:iCs/>
          <w:sz w:val="24"/>
          <w:szCs w:val="24"/>
          <w:lang w:val="en-US"/>
        </w:rPr>
        <w:tab/>
      </w:r>
      <w:r>
        <w:rPr>
          <w:rFonts w:ascii="Times New Roman" w:hAnsi="Times New Roman" w:cs="Times New Roman"/>
          <w:i/>
          <w:iCs/>
          <w:sz w:val="24"/>
          <w:szCs w:val="24"/>
          <w:lang w:val="en-US"/>
        </w:rPr>
        <w:tab/>
      </w:r>
      <w:r>
        <w:rPr>
          <w:rFonts w:ascii="Times New Roman" w:hAnsi="Times New Roman" w:cs="Times New Roman"/>
          <w:i/>
          <w:iCs/>
          <w:sz w:val="24"/>
          <w:szCs w:val="24"/>
          <w:lang w:val="en-GB"/>
        </w:rPr>
        <w:t>mori</w:t>
      </w:r>
      <w:r>
        <w:rPr>
          <w:rFonts w:ascii="Times New Roman" w:hAnsi="Times New Roman" w:cs="Times New Roman"/>
          <w:sz w:val="24"/>
          <w:szCs w:val="24"/>
          <w:lang w:val="en-GB"/>
        </w:rPr>
        <w:t xml:space="preserve"> L.) Larval Survivability Through Spermidine Supplementation. J.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GB"/>
        </w:rPr>
        <w:t>Advances in Biology &amp; Biotechnology, 27(12), 702–706.</w:t>
      </w:r>
    </w:p>
    <w:p w:rsidR="00B512CD" w:rsidRDefault="00521215">
      <w:pPr>
        <w:numPr>
          <w:ilvl w:val="0"/>
          <w:numId w:val="10"/>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Takizawa, H., </w:t>
      </w:r>
      <w:proofErr w:type="spellStart"/>
      <w:r>
        <w:rPr>
          <w:rFonts w:ascii="Times New Roman" w:hAnsi="Times New Roman" w:cs="Times New Roman"/>
          <w:sz w:val="24"/>
          <w:szCs w:val="24"/>
        </w:rPr>
        <w:t>Vivier</w:t>
      </w:r>
      <w:proofErr w:type="spellEnd"/>
      <w:r>
        <w:rPr>
          <w:rFonts w:ascii="Times New Roman" w:hAnsi="Times New Roman" w:cs="Times New Roman"/>
          <w:sz w:val="24"/>
          <w:szCs w:val="24"/>
        </w:rPr>
        <w:t xml:space="preserve">, E., &amp; </w:t>
      </w:r>
      <w:proofErr w:type="spellStart"/>
      <w:r>
        <w:rPr>
          <w:rFonts w:ascii="Times New Roman" w:hAnsi="Times New Roman" w:cs="Times New Roman"/>
          <w:sz w:val="24"/>
          <w:szCs w:val="24"/>
        </w:rPr>
        <w:t>Pettprez</w:t>
      </w:r>
      <w:proofErr w:type="spellEnd"/>
      <w:r>
        <w:rPr>
          <w:rFonts w:ascii="Times New Roman" w:hAnsi="Times New Roman" w:cs="Times New Roman"/>
          <w:sz w:val="24"/>
          <w:szCs w:val="24"/>
        </w:rPr>
        <w:t xml:space="preserve">, A. (1975). </w:t>
      </w:r>
      <w:proofErr w:type="spellStart"/>
      <w:r>
        <w:rPr>
          <w:rFonts w:ascii="Times New Roman" w:hAnsi="Times New Roman" w:cs="Times New Roman"/>
          <w:sz w:val="24"/>
          <w:szCs w:val="24"/>
        </w:rPr>
        <w:t>Recherches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cytochiniques</w:t>
      </w:r>
      <w:proofErr w:type="spellEnd"/>
      <w:r>
        <w:rPr>
          <w:rFonts w:ascii="Times New Roman" w:hAnsi="Times New Roman" w:cs="Times New Roman"/>
          <w:sz w:val="24"/>
          <w:szCs w:val="24"/>
        </w:rPr>
        <w:t xml:space="preserve"> sur ls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Pr>
          <w:rFonts w:ascii="Times New Roman" w:hAnsi="Times New Roman" w:cs="Times New Roman"/>
          <w:sz w:val="24"/>
          <w:szCs w:val="24"/>
        </w:rPr>
        <w:t>microsporidie</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Nosema </w:t>
      </w:r>
      <w:proofErr w:type="spellStart"/>
      <w:r>
        <w:rPr>
          <w:rFonts w:ascii="Times New Roman" w:hAnsi="Times New Roman" w:cs="Times New Roman"/>
          <w:i/>
          <w:iCs/>
          <w:sz w:val="24"/>
          <w:szCs w:val="24"/>
        </w:rPr>
        <w:t>bombycis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ancours</w:t>
      </w:r>
      <w:proofErr w:type="spellEnd"/>
      <w:r>
        <w:rPr>
          <w:rFonts w:ascii="Times New Roman" w:hAnsi="Times New Roman" w:cs="Times New Roman"/>
          <w:sz w:val="24"/>
          <w:szCs w:val="24"/>
        </w:rPr>
        <w:t xml:space="preserve"> de son development chez lever a soil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w:t>
      </w:r>
      <w:r>
        <w:rPr>
          <w:rFonts w:ascii="Times New Roman" w:hAnsi="Times New Roman" w:cs="Times New Roman"/>
          <w:i/>
          <w:iCs/>
          <w:sz w:val="24"/>
          <w:szCs w:val="24"/>
        </w:rPr>
        <w:t>Bombyx mori</w:t>
      </w:r>
      <w:r>
        <w:rPr>
          <w:rFonts w:ascii="Times New Roman" w:hAnsi="Times New Roman" w:cs="Times New Roman"/>
          <w:sz w:val="24"/>
          <w:szCs w:val="24"/>
        </w:rPr>
        <w:t xml:space="preserve">). </w:t>
      </w:r>
      <w:r>
        <w:rPr>
          <w:rFonts w:ascii="Times New Roman" w:hAnsi="Times New Roman" w:cs="Times New Roman"/>
          <w:i/>
          <w:iCs/>
          <w:sz w:val="24"/>
          <w:szCs w:val="24"/>
        </w:rPr>
        <w:t xml:space="preserve">J.  </w:t>
      </w:r>
      <w:proofErr w:type="spellStart"/>
      <w:r>
        <w:rPr>
          <w:rFonts w:ascii="Times New Roman" w:hAnsi="Times New Roman" w:cs="Times New Roman"/>
          <w:i/>
          <w:iCs/>
          <w:sz w:val="24"/>
          <w:szCs w:val="24"/>
        </w:rPr>
        <w:t>Protozo</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22,</w:t>
      </w:r>
      <w:r>
        <w:rPr>
          <w:rFonts w:ascii="Times New Roman" w:hAnsi="Times New Roman" w:cs="Times New Roman"/>
          <w:b/>
          <w:bCs/>
          <w:sz w:val="24"/>
          <w:szCs w:val="24"/>
        </w:rPr>
        <w:t xml:space="preserve"> </w:t>
      </w:r>
      <w:r>
        <w:rPr>
          <w:rFonts w:ascii="Times New Roman" w:hAnsi="Times New Roman" w:cs="Times New Roman"/>
          <w:sz w:val="24"/>
          <w:szCs w:val="24"/>
        </w:rPr>
        <w:t xml:space="preserve">359-368. </w:t>
      </w:r>
    </w:p>
    <w:p w:rsidR="00B512CD" w:rsidRDefault="00521215">
      <w:pPr>
        <w:numPr>
          <w:ilvl w:val="0"/>
          <w:numId w:val="10"/>
        </w:numPr>
        <w:jc w:val="both"/>
        <w:rPr>
          <w:rFonts w:ascii="Times New Roman" w:hAnsi="Times New Roman" w:cs="Times New Roman"/>
          <w:sz w:val="24"/>
          <w:szCs w:val="24"/>
        </w:rPr>
      </w:pPr>
      <w:proofErr w:type="spellStart"/>
      <w:r>
        <w:rPr>
          <w:rFonts w:ascii="Times New Roman" w:hAnsi="Times New Roman" w:cs="Times New Roman"/>
          <w:sz w:val="24"/>
          <w:szCs w:val="24"/>
        </w:rPr>
        <w:t>Vavra</w:t>
      </w:r>
      <w:proofErr w:type="spellEnd"/>
      <w:r>
        <w:rPr>
          <w:rFonts w:ascii="Times New Roman" w:hAnsi="Times New Roman" w:cs="Times New Roman"/>
          <w:sz w:val="24"/>
          <w:szCs w:val="24"/>
        </w:rPr>
        <w:t xml:space="preserve">, J., &amp; Maddox, J. V. (1976). Methods in </w:t>
      </w:r>
      <w:proofErr w:type="spellStart"/>
      <w:r>
        <w:rPr>
          <w:rFonts w:ascii="Times New Roman" w:hAnsi="Times New Roman" w:cs="Times New Roman"/>
          <w:sz w:val="24"/>
          <w:szCs w:val="24"/>
        </w:rPr>
        <w:t>microsporidiology</w:t>
      </w:r>
      <w:proofErr w:type="spellEnd"/>
      <w:r>
        <w:rPr>
          <w:rFonts w:ascii="Times New Roman" w:hAnsi="Times New Roman" w:cs="Times New Roman"/>
          <w:sz w:val="24"/>
          <w:szCs w:val="24"/>
        </w:rPr>
        <w:t xml:space="preserve">., Comparative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pathobiology, New York: Plenum Publishing Corporation., 1</w:t>
      </w:r>
      <w:r>
        <w:rPr>
          <w:rFonts w:ascii="Times New Roman" w:hAnsi="Times New Roman" w:cs="Times New Roman"/>
          <w:b/>
          <w:bCs/>
          <w:sz w:val="24"/>
          <w:szCs w:val="24"/>
        </w:rPr>
        <w:t>,</w:t>
      </w:r>
      <w:r>
        <w:rPr>
          <w:rFonts w:ascii="Times New Roman" w:hAnsi="Times New Roman" w:cs="Times New Roman"/>
          <w:sz w:val="24"/>
          <w:szCs w:val="24"/>
        </w:rPr>
        <w:t>107-121.</w:t>
      </w:r>
    </w:p>
    <w:p w:rsidR="00B512CD" w:rsidRDefault="00B512CD">
      <w:pPr>
        <w:rPr>
          <w:rFonts w:ascii="Times New Roman" w:hAnsi="Times New Roman" w:cs="Times New Roman"/>
          <w:sz w:val="24"/>
          <w:szCs w:val="24"/>
        </w:rPr>
      </w:pPr>
    </w:p>
    <w:sectPr w:rsidR="00B512C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545" w:rsidRDefault="00DB6545">
      <w:pPr>
        <w:spacing w:line="240" w:lineRule="auto"/>
      </w:pPr>
      <w:r>
        <w:separator/>
      </w:r>
    </w:p>
  </w:endnote>
  <w:endnote w:type="continuationSeparator" w:id="0">
    <w:p w:rsidR="00DB6545" w:rsidRDefault="00DB65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2CD" w:rsidRDefault="00B512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2CD" w:rsidRDefault="00B512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2CD" w:rsidRDefault="00B51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545" w:rsidRDefault="00DB6545">
      <w:pPr>
        <w:spacing w:after="0"/>
      </w:pPr>
      <w:r>
        <w:separator/>
      </w:r>
    </w:p>
  </w:footnote>
  <w:footnote w:type="continuationSeparator" w:id="0">
    <w:p w:rsidR="00DB6545" w:rsidRDefault="00DB65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2CD" w:rsidRDefault="00DB6545">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699016" o:spid="_x0000_s2050" type="#_x0000_t136" style="position:absolute;margin-left:0;margin-top:0;width:535.8pt;height:100.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2CD" w:rsidRDefault="00DB6545">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699017" o:spid="_x0000_s2051" type="#_x0000_t136" style="position:absolute;margin-left:0;margin-top:0;width:535.8pt;height:100.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2CD" w:rsidRDefault="00DB6545">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699015" o:spid="_x0000_s2049" type="#_x0000_t136" style="position:absolute;margin-left:0;margin-top:0;width:535.8pt;height:100.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A4050"/>
    <w:multiLevelType w:val="multilevel"/>
    <w:tmpl w:val="07EA4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33B091"/>
    <w:multiLevelType w:val="singleLevel"/>
    <w:tmpl w:val="0B33B091"/>
    <w:lvl w:ilvl="0">
      <w:start w:val="1"/>
      <w:numFmt w:val="decimal"/>
      <w:lvlText w:val="%1."/>
      <w:lvlJc w:val="left"/>
      <w:pPr>
        <w:tabs>
          <w:tab w:val="left" w:pos="425"/>
        </w:tabs>
        <w:ind w:left="425" w:hanging="425"/>
      </w:pPr>
      <w:rPr>
        <w:rFonts w:hint="default"/>
      </w:rPr>
    </w:lvl>
  </w:abstractNum>
  <w:abstractNum w:abstractNumId="2" w15:restartNumberingAfterBreak="0">
    <w:nsid w:val="1C162083"/>
    <w:multiLevelType w:val="multilevel"/>
    <w:tmpl w:val="1C162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FB91876"/>
    <w:multiLevelType w:val="multilevel"/>
    <w:tmpl w:val="2FB91876"/>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E86786"/>
    <w:multiLevelType w:val="multilevel"/>
    <w:tmpl w:val="34E8678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39553931"/>
    <w:multiLevelType w:val="multilevel"/>
    <w:tmpl w:val="3955393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45CA2095"/>
    <w:multiLevelType w:val="multilevel"/>
    <w:tmpl w:val="45CA2095"/>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5C277E18"/>
    <w:multiLevelType w:val="multilevel"/>
    <w:tmpl w:val="5C277E1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70C05593"/>
    <w:multiLevelType w:val="multilevel"/>
    <w:tmpl w:val="70C0559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79D236BD"/>
    <w:multiLevelType w:val="multilevel"/>
    <w:tmpl w:val="79D236B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0"/>
  </w:num>
  <w:num w:numId="3">
    <w:abstractNumId w:val="5"/>
  </w:num>
  <w:num w:numId="4">
    <w:abstractNumId w:val="2"/>
  </w:num>
  <w:num w:numId="5">
    <w:abstractNumId w:val="7"/>
  </w:num>
  <w:num w:numId="6">
    <w:abstractNumId w:val="8"/>
  </w:num>
  <w:num w:numId="7">
    <w:abstractNumId w:val="6"/>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300"/>
    <w:rsid w:val="00001D26"/>
    <w:rsid w:val="000F6845"/>
    <w:rsid w:val="00161836"/>
    <w:rsid w:val="001670FB"/>
    <w:rsid w:val="00200F88"/>
    <w:rsid w:val="00222301"/>
    <w:rsid w:val="00236329"/>
    <w:rsid w:val="002C6563"/>
    <w:rsid w:val="003663ED"/>
    <w:rsid w:val="003D4452"/>
    <w:rsid w:val="0042375F"/>
    <w:rsid w:val="004464A4"/>
    <w:rsid w:val="00452D0C"/>
    <w:rsid w:val="00476C75"/>
    <w:rsid w:val="00483E4E"/>
    <w:rsid w:val="004E3F7B"/>
    <w:rsid w:val="00521215"/>
    <w:rsid w:val="005D57DC"/>
    <w:rsid w:val="00603B61"/>
    <w:rsid w:val="00672578"/>
    <w:rsid w:val="006D166D"/>
    <w:rsid w:val="006D3A01"/>
    <w:rsid w:val="00717812"/>
    <w:rsid w:val="007212F0"/>
    <w:rsid w:val="00756300"/>
    <w:rsid w:val="007F167D"/>
    <w:rsid w:val="00862AB7"/>
    <w:rsid w:val="008C52BF"/>
    <w:rsid w:val="00913F21"/>
    <w:rsid w:val="009B03A0"/>
    <w:rsid w:val="009F7851"/>
    <w:rsid w:val="00A56C02"/>
    <w:rsid w:val="00B512CD"/>
    <w:rsid w:val="00B762D9"/>
    <w:rsid w:val="00C329D6"/>
    <w:rsid w:val="00C524BF"/>
    <w:rsid w:val="00CA486F"/>
    <w:rsid w:val="00CB0CC9"/>
    <w:rsid w:val="00D0721D"/>
    <w:rsid w:val="00D10420"/>
    <w:rsid w:val="00DB6545"/>
    <w:rsid w:val="00DC6AAA"/>
    <w:rsid w:val="00F136C3"/>
    <w:rsid w:val="00FF3AA3"/>
    <w:rsid w:val="1AA3224C"/>
    <w:rsid w:val="39385998"/>
    <w:rsid w:val="42EA6F9E"/>
    <w:rsid w:val="47D334E4"/>
    <w:rsid w:val="5F8147B6"/>
    <w:rsid w:val="6B27427E"/>
    <w:rsid w:val="6BB22FCD"/>
    <w:rsid w:val="743F3744"/>
  </w:rsids>
  <m:mathPr>
    <m:mathFont m:val="Cambria Math"/>
    <m:brkBin m:val="before"/>
    <m:brkBinSub m:val="--"/>
    <m:smallFrac m:val="0"/>
    <m:dispDef/>
    <m:lMargin m:val="0"/>
    <m:rMargin m:val="0"/>
    <m:defJc m:val="centerGroup"/>
    <m:wrapIndent m:val="1440"/>
    <m:intLim m:val="subSup"/>
    <m:naryLim m:val="undOvr"/>
  </m:mathPr>
  <w:themeFontLang w:val="en-IN"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389DAE"/>
  <w15:docId w15:val="{E5E070CE-E9B0-4089-8BF3-F1E79C26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n-IN" w:bidi="kn-IN"/>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lang w:val="en-US" w:bidi="ar-SA"/>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sz w:val="22"/>
      <w:szCs w:val="22"/>
      <w:lang w:val="en-IN"/>
    </w:rPr>
  </w:style>
  <w:style w:type="character" w:customStyle="1" w:styleId="FooterChar">
    <w:name w:val="Footer Char"/>
    <w:basedOn w:val="DefaultParagraphFont"/>
    <w:link w:val="Footer"/>
    <w:uiPriority w:val="99"/>
    <w:qFormat/>
    <w:rPr>
      <w:sz w:val="22"/>
      <w:szCs w:val="22"/>
      <w:lang w:val="en-IN"/>
    </w:rPr>
  </w:style>
  <w:style w:type="character" w:customStyle="1" w:styleId="relative">
    <w:name w:val="relative"/>
    <w:basedOn w:val="DefaultParagraphFont"/>
    <w:qFormat/>
  </w:style>
  <w:style w:type="character" w:customStyle="1" w:styleId="ms-1">
    <w:name w:val="ms-1"/>
    <w:basedOn w:val="DefaultParagraphFont"/>
    <w:qFormat/>
  </w:style>
  <w:style w:type="character" w:customStyle="1" w:styleId="max-w-full">
    <w:name w:val="max-w-full"/>
    <w:basedOn w:val="DefaultParagraphFont"/>
    <w:qFormat/>
  </w:style>
  <w:style w:type="character" w:customStyle="1" w:styleId="-me-1">
    <w:name w:val="-me-1"/>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17</Pages>
  <Words>5275</Words>
  <Characters>30073</Characters>
  <Application>Microsoft Office Word</Application>
  <DocSecurity>0</DocSecurity>
  <Lines>250</Lines>
  <Paragraphs>70</Paragraphs>
  <ScaleCrop>false</ScaleCrop>
  <Company/>
  <LinksUpToDate>false</LinksUpToDate>
  <CharactersWithSpaces>35278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1089</cp:lastModifiedBy>
  <cp:revision>27</cp:revision>
  <dcterms:created xsi:type="dcterms:W3CDTF">2025-07-12T05:34:00Z</dcterms:created>
  <dcterms:modified xsi:type="dcterms:W3CDTF">2025-07-29T08:11:00Z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2AA593D237A74C4B85EA1436129727B0_12</vt:lpwstr>
  </property>
</Properties>
</file>