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2513519" w14:textId="60539073" w:rsidR="00754C9A" w:rsidRPr="00BD6ACF" w:rsidRDefault="00BD6ACF" w:rsidP="00441B6F">
      <w:pPr>
        <w:pStyle w:val="Title"/>
        <w:spacing w:after="0"/>
        <w:jc w:val="both"/>
        <w:rPr>
          <w:rFonts w:ascii="Arial" w:hAnsi="Arial" w:cs="Arial"/>
          <w:bCs/>
          <w:iCs/>
        </w:rPr>
      </w:pPr>
      <w:r w:rsidRPr="00BD6ACF">
        <w:rPr>
          <w:rFonts w:ascii="Arial" w:hAnsi="Arial" w:cs="Arial"/>
          <w:u w:val="single"/>
        </w:rPr>
        <w:t xml:space="preserve">Review Article              </w:t>
      </w:r>
      <w:r w:rsidRPr="00BD6ACF">
        <w:rPr>
          <w:rFonts w:ascii="Arial" w:hAnsi="Arial" w:cs="Arial"/>
          <w:bCs/>
          <w:iCs/>
        </w:rPr>
        <w:t xml:space="preserve">     </w:t>
      </w:r>
    </w:p>
    <w:p w14:paraId="7612D6C4" w14:textId="6BE0C5AF" w:rsidR="00A258C3" w:rsidRPr="00790ADA" w:rsidRDefault="00105EB5" w:rsidP="00105EB5">
      <w:pPr>
        <w:pStyle w:val="Author"/>
        <w:spacing w:line="240" w:lineRule="auto"/>
        <w:rPr>
          <w:rFonts w:ascii="Arial" w:hAnsi="Arial" w:cs="Arial"/>
          <w:sz w:val="36"/>
        </w:rPr>
      </w:pPr>
      <w:r w:rsidRPr="00105EB5">
        <w:rPr>
          <w:rFonts w:ascii="Arial" w:hAnsi="Arial" w:cs="Arial"/>
          <w:bCs/>
          <w:iCs/>
          <w:kern w:val="28"/>
          <w:sz w:val="36"/>
          <w:highlight w:val="yellow"/>
        </w:rPr>
        <w:t>Silkworm (</w:t>
      </w:r>
      <w:r w:rsidRPr="00105EB5">
        <w:rPr>
          <w:rFonts w:ascii="Arial" w:hAnsi="Arial" w:cs="Arial"/>
          <w:bCs/>
          <w:i/>
          <w:iCs/>
          <w:kern w:val="28"/>
          <w:sz w:val="36"/>
          <w:highlight w:val="yellow"/>
        </w:rPr>
        <w:t>Bombyx mori</w:t>
      </w:r>
      <w:r w:rsidRPr="00105EB5">
        <w:rPr>
          <w:rFonts w:ascii="Arial" w:hAnsi="Arial" w:cs="Arial"/>
          <w:bCs/>
          <w:iCs/>
          <w:kern w:val="28"/>
          <w:sz w:val="36"/>
          <w:highlight w:val="yellow"/>
        </w:rPr>
        <w:t>) as a Promising Invertebrate Model for Drug Discovery, Pharmacokinetic Evaluation, and Preclinical Screening: Current Insights and Future Prospects</w:t>
      </w:r>
    </w:p>
    <w:p w14:paraId="462F0CD3" w14:textId="15E13652" w:rsidR="00FA1392" w:rsidRDefault="00FA1392" w:rsidP="00FB2144">
      <w:pPr>
        <w:suppressAutoHyphens/>
        <w:spacing w:before="113" w:after="113"/>
        <w:ind w:left="284" w:right="571"/>
        <w:jc w:val="right"/>
        <w:rPr>
          <w:rFonts w:ascii="Arial" w:eastAsia="Calibri" w:hAnsi="Arial" w:cs="Arial"/>
          <w:bCs/>
          <w:i/>
          <w:lang w:val="en-GB" w:eastAsia="zh-CN"/>
        </w:rPr>
      </w:pPr>
    </w:p>
    <w:p w14:paraId="6A3C81D5" w14:textId="77777777" w:rsidR="002C57D2" w:rsidRPr="00FB3A86" w:rsidRDefault="002C57D2" w:rsidP="00441B6F">
      <w:pPr>
        <w:pStyle w:val="Affiliation"/>
        <w:spacing w:after="0" w:line="240" w:lineRule="auto"/>
        <w:jc w:val="both"/>
        <w:rPr>
          <w:rFonts w:ascii="Arial" w:hAnsi="Arial" w:cs="Arial"/>
        </w:rPr>
      </w:pPr>
    </w:p>
    <w:p w14:paraId="2E4DB5ED" w14:textId="77777777" w:rsidR="00B01FCD" w:rsidRPr="00FB3A86" w:rsidRDefault="006155FC" w:rsidP="00441B6F">
      <w:pPr>
        <w:pStyle w:val="Copyright"/>
        <w:spacing w:after="0" w:line="240" w:lineRule="auto"/>
        <w:jc w:val="both"/>
        <w:rPr>
          <w:rFonts w:ascii="Arial" w:hAnsi="Arial" w:cs="Arial"/>
        </w:rPr>
        <w:sectPr w:rsidR="00B01FCD" w:rsidRPr="00FB3A86" w:rsidSect="00517E43">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noProof/>
        </w:rPr>
        <mc:AlternateContent>
          <mc:Choice Requires="wps">
            <w:drawing>
              <wp:inline distT="0" distB="0" distL="0" distR="0" wp14:anchorId="62E75D63" wp14:editId="60F6955A">
                <wp:extent cx="5303520" cy="0"/>
                <wp:effectExtent l="13335" t="14605" r="17145" b="13970"/>
                <wp:docPr id="4"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type w14:anchorId="242EE83B" id="_x0000_t32" coordsize="21600,21600" o:spt="32" o:oned="t" path="m,l21600,21600e" filled="f">
                <v:path arrowok="t" fillok="f" o:connecttype="none"/>
                <o:lock v:ext="edit" shapetype="t"/>
              </v:shapetype>
              <v:shape id="AutoShape 2" o:spid="_x0000_s1026" type="#_x0000_t32" style="width:417.6pt;height:0;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" strokeweight="1.5pt">
                <w10:anchorlock/>
              </v:shape>
            </w:pict>
          </mc:Fallback>
        </mc:AlternateContent>
      </w:r>
      <w:r w:rsidR="00FB3A86">
        <w:rPr>
          <w:rFonts w:ascii="Arial" w:hAnsi="Arial" w:cs="Arial"/>
        </w:rPr>
        <w:t>.</w:t>
      </w:r>
    </w:p>
    <w:p w14:paraId="76490E00" w14:textId="77777777" w:rsidR="00B01FCD" w:rsidRDefault="00B01FCD" w:rsidP="00441B6F">
      <w:pPr>
        <w:pStyle w:val="AbstHead"/>
        <w:spacing w:after="0"/>
        <w:jc w:val="both"/>
        <w:rPr>
          <w:rFonts w:ascii="Arial" w:hAnsi="Arial" w:cs="Arial"/>
        </w:rPr>
      </w:pPr>
      <w:r w:rsidRPr="00FB3A86">
        <w:rPr>
          <w:rFonts w:ascii="Arial" w:hAnsi="Arial" w:cs="Arial"/>
        </w:rPr>
        <w:t>ABSTRACT</w:t>
      </w:r>
    </w:p>
    <w:p w14:paraId="6BAB0C16"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296529" w:rsidRPr="001E44FE" w14:paraId="197DDF1E" w14:textId="77777777" w:rsidTr="001E44FE">
        <w:tc>
          <w:tcPr>
            <w:tcW w:w="9576" w:type="dxa"/>
            <w:shd w:val="clear" w:color="auto" w:fill="F2F2F2"/>
          </w:tcPr>
          <w:p w14:paraId="1C37888A" w14:textId="5EB96A0A" w:rsidR="00505F06" w:rsidRPr="00BA1B01" w:rsidRDefault="00FB2144" w:rsidP="00441B6F">
            <w:pPr>
              <w:pStyle w:val="Body"/>
              <w:spacing w:after="0"/>
              <w:rPr>
                <w:rFonts w:ascii="Arial" w:eastAsia="Calibri" w:hAnsi="Arial" w:cs="Arial"/>
                <w:szCs w:val="22"/>
              </w:rPr>
            </w:pPr>
            <w:r w:rsidRPr="00FB2144">
              <w:rPr>
                <w:rFonts w:ascii="Arial" w:eastAsia="Calibri" w:hAnsi="Arial" w:cs="Arial"/>
                <w:szCs w:val="22"/>
              </w:rPr>
              <w:t>The silkworm (</w:t>
            </w:r>
            <w:r w:rsidRPr="00FB2144">
              <w:rPr>
                <w:rFonts w:ascii="Arial" w:eastAsia="Calibri" w:hAnsi="Arial" w:cs="Arial"/>
                <w:i/>
                <w:szCs w:val="22"/>
              </w:rPr>
              <w:t>Bombyx mori</w:t>
            </w:r>
            <w:r w:rsidRPr="00FB2144">
              <w:rPr>
                <w:rFonts w:ascii="Arial" w:eastAsia="Calibri" w:hAnsi="Arial" w:cs="Arial"/>
                <w:szCs w:val="22"/>
              </w:rPr>
              <w:t xml:space="preserve">) has emerged as a promising invertebrate model for biomedical research, providing an ethical, cost-effective, and practical alternative to vertebrate systems for preliminary drug screening and pharmacokinetic studies. Its conserved metabolic pathways, similarity in drug disposition processes, and cytochrome P450-mediated reactions ensure translational relevance to mammalian systems. The availability of a fully sequenced genome and advanced molecular tools such as CRISPR/Cas9 and RNAi further enhances its potential for developing disease-specific and humanized models. </w:t>
            </w:r>
            <w:r w:rsidRPr="00FB2144">
              <w:rPr>
                <w:rFonts w:ascii="Arial" w:eastAsia="Calibri" w:hAnsi="Arial" w:cs="Arial"/>
                <w:i/>
                <w:szCs w:val="22"/>
              </w:rPr>
              <w:t>Bombyx mori</w:t>
            </w:r>
            <w:r w:rsidRPr="00FB2144">
              <w:rPr>
                <w:rFonts w:ascii="Arial" w:eastAsia="Calibri" w:hAnsi="Arial" w:cs="Arial"/>
                <w:szCs w:val="22"/>
              </w:rPr>
              <w:t xml:space="preserve"> has been successfully employed beyond antimicrobial and antidiabetic drug screening to model complex metabolic disorders, including hyperuricemia, phenylketonuria, and kidney stone formation, underscoring its versatility in pathophysiological studies. Integration with high-throughput systems and modern technologies such as artificial intelligence and omics approaches offers significant opportunities to accelerate drug discovery and improve predictive accuracy for human pharmacology. </w:t>
            </w:r>
            <w:r w:rsidR="0070084C" w:rsidRPr="0070084C">
              <w:rPr>
                <w:rFonts w:ascii="Arial" w:eastAsia="Calibri" w:hAnsi="Arial" w:cs="Arial"/>
                <w:szCs w:val="22"/>
                <w:highlight w:val="yellow"/>
              </w:rPr>
              <w:t xml:space="preserve">Despite its potential, several limitations persist, such as the lack of adaptive immunity, variations in phase II metabolic conjugation, and anatomical differences that hinder direct translation of pharmacokinetic data. Overcoming these challenges through genetic modification, improved rearing techniques, and standardized experimental protocols will be crucial for wider implementation. </w:t>
            </w:r>
            <w:r w:rsidR="0070084C" w:rsidRPr="0070084C">
              <w:rPr>
                <w:rFonts w:ascii="Arial" w:eastAsia="Calibri" w:hAnsi="Arial" w:cs="Arial"/>
                <w:bCs/>
                <w:szCs w:val="22"/>
                <w:highlight w:val="yellow"/>
              </w:rPr>
              <w:t>Overall</w:t>
            </w:r>
            <w:r w:rsidR="0070084C" w:rsidRPr="0070084C">
              <w:rPr>
                <w:rFonts w:ascii="Arial" w:eastAsia="Calibri" w:hAnsi="Arial" w:cs="Arial"/>
                <w:szCs w:val="22"/>
                <w:highlight w:val="yellow"/>
              </w:rPr>
              <w:t xml:space="preserve">, </w:t>
            </w:r>
            <w:r w:rsidR="0070084C" w:rsidRPr="0070084C">
              <w:rPr>
                <w:rFonts w:ascii="Arial" w:eastAsia="Calibri" w:hAnsi="Arial" w:cs="Arial"/>
                <w:i/>
                <w:iCs/>
                <w:szCs w:val="22"/>
                <w:highlight w:val="yellow"/>
              </w:rPr>
              <w:t>Bombyx mori</w:t>
            </w:r>
            <w:r w:rsidR="0070084C" w:rsidRPr="0070084C">
              <w:rPr>
                <w:rFonts w:ascii="Arial" w:eastAsia="Calibri" w:hAnsi="Arial" w:cs="Arial"/>
                <w:szCs w:val="22"/>
                <w:highlight w:val="yellow"/>
              </w:rPr>
              <w:t xml:space="preserve"> offers a scientifically sound, ethically responsible, and sustainable model that can significantly decrease dependence on mammalian systems while improving the efficiency of preclinical research.</w:t>
            </w:r>
          </w:p>
        </w:tc>
      </w:tr>
    </w:tbl>
    <w:p w14:paraId="0CE5323B" w14:textId="77777777" w:rsidR="00636EB2" w:rsidRDefault="00636EB2" w:rsidP="00441B6F">
      <w:pPr>
        <w:pStyle w:val="Body"/>
        <w:spacing w:after="0"/>
        <w:rPr>
          <w:rFonts w:ascii="Arial" w:hAnsi="Arial" w:cs="Arial"/>
          <w:i/>
        </w:rPr>
      </w:pPr>
    </w:p>
    <w:p w14:paraId="4FC4BAFA" w14:textId="77777777" w:rsidR="00FB2144" w:rsidRPr="00FB2144" w:rsidRDefault="00FB2144" w:rsidP="00FB2144">
      <w:pPr>
        <w:pStyle w:val="Body"/>
        <w:rPr>
          <w:rFonts w:ascii="Arial" w:hAnsi="Arial" w:cs="Arial"/>
          <w:i/>
        </w:rPr>
      </w:pPr>
      <w:r>
        <w:rPr>
          <w:rFonts w:ascii="Arial" w:hAnsi="Arial" w:cs="Arial"/>
          <w:i/>
        </w:rPr>
        <w:t xml:space="preserve">Keywords: </w:t>
      </w:r>
      <w:r w:rsidRPr="00FB2144">
        <w:rPr>
          <w:rFonts w:ascii="Arial" w:hAnsi="Arial" w:cs="Arial"/>
          <w:i/>
        </w:rPr>
        <w:t>Bombyx mori, Invertebrate model, Drug screening, Pharmacokinetics, Preclinical research, Disease modeling, High-throughput screening</w:t>
      </w:r>
    </w:p>
    <w:p w14:paraId="4945F5D7" w14:textId="77777777" w:rsidR="0024282C" w:rsidRDefault="0024282C" w:rsidP="00441B6F">
      <w:pPr>
        <w:pStyle w:val="Body"/>
        <w:spacing w:after="0"/>
        <w:rPr>
          <w:rFonts w:ascii="Arial" w:hAnsi="Arial" w:cs="Arial"/>
          <w:i/>
          <w:sz w:val="18"/>
        </w:rPr>
      </w:pPr>
    </w:p>
    <w:p w14:paraId="1BF51DF6" w14:textId="77777777" w:rsidR="00505F06" w:rsidRPr="00A24E7E" w:rsidRDefault="00505F06" w:rsidP="00441B6F">
      <w:pPr>
        <w:pStyle w:val="Body"/>
        <w:spacing w:after="0"/>
        <w:rPr>
          <w:rFonts w:ascii="Arial" w:hAnsi="Arial" w:cs="Arial"/>
          <w:i/>
        </w:rPr>
      </w:pPr>
    </w:p>
    <w:p w14:paraId="258B2C94" w14:textId="77777777"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p>
    <w:p w14:paraId="6739E4CF" w14:textId="77777777" w:rsidR="00790ADA" w:rsidRPr="00FB3A86" w:rsidRDefault="00790ADA" w:rsidP="00441B6F">
      <w:pPr>
        <w:pStyle w:val="AbstHead"/>
        <w:spacing w:after="0"/>
        <w:jc w:val="both"/>
        <w:rPr>
          <w:rFonts w:ascii="Arial" w:hAnsi="Arial" w:cs="Arial"/>
        </w:rPr>
      </w:pPr>
    </w:p>
    <w:p w14:paraId="330BB822" w14:textId="77777777" w:rsidR="00FB2144" w:rsidRPr="00FB2144" w:rsidRDefault="00FB2144" w:rsidP="00FB2144">
      <w:pPr>
        <w:pStyle w:val="Body"/>
        <w:rPr>
          <w:rFonts w:ascii="Arial" w:hAnsi="Arial" w:cs="Arial"/>
        </w:rPr>
      </w:pPr>
      <w:r w:rsidRPr="00FB2144">
        <w:rPr>
          <w:rFonts w:ascii="Arial" w:hAnsi="Arial" w:cs="Arial"/>
        </w:rPr>
        <w:t>The processes of identification and validation represent critical stages in drug screening; however, the extensive duration and complexity of these procedures often extend the development timeline to nearly 12 years before a drug can reach the market (</w:t>
      </w:r>
      <w:r w:rsidR="00110E71" w:rsidRPr="00110E71">
        <w:rPr>
          <w:rFonts w:ascii="Arial" w:hAnsi="Arial" w:cs="Arial"/>
          <w:color w:val="222222"/>
          <w:shd w:val="clear" w:color="auto" w:fill="FFFFFF"/>
        </w:rPr>
        <w:t>Katiyar</w:t>
      </w:r>
      <w:r w:rsidRPr="00110E71">
        <w:rPr>
          <w:rFonts w:ascii="Arial" w:hAnsi="Arial" w:cs="Arial"/>
        </w:rPr>
        <w:t xml:space="preserve"> </w:t>
      </w:r>
      <w:r w:rsidRPr="00110E71">
        <w:rPr>
          <w:rFonts w:ascii="Arial" w:hAnsi="Arial" w:cs="Arial"/>
          <w:i/>
        </w:rPr>
        <w:t>et al.,</w:t>
      </w:r>
      <w:r w:rsidRPr="00110E71">
        <w:rPr>
          <w:rFonts w:ascii="Arial" w:hAnsi="Arial" w:cs="Arial"/>
        </w:rPr>
        <w:t xml:space="preserve"> 2012</w:t>
      </w:r>
      <w:r w:rsidRPr="00FB2144">
        <w:rPr>
          <w:rFonts w:ascii="Arial" w:hAnsi="Arial" w:cs="Arial"/>
        </w:rPr>
        <w:t xml:space="preserve">). Throughout this period, candidate compounds with potential therapeutic value are subjected to rigorous evaluation in both </w:t>
      </w:r>
      <w:r w:rsidRPr="00FB2144">
        <w:rPr>
          <w:rFonts w:ascii="Arial" w:hAnsi="Arial" w:cs="Arial"/>
          <w:i/>
          <w:iCs/>
        </w:rPr>
        <w:t>in vitro</w:t>
      </w:r>
      <w:r w:rsidRPr="00FB2144">
        <w:rPr>
          <w:rFonts w:ascii="Arial" w:hAnsi="Arial" w:cs="Arial"/>
        </w:rPr>
        <w:t xml:space="preserve"> and </w:t>
      </w:r>
      <w:r w:rsidRPr="00FB2144">
        <w:rPr>
          <w:rFonts w:ascii="Arial" w:hAnsi="Arial" w:cs="Arial"/>
          <w:i/>
          <w:iCs/>
        </w:rPr>
        <w:t>in vivo</w:t>
      </w:r>
      <w:r w:rsidRPr="00FB2144">
        <w:rPr>
          <w:rFonts w:ascii="Arial" w:hAnsi="Arial" w:cs="Arial"/>
        </w:rPr>
        <w:t xml:space="preserve"> systems. Despite initial promise, a large proportion of these compounds display toxicity or fail to meet essential pharmacokinetic (PK) parameters, leading to suboptimal efficacy and eventual exclusion from further development. This high attrition rate highlights the urgent need for more reliable and cost-</w:t>
      </w:r>
      <w:r w:rsidRPr="00FB2144">
        <w:rPr>
          <w:rFonts w:ascii="Arial" w:hAnsi="Arial" w:cs="Arial"/>
        </w:rPr>
        <w:lastRenderedPageBreak/>
        <w:t>effective alternatives for pharmacokinetic screening during the early stages of drug discovery (</w:t>
      </w:r>
      <w:r w:rsidRPr="00FF0480">
        <w:rPr>
          <w:rFonts w:ascii="Arial" w:hAnsi="Arial" w:cs="Arial"/>
        </w:rPr>
        <w:t>Chinta &amp; Vootla, 2018</w:t>
      </w:r>
      <w:r w:rsidR="00FF0480" w:rsidRPr="00FF0480">
        <w:rPr>
          <w:rFonts w:ascii="Arial" w:hAnsi="Arial" w:cs="Arial"/>
        </w:rPr>
        <w:t>a</w:t>
      </w:r>
      <w:r w:rsidRPr="00FB2144">
        <w:rPr>
          <w:rFonts w:ascii="Arial" w:hAnsi="Arial" w:cs="Arial"/>
        </w:rPr>
        <w:t>).</w:t>
      </w:r>
    </w:p>
    <w:p w14:paraId="63A3CF82" w14:textId="77777777" w:rsidR="00FB2144" w:rsidRPr="00FB2144" w:rsidRDefault="00FB2144" w:rsidP="00FB2144">
      <w:pPr>
        <w:pStyle w:val="Body"/>
        <w:rPr>
          <w:rFonts w:ascii="Arial" w:hAnsi="Arial" w:cs="Arial"/>
        </w:rPr>
      </w:pPr>
      <w:r w:rsidRPr="00FB2144">
        <w:rPr>
          <w:rFonts w:ascii="Arial" w:hAnsi="Arial" w:cs="Arial"/>
        </w:rPr>
        <w:t>The development of safe and effective pharmaceuticals fundamentally depends on accurate drug screening and pharmacokinetic assessment at the preclinical stage. Traditionally, mammalian systems have served as the primary models for evaluating therapeutic drug candidates (</w:t>
      </w:r>
      <w:r w:rsidRPr="00FF0480">
        <w:rPr>
          <w:rFonts w:ascii="Arial" w:hAnsi="Arial" w:cs="Arial"/>
        </w:rPr>
        <w:t>Chinta &amp; Votola, 2018</w:t>
      </w:r>
      <w:r w:rsidR="00FF0480" w:rsidRPr="00FF0480">
        <w:rPr>
          <w:rFonts w:ascii="Arial" w:hAnsi="Arial" w:cs="Arial"/>
        </w:rPr>
        <w:t>a</w:t>
      </w:r>
      <w:r w:rsidRPr="00FB2144">
        <w:rPr>
          <w:rFonts w:ascii="Arial" w:hAnsi="Arial" w:cs="Arial"/>
        </w:rPr>
        <w:t xml:space="preserve">), with rodents such as mice and rats being the most widely employed organisms in biomedical </w:t>
      </w:r>
      <w:r w:rsidRPr="00110E71">
        <w:rPr>
          <w:rFonts w:ascii="Arial" w:hAnsi="Arial" w:cs="Arial"/>
        </w:rPr>
        <w:t xml:space="preserve">research (Asami </w:t>
      </w:r>
      <w:r w:rsidRPr="00110E71">
        <w:rPr>
          <w:rFonts w:ascii="Arial" w:hAnsi="Arial" w:cs="Arial"/>
          <w:i/>
        </w:rPr>
        <w:t>et al.,</w:t>
      </w:r>
      <w:r w:rsidRPr="00110E71">
        <w:rPr>
          <w:rFonts w:ascii="Arial" w:hAnsi="Arial" w:cs="Arial"/>
        </w:rPr>
        <w:t xml:space="preserve"> 2010). These</w:t>
      </w:r>
      <w:r w:rsidRPr="00FB2144">
        <w:rPr>
          <w:rFonts w:ascii="Arial" w:hAnsi="Arial" w:cs="Arial"/>
        </w:rPr>
        <w:t xml:space="preserve"> models play an indispensable role in advancing our understanding of complex biological processes, and preclinical testing on animals is widely regarded as an essential prerequisite before clinical application in </w:t>
      </w:r>
      <w:r w:rsidRPr="00110E71">
        <w:rPr>
          <w:rFonts w:ascii="Arial" w:hAnsi="Arial" w:cs="Arial"/>
        </w:rPr>
        <w:t>humans (Ohno, 2011). In many instances</w:t>
      </w:r>
      <w:r w:rsidRPr="00FB2144">
        <w:rPr>
          <w:rFonts w:ascii="Arial" w:hAnsi="Arial" w:cs="Arial"/>
        </w:rPr>
        <w:t xml:space="preserve">, higher-order animals such as rabbits and primates are also used; however, their use is often constrained by ethical dilemmas, animal welfare concerns, and the substantial costs associated with their care and </w:t>
      </w:r>
      <w:r w:rsidRPr="00110E71">
        <w:rPr>
          <w:rFonts w:ascii="Arial" w:hAnsi="Arial" w:cs="Arial"/>
        </w:rPr>
        <w:t>maintenance (Levy, 2012).</w:t>
      </w:r>
    </w:p>
    <w:p w14:paraId="1E5CA24B" w14:textId="77777777" w:rsidR="00FB2144" w:rsidRPr="00FB2144" w:rsidRDefault="00FB2144" w:rsidP="00FB2144">
      <w:pPr>
        <w:pStyle w:val="Body"/>
        <w:rPr>
          <w:rFonts w:ascii="Arial" w:hAnsi="Arial" w:cs="Arial"/>
        </w:rPr>
      </w:pPr>
      <w:r w:rsidRPr="00FB2144">
        <w:rPr>
          <w:rFonts w:ascii="Arial" w:hAnsi="Arial" w:cs="Arial"/>
        </w:rPr>
        <w:t xml:space="preserve">In response to these challenges, there is growing interest in alternative </w:t>
      </w:r>
      <w:r w:rsidRPr="00FB2144">
        <w:rPr>
          <w:rFonts w:ascii="Arial" w:hAnsi="Arial" w:cs="Arial"/>
          <w:i/>
          <w:iCs/>
        </w:rPr>
        <w:t>in vivo</w:t>
      </w:r>
      <w:r w:rsidRPr="00FB2144">
        <w:rPr>
          <w:rFonts w:ascii="Arial" w:hAnsi="Arial" w:cs="Arial"/>
        </w:rPr>
        <w:t xml:space="preserve"> models that are ethically acceptable, economically viable, and capable of generating data with translational relevance to human biology. Invertebrate models, in particular, have attracted considerable attention for their affordability, ease of handling, and suitability for large-scale, high-throughput </w:t>
      </w:r>
      <w:r w:rsidRPr="00AD05BA">
        <w:rPr>
          <w:rFonts w:ascii="Arial" w:hAnsi="Arial" w:cs="Arial"/>
        </w:rPr>
        <w:t>experimentation (Berger, 2009). Their use</w:t>
      </w:r>
      <w:r w:rsidRPr="00FB2144">
        <w:rPr>
          <w:rFonts w:ascii="Arial" w:hAnsi="Arial" w:cs="Arial"/>
        </w:rPr>
        <w:t xml:space="preserve"> offers a promising avenue for preliminary drug screening, thereby reducing reliance on higher-order vertebrate models while maintaining scientific validity.</w:t>
      </w:r>
      <w:r>
        <w:rPr>
          <w:rFonts w:ascii="Arial" w:hAnsi="Arial" w:cs="Arial"/>
        </w:rPr>
        <w:t xml:space="preserve"> </w:t>
      </w:r>
      <w:r w:rsidRPr="00FB2144">
        <w:rPr>
          <w:rFonts w:ascii="Arial" w:hAnsi="Arial" w:cs="Arial"/>
        </w:rPr>
        <w:t xml:space="preserve">Several studies have demonstrated that invertebrate species can also be effectively utilized as model organisms in biomedical research. Examples include the nematode </w:t>
      </w:r>
      <w:r w:rsidRPr="00FB2144">
        <w:rPr>
          <w:rFonts w:ascii="Arial" w:hAnsi="Arial" w:cs="Arial"/>
          <w:i/>
          <w:iCs/>
        </w:rPr>
        <w:t xml:space="preserve">Caenorhabditis </w:t>
      </w:r>
      <w:r w:rsidRPr="00AD05BA">
        <w:rPr>
          <w:rFonts w:ascii="Arial" w:hAnsi="Arial" w:cs="Arial"/>
          <w:i/>
          <w:iCs/>
        </w:rPr>
        <w:t>elegans</w:t>
      </w:r>
      <w:r w:rsidRPr="00AD05BA">
        <w:rPr>
          <w:rFonts w:ascii="Arial" w:hAnsi="Arial" w:cs="Arial"/>
        </w:rPr>
        <w:t xml:space="preserve"> (Mahajan-Miklos </w:t>
      </w:r>
      <w:r w:rsidRPr="00AD05BA">
        <w:rPr>
          <w:rFonts w:ascii="Arial" w:hAnsi="Arial" w:cs="Arial"/>
          <w:i/>
        </w:rPr>
        <w:t>et al.,</w:t>
      </w:r>
      <w:r w:rsidRPr="00AD05BA">
        <w:rPr>
          <w:rFonts w:ascii="Arial" w:hAnsi="Arial" w:cs="Arial"/>
        </w:rPr>
        <w:t xml:space="preserve"> 1999), the</w:t>
      </w:r>
      <w:r w:rsidRPr="00FB2144">
        <w:rPr>
          <w:rFonts w:ascii="Arial" w:hAnsi="Arial" w:cs="Arial"/>
        </w:rPr>
        <w:t xml:space="preserve"> fruit fly </w:t>
      </w:r>
      <w:r w:rsidRPr="00FB2144">
        <w:rPr>
          <w:rFonts w:ascii="Arial" w:hAnsi="Arial" w:cs="Arial"/>
          <w:i/>
          <w:iCs/>
        </w:rPr>
        <w:t>Drosophila melanogaster</w:t>
      </w:r>
      <w:r w:rsidRPr="00FB2144">
        <w:rPr>
          <w:rFonts w:ascii="Arial" w:hAnsi="Arial" w:cs="Arial"/>
        </w:rPr>
        <w:t xml:space="preserve"> (</w:t>
      </w:r>
      <w:r w:rsidRPr="00AD05BA">
        <w:rPr>
          <w:rFonts w:ascii="Arial" w:hAnsi="Arial" w:cs="Arial"/>
        </w:rPr>
        <w:t xml:space="preserve">Lemaitre </w:t>
      </w:r>
      <w:r w:rsidRPr="00AD05BA">
        <w:rPr>
          <w:rFonts w:ascii="Arial" w:hAnsi="Arial" w:cs="Arial"/>
          <w:i/>
        </w:rPr>
        <w:t>et al.,</w:t>
      </w:r>
      <w:r w:rsidRPr="00AD05BA">
        <w:rPr>
          <w:rFonts w:ascii="Arial" w:hAnsi="Arial" w:cs="Arial"/>
        </w:rPr>
        <w:t xml:space="preserve"> </w:t>
      </w:r>
      <w:r w:rsidRPr="004C23FD">
        <w:rPr>
          <w:rFonts w:ascii="Arial" w:hAnsi="Arial" w:cs="Arial"/>
        </w:rPr>
        <w:t>1996; Bernal &amp; Kimbrell, 2000),</w:t>
      </w:r>
      <w:r w:rsidRPr="00FB2144">
        <w:rPr>
          <w:rFonts w:ascii="Arial" w:hAnsi="Arial" w:cs="Arial"/>
        </w:rPr>
        <w:t xml:space="preserve"> the grasshopper </w:t>
      </w:r>
      <w:r w:rsidRPr="00FB2144">
        <w:rPr>
          <w:rFonts w:ascii="Arial" w:hAnsi="Arial" w:cs="Arial"/>
          <w:i/>
          <w:iCs/>
        </w:rPr>
        <w:t xml:space="preserve">Romalea </w:t>
      </w:r>
      <w:r w:rsidRPr="004C23FD">
        <w:rPr>
          <w:rFonts w:ascii="Arial" w:hAnsi="Arial" w:cs="Arial"/>
          <w:i/>
          <w:iCs/>
        </w:rPr>
        <w:t>micropter</w:t>
      </w:r>
      <w:r w:rsidRPr="004C23FD">
        <w:rPr>
          <w:rFonts w:ascii="Arial" w:hAnsi="Arial" w:cs="Arial"/>
        </w:rPr>
        <w:t xml:space="preserve"> (Johny </w:t>
      </w:r>
      <w:r w:rsidRPr="004C23FD">
        <w:rPr>
          <w:rFonts w:ascii="Arial" w:hAnsi="Arial" w:cs="Arial"/>
          <w:i/>
        </w:rPr>
        <w:t>et al.,</w:t>
      </w:r>
      <w:r w:rsidRPr="004C23FD">
        <w:rPr>
          <w:rFonts w:ascii="Arial" w:hAnsi="Arial" w:cs="Arial"/>
        </w:rPr>
        <w:t xml:space="preserve"> 2007), the wax</w:t>
      </w:r>
      <w:r w:rsidRPr="00FB2144">
        <w:rPr>
          <w:rFonts w:ascii="Arial" w:hAnsi="Arial" w:cs="Arial"/>
        </w:rPr>
        <w:t xml:space="preserve"> moth larva </w:t>
      </w:r>
      <w:r w:rsidRPr="00FB2144">
        <w:rPr>
          <w:rFonts w:ascii="Arial" w:hAnsi="Arial" w:cs="Arial"/>
          <w:i/>
          <w:iCs/>
        </w:rPr>
        <w:t>Galleria mellonella</w:t>
      </w:r>
      <w:r w:rsidRPr="00FB2144">
        <w:rPr>
          <w:rFonts w:ascii="Arial" w:hAnsi="Arial" w:cs="Arial"/>
        </w:rPr>
        <w:t xml:space="preserve"> </w:t>
      </w:r>
      <w:r w:rsidRPr="004C23FD">
        <w:rPr>
          <w:rFonts w:ascii="Arial" w:hAnsi="Arial" w:cs="Arial"/>
        </w:rPr>
        <w:t xml:space="preserve">(Champion </w:t>
      </w:r>
      <w:r w:rsidRPr="004C23FD">
        <w:rPr>
          <w:rFonts w:ascii="Arial" w:hAnsi="Arial" w:cs="Arial"/>
          <w:i/>
        </w:rPr>
        <w:t>et al.,</w:t>
      </w:r>
      <w:r w:rsidRPr="004C23FD">
        <w:rPr>
          <w:rFonts w:ascii="Arial" w:hAnsi="Arial" w:cs="Arial"/>
        </w:rPr>
        <w:t xml:space="preserve"> 2009), and</w:t>
      </w:r>
      <w:r w:rsidRPr="00FB2144">
        <w:rPr>
          <w:rFonts w:ascii="Arial" w:hAnsi="Arial" w:cs="Arial"/>
        </w:rPr>
        <w:t xml:space="preserve"> the honey bee </w:t>
      </w:r>
      <w:r w:rsidRPr="00FB2144">
        <w:rPr>
          <w:rFonts w:ascii="Arial" w:hAnsi="Arial" w:cs="Arial"/>
          <w:i/>
          <w:iCs/>
        </w:rPr>
        <w:t xml:space="preserve">Apis </w:t>
      </w:r>
      <w:r w:rsidRPr="004C23FD">
        <w:rPr>
          <w:rFonts w:ascii="Arial" w:hAnsi="Arial" w:cs="Arial"/>
          <w:i/>
          <w:iCs/>
        </w:rPr>
        <w:t>mellifera</w:t>
      </w:r>
      <w:r w:rsidRPr="004C23FD">
        <w:rPr>
          <w:rFonts w:ascii="Arial" w:hAnsi="Arial" w:cs="Arial"/>
        </w:rPr>
        <w:t xml:space="preserve"> (Dussaubat </w:t>
      </w:r>
      <w:r w:rsidRPr="004C23FD">
        <w:rPr>
          <w:rFonts w:ascii="Arial" w:hAnsi="Arial" w:cs="Arial"/>
          <w:i/>
        </w:rPr>
        <w:t>et al.,</w:t>
      </w:r>
      <w:r w:rsidRPr="004C23FD">
        <w:rPr>
          <w:rFonts w:ascii="Arial" w:hAnsi="Arial" w:cs="Arial"/>
        </w:rPr>
        <w:t xml:space="preserve"> 2012).</w:t>
      </w:r>
      <w:r w:rsidRPr="00FB2144">
        <w:rPr>
          <w:rFonts w:ascii="Arial" w:hAnsi="Arial" w:cs="Arial"/>
        </w:rPr>
        <w:t xml:space="preserve"> These invertebrate models are currently employed in various drug screening approaches; however, their small body size presents notable limitations in assessing therapeutic effects. Specifically, restricted injection sites and limited sample volumes make it challenging to conduct precise evaluations and obtain sufficient biological material for </w:t>
      </w:r>
      <w:r w:rsidRPr="004C23FD">
        <w:rPr>
          <w:rFonts w:ascii="Arial" w:hAnsi="Arial" w:cs="Arial"/>
        </w:rPr>
        <w:t xml:space="preserve">analysis (Needham </w:t>
      </w:r>
      <w:r w:rsidRPr="004C23FD">
        <w:rPr>
          <w:rFonts w:ascii="Arial" w:hAnsi="Arial" w:cs="Arial"/>
          <w:i/>
        </w:rPr>
        <w:t>et al.,</w:t>
      </w:r>
      <w:r w:rsidRPr="004C23FD">
        <w:rPr>
          <w:rFonts w:ascii="Arial" w:hAnsi="Arial" w:cs="Arial"/>
        </w:rPr>
        <w:t xml:space="preserve"> 2004; Breger </w:t>
      </w:r>
      <w:r w:rsidRPr="004C23FD">
        <w:rPr>
          <w:rFonts w:ascii="Arial" w:hAnsi="Arial" w:cs="Arial"/>
          <w:i/>
        </w:rPr>
        <w:t>et al.,</w:t>
      </w:r>
      <w:r w:rsidRPr="004C23FD">
        <w:rPr>
          <w:rFonts w:ascii="Arial" w:hAnsi="Arial" w:cs="Arial"/>
        </w:rPr>
        <w:t xml:space="preserve"> 2007).</w:t>
      </w:r>
    </w:p>
    <w:p w14:paraId="62CAD895" w14:textId="77777777" w:rsidR="00FB2144" w:rsidRPr="00FB2144" w:rsidRDefault="00FB2144" w:rsidP="00FB2144">
      <w:pPr>
        <w:pStyle w:val="Body"/>
        <w:rPr>
          <w:rFonts w:ascii="Arial" w:hAnsi="Arial" w:cs="Arial"/>
        </w:rPr>
      </w:pPr>
      <w:r w:rsidRPr="00FB2144">
        <w:rPr>
          <w:rFonts w:ascii="Arial" w:hAnsi="Arial" w:cs="Arial"/>
        </w:rPr>
        <w:t>By taking into account the limitations observed in other invertebrate models, the use of silkworm larvae (</w:t>
      </w:r>
      <w:r w:rsidRPr="00FB2144">
        <w:rPr>
          <w:rFonts w:ascii="Arial" w:hAnsi="Arial" w:cs="Arial"/>
          <w:i/>
          <w:iCs/>
        </w:rPr>
        <w:t>Bombyx mori</w:t>
      </w:r>
      <w:r w:rsidRPr="00FB2144">
        <w:rPr>
          <w:rFonts w:ascii="Arial" w:hAnsi="Arial" w:cs="Arial"/>
        </w:rPr>
        <w:t xml:space="preserve">) presents a promising approach to overcome many of these challenges. Owing to their relatively large body size, silkworm larvae offer several experimental advantages, including the ease and precision of intra-hemolymph injections (which are analogous to intravenous administration in mammals), and intra-midgut injections (which correspond to oral delivery in mammalian systems). Furthermore, their size facilitates straightforward organ isolation for detailed physiological and biochemical analyses </w:t>
      </w:r>
      <w:r w:rsidRPr="00CE7A63">
        <w:rPr>
          <w:rFonts w:ascii="Arial" w:hAnsi="Arial" w:cs="Arial"/>
        </w:rPr>
        <w:t xml:space="preserve">(Tamura </w:t>
      </w:r>
      <w:r w:rsidRPr="00CE7A63">
        <w:rPr>
          <w:rFonts w:ascii="Arial" w:hAnsi="Arial" w:cs="Arial"/>
          <w:i/>
        </w:rPr>
        <w:t>et al.,</w:t>
      </w:r>
      <w:r w:rsidRPr="00CE7A63">
        <w:rPr>
          <w:rFonts w:ascii="Arial" w:hAnsi="Arial" w:cs="Arial"/>
        </w:rPr>
        <w:t xml:space="preserve"> 2000; Kaito </w:t>
      </w:r>
      <w:r w:rsidRPr="00CE7A63">
        <w:rPr>
          <w:rFonts w:ascii="Arial" w:hAnsi="Arial" w:cs="Arial"/>
          <w:i/>
        </w:rPr>
        <w:t>et al.,</w:t>
      </w:r>
      <w:r w:rsidRPr="00CE7A63">
        <w:rPr>
          <w:rFonts w:ascii="Arial" w:hAnsi="Arial" w:cs="Arial"/>
        </w:rPr>
        <w:t xml:space="preserve"> 2002; Hamamoto </w:t>
      </w:r>
      <w:r w:rsidRPr="00D96DE9">
        <w:rPr>
          <w:rFonts w:ascii="Arial" w:hAnsi="Arial" w:cs="Arial"/>
          <w:i/>
        </w:rPr>
        <w:t>et al.,</w:t>
      </w:r>
      <w:r w:rsidRPr="00D96DE9">
        <w:rPr>
          <w:rFonts w:ascii="Arial" w:hAnsi="Arial" w:cs="Arial"/>
        </w:rPr>
        <w:t xml:space="preserve"> 2004; Kaito &amp; Sekimizu, 2007).</w:t>
      </w:r>
      <w:r w:rsidRPr="00FB2144">
        <w:rPr>
          <w:rFonts w:ascii="Arial" w:hAnsi="Arial" w:cs="Arial"/>
        </w:rPr>
        <w:t xml:space="preserve"> Another benefit is the ability to observe clear and reproducible phenotypic changes such as alterations in body color, size reduction or elongation, and decreased mobility without the necessity of waiting for mortality to occur, which is particularly advantageous in time and dose dependent experimental </w:t>
      </w:r>
      <w:r w:rsidRPr="00D96DE9">
        <w:rPr>
          <w:rFonts w:ascii="Arial" w:hAnsi="Arial" w:cs="Arial"/>
        </w:rPr>
        <w:t xml:space="preserve">setups (Nwibo </w:t>
      </w:r>
      <w:r w:rsidRPr="00D96DE9">
        <w:rPr>
          <w:rFonts w:ascii="Arial" w:hAnsi="Arial" w:cs="Arial"/>
          <w:i/>
        </w:rPr>
        <w:t>et al.,</w:t>
      </w:r>
      <w:r w:rsidRPr="00D96DE9">
        <w:rPr>
          <w:rFonts w:ascii="Arial" w:hAnsi="Arial" w:cs="Arial"/>
        </w:rPr>
        <w:t xml:space="preserve"> 2015).</w:t>
      </w:r>
    </w:p>
    <w:p w14:paraId="1AE3B4F5" w14:textId="77777777" w:rsidR="00FB2144" w:rsidRPr="00FB2144" w:rsidRDefault="00FB2144" w:rsidP="00FB2144">
      <w:pPr>
        <w:pStyle w:val="Body"/>
        <w:spacing w:after="0"/>
        <w:rPr>
          <w:rFonts w:ascii="Arial" w:hAnsi="Arial" w:cs="Arial"/>
        </w:rPr>
      </w:pPr>
      <w:r w:rsidRPr="00FB2144">
        <w:rPr>
          <w:rFonts w:ascii="Arial" w:hAnsi="Arial" w:cs="Arial"/>
        </w:rPr>
        <w:t xml:space="preserve">Owing to its unique advantages, </w:t>
      </w:r>
      <w:r w:rsidRPr="00FB2144">
        <w:rPr>
          <w:rFonts w:ascii="Arial" w:hAnsi="Arial" w:cs="Arial"/>
          <w:i/>
        </w:rPr>
        <w:t>Bombyx mori</w:t>
      </w:r>
      <w:r w:rsidRPr="00FB2144">
        <w:rPr>
          <w:rFonts w:ascii="Arial" w:hAnsi="Arial" w:cs="Arial"/>
        </w:rPr>
        <w:t xml:space="preserve"> has gained recognition as a practical and versatile invertebrate model for drug screening and pharmacokinetic evaluations. This review consolidates contemporary insights into the application of silkworms as an experimental model, emphasizing their physiological relevance, methodological frameworks, and comparative benefits over conventional vertebrate systems. Additionally, it explores their potential in mitigating the ethical, economic, and logistical constraints associated with preclinical research, thereby underscoring their significance in the evolving landscape of biomedical investigations.</w:t>
      </w:r>
    </w:p>
    <w:p w14:paraId="2CA1D2E7" w14:textId="77777777" w:rsidR="00790ADA" w:rsidRPr="00FB3A86" w:rsidRDefault="00790ADA" w:rsidP="00441B6F">
      <w:pPr>
        <w:pStyle w:val="Body"/>
        <w:spacing w:after="0"/>
        <w:rPr>
          <w:rFonts w:ascii="Arial" w:hAnsi="Arial" w:cs="Arial"/>
        </w:rPr>
      </w:pPr>
    </w:p>
    <w:p w14:paraId="5724AEB9" w14:textId="77777777" w:rsidR="00790ADA" w:rsidRPr="00FB3A86" w:rsidRDefault="00902823" w:rsidP="00FB2144">
      <w:pPr>
        <w:pStyle w:val="AbstHead"/>
        <w:rPr>
          <w:rFonts w:ascii="Arial" w:hAnsi="Arial" w:cs="Arial"/>
        </w:rPr>
      </w:pPr>
      <w:r>
        <w:rPr>
          <w:rFonts w:ascii="Arial" w:hAnsi="Arial" w:cs="Arial"/>
        </w:rPr>
        <w:t xml:space="preserve">2. </w:t>
      </w:r>
      <w:r w:rsidR="00FB2144" w:rsidRPr="00FB2144">
        <w:rPr>
          <w:rFonts w:ascii="Arial" w:hAnsi="Arial" w:cs="Arial"/>
        </w:rPr>
        <w:t>Advantages of the Silkworm Model</w:t>
      </w:r>
    </w:p>
    <w:p w14:paraId="354FE200" w14:textId="77777777" w:rsidR="00FB2144" w:rsidRPr="00FB2144" w:rsidRDefault="00FB2144" w:rsidP="006B14F7">
      <w:pPr>
        <w:pStyle w:val="Body"/>
        <w:rPr>
          <w:rFonts w:ascii="Arial" w:hAnsi="Arial" w:cs="Arial"/>
        </w:rPr>
      </w:pPr>
      <w:r w:rsidRPr="00FB2144">
        <w:rPr>
          <w:rFonts w:ascii="Arial" w:hAnsi="Arial" w:cs="Arial"/>
        </w:rPr>
        <w:t>The domesticated silkworm (</w:t>
      </w:r>
      <w:r w:rsidRPr="00FB2144">
        <w:rPr>
          <w:rFonts w:ascii="Arial" w:hAnsi="Arial" w:cs="Arial"/>
          <w:i/>
          <w:iCs/>
        </w:rPr>
        <w:t>Bombyx mori</w:t>
      </w:r>
      <w:r w:rsidRPr="00FB2144">
        <w:rPr>
          <w:rFonts w:ascii="Arial" w:hAnsi="Arial" w:cs="Arial"/>
        </w:rPr>
        <w:t xml:space="preserve">), representing the larval stage of the silk moth, has served as the cornerstone of silk production for over five millennia. Its cultivation originated in China and progressively spread across Asia and into Western territories, contributing significantly to the economic prosperity of regions along the historic Silk Road </w:t>
      </w:r>
      <w:r w:rsidRPr="00D96DE9">
        <w:rPr>
          <w:rFonts w:ascii="Arial" w:hAnsi="Arial" w:cs="Arial"/>
        </w:rPr>
        <w:t xml:space="preserve">(Dutta </w:t>
      </w:r>
      <w:r w:rsidRPr="00D96DE9">
        <w:rPr>
          <w:rFonts w:ascii="Arial" w:hAnsi="Arial" w:cs="Arial"/>
          <w:i/>
        </w:rPr>
        <w:t>et al.,</w:t>
      </w:r>
      <w:r w:rsidRPr="00D96DE9">
        <w:rPr>
          <w:rFonts w:ascii="Arial" w:hAnsi="Arial" w:cs="Arial"/>
        </w:rPr>
        <w:t xml:space="preserve"> 2025). Beyond</w:t>
      </w:r>
      <w:r w:rsidRPr="00FB2144">
        <w:rPr>
          <w:rFonts w:ascii="Arial" w:hAnsi="Arial" w:cs="Arial"/>
        </w:rPr>
        <w:t xml:space="preserve"> its enduring role in sericulture, </w:t>
      </w:r>
      <w:r w:rsidRPr="00FB2144">
        <w:rPr>
          <w:rFonts w:ascii="Arial" w:hAnsi="Arial" w:cs="Arial"/>
          <w:i/>
          <w:iCs/>
        </w:rPr>
        <w:t>B. mori</w:t>
      </w:r>
      <w:r w:rsidRPr="00FB2144">
        <w:rPr>
          <w:rFonts w:ascii="Arial" w:hAnsi="Arial" w:cs="Arial"/>
        </w:rPr>
        <w:t xml:space="preserve"> has gained prominence in modern biotechnology, functioning as an efficient bioreactor for producing recombinant proteins and engineering silk-based </w:t>
      </w:r>
      <w:r w:rsidRPr="00E33DA3">
        <w:rPr>
          <w:rFonts w:ascii="Arial" w:hAnsi="Arial" w:cs="Arial"/>
        </w:rPr>
        <w:t xml:space="preserve">biomaterials (Altman </w:t>
      </w:r>
      <w:r w:rsidRPr="00E33DA3">
        <w:rPr>
          <w:rFonts w:ascii="Arial" w:hAnsi="Arial" w:cs="Arial"/>
          <w:i/>
        </w:rPr>
        <w:t>et al.,</w:t>
      </w:r>
      <w:r w:rsidRPr="00E33DA3">
        <w:rPr>
          <w:rFonts w:ascii="Arial" w:hAnsi="Arial" w:cs="Arial"/>
        </w:rPr>
        <w:t xml:space="preserve"> 2003; Kato </w:t>
      </w:r>
      <w:r w:rsidRPr="00E33DA3">
        <w:rPr>
          <w:rFonts w:ascii="Arial" w:hAnsi="Arial" w:cs="Arial"/>
          <w:i/>
        </w:rPr>
        <w:t>et al.,</w:t>
      </w:r>
      <w:r w:rsidRPr="00E33DA3">
        <w:rPr>
          <w:rFonts w:ascii="Arial" w:hAnsi="Arial" w:cs="Arial"/>
        </w:rPr>
        <w:t xml:space="preserve"> 2010).</w:t>
      </w:r>
      <w:r w:rsidRPr="00FB2144">
        <w:rPr>
          <w:rFonts w:ascii="Arial" w:hAnsi="Arial" w:cs="Arial"/>
        </w:rPr>
        <w:t xml:space="preserve"> Structurally and physiologically, the silkworm shares many organ systems with mammals, a characteristic that, combined with the availability of its fully sequenced genome and sophisticated genetic manipulation tools, has solidified its position as a versatile model organism for life science </w:t>
      </w:r>
      <w:r w:rsidRPr="00E33DA3">
        <w:rPr>
          <w:rFonts w:ascii="Arial" w:hAnsi="Arial" w:cs="Arial"/>
        </w:rPr>
        <w:t xml:space="preserve">research (Panthee </w:t>
      </w:r>
      <w:r w:rsidRPr="00E33DA3">
        <w:rPr>
          <w:rFonts w:ascii="Arial" w:hAnsi="Arial" w:cs="Arial"/>
          <w:i/>
        </w:rPr>
        <w:t>et al.,</w:t>
      </w:r>
      <w:r w:rsidRPr="00E33DA3">
        <w:rPr>
          <w:rFonts w:ascii="Arial" w:hAnsi="Arial" w:cs="Arial"/>
        </w:rPr>
        <w:t xml:space="preserve"> 2017). When compared</w:t>
      </w:r>
      <w:r w:rsidRPr="00FB2144">
        <w:rPr>
          <w:rFonts w:ascii="Arial" w:hAnsi="Arial" w:cs="Arial"/>
        </w:rPr>
        <w:t xml:space="preserve"> with other experimental models, </w:t>
      </w:r>
      <w:r w:rsidRPr="00FB2144">
        <w:rPr>
          <w:rFonts w:ascii="Arial" w:hAnsi="Arial" w:cs="Arial"/>
          <w:i/>
          <w:iCs/>
        </w:rPr>
        <w:t>B. mori</w:t>
      </w:r>
      <w:r w:rsidRPr="00FB2144">
        <w:rPr>
          <w:rFonts w:ascii="Arial" w:hAnsi="Arial" w:cs="Arial"/>
        </w:rPr>
        <w:t xml:space="preserve"> offers unique and practical advantages, as summarized in Table 1.</w:t>
      </w:r>
    </w:p>
    <w:p w14:paraId="549DD7F7" w14:textId="77777777" w:rsidR="00790ADA" w:rsidRDefault="006B14F7" w:rsidP="006B14F7">
      <w:pPr>
        <w:tabs>
          <w:tab w:val="left" w:pos="1080"/>
        </w:tabs>
        <w:spacing w:after="240"/>
        <w:jc w:val="both"/>
        <w:rPr>
          <w:rFonts w:ascii="Arial" w:hAnsi="Arial"/>
          <w:b/>
        </w:rPr>
      </w:pPr>
      <w:r>
        <w:rPr>
          <w:rFonts w:ascii="Arial" w:hAnsi="Arial"/>
          <w:b/>
        </w:rPr>
        <w:t>Table 1.</w:t>
      </w:r>
      <w:r w:rsidRPr="006E20ED">
        <w:rPr>
          <w:rFonts w:ascii="Times New Roman" w:eastAsiaTheme="minorHAnsi" w:hAnsi="Times New Roman"/>
          <w:b/>
          <w:sz w:val="22"/>
          <w:szCs w:val="22"/>
        </w:rPr>
        <w:t xml:space="preserve"> </w:t>
      </w:r>
      <w:r w:rsidRPr="006B14F7">
        <w:rPr>
          <w:rFonts w:ascii="Arial" w:hAnsi="Arial"/>
          <w:b/>
        </w:rPr>
        <w:t>Contrasting Silkworm with Diverse Insect Model Systems</w:t>
      </w:r>
    </w:p>
    <w:tbl>
      <w:tblPr>
        <w:tblStyle w:val="TableGrid1"/>
        <w:tblW w:w="8910" w:type="dxa"/>
        <w:tblInd w:w="-2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20"/>
        <w:gridCol w:w="1350"/>
        <w:gridCol w:w="1530"/>
        <w:gridCol w:w="1261"/>
        <w:gridCol w:w="1439"/>
        <w:gridCol w:w="1710"/>
      </w:tblGrid>
      <w:tr w:rsidR="006B14F7" w:rsidRPr="006B14F7" w14:paraId="50DD3FA6" w14:textId="77777777" w:rsidTr="006B14F7">
        <w:tc>
          <w:tcPr>
            <w:tcW w:w="1620" w:type="dxa"/>
            <w:tcBorders>
              <w:top w:val="single" w:sz="4" w:space="0" w:color="auto"/>
              <w:bottom w:val="single" w:sz="4" w:space="0" w:color="auto"/>
            </w:tcBorders>
          </w:tcPr>
          <w:p w14:paraId="467300E3" w14:textId="77777777" w:rsidR="006B14F7" w:rsidRPr="006B14F7" w:rsidRDefault="006B14F7" w:rsidP="006B14F7">
            <w:pPr>
              <w:spacing w:after="240"/>
              <w:rPr>
                <w:rFonts w:ascii="Arial" w:hAnsi="Arial" w:cs="Arial"/>
                <w:b/>
                <w:sz w:val="20"/>
                <w:szCs w:val="20"/>
              </w:rPr>
            </w:pPr>
            <w:r w:rsidRPr="006B14F7">
              <w:rPr>
                <w:rFonts w:ascii="Arial" w:hAnsi="Arial" w:cs="Arial"/>
                <w:b/>
                <w:sz w:val="20"/>
                <w:szCs w:val="20"/>
              </w:rPr>
              <w:t>Items</w:t>
            </w:r>
          </w:p>
        </w:tc>
        <w:tc>
          <w:tcPr>
            <w:tcW w:w="1350" w:type="dxa"/>
            <w:tcBorders>
              <w:top w:val="single" w:sz="4" w:space="0" w:color="auto"/>
              <w:bottom w:val="single" w:sz="4" w:space="0" w:color="auto"/>
            </w:tcBorders>
          </w:tcPr>
          <w:p w14:paraId="44F5DC5B" w14:textId="77777777" w:rsidR="006B14F7" w:rsidRPr="006B14F7" w:rsidRDefault="006B14F7" w:rsidP="006B14F7">
            <w:pPr>
              <w:spacing w:after="240"/>
              <w:rPr>
                <w:rFonts w:ascii="Arial" w:hAnsi="Arial" w:cs="Arial"/>
                <w:b/>
                <w:sz w:val="20"/>
                <w:szCs w:val="20"/>
              </w:rPr>
            </w:pPr>
            <w:r w:rsidRPr="006B14F7">
              <w:rPr>
                <w:rFonts w:ascii="Arial" w:hAnsi="Arial" w:cs="Arial"/>
                <w:b/>
                <w:sz w:val="20"/>
                <w:szCs w:val="20"/>
              </w:rPr>
              <w:t>Drosophila</w:t>
            </w:r>
          </w:p>
        </w:tc>
        <w:tc>
          <w:tcPr>
            <w:tcW w:w="1530" w:type="dxa"/>
            <w:tcBorders>
              <w:top w:val="single" w:sz="4" w:space="0" w:color="auto"/>
              <w:bottom w:val="single" w:sz="4" w:space="0" w:color="auto"/>
            </w:tcBorders>
          </w:tcPr>
          <w:p w14:paraId="27136B5F" w14:textId="77777777" w:rsidR="006B14F7" w:rsidRPr="006B14F7" w:rsidRDefault="006B14F7" w:rsidP="006B14F7">
            <w:pPr>
              <w:spacing w:after="240"/>
              <w:rPr>
                <w:rFonts w:ascii="Arial" w:hAnsi="Arial" w:cs="Arial"/>
                <w:b/>
                <w:sz w:val="20"/>
                <w:szCs w:val="20"/>
              </w:rPr>
            </w:pPr>
            <w:r w:rsidRPr="006B14F7">
              <w:rPr>
                <w:rFonts w:ascii="Arial" w:hAnsi="Arial" w:cs="Arial"/>
                <w:b/>
                <w:sz w:val="20"/>
                <w:szCs w:val="20"/>
              </w:rPr>
              <w:t>Grasshopper</w:t>
            </w:r>
          </w:p>
        </w:tc>
        <w:tc>
          <w:tcPr>
            <w:tcW w:w="1261" w:type="dxa"/>
            <w:tcBorders>
              <w:top w:val="single" w:sz="4" w:space="0" w:color="auto"/>
              <w:bottom w:val="single" w:sz="4" w:space="0" w:color="auto"/>
            </w:tcBorders>
          </w:tcPr>
          <w:p w14:paraId="2F0AECF6" w14:textId="77777777" w:rsidR="006B14F7" w:rsidRPr="006B14F7" w:rsidRDefault="006B14F7" w:rsidP="006B14F7">
            <w:pPr>
              <w:spacing w:after="240"/>
              <w:rPr>
                <w:rFonts w:ascii="Arial" w:hAnsi="Arial" w:cs="Arial"/>
                <w:b/>
                <w:sz w:val="20"/>
                <w:szCs w:val="20"/>
              </w:rPr>
            </w:pPr>
            <w:r w:rsidRPr="006B14F7">
              <w:rPr>
                <w:rFonts w:ascii="Arial" w:hAnsi="Arial" w:cs="Arial"/>
                <w:b/>
                <w:sz w:val="20"/>
                <w:szCs w:val="20"/>
              </w:rPr>
              <w:t>Honey bee</w:t>
            </w:r>
          </w:p>
        </w:tc>
        <w:tc>
          <w:tcPr>
            <w:tcW w:w="1439" w:type="dxa"/>
            <w:tcBorders>
              <w:top w:val="single" w:sz="4" w:space="0" w:color="auto"/>
              <w:bottom w:val="single" w:sz="4" w:space="0" w:color="auto"/>
            </w:tcBorders>
          </w:tcPr>
          <w:p w14:paraId="51315DDA" w14:textId="77777777" w:rsidR="006B14F7" w:rsidRPr="006B14F7" w:rsidRDefault="006B14F7" w:rsidP="006B14F7">
            <w:pPr>
              <w:spacing w:after="240"/>
              <w:rPr>
                <w:rFonts w:ascii="Arial" w:hAnsi="Arial" w:cs="Arial"/>
                <w:b/>
                <w:sz w:val="20"/>
                <w:szCs w:val="20"/>
              </w:rPr>
            </w:pPr>
            <w:r w:rsidRPr="006B14F7">
              <w:rPr>
                <w:rFonts w:ascii="Arial" w:hAnsi="Arial" w:cs="Arial"/>
                <w:b/>
                <w:sz w:val="20"/>
                <w:szCs w:val="20"/>
              </w:rPr>
              <w:t>Waxmoth</w:t>
            </w:r>
          </w:p>
        </w:tc>
        <w:tc>
          <w:tcPr>
            <w:tcW w:w="1710" w:type="dxa"/>
            <w:tcBorders>
              <w:top w:val="single" w:sz="4" w:space="0" w:color="auto"/>
              <w:bottom w:val="single" w:sz="4" w:space="0" w:color="auto"/>
            </w:tcBorders>
          </w:tcPr>
          <w:p w14:paraId="6DEA4EC8" w14:textId="77777777" w:rsidR="006B14F7" w:rsidRPr="006B14F7" w:rsidRDefault="006B14F7" w:rsidP="006B14F7">
            <w:pPr>
              <w:spacing w:after="240"/>
              <w:rPr>
                <w:rFonts w:ascii="Arial" w:hAnsi="Arial" w:cs="Arial"/>
                <w:b/>
                <w:sz w:val="20"/>
                <w:szCs w:val="20"/>
              </w:rPr>
            </w:pPr>
            <w:r w:rsidRPr="006B14F7">
              <w:rPr>
                <w:rFonts w:ascii="Arial" w:hAnsi="Arial" w:cs="Arial"/>
                <w:b/>
                <w:sz w:val="20"/>
                <w:szCs w:val="20"/>
              </w:rPr>
              <w:t>Silkworm</w:t>
            </w:r>
          </w:p>
        </w:tc>
      </w:tr>
      <w:tr w:rsidR="006B14F7" w:rsidRPr="006B14F7" w14:paraId="6F71E25B" w14:textId="77777777" w:rsidTr="006B14F7">
        <w:tc>
          <w:tcPr>
            <w:tcW w:w="1620" w:type="dxa"/>
            <w:tcBorders>
              <w:top w:val="single" w:sz="4" w:space="0" w:color="auto"/>
            </w:tcBorders>
          </w:tcPr>
          <w:p w14:paraId="52DF99D9" w14:textId="77777777" w:rsidR="006B14F7" w:rsidRPr="006B14F7" w:rsidRDefault="006B14F7" w:rsidP="006B14F7">
            <w:pPr>
              <w:spacing w:after="240"/>
              <w:rPr>
                <w:rFonts w:ascii="Arial" w:hAnsi="Arial" w:cs="Arial"/>
                <w:sz w:val="20"/>
                <w:szCs w:val="20"/>
              </w:rPr>
            </w:pPr>
            <w:r w:rsidRPr="006B14F7">
              <w:rPr>
                <w:rFonts w:ascii="Arial" w:hAnsi="Arial" w:cs="Arial"/>
                <w:sz w:val="20"/>
                <w:szCs w:val="20"/>
              </w:rPr>
              <w:t>Size</w:t>
            </w:r>
          </w:p>
        </w:tc>
        <w:tc>
          <w:tcPr>
            <w:tcW w:w="1350" w:type="dxa"/>
            <w:tcBorders>
              <w:top w:val="single" w:sz="4" w:space="0" w:color="auto"/>
            </w:tcBorders>
          </w:tcPr>
          <w:p w14:paraId="671DEBCD" w14:textId="77777777" w:rsidR="006B14F7" w:rsidRPr="006B14F7" w:rsidRDefault="006B14F7" w:rsidP="006B14F7">
            <w:pPr>
              <w:spacing w:after="240"/>
              <w:rPr>
                <w:rFonts w:ascii="Arial" w:hAnsi="Arial" w:cs="Arial"/>
                <w:sz w:val="20"/>
                <w:szCs w:val="20"/>
              </w:rPr>
            </w:pPr>
            <w:r w:rsidRPr="006B14F7">
              <w:rPr>
                <w:rFonts w:ascii="Arial" w:hAnsi="Arial" w:cs="Arial"/>
                <w:sz w:val="20"/>
                <w:szCs w:val="20"/>
              </w:rPr>
              <w:t>1–3 mm</w:t>
            </w:r>
          </w:p>
        </w:tc>
        <w:tc>
          <w:tcPr>
            <w:tcW w:w="1530" w:type="dxa"/>
            <w:tcBorders>
              <w:top w:val="single" w:sz="4" w:space="0" w:color="auto"/>
            </w:tcBorders>
          </w:tcPr>
          <w:p w14:paraId="01EC0CBD" w14:textId="77777777" w:rsidR="006B14F7" w:rsidRPr="006B14F7" w:rsidRDefault="006B14F7" w:rsidP="006B14F7">
            <w:pPr>
              <w:spacing w:after="240"/>
              <w:rPr>
                <w:rFonts w:ascii="Arial" w:hAnsi="Arial" w:cs="Arial"/>
                <w:sz w:val="20"/>
                <w:szCs w:val="20"/>
              </w:rPr>
            </w:pPr>
            <w:r w:rsidRPr="006B14F7">
              <w:rPr>
                <w:rFonts w:ascii="Arial" w:hAnsi="Arial" w:cs="Arial"/>
                <w:sz w:val="20"/>
                <w:szCs w:val="20"/>
              </w:rPr>
              <w:t>60–80 mm</w:t>
            </w:r>
          </w:p>
        </w:tc>
        <w:tc>
          <w:tcPr>
            <w:tcW w:w="1261" w:type="dxa"/>
            <w:tcBorders>
              <w:top w:val="single" w:sz="4" w:space="0" w:color="auto"/>
            </w:tcBorders>
          </w:tcPr>
          <w:p w14:paraId="57B16C66" w14:textId="77777777" w:rsidR="006B14F7" w:rsidRPr="006B14F7" w:rsidRDefault="006B14F7" w:rsidP="006B14F7">
            <w:pPr>
              <w:spacing w:after="240"/>
              <w:rPr>
                <w:rFonts w:ascii="Arial" w:hAnsi="Arial" w:cs="Arial"/>
                <w:sz w:val="20"/>
                <w:szCs w:val="20"/>
              </w:rPr>
            </w:pPr>
            <w:r w:rsidRPr="006B14F7">
              <w:rPr>
                <w:rFonts w:ascii="Arial" w:hAnsi="Arial" w:cs="Arial"/>
                <w:sz w:val="20"/>
                <w:szCs w:val="20"/>
              </w:rPr>
              <w:t>15–17 mm</w:t>
            </w:r>
          </w:p>
        </w:tc>
        <w:tc>
          <w:tcPr>
            <w:tcW w:w="1439" w:type="dxa"/>
            <w:tcBorders>
              <w:top w:val="single" w:sz="4" w:space="0" w:color="auto"/>
            </w:tcBorders>
          </w:tcPr>
          <w:p w14:paraId="4C9878AC" w14:textId="77777777" w:rsidR="006B14F7" w:rsidRPr="006B14F7" w:rsidRDefault="006B14F7" w:rsidP="006B14F7">
            <w:pPr>
              <w:spacing w:after="240"/>
              <w:rPr>
                <w:rFonts w:ascii="Arial" w:hAnsi="Arial" w:cs="Arial"/>
                <w:sz w:val="20"/>
                <w:szCs w:val="20"/>
              </w:rPr>
            </w:pPr>
            <w:r w:rsidRPr="006B14F7">
              <w:rPr>
                <w:rFonts w:ascii="Arial" w:hAnsi="Arial" w:cs="Arial"/>
                <w:sz w:val="20"/>
                <w:szCs w:val="20"/>
              </w:rPr>
              <w:t>30–40 mm</w:t>
            </w:r>
          </w:p>
        </w:tc>
        <w:tc>
          <w:tcPr>
            <w:tcW w:w="1710" w:type="dxa"/>
            <w:tcBorders>
              <w:top w:val="single" w:sz="4" w:space="0" w:color="auto"/>
            </w:tcBorders>
          </w:tcPr>
          <w:p w14:paraId="105A3362" w14:textId="77777777" w:rsidR="006B14F7" w:rsidRPr="006B14F7" w:rsidRDefault="006B14F7" w:rsidP="006B14F7">
            <w:pPr>
              <w:spacing w:after="240"/>
              <w:rPr>
                <w:rFonts w:ascii="Arial" w:hAnsi="Arial" w:cs="Arial"/>
                <w:sz w:val="20"/>
                <w:szCs w:val="20"/>
              </w:rPr>
            </w:pPr>
            <w:r w:rsidRPr="006B14F7">
              <w:rPr>
                <w:rFonts w:ascii="Arial" w:hAnsi="Arial" w:cs="Arial"/>
                <w:sz w:val="20"/>
                <w:szCs w:val="20"/>
              </w:rPr>
              <w:t>40–60 mm</w:t>
            </w:r>
          </w:p>
        </w:tc>
      </w:tr>
      <w:tr w:rsidR="006B14F7" w:rsidRPr="006B14F7" w14:paraId="7F3D143D" w14:textId="77777777" w:rsidTr="006B14F7">
        <w:tc>
          <w:tcPr>
            <w:tcW w:w="1620" w:type="dxa"/>
          </w:tcPr>
          <w:p w14:paraId="7F05C041" w14:textId="77777777" w:rsidR="006B14F7" w:rsidRPr="006B14F7" w:rsidRDefault="006B14F7" w:rsidP="006B14F7">
            <w:pPr>
              <w:spacing w:after="240"/>
              <w:rPr>
                <w:rFonts w:ascii="Arial" w:hAnsi="Arial" w:cs="Arial"/>
                <w:sz w:val="20"/>
                <w:szCs w:val="20"/>
              </w:rPr>
            </w:pPr>
            <w:r w:rsidRPr="006B14F7">
              <w:rPr>
                <w:rFonts w:ascii="Arial" w:hAnsi="Arial" w:cs="Arial"/>
                <w:sz w:val="20"/>
                <w:szCs w:val="20"/>
              </w:rPr>
              <w:t>Motility</w:t>
            </w:r>
          </w:p>
        </w:tc>
        <w:tc>
          <w:tcPr>
            <w:tcW w:w="1350" w:type="dxa"/>
          </w:tcPr>
          <w:p w14:paraId="1AAD7FEB" w14:textId="77777777" w:rsidR="006B14F7" w:rsidRPr="006B14F7" w:rsidRDefault="006B14F7" w:rsidP="006B14F7">
            <w:pPr>
              <w:spacing w:after="240"/>
              <w:rPr>
                <w:rFonts w:ascii="Arial" w:hAnsi="Arial" w:cs="Arial"/>
                <w:sz w:val="20"/>
                <w:szCs w:val="20"/>
              </w:rPr>
            </w:pPr>
            <w:r w:rsidRPr="006B14F7">
              <w:rPr>
                <w:rFonts w:ascii="Arial" w:hAnsi="Arial" w:cs="Arial"/>
                <w:sz w:val="20"/>
                <w:szCs w:val="20"/>
              </w:rPr>
              <w:t>Flies</w:t>
            </w:r>
          </w:p>
        </w:tc>
        <w:tc>
          <w:tcPr>
            <w:tcW w:w="1530" w:type="dxa"/>
          </w:tcPr>
          <w:p w14:paraId="0D11090E" w14:textId="77777777" w:rsidR="006B14F7" w:rsidRPr="006B14F7" w:rsidRDefault="006B14F7" w:rsidP="006B14F7">
            <w:pPr>
              <w:spacing w:after="240"/>
              <w:rPr>
                <w:rFonts w:ascii="Arial" w:hAnsi="Arial" w:cs="Arial"/>
                <w:sz w:val="20"/>
                <w:szCs w:val="20"/>
              </w:rPr>
            </w:pPr>
            <w:r w:rsidRPr="006B14F7">
              <w:rPr>
                <w:rFonts w:ascii="Arial" w:hAnsi="Arial" w:cs="Arial"/>
                <w:sz w:val="20"/>
                <w:szCs w:val="20"/>
              </w:rPr>
              <w:t>Jumps, flies</w:t>
            </w:r>
          </w:p>
        </w:tc>
        <w:tc>
          <w:tcPr>
            <w:tcW w:w="1261" w:type="dxa"/>
          </w:tcPr>
          <w:p w14:paraId="619517C7" w14:textId="77777777" w:rsidR="006B14F7" w:rsidRPr="006B14F7" w:rsidRDefault="006B14F7" w:rsidP="006B14F7">
            <w:pPr>
              <w:spacing w:after="240"/>
              <w:rPr>
                <w:rFonts w:ascii="Arial" w:hAnsi="Arial" w:cs="Arial"/>
                <w:sz w:val="20"/>
                <w:szCs w:val="20"/>
              </w:rPr>
            </w:pPr>
            <w:r w:rsidRPr="006B14F7">
              <w:rPr>
                <w:rFonts w:ascii="Arial" w:hAnsi="Arial" w:cs="Arial"/>
                <w:sz w:val="20"/>
                <w:szCs w:val="20"/>
              </w:rPr>
              <w:t>Flies</w:t>
            </w:r>
          </w:p>
        </w:tc>
        <w:tc>
          <w:tcPr>
            <w:tcW w:w="1439" w:type="dxa"/>
          </w:tcPr>
          <w:p w14:paraId="2FBE2840" w14:textId="77777777" w:rsidR="006B14F7" w:rsidRPr="006B14F7" w:rsidRDefault="006B14F7" w:rsidP="006B14F7">
            <w:pPr>
              <w:spacing w:after="240"/>
              <w:rPr>
                <w:rFonts w:ascii="Arial" w:hAnsi="Arial" w:cs="Arial"/>
                <w:sz w:val="20"/>
                <w:szCs w:val="20"/>
              </w:rPr>
            </w:pPr>
            <w:r w:rsidRPr="006B14F7">
              <w:rPr>
                <w:rFonts w:ascii="Arial" w:hAnsi="Arial" w:cs="Arial"/>
                <w:sz w:val="20"/>
                <w:szCs w:val="20"/>
              </w:rPr>
              <w:t>Larva: faster than silkworm, Adult: flies</w:t>
            </w:r>
          </w:p>
        </w:tc>
        <w:tc>
          <w:tcPr>
            <w:tcW w:w="1710" w:type="dxa"/>
          </w:tcPr>
          <w:p w14:paraId="2D1AFBDD" w14:textId="77777777" w:rsidR="006B14F7" w:rsidRPr="006B14F7" w:rsidRDefault="006B14F7" w:rsidP="006B14F7">
            <w:pPr>
              <w:spacing w:after="240"/>
              <w:rPr>
                <w:rFonts w:ascii="Arial" w:hAnsi="Arial" w:cs="Arial"/>
                <w:sz w:val="20"/>
                <w:szCs w:val="20"/>
              </w:rPr>
            </w:pPr>
            <w:r w:rsidRPr="006B14F7">
              <w:rPr>
                <w:rFonts w:ascii="Arial" w:hAnsi="Arial" w:cs="Arial"/>
                <w:sz w:val="20"/>
                <w:szCs w:val="20"/>
              </w:rPr>
              <w:t>Larva: slow, Adult: cannot fly</w:t>
            </w:r>
          </w:p>
        </w:tc>
      </w:tr>
      <w:tr w:rsidR="006B14F7" w:rsidRPr="006B14F7" w14:paraId="0665903A" w14:textId="77777777" w:rsidTr="006B14F7">
        <w:tc>
          <w:tcPr>
            <w:tcW w:w="1620" w:type="dxa"/>
          </w:tcPr>
          <w:p w14:paraId="653E68E3" w14:textId="77777777" w:rsidR="006B14F7" w:rsidRPr="006B14F7" w:rsidRDefault="006B14F7" w:rsidP="006B14F7">
            <w:pPr>
              <w:spacing w:after="240"/>
              <w:rPr>
                <w:rFonts w:ascii="Arial" w:hAnsi="Arial" w:cs="Arial"/>
                <w:sz w:val="20"/>
                <w:szCs w:val="20"/>
              </w:rPr>
            </w:pPr>
            <w:r w:rsidRPr="006B14F7">
              <w:rPr>
                <w:rFonts w:ascii="Arial" w:hAnsi="Arial" w:cs="Arial"/>
                <w:sz w:val="20"/>
                <w:szCs w:val="20"/>
              </w:rPr>
              <w:t>Breeding approach</w:t>
            </w:r>
          </w:p>
        </w:tc>
        <w:tc>
          <w:tcPr>
            <w:tcW w:w="1350" w:type="dxa"/>
          </w:tcPr>
          <w:p w14:paraId="264AA8B4" w14:textId="77777777" w:rsidR="006B14F7" w:rsidRPr="006B14F7" w:rsidRDefault="006B14F7" w:rsidP="006B14F7">
            <w:pPr>
              <w:spacing w:after="240"/>
              <w:rPr>
                <w:rFonts w:ascii="Arial" w:hAnsi="Arial" w:cs="Arial"/>
                <w:sz w:val="20"/>
                <w:szCs w:val="20"/>
              </w:rPr>
            </w:pPr>
            <w:r w:rsidRPr="006B14F7">
              <w:rPr>
                <w:rFonts w:ascii="Arial" w:hAnsi="Arial" w:cs="Arial"/>
                <w:sz w:val="20"/>
                <w:szCs w:val="20"/>
              </w:rPr>
              <w:t>Well established</w:t>
            </w:r>
          </w:p>
        </w:tc>
        <w:tc>
          <w:tcPr>
            <w:tcW w:w="1530" w:type="dxa"/>
          </w:tcPr>
          <w:p w14:paraId="1936CBDF" w14:textId="77777777" w:rsidR="006B14F7" w:rsidRPr="006B14F7" w:rsidRDefault="006B14F7" w:rsidP="006B14F7">
            <w:pPr>
              <w:spacing w:after="240"/>
              <w:rPr>
                <w:rFonts w:ascii="Arial" w:hAnsi="Arial" w:cs="Arial"/>
                <w:sz w:val="20"/>
                <w:szCs w:val="20"/>
              </w:rPr>
            </w:pPr>
            <w:r w:rsidRPr="006B14F7">
              <w:rPr>
                <w:rFonts w:ascii="Arial" w:hAnsi="Arial" w:cs="Arial"/>
                <w:sz w:val="20"/>
                <w:szCs w:val="20"/>
              </w:rPr>
              <w:t>Established</w:t>
            </w:r>
          </w:p>
        </w:tc>
        <w:tc>
          <w:tcPr>
            <w:tcW w:w="1261" w:type="dxa"/>
          </w:tcPr>
          <w:p w14:paraId="6637F29D" w14:textId="77777777" w:rsidR="006B14F7" w:rsidRPr="006B14F7" w:rsidRDefault="006B14F7" w:rsidP="006B14F7">
            <w:pPr>
              <w:spacing w:after="240"/>
              <w:rPr>
                <w:rFonts w:ascii="Arial" w:hAnsi="Arial" w:cs="Arial"/>
                <w:sz w:val="20"/>
                <w:szCs w:val="20"/>
              </w:rPr>
            </w:pPr>
            <w:r w:rsidRPr="006B14F7">
              <w:rPr>
                <w:rFonts w:ascii="Arial" w:hAnsi="Arial" w:cs="Arial"/>
                <w:sz w:val="20"/>
                <w:szCs w:val="20"/>
              </w:rPr>
              <w:t>Well established</w:t>
            </w:r>
          </w:p>
        </w:tc>
        <w:tc>
          <w:tcPr>
            <w:tcW w:w="1439" w:type="dxa"/>
          </w:tcPr>
          <w:p w14:paraId="0B63719E" w14:textId="77777777" w:rsidR="006B14F7" w:rsidRPr="006B14F7" w:rsidRDefault="006B14F7" w:rsidP="006B14F7">
            <w:pPr>
              <w:spacing w:after="240"/>
              <w:rPr>
                <w:rFonts w:ascii="Arial" w:hAnsi="Arial" w:cs="Arial"/>
                <w:sz w:val="20"/>
                <w:szCs w:val="20"/>
              </w:rPr>
            </w:pPr>
            <w:r w:rsidRPr="006B14F7">
              <w:rPr>
                <w:rFonts w:ascii="Arial" w:hAnsi="Arial" w:cs="Arial"/>
                <w:sz w:val="20"/>
                <w:szCs w:val="20"/>
              </w:rPr>
              <w:t>Established</w:t>
            </w:r>
          </w:p>
        </w:tc>
        <w:tc>
          <w:tcPr>
            <w:tcW w:w="1710" w:type="dxa"/>
          </w:tcPr>
          <w:p w14:paraId="010A6231" w14:textId="77777777" w:rsidR="006B14F7" w:rsidRPr="006B14F7" w:rsidRDefault="006B14F7" w:rsidP="006B14F7">
            <w:pPr>
              <w:spacing w:after="240"/>
              <w:rPr>
                <w:rFonts w:ascii="Arial" w:hAnsi="Arial" w:cs="Arial"/>
                <w:sz w:val="20"/>
                <w:szCs w:val="20"/>
              </w:rPr>
            </w:pPr>
            <w:r w:rsidRPr="006B14F7">
              <w:rPr>
                <w:rFonts w:ascii="Arial" w:hAnsi="Arial" w:cs="Arial"/>
                <w:sz w:val="20"/>
                <w:szCs w:val="20"/>
              </w:rPr>
              <w:t>Well established (&gt; 5000 years)</w:t>
            </w:r>
          </w:p>
        </w:tc>
      </w:tr>
      <w:tr w:rsidR="006B14F7" w:rsidRPr="006B14F7" w14:paraId="4AF7A0E1" w14:textId="77777777" w:rsidTr="006B14F7">
        <w:tc>
          <w:tcPr>
            <w:tcW w:w="1620" w:type="dxa"/>
          </w:tcPr>
          <w:p w14:paraId="015AAAD0" w14:textId="77777777" w:rsidR="006B14F7" w:rsidRPr="006B14F7" w:rsidRDefault="006B14F7" w:rsidP="006B14F7">
            <w:pPr>
              <w:spacing w:after="240"/>
              <w:rPr>
                <w:rFonts w:ascii="Arial" w:hAnsi="Arial" w:cs="Arial"/>
                <w:sz w:val="20"/>
                <w:szCs w:val="20"/>
              </w:rPr>
            </w:pPr>
            <w:r w:rsidRPr="006B14F7">
              <w:rPr>
                <w:rFonts w:ascii="Arial" w:hAnsi="Arial" w:cs="Arial"/>
                <w:sz w:val="20"/>
                <w:szCs w:val="20"/>
              </w:rPr>
              <w:t>Special equipment for organ isolation</w:t>
            </w:r>
          </w:p>
        </w:tc>
        <w:tc>
          <w:tcPr>
            <w:tcW w:w="1350" w:type="dxa"/>
          </w:tcPr>
          <w:p w14:paraId="0E578CD8" w14:textId="77777777" w:rsidR="006B14F7" w:rsidRPr="006B14F7" w:rsidRDefault="006B14F7" w:rsidP="006B14F7">
            <w:pPr>
              <w:spacing w:after="240"/>
              <w:rPr>
                <w:rFonts w:ascii="Arial" w:hAnsi="Arial" w:cs="Arial"/>
                <w:sz w:val="20"/>
                <w:szCs w:val="20"/>
              </w:rPr>
            </w:pPr>
            <w:r w:rsidRPr="006B14F7">
              <w:rPr>
                <w:rFonts w:ascii="Arial" w:hAnsi="Arial" w:cs="Arial"/>
                <w:sz w:val="20"/>
                <w:szCs w:val="20"/>
              </w:rPr>
              <w:t>Required</w:t>
            </w:r>
          </w:p>
        </w:tc>
        <w:tc>
          <w:tcPr>
            <w:tcW w:w="1530" w:type="dxa"/>
          </w:tcPr>
          <w:p w14:paraId="4FC2F32B" w14:textId="77777777" w:rsidR="006B14F7" w:rsidRPr="006B14F7" w:rsidRDefault="006B14F7" w:rsidP="006B14F7">
            <w:pPr>
              <w:spacing w:after="240"/>
              <w:rPr>
                <w:rFonts w:ascii="Arial" w:hAnsi="Arial" w:cs="Arial"/>
                <w:sz w:val="20"/>
                <w:szCs w:val="20"/>
              </w:rPr>
            </w:pPr>
            <w:r w:rsidRPr="006B14F7">
              <w:rPr>
                <w:rFonts w:ascii="Arial" w:hAnsi="Arial" w:cs="Arial"/>
                <w:sz w:val="20"/>
                <w:szCs w:val="20"/>
              </w:rPr>
              <w:t>Not required</w:t>
            </w:r>
          </w:p>
        </w:tc>
        <w:tc>
          <w:tcPr>
            <w:tcW w:w="1261" w:type="dxa"/>
          </w:tcPr>
          <w:p w14:paraId="04F78B15" w14:textId="77777777" w:rsidR="006B14F7" w:rsidRPr="006B14F7" w:rsidRDefault="006B14F7" w:rsidP="006B14F7">
            <w:pPr>
              <w:spacing w:after="240"/>
              <w:rPr>
                <w:rFonts w:ascii="Arial" w:hAnsi="Arial" w:cs="Arial"/>
                <w:sz w:val="20"/>
                <w:szCs w:val="20"/>
              </w:rPr>
            </w:pPr>
            <w:r w:rsidRPr="006B14F7">
              <w:rPr>
                <w:rFonts w:ascii="Arial" w:hAnsi="Arial" w:cs="Arial"/>
                <w:sz w:val="20"/>
                <w:szCs w:val="20"/>
              </w:rPr>
              <w:t>Not required</w:t>
            </w:r>
          </w:p>
        </w:tc>
        <w:tc>
          <w:tcPr>
            <w:tcW w:w="1439" w:type="dxa"/>
          </w:tcPr>
          <w:p w14:paraId="279F6751" w14:textId="77777777" w:rsidR="006B14F7" w:rsidRPr="006B14F7" w:rsidRDefault="006B14F7" w:rsidP="006B14F7">
            <w:pPr>
              <w:spacing w:after="240"/>
              <w:rPr>
                <w:rFonts w:ascii="Arial" w:hAnsi="Arial" w:cs="Arial"/>
                <w:sz w:val="20"/>
                <w:szCs w:val="20"/>
              </w:rPr>
            </w:pPr>
            <w:r w:rsidRPr="006B14F7">
              <w:rPr>
                <w:rFonts w:ascii="Arial" w:hAnsi="Arial" w:cs="Arial"/>
                <w:sz w:val="20"/>
                <w:szCs w:val="20"/>
              </w:rPr>
              <w:t>Not required</w:t>
            </w:r>
          </w:p>
        </w:tc>
        <w:tc>
          <w:tcPr>
            <w:tcW w:w="1710" w:type="dxa"/>
          </w:tcPr>
          <w:p w14:paraId="294B5B3B" w14:textId="77777777" w:rsidR="006B14F7" w:rsidRPr="006B14F7" w:rsidRDefault="006B14F7" w:rsidP="006B14F7">
            <w:pPr>
              <w:spacing w:after="240"/>
              <w:rPr>
                <w:rFonts w:ascii="Arial" w:hAnsi="Arial" w:cs="Arial"/>
                <w:sz w:val="20"/>
                <w:szCs w:val="20"/>
              </w:rPr>
            </w:pPr>
            <w:r w:rsidRPr="006B14F7">
              <w:rPr>
                <w:rFonts w:ascii="Arial" w:hAnsi="Arial" w:cs="Arial"/>
                <w:sz w:val="20"/>
                <w:szCs w:val="20"/>
              </w:rPr>
              <w:t>Not required</w:t>
            </w:r>
          </w:p>
        </w:tc>
      </w:tr>
      <w:tr w:rsidR="006B14F7" w:rsidRPr="006B14F7" w14:paraId="763CD691" w14:textId="77777777" w:rsidTr="006B14F7">
        <w:tc>
          <w:tcPr>
            <w:tcW w:w="1620" w:type="dxa"/>
          </w:tcPr>
          <w:p w14:paraId="18E3A54B" w14:textId="77777777" w:rsidR="006B14F7" w:rsidRPr="006B14F7" w:rsidRDefault="006B14F7" w:rsidP="006B14F7">
            <w:pPr>
              <w:spacing w:after="240"/>
              <w:rPr>
                <w:rFonts w:ascii="Arial" w:hAnsi="Arial" w:cs="Arial"/>
                <w:sz w:val="20"/>
                <w:szCs w:val="20"/>
              </w:rPr>
            </w:pPr>
            <w:r w:rsidRPr="006B14F7">
              <w:rPr>
                <w:rFonts w:ascii="Arial" w:hAnsi="Arial" w:cs="Arial"/>
                <w:sz w:val="20"/>
                <w:szCs w:val="20"/>
              </w:rPr>
              <w:t>Dissection and separation of organs</w:t>
            </w:r>
          </w:p>
        </w:tc>
        <w:tc>
          <w:tcPr>
            <w:tcW w:w="1350" w:type="dxa"/>
          </w:tcPr>
          <w:p w14:paraId="7048E1A5" w14:textId="77777777" w:rsidR="006B14F7" w:rsidRPr="006B14F7" w:rsidRDefault="006B14F7" w:rsidP="006B14F7">
            <w:pPr>
              <w:spacing w:after="240"/>
              <w:rPr>
                <w:rFonts w:ascii="Arial" w:hAnsi="Arial" w:cs="Arial"/>
                <w:sz w:val="20"/>
                <w:szCs w:val="20"/>
              </w:rPr>
            </w:pPr>
            <w:r w:rsidRPr="006B14F7">
              <w:rPr>
                <w:rFonts w:ascii="Arial" w:hAnsi="Arial" w:cs="Arial"/>
                <w:sz w:val="20"/>
                <w:szCs w:val="20"/>
              </w:rPr>
              <w:t>Complex and not consistently achievable</w:t>
            </w:r>
          </w:p>
        </w:tc>
        <w:tc>
          <w:tcPr>
            <w:tcW w:w="1530" w:type="dxa"/>
          </w:tcPr>
          <w:p w14:paraId="37056802" w14:textId="77777777" w:rsidR="006B14F7" w:rsidRPr="006B14F7" w:rsidRDefault="006B14F7" w:rsidP="006B14F7">
            <w:pPr>
              <w:spacing w:after="240"/>
              <w:rPr>
                <w:rFonts w:ascii="Arial" w:hAnsi="Arial" w:cs="Arial"/>
                <w:sz w:val="20"/>
                <w:szCs w:val="20"/>
              </w:rPr>
            </w:pPr>
            <w:r w:rsidRPr="006B14F7">
              <w:rPr>
                <w:rFonts w:ascii="Arial" w:hAnsi="Arial" w:cs="Arial"/>
                <w:sz w:val="20"/>
                <w:szCs w:val="20"/>
              </w:rPr>
              <w:t>More feasible</w:t>
            </w:r>
          </w:p>
        </w:tc>
        <w:tc>
          <w:tcPr>
            <w:tcW w:w="1261" w:type="dxa"/>
          </w:tcPr>
          <w:p w14:paraId="6573F24F" w14:textId="77777777" w:rsidR="006B14F7" w:rsidRPr="006B14F7" w:rsidRDefault="006B14F7" w:rsidP="006B14F7">
            <w:pPr>
              <w:spacing w:after="240"/>
              <w:rPr>
                <w:rFonts w:ascii="Arial" w:hAnsi="Arial" w:cs="Arial"/>
                <w:sz w:val="20"/>
                <w:szCs w:val="20"/>
              </w:rPr>
            </w:pPr>
            <w:r w:rsidRPr="006B14F7">
              <w:rPr>
                <w:rFonts w:ascii="Arial" w:hAnsi="Arial" w:cs="Arial"/>
                <w:sz w:val="20"/>
                <w:szCs w:val="20"/>
              </w:rPr>
              <w:t>More feasible</w:t>
            </w:r>
          </w:p>
        </w:tc>
        <w:tc>
          <w:tcPr>
            <w:tcW w:w="1439" w:type="dxa"/>
          </w:tcPr>
          <w:p w14:paraId="2C23BBE2" w14:textId="77777777" w:rsidR="006B14F7" w:rsidRPr="006B14F7" w:rsidRDefault="006B14F7" w:rsidP="006B14F7">
            <w:pPr>
              <w:spacing w:after="240"/>
              <w:rPr>
                <w:rFonts w:ascii="Arial" w:hAnsi="Arial" w:cs="Arial"/>
                <w:sz w:val="20"/>
                <w:szCs w:val="20"/>
              </w:rPr>
            </w:pPr>
            <w:r w:rsidRPr="006B14F7">
              <w:rPr>
                <w:rFonts w:ascii="Arial" w:hAnsi="Arial" w:cs="Arial"/>
                <w:sz w:val="20"/>
                <w:szCs w:val="20"/>
              </w:rPr>
              <w:t>More feasible</w:t>
            </w:r>
          </w:p>
        </w:tc>
        <w:tc>
          <w:tcPr>
            <w:tcW w:w="1710" w:type="dxa"/>
          </w:tcPr>
          <w:p w14:paraId="71EB9840" w14:textId="77777777" w:rsidR="006B14F7" w:rsidRPr="006B14F7" w:rsidRDefault="006B14F7" w:rsidP="006B14F7">
            <w:pPr>
              <w:spacing w:after="240"/>
              <w:rPr>
                <w:rFonts w:ascii="Arial" w:hAnsi="Arial" w:cs="Arial"/>
                <w:sz w:val="20"/>
                <w:szCs w:val="20"/>
              </w:rPr>
            </w:pPr>
            <w:r w:rsidRPr="006B14F7">
              <w:rPr>
                <w:rFonts w:ascii="Arial" w:hAnsi="Arial" w:cs="Arial"/>
                <w:sz w:val="20"/>
                <w:szCs w:val="20"/>
              </w:rPr>
              <w:t>More feasible</w:t>
            </w:r>
          </w:p>
        </w:tc>
      </w:tr>
      <w:tr w:rsidR="006B14F7" w:rsidRPr="006B14F7" w14:paraId="3852ECD5" w14:textId="77777777" w:rsidTr="006B14F7">
        <w:tc>
          <w:tcPr>
            <w:tcW w:w="1620" w:type="dxa"/>
          </w:tcPr>
          <w:p w14:paraId="17007AAE" w14:textId="77777777" w:rsidR="006B14F7" w:rsidRPr="006B14F7" w:rsidRDefault="006B14F7" w:rsidP="006B14F7">
            <w:pPr>
              <w:spacing w:after="240"/>
              <w:rPr>
                <w:rFonts w:ascii="Arial" w:hAnsi="Arial" w:cs="Arial"/>
                <w:sz w:val="20"/>
                <w:szCs w:val="20"/>
              </w:rPr>
            </w:pPr>
            <w:r w:rsidRPr="006B14F7">
              <w:rPr>
                <w:rFonts w:ascii="Arial" w:hAnsi="Arial" w:cs="Arial"/>
                <w:sz w:val="20"/>
                <w:szCs w:val="20"/>
              </w:rPr>
              <w:t>Inoculation method</w:t>
            </w:r>
          </w:p>
        </w:tc>
        <w:tc>
          <w:tcPr>
            <w:tcW w:w="1350" w:type="dxa"/>
          </w:tcPr>
          <w:p w14:paraId="086F1E63" w14:textId="77777777" w:rsidR="006B14F7" w:rsidRPr="006B14F7" w:rsidRDefault="006B14F7" w:rsidP="006B14F7">
            <w:pPr>
              <w:spacing w:after="240"/>
              <w:rPr>
                <w:rFonts w:ascii="Arial" w:hAnsi="Arial" w:cs="Arial"/>
                <w:sz w:val="20"/>
                <w:szCs w:val="20"/>
              </w:rPr>
            </w:pPr>
            <w:r w:rsidRPr="006B14F7">
              <w:rPr>
                <w:rFonts w:ascii="Arial" w:hAnsi="Arial" w:cs="Arial"/>
                <w:sz w:val="20"/>
                <w:szCs w:val="20"/>
              </w:rPr>
              <w:t>Challenging and necessitating trained professionals.</w:t>
            </w:r>
          </w:p>
        </w:tc>
        <w:tc>
          <w:tcPr>
            <w:tcW w:w="1530" w:type="dxa"/>
          </w:tcPr>
          <w:p w14:paraId="29ED5FC8" w14:textId="77777777" w:rsidR="006B14F7" w:rsidRPr="006B14F7" w:rsidRDefault="006B14F7" w:rsidP="006B14F7">
            <w:pPr>
              <w:spacing w:after="240"/>
              <w:rPr>
                <w:rFonts w:ascii="Arial" w:hAnsi="Arial" w:cs="Arial"/>
                <w:sz w:val="20"/>
                <w:szCs w:val="20"/>
              </w:rPr>
            </w:pPr>
            <w:r w:rsidRPr="006B14F7">
              <w:rPr>
                <w:rFonts w:ascii="Arial" w:hAnsi="Arial" w:cs="Arial"/>
                <w:sz w:val="20"/>
                <w:szCs w:val="20"/>
              </w:rPr>
              <w:t>_</w:t>
            </w:r>
          </w:p>
        </w:tc>
        <w:tc>
          <w:tcPr>
            <w:tcW w:w="1261" w:type="dxa"/>
          </w:tcPr>
          <w:p w14:paraId="12804EC1" w14:textId="77777777" w:rsidR="006B14F7" w:rsidRPr="006B14F7" w:rsidRDefault="006B14F7" w:rsidP="006B14F7">
            <w:pPr>
              <w:spacing w:after="240"/>
              <w:rPr>
                <w:rFonts w:ascii="Arial" w:hAnsi="Arial" w:cs="Arial"/>
                <w:sz w:val="20"/>
                <w:szCs w:val="20"/>
              </w:rPr>
            </w:pPr>
            <w:r w:rsidRPr="006B14F7">
              <w:rPr>
                <w:rFonts w:ascii="Arial" w:hAnsi="Arial" w:cs="Arial"/>
                <w:sz w:val="20"/>
                <w:szCs w:val="20"/>
              </w:rPr>
              <w:t>_</w:t>
            </w:r>
          </w:p>
        </w:tc>
        <w:tc>
          <w:tcPr>
            <w:tcW w:w="1439" w:type="dxa"/>
          </w:tcPr>
          <w:p w14:paraId="5F5A0672" w14:textId="77777777" w:rsidR="006B14F7" w:rsidRPr="006B14F7" w:rsidRDefault="006B14F7" w:rsidP="006B14F7">
            <w:pPr>
              <w:spacing w:after="240"/>
              <w:rPr>
                <w:rFonts w:ascii="Arial" w:hAnsi="Arial" w:cs="Arial"/>
                <w:sz w:val="20"/>
                <w:szCs w:val="20"/>
              </w:rPr>
            </w:pPr>
            <w:r w:rsidRPr="006B14F7">
              <w:rPr>
                <w:rFonts w:ascii="Arial" w:hAnsi="Arial" w:cs="Arial"/>
                <w:sz w:val="20"/>
                <w:szCs w:val="20"/>
              </w:rPr>
              <w:t>Easier</w:t>
            </w:r>
          </w:p>
        </w:tc>
        <w:tc>
          <w:tcPr>
            <w:tcW w:w="1710" w:type="dxa"/>
          </w:tcPr>
          <w:p w14:paraId="1BB6366E" w14:textId="77777777" w:rsidR="006B14F7" w:rsidRPr="006B14F7" w:rsidRDefault="006B14F7" w:rsidP="006B14F7">
            <w:pPr>
              <w:spacing w:after="240"/>
              <w:rPr>
                <w:rFonts w:ascii="Arial" w:hAnsi="Arial" w:cs="Arial"/>
                <w:sz w:val="20"/>
                <w:szCs w:val="20"/>
              </w:rPr>
            </w:pPr>
            <w:r w:rsidRPr="006B14F7">
              <w:rPr>
                <w:rFonts w:ascii="Arial" w:hAnsi="Arial" w:cs="Arial"/>
                <w:sz w:val="20"/>
                <w:szCs w:val="20"/>
              </w:rPr>
              <w:t>Technically simple, with rapid learnability for most operators.</w:t>
            </w:r>
          </w:p>
        </w:tc>
      </w:tr>
      <w:tr w:rsidR="006B14F7" w:rsidRPr="006B14F7" w14:paraId="08C89E61" w14:textId="77777777" w:rsidTr="006B14F7">
        <w:tc>
          <w:tcPr>
            <w:tcW w:w="1620" w:type="dxa"/>
          </w:tcPr>
          <w:p w14:paraId="60547D2C" w14:textId="77777777" w:rsidR="006B14F7" w:rsidRPr="006B14F7" w:rsidRDefault="006B14F7" w:rsidP="006B14F7">
            <w:pPr>
              <w:spacing w:after="240"/>
              <w:rPr>
                <w:rFonts w:ascii="Arial" w:hAnsi="Arial" w:cs="Arial"/>
                <w:sz w:val="20"/>
                <w:szCs w:val="20"/>
              </w:rPr>
            </w:pPr>
            <w:r w:rsidRPr="006B14F7">
              <w:rPr>
                <w:rFonts w:ascii="Arial" w:hAnsi="Arial" w:cs="Arial"/>
                <w:sz w:val="20"/>
                <w:szCs w:val="20"/>
              </w:rPr>
              <w:t>Specific handling procedure</w:t>
            </w:r>
          </w:p>
        </w:tc>
        <w:tc>
          <w:tcPr>
            <w:tcW w:w="1350" w:type="dxa"/>
          </w:tcPr>
          <w:p w14:paraId="2452DA00" w14:textId="77777777" w:rsidR="006B14F7" w:rsidRPr="006B14F7" w:rsidRDefault="006B14F7" w:rsidP="006B14F7">
            <w:pPr>
              <w:spacing w:after="240"/>
              <w:rPr>
                <w:rFonts w:ascii="Arial" w:hAnsi="Arial" w:cs="Arial"/>
                <w:sz w:val="20"/>
                <w:szCs w:val="20"/>
              </w:rPr>
            </w:pPr>
            <w:r w:rsidRPr="006B14F7">
              <w:rPr>
                <w:rFonts w:ascii="Arial" w:hAnsi="Arial" w:cs="Arial"/>
                <w:sz w:val="20"/>
                <w:szCs w:val="20"/>
              </w:rPr>
              <w:t>Mandatory</w:t>
            </w:r>
          </w:p>
        </w:tc>
        <w:tc>
          <w:tcPr>
            <w:tcW w:w="1530" w:type="dxa"/>
          </w:tcPr>
          <w:p w14:paraId="198203C0" w14:textId="77777777" w:rsidR="006B14F7" w:rsidRPr="006B14F7" w:rsidRDefault="006B14F7" w:rsidP="006B14F7">
            <w:pPr>
              <w:spacing w:after="240"/>
              <w:rPr>
                <w:rFonts w:ascii="Arial" w:hAnsi="Arial" w:cs="Arial"/>
                <w:sz w:val="20"/>
                <w:szCs w:val="20"/>
              </w:rPr>
            </w:pPr>
            <w:r w:rsidRPr="006B14F7">
              <w:rPr>
                <w:rFonts w:ascii="Arial" w:hAnsi="Arial" w:cs="Arial"/>
                <w:sz w:val="20"/>
                <w:szCs w:val="20"/>
              </w:rPr>
              <w:t>Mandatory</w:t>
            </w:r>
          </w:p>
        </w:tc>
        <w:tc>
          <w:tcPr>
            <w:tcW w:w="1261" w:type="dxa"/>
          </w:tcPr>
          <w:p w14:paraId="2BD696BF" w14:textId="77777777" w:rsidR="006B14F7" w:rsidRPr="006B14F7" w:rsidRDefault="006B14F7" w:rsidP="006B14F7">
            <w:pPr>
              <w:spacing w:after="240"/>
              <w:rPr>
                <w:rFonts w:ascii="Arial" w:hAnsi="Arial" w:cs="Arial"/>
                <w:sz w:val="20"/>
                <w:szCs w:val="20"/>
              </w:rPr>
            </w:pPr>
            <w:r w:rsidRPr="006B14F7">
              <w:rPr>
                <w:rFonts w:ascii="Arial" w:hAnsi="Arial" w:cs="Arial"/>
                <w:sz w:val="20"/>
                <w:szCs w:val="20"/>
              </w:rPr>
              <w:t>Mandatory</w:t>
            </w:r>
          </w:p>
        </w:tc>
        <w:tc>
          <w:tcPr>
            <w:tcW w:w="1439" w:type="dxa"/>
          </w:tcPr>
          <w:p w14:paraId="6261E77D" w14:textId="77777777" w:rsidR="006B14F7" w:rsidRPr="006B14F7" w:rsidRDefault="006B14F7" w:rsidP="006B14F7">
            <w:pPr>
              <w:spacing w:after="240"/>
              <w:rPr>
                <w:rFonts w:ascii="Arial" w:hAnsi="Arial" w:cs="Arial"/>
                <w:sz w:val="20"/>
                <w:szCs w:val="20"/>
              </w:rPr>
            </w:pPr>
            <w:r w:rsidRPr="006B14F7">
              <w:rPr>
                <w:rFonts w:ascii="Arial" w:hAnsi="Arial" w:cs="Arial"/>
                <w:sz w:val="20"/>
                <w:szCs w:val="20"/>
              </w:rPr>
              <w:t>Not mandatory</w:t>
            </w:r>
          </w:p>
        </w:tc>
        <w:tc>
          <w:tcPr>
            <w:tcW w:w="1710" w:type="dxa"/>
          </w:tcPr>
          <w:p w14:paraId="60FA98E6" w14:textId="77777777" w:rsidR="006B14F7" w:rsidRPr="006B14F7" w:rsidRDefault="006B14F7" w:rsidP="006B14F7">
            <w:pPr>
              <w:spacing w:after="240"/>
              <w:rPr>
                <w:rFonts w:ascii="Arial" w:hAnsi="Arial" w:cs="Arial"/>
                <w:sz w:val="20"/>
                <w:szCs w:val="20"/>
              </w:rPr>
            </w:pPr>
            <w:r w:rsidRPr="006B14F7">
              <w:rPr>
                <w:rFonts w:ascii="Arial" w:hAnsi="Arial" w:cs="Arial"/>
                <w:sz w:val="20"/>
                <w:szCs w:val="20"/>
              </w:rPr>
              <w:t>Not mandatory</w:t>
            </w:r>
          </w:p>
        </w:tc>
      </w:tr>
      <w:tr w:rsidR="006B14F7" w:rsidRPr="006B14F7" w14:paraId="6D6EC03B" w14:textId="77777777" w:rsidTr="006B14F7">
        <w:tc>
          <w:tcPr>
            <w:tcW w:w="1620" w:type="dxa"/>
          </w:tcPr>
          <w:p w14:paraId="13709528" w14:textId="77777777" w:rsidR="006B14F7" w:rsidRPr="006B14F7" w:rsidRDefault="006B14F7" w:rsidP="006B14F7">
            <w:pPr>
              <w:spacing w:after="240"/>
              <w:rPr>
                <w:rFonts w:ascii="Arial" w:hAnsi="Arial" w:cs="Arial"/>
                <w:sz w:val="20"/>
                <w:szCs w:val="20"/>
              </w:rPr>
            </w:pPr>
            <w:r w:rsidRPr="006B14F7">
              <w:rPr>
                <w:rFonts w:ascii="Arial" w:hAnsi="Arial" w:cs="Arial"/>
                <w:sz w:val="20"/>
                <w:szCs w:val="20"/>
              </w:rPr>
              <w:t>Chance of biohazard</w:t>
            </w:r>
          </w:p>
        </w:tc>
        <w:tc>
          <w:tcPr>
            <w:tcW w:w="1350" w:type="dxa"/>
          </w:tcPr>
          <w:p w14:paraId="6116CF8F" w14:textId="77777777" w:rsidR="006B14F7" w:rsidRPr="006B14F7" w:rsidRDefault="006B14F7" w:rsidP="006B14F7">
            <w:pPr>
              <w:spacing w:after="240"/>
              <w:rPr>
                <w:rFonts w:ascii="Arial" w:hAnsi="Arial" w:cs="Arial"/>
                <w:sz w:val="20"/>
                <w:szCs w:val="20"/>
              </w:rPr>
            </w:pPr>
            <w:r w:rsidRPr="006B14F7">
              <w:rPr>
                <w:rFonts w:ascii="Arial" w:hAnsi="Arial" w:cs="Arial"/>
                <w:sz w:val="20"/>
                <w:szCs w:val="20"/>
              </w:rPr>
              <w:t>Higher</w:t>
            </w:r>
          </w:p>
        </w:tc>
        <w:tc>
          <w:tcPr>
            <w:tcW w:w="1530" w:type="dxa"/>
          </w:tcPr>
          <w:p w14:paraId="43258B59" w14:textId="77777777" w:rsidR="006B14F7" w:rsidRPr="006B14F7" w:rsidRDefault="006B14F7" w:rsidP="006B14F7">
            <w:pPr>
              <w:spacing w:after="240"/>
              <w:rPr>
                <w:rFonts w:ascii="Arial" w:hAnsi="Arial" w:cs="Arial"/>
                <w:sz w:val="20"/>
                <w:szCs w:val="20"/>
              </w:rPr>
            </w:pPr>
            <w:r w:rsidRPr="006B14F7">
              <w:rPr>
                <w:rFonts w:ascii="Arial" w:hAnsi="Arial" w:cs="Arial"/>
                <w:sz w:val="20"/>
                <w:szCs w:val="20"/>
              </w:rPr>
              <w:t>Higher</w:t>
            </w:r>
          </w:p>
        </w:tc>
        <w:tc>
          <w:tcPr>
            <w:tcW w:w="1261" w:type="dxa"/>
          </w:tcPr>
          <w:p w14:paraId="125FAC7A" w14:textId="77777777" w:rsidR="006B14F7" w:rsidRPr="006B14F7" w:rsidRDefault="006B14F7" w:rsidP="006B14F7">
            <w:pPr>
              <w:spacing w:after="240"/>
              <w:rPr>
                <w:rFonts w:ascii="Arial" w:hAnsi="Arial" w:cs="Arial"/>
                <w:sz w:val="20"/>
                <w:szCs w:val="20"/>
              </w:rPr>
            </w:pPr>
            <w:r w:rsidRPr="006B14F7">
              <w:rPr>
                <w:rFonts w:ascii="Arial" w:hAnsi="Arial" w:cs="Arial"/>
                <w:sz w:val="20"/>
                <w:szCs w:val="20"/>
              </w:rPr>
              <w:t>Higher</w:t>
            </w:r>
          </w:p>
        </w:tc>
        <w:tc>
          <w:tcPr>
            <w:tcW w:w="1439" w:type="dxa"/>
          </w:tcPr>
          <w:p w14:paraId="7B68814F" w14:textId="77777777" w:rsidR="006B14F7" w:rsidRPr="006B14F7" w:rsidRDefault="006B14F7" w:rsidP="006B14F7">
            <w:pPr>
              <w:spacing w:after="240"/>
              <w:rPr>
                <w:rFonts w:ascii="Arial" w:hAnsi="Arial" w:cs="Arial"/>
                <w:sz w:val="20"/>
                <w:szCs w:val="20"/>
              </w:rPr>
            </w:pPr>
            <w:r w:rsidRPr="006B14F7">
              <w:rPr>
                <w:rFonts w:ascii="Arial" w:hAnsi="Arial" w:cs="Arial"/>
                <w:sz w:val="20"/>
                <w:szCs w:val="20"/>
              </w:rPr>
              <w:t xml:space="preserve">Higher than silkworm, </w:t>
            </w:r>
            <w:r w:rsidRPr="006B14F7">
              <w:rPr>
                <w:rFonts w:ascii="Arial" w:hAnsi="Arial" w:cs="Arial"/>
                <w:sz w:val="20"/>
                <w:szCs w:val="20"/>
              </w:rPr>
              <w:lastRenderedPageBreak/>
              <w:t>less than others</w:t>
            </w:r>
          </w:p>
        </w:tc>
        <w:tc>
          <w:tcPr>
            <w:tcW w:w="1710" w:type="dxa"/>
          </w:tcPr>
          <w:p w14:paraId="7335AE5B" w14:textId="77777777" w:rsidR="006B14F7" w:rsidRPr="006B14F7" w:rsidRDefault="006B14F7" w:rsidP="006B14F7">
            <w:pPr>
              <w:spacing w:after="240"/>
              <w:rPr>
                <w:rFonts w:ascii="Arial" w:hAnsi="Arial" w:cs="Arial"/>
                <w:sz w:val="20"/>
                <w:szCs w:val="20"/>
              </w:rPr>
            </w:pPr>
            <w:r w:rsidRPr="006B14F7">
              <w:rPr>
                <w:rFonts w:ascii="Arial" w:hAnsi="Arial" w:cs="Arial"/>
                <w:sz w:val="20"/>
                <w:szCs w:val="20"/>
              </w:rPr>
              <w:lastRenderedPageBreak/>
              <w:t>Minimal</w:t>
            </w:r>
          </w:p>
        </w:tc>
      </w:tr>
      <w:tr w:rsidR="006B14F7" w:rsidRPr="006B14F7" w14:paraId="3AA0D363" w14:textId="77777777" w:rsidTr="006B14F7">
        <w:tc>
          <w:tcPr>
            <w:tcW w:w="1620" w:type="dxa"/>
          </w:tcPr>
          <w:p w14:paraId="4CD19C48" w14:textId="77777777" w:rsidR="006B14F7" w:rsidRPr="006B14F7" w:rsidRDefault="006B14F7" w:rsidP="006B14F7">
            <w:pPr>
              <w:spacing w:after="240"/>
              <w:rPr>
                <w:rFonts w:ascii="Arial" w:hAnsi="Arial" w:cs="Arial"/>
                <w:sz w:val="20"/>
                <w:szCs w:val="20"/>
              </w:rPr>
            </w:pPr>
            <w:r w:rsidRPr="006B14F7">
              <w:rPr>
                <w:rFonts w:ascii="Arial" w:hAnsi="Arial" w:cs="Arial"/>
                <w:sz w:val="20"/>
                <w:szCs w:val="20"/>
              </w:rPr>
              <w:t>Route of administration / Accuracy of administrated dosage</w:t>
            </w:r>
          </w:p>
        </w:tc>
        <w:tc>
          <w:tcPr>
            <w:tcW w:w="1350" w:type="dxa"/>
          </w:tcPr>
          <w:p w14:paraId="206551F2" w14:textId="77777777" w:rsidR="006B14F7" w:rsidRPr="006B14F7" w:rsidRDefault="006B14F7" w:rsidP="006B14F7">
            <w:pPr>
              <w:spacing w:after="240"/>
              <w:rPr>
                <w:rFonts w:ascii="Arial" w:hAnsi="Arial" w:cs="Arial"/>
                <w:sz w:val="20"/>
                <w:szCs w:val="20"/>
              </w:rPr>
            </w:pPr>
            <w:r w:rsidRPr="006B14F7">
              <w:rPr>
                <w:rFonts w:ascii="Arial" w:hAnsi="Arial" w:cs="Arial"/>
                <w:sz w:val="20"/>
                <w:szCs w:val="20"/>
              </w:rPr>
              <w:t>Oral, injection to dorsal surface, not accurate</w:t>
            </w:r>
          </w:p>
        </w:tc>
        <w:tc>
          <w:tcPr>
            <w:tcW w:w="1530" w:type="dxa"/>
          </w:tcPr>
          <w:p w14:paraId="6A0577F2" w14:textId="77777777" w:rsidR="006B14F7" w:rsidRPr="006B14F7" w:rsidRDefault="006B14F7" w:rsidP="006B14F7">
            <w:pPr>
              <w:spacing w:after="240"/>
              <w:rPr>
                <w:rFonts w:ascii="Arial" w:hAnsi="Arial" w:cs="Arial"/>
                <w:sz w:val="20"/>
                <w:szCs w:val="20"/>
              </w:rPr>
            </w:pPr>
            <w:r w:rsidRPr="006B14F7">
              <w:rPr>
                <w:rFonts w:ascii="Arial" w:hAnsi="Arial" w:cs="Arial"/>
                <w:sz w:val="20"/>
                <w:szCs w:val="20"/>
              </w:rPr>
              <w:t>_</w:t>
            </w:r>
          </w:p>
        </w:tc>
        <w:tc>
          <w:tcPr>
            <w:tcW w:w="1261" w:type="dxa"/>
          </w:tcPr>
          <w:p w14:paraId="6ED7603E" w14:textId="77777777" w:rsidR="006B14F7" w:rsidRPr="006B14F7" w:rsidRDefault="006B14F7" w:rsidP="006B14F7">
            <w:pPr>
              <w:spacing w:after="240"/>
              <w:rPr>
                <w:rFonts w:ascii="Arial" w:hAnsi="Arial" w:cs="Arial"/>
                <w:sz w:val="20"/>
                <w:szCs w:val="20"/>
              </w:rPr>
            </w:pPr>
            <w:r w:rsidRPr="006B14F7">
              <w:rPr>
                <w:rFonts w:ascii="Arial" w:hAnsi="Arial" w:cs="Arial"/>
                <w:sz w:val="20"/>
                <w:szCs w:val="20"/>
              </w:rPr>
              <w:t>_</w:t>
            </w:r>
          </w:p>
        </w:tc>
        <w:tc>
          <w:tcPr>
            <w:tcW w:w="1439" w:type="dxa"/>
          </w:tcPr>
          <w:p w14:paraId="579428DA" w14:textId="77777777" w:rsidR="006B14F7" w:rsidRPr="006B14F7" w:rsidRDefault="006B14F7" w:rsidP="006B14F7">
            <w:pPr>
              <w:spacing w:after="240"/>
              <w:rPr>
                <w:rFonts w:ascii="Arial" w:hAnsi="Arial" w:cs="Arial"/>
                <w:sz w:val="20"/>
                <w:szCs w:val="20"/>
              </w:rPr>
            </w:pPr>
            <w:r w:rsidRPr="006B14F7">
              <w:rPr>
                <w:rFonts w:ascii="Arial" w:hAnsi="Arial" w:cs="Arial"/>
                <w:sz w:val="20"/>
                <w:szCs w:val="20"/>
              </w:rPr>
              <w:t>Oral, topical, injection to ventral surface / accurate in case of injection</w:t>
            </w:r>
          </w:p>
        </w:tc>
        <w:tc>
          <w:tcPr>
            <w:tcW w:w="1710" w:type="dxa"/>
          </w:tcPr>
          <w:p w14:paraId="69F0169F" w14:textId="77777777" w:rsidR="006B14F7" w:rsidRPr="006B14F7" w:rsidRDefault="006B14F7" w:rsidP="006B14F7">
            <w:pPr>
              <w:spacing w:after="240"/>
              <w:rPr>
                <w:rFonts w:ascii="Arial" w:hAnsi="Arial" w:cs="Arial"/>
                <w:sz w:val="20"/>
                <w:szCs w:val="20"/>
              </w:rPr>
            </w:pPr>
            <w:r w:rsidRPr="006B14F7">
              <w:rPr>
                <w:rFonts w:ascii="Arial" w:hAnsi="Arial" w:cs="Arial"/>
                <w:sz w:val="20"/>
                <w:szCs w:val="20"/>
              </w:rPr>
              <w:t>Oral, injection to dorsal surface: intrahaemolymph, intramidgut / accurate in case of injection</w:t>
            </w:r>
          </w:p>
        </w:tc>
      </w:tr>
      <w:tr w:rsidR="006B14F7" w:rsidRPr="006B14F7" w14:paraId="684FB15A" w14:textId="77777777" w:rsidTr="006B14F7">
        <w:tc>
          <w:tcPr>
            <w:tcW w:w="1620" w:type="dxa"/>
          </w:tcPr>
          <w:p w14:paraId="46DA5FF2" w14:textId="77777777" w:rsidR="006B14F7" w:rsidRPr="006B14F7" w:rsidRDefault="006B14F7" w:rsidP="006B14F7">
            <w:pPr>
              <w:spacing w:after="240"/>
              <w:rPr>
                <w:rFonts w:ascii="Arial" w:hAnsi="Arial" w:cs="Arial"/>
                <w:sz w:val="20"/>
                <w:szCs w:val="20"/>
              </w:rPr>
            </w:pPr>
            <w:r w:rsidRPr="006B14F7">
              <w:rPr>
                <w:rFonts w:ascii="Arial" w:hAnsi="Arial" w:cs="Arial"/>
                <w:sz w:val="20"/>
                <w:szCs w:val="20"/>
              </w:rPr>
              <w:t>Disease models</w:t>
            </w:r>
          </w:p>
        </w:tc>
        <w:tc>
          <w:tcPr>
            <w:tcW w:w="1350" w:type="dxa"/>
          </w:tcPr>
          <w:p w14:paraId="429F9EBB" w14:textId="77777777" w:rsidR="006B14F7" w:rsidRPr="006B14F7" w:rsidRDefault="006B14F7" w:rsidP="006B14F7">
            <w:pPr>
              <w:spacing w:after="240"/>
              <w:rPr>
                <w:rFonts w:ascii="Arial" w:hAnsi="Arial" w:cs="Arial"/>
                <w:sz w:val="20"/>
                <w:szCs w:val="20"/>
              </w:rPr>
            </w:pPr>
            <w:r w:rsidRPr="006B14F7">
              <w:rPr>
                <w:rFonts w:ascii="Arial" w:hAnsi="Arial" w:cs="Arial"/>
                <w:sz w:val="20"/>
                <w:szCs w:val="20"/>
              </w:rPr>
              <w:t>Many</w:t>
            </w:r>
          </w:p>
        </w:tc>
        <w:tc>
          <w:tcPr>
            <w:tcW w:w="1530" w:type="dxa"/>
          </w:tcPr>
          <w:p w14:paraId="00994148" w14:textId="77777777" w:rsidR="006B14F7" w:rsidRPr="006B14F7" w:rsidRDefault="006B14F7" w:rsidP="006B14F7">
            <w:pPr>
              <w:spacing w:after="240"/>
              <w:rPr>
                <w:rFonts w:ascii="Arial" w:hAnsi="Arial" w:cs="Arial"/>
                <w:sz w:val="20"/>
                <w:szCs w:val="20"/>
              </w:rPr>
            </w:pPr>
            <w:r w:rsidRPr="006B14F7">
              <w:rPr>
                <w:rFonts w:ascii="Arial" w:hAnsi="Arial" w:cs="Arial"/>
                <w:sz w:val="20"/>
                <w:szCs w:val="20"/>
              </w:rPr>
              <w:t>Limited</w:t>
            </w:r>
          </w:p>
        </w:tc>
        <w:tc>
          <w:tcPr>
            <w:tcW w:w="1261" w:type="dxa"/>
          </w:tcPr>
          <w:p w14:paraId="126A165D" w14:textId="77777777" w:rsidR="006B14F7" w:rsidRPr="006B14F7" w:rsidRDefault="006B14F7" w:rsidP="006B14F7">
            <w:pPr>
              <w:spacing w:after="240"/>
              <w:rPr>
                <w:rFonts w:ascii="Arial" w:hAnsi="Arial" w:cs="Arial"/>
                <w:sz w:val="20"/>
                <w:szCs w:val="20"/>
              </w:rPr>
            </w:pPr>
            <w:r w:rsidRPr="006B14F7">
              <w:rPr>
                <w:rFonts w:ascii="Arial" w:hAnsi="Arial" w:cs="Arial"/>
                <w:sz w:val="20"/>
                <w:szCs w:val="20"/>
              </w:rPr>
              <w:t>_</w:t>
            </w:r>
          </w:p>
        </w:tc>
        <w:tc>
          <w:tcPr>
            <w:tcW w:w="1439" w:type="dxa"/>
          </w:tcPr>
          <w:p w14:paraId="0AE8B1E6" w14:textId="77777777" w:rsidR="006B14F7" w:rsidRPr="006B14F7" w:rsidRDefault="006B14F7" w:rsidP="006B14F7">
            <w:pPr>
              <w:spacing w:after="240"/>
              <w:rPr>
                <w:rFonts w:ascii="Arial" w:hAnsi="Arial" w:cs="Arial"/>
                <w:sz w:val="20"/>
                <w:szCs w:val="20"/>
              </w:rPr>
            </w:pPr>
            <w:r w:rsidRPr="006B14F7">
              <w:rPr>
                <w:rFonts w:ascii="Arial" w:hAnsi="Arial" w:cs="Arial"/>
                <w:sz w:val="20"/>
                <w:szCs w:val="20"/>
              </w:rPr>
              <w:t>Limited</w:t>
            </w:r>
          </w:p>
        </w:tc>
        <w:tc>
          <w:tcPr>
            <w:tcW w:w="1710" w:type="dxa"/>
          </w:tcPr>
          <w:p w14:paraId="1BFD87CE" w14:textId="77777777" w:rsidR="006B14F7" w:rsidRPr="006B14F7" w:rsidRDefault="006B14F7" w:rsidP="006B14F7">
            <w:pPr>
              <w:spacing w:after="240"/>
              <w:rPr>
                <w:rFonts w:ascii="Arial" w:hAnsi="Arial" w:cs="Arial"/>
                <w:sz w:val="20"/>
                <w:szCs w:val="20"/>
              </w:rPr>
            </w:pPr>
            <w:r w:rsidRPr="006B14F7">
              <w:rPr>
                <w:rFonts w:ascii="Arial" w:hAnsi="Arial" w:cs="Arial"/>
                <w:sz w:val="20"/>
                <w:szCs w:val="20"/>
              </w:rPr>
              <w:t>Many</w:t>
            </w:r>
          </w:p>
        </w:tc>
      </w:tr>
      <w:tr w:rsidR="006B14F7" w:rsidRPr="006B14F7" w14:paraId="7CB1D471" w14:textId="77777777" w:rsidTr="006B14F7">
        <w:tc>
          <w:tcPr>
            <w:tcW w:w="1620" w:type="dxa"/>
            <w:tcBorders>
              <w:bottom w:val="single" w:sz="4" w:space="0" w:color="auto"/>
            </w:tcBorders>
          </w:tcPr>
          <w:p w14:paraId="5453C524" w14:textId="77777777" w:rsidR="006B14F7" w:rsidRPr="006B14F7" w:rsidRDefault="006B14F7" w:rsidP="006B14F7">
            <w:pPr>
              <w:spacing w:after="240"/>
              <w:rPr>
                <w:rFonts w:ascii="Arial" w:hAnsi="Arial" w:cs="Arial"/>
                <w:sz w:val="20"/>
                <w:szCs w:val="20"/>
              </w:rPr>
            </w:pPr>
            <w:r w:rsidRPr="006B14F7">
              <w:rPr>
                <w:rFonts w:ascii="Arial" w:hAnsi="Arial" w:cs="Arial"/>
                <w:sz w:val="20"/>
                <w:szCs w:val="20"/>
              </w:rPr>
              <w:t>Immunological studies</w:t>
            </w:r>
          </w:p>
        </w:tc>
        <w:tc>
          <w:tcPr>
            <w:tcW w:w="1350" w:type="dxa"/>
            <w:tcBorders>
              <w:bottom w:val="single" w:sz="4" w:space="0" w:color="auto"/>
            </w:tcBorders>
          </w:tcPr>
          <w:p w14:paraId="2CBEC667" w14:textId="77777777" w:rsidR="006B14F7" w:rsidRPr="006B14F7" w:rsidRDefault="006B14F7" w:rsidP="006B14F7">
            <w:pPr>
              <w:spacing w:after="240"/>
              <w:rPr>
                <w:rFonts w:ascii="Arial" w:hAnsi="Arial" w:cs="Arial"/>
                <w:sz w:val="20"/>
                <w:szCs w:val="20"/>
              </w:rPr>
            </w:pPr>
            <w:r w:rsidRPr="006B14F7">
              <w:rPr>
                <w:rFonts w:ascii="Arial" w:hAnsi="Arial" w:cs="Arial"/>
                <w:sz w:val="20"/>
                <w:szCs w:val="20"/>
              </w:rPr>
              <w:t>Broad</w:t>
            </w:r>
          </w:p>
        </w:tc>
        <w:tc>
          <w:tcPr>
            <w:tcW w:w="1530" w:type="dxa"/>
            <w:tcBorders>
              <w:bottom w:val="single" w:sz="4" w:space="0" w:color="auto"/>
            </w:tcBorders>
          </w:tcPr>
          <w:p w14:paraId="2DCE2C78" w14:textId="77777777" w:rsidR="006B14F7" w:rsidRPr="006B14F7" w:rsidRDefault="006B14F7" w:rsidP="006B14F7">
            <w:pPr>
              <w:spacing w:after="240"/>
              <w:rPr>
                <w:rFonts w:ascii="Arial" w:hAnsi="Arial" w:cs="Arial"/>
                <w:sz w:val="20"/>
                <w:szCs w:val="20"/>
              </w:rPr>
            </w:pPr>
            <w:r w:rsidRPr="006B14F7">
              <w:rPr>
                <w:rFonts w:ascii="Arial" w:hAnsi="Arial" w:cs="Arial"/>
                <w:sz w:val="20"/>
                <w:szCs w:val="20"/>
              </w:rPr>
              <w:t>Limited</w:t>
            </w:r>
          </w:p>
        </w:tc>
        <w:tc>
          <w:tcPr>
            <w:tcW w:w="1261" w:type="dxa"/>
            <w:tcBorders>
              <w:bottom w:val="single" w:sz="4" w:space="0" w:color="auto"/>
            </w:tcBorders>
          </w:tcPr>
          <w:p w14:paraId="598CC345" w14:textId="77777777" w:rsidR="006B14F7" w:rsidRPr="006B14F7" w:rsidRDefault="006B14F7" w:rsidP="006B14F7">
            <w:pPr>
              <w:spacing w:after="240"/>
              <w:rPr>
                <w:rFonts w:ascii="Arial" w:hAnsi="Arial" w:cs="Arial"/>
                <w:sz w:val="20"/>
                <w:szCs w:val="20"/>
              </w:rPr>
            </w:pPr>
            <w:r w:rsidRPr="006B14F7">
              <w:rPr>
                <w:rFonts w:ascii="Arial" w:hAnsi="Arial" w:cs="Arial"/>
                <w:sz w:val="20"/>
                <w:szCs w:val="20"/>
              </w:rPr>
              <w:t>Broad</w:t>
            </w:r>
          </w:p>
        </w:tc>
        <w:tc>
          <w:tcPr>
            <w:tcW w:w="1439" w:type="dxa"/>
            <w:tcBorders>
              <w:bottom w:val="single" w:sz="4" w:space="0" w:color="auto"/>
            </w:tcBorders>
          </w:tcPr>
          <w:p w14:paraId="082C1971" w14:textId="77777777" w:rsidR="006B14F7" w:rsidRPr="006B14F7" w:rsidRDefault="006B14F7" w:rsidP="006B14F7">
            <w:pPr>
              <w:spacing w:after="240"/>
              <w:rPr>
                <w:rFonts w:ascii="Arial" w:hAnsi="Arial" w:cs="Arial"/>
                <w:sz w:val="20"/>
                <w:szCs w:val="20"/>
              </w:rPr>
            </w:pPr>
            <w:r w:rsidRPr="006B14F7">
              <w:rPr>
                <w:rFonts w:ascii="Arial" w:hAnsi="Arial" w:cs="Arial"/>
                <w:sz w:val="20"/>
                <w:szCs w:val="20"/>
              </w:rPr>
              <w:t>Broad</w:t>
            </w:r>
          </w:p>
        </w:tc>
        <w:tc>
          <w:tcPr>
            <w:tcW w:w="1710" w:type="dxa"/>
            <w:tcBorders>
              <w:bottom w:val="single" w:sz="4" w:space="0" w:color="auto"/>
            </w:tcBorders>
          </w:tcPr>
          <w:p w14:paraId="1ED8C2B1" w14:textId="77777777" w:rsidR="006B14F7" w:rsidRPr="006B14F7" w:rsidRDefault="006B14F7" w:rsidP="006B14F7">
            <w:pPr>
              <w:spacing w:after="240"/>
              <w:rPr>
                <w:rFonts w:ascii="Arial" w:hAnsi="Arial" w:cs="Arial"/>
                <w:sz w:val="20"/>
                <w:szCs w:val="20"/>
              </w:rPr>
            </w:pPr>
            <w:r w:rsidRPr="006B14F7">
              <w:rPr>
                <w:rFonts w:ascii="Arial" w:hAnsi="Arial" w:cs="Arial"/>
                <w:sz w:val="20"/>
                <w:szCs w:val="20"/>
              </w:rPr>
              <w:t>Broad</w:t>
            </w:r>
          </w:p>
        </w:tc>
      </w:tr>
    </w:tbl>
    <w:p w14:paraId="4D2FF294" w14:textId="77777777" w:rsidR="006B14F7" w:rsidRPr="000D6E1D" w:rsidRDefault="006B14F7" w:rsidP="006B14F7">
      <w:pPr>
        <w:tabs>
          <w:tab w:val="left" w:pos="1080"/>
        </w:tabs>
        <w:jc w:val="both"/>
        <w:rPr>
          <w:rFonts w:ascii="Arial" w:hAnsi="Arial" w:cs="Arial"/>
        </w:rPr>
      </w:pPr>
      <w:r w:rsidRPr="00E33DA3">
        <w:rPr>
          <w:rFonts w:ascii="Arial" w:hAnsi="Arial" w:cs="Arial"/>
        </w:rPr>
        <w:t xml:space="preserve">Source: Sekimizu </w:t>
      </w:r>
      <w:r w:rsidRPr="00E33DA3">
        <w:rPr>
          <w:rFonts w:ascii="Arial" w:hAnsi="Arial" w:cs="Arial"/>
          <w:i/>
        </w:rPr>
        <w:t>et al.,</w:t>
      </w:r>
      <w:r w:rsidRPr="00E33DA3">
        <w:rPr>
          <w:rFonts w:ascii="Arial" w:hAnsi="Arial" w:cs="Arial"/>
        </w:rPr>
        <w:t xml:space="preserve"> (2012); Panthee </w:t>
      </w:r>
      <w:r w:rsidRPr="00E33DA3">
        <w:rPr>
          <w:rFonts w:ascii="Arial" w:hAnsi="Arial" w:cs="Arial"/>
          <w:i/>
        </w:rPr>
        <w:t xml:space="preserve">et al., </w:t>
      </w:r>
      <w:r w:rsidRPr="00E33DA3">
        <w:rPr>
          <w:rFonts w:ascii="Arial" w:hAnsi="Arial" w:cs="Arial"/>
        </w:rPr>
        <w:t>(2017)</w:t>
      </w:r>
    </w:p>
    <w:p w14:paraId="4379F799" w14:textId="77777777" w:rsidR="006B14F7" w:rsidRDefault="006B14F7" w:rsidP="00441B6F">
      <w:pPr>
        <w:pStyle w:val="Body"/>
        <w:spacing w:after="0"/>
        <w:rPr>
          <w:rFonts w:ascii="Arial" w:hAnsi="Arial"/>
          <w:b/>
        </w:rPr>
      </w:pPr>
    </w:p>
    <w:p w14:paraId="391C8EA3" w14:textId="77777777" w:rsidR="006B14F7" w:rsidRPr="006B14F7" w:rsidRDefault="006B14F7" w:rsidP="006B14F7">
      <w:pPr>
        <w:pStyle w:val="Body"/>
        <w:spacing w:after="0"/>
        <w:rPr>
          <w:rFonts w:ascii="Arial" w:hAnsi="Arial" w:cs="Arial"/>
        </w:rPr>
      </w:pPr>
      <w:r w:rsidRPr="006B14F7">
        <w:rPr>
          <w:rFonts w:ascii="Arial" w:hAnsi="Arial" w:cs="Arial"/>
        </w:rPr>
        <w:t xml:space="preserve">Overall, the comparative assessment highlights the silkworm’s distinct combination of manageable size, ease of handling, minimal biohazard risk, and compatibility with precise experimental procedures. These attributes, together with its long domestication history and broad applicability across disease and immunological studies, position </w:t>
      </w:r>
      <w:r w:rsidRPr="006B14F7">
        <w:rPr>
          <w:rFonts w:ascii="Arial" w:hAnsi="Arial" w:cs="Arial"/>
          <w:i/>
          <w:iCs/>
        </w:rPr>
        <w:t>B. mori</w:t>
      </w:r>
      <w:r w:rsidRPr="006B14F7">
        <w:rPr>
          <w:rFonts w:ascii="Arial" w:hAnsi="Arial" w:cs="Arial"/>
        </w:rPr>
        <w:t xml:space="preserve"> as a uniquely practical and scientifically valuable alternative to other insect model systems.</w:t>
      </w:r>
    </w:p>
    <w:p w14:paraId="1798C5D4" w14:textId="77777777" w:rsidR="002E0D56" w:rsidRDefault="002E0D56" w:rsidP="00441B6F">
      <w:pPr>
        <w:pStyle w:val="Body"/>
        <w:spacing w:after="0"/>
        <w:rPr>
          <w:rFonts w:ascii="Arial" w:hAnsi="Arial" w:cs="Arial"/>
        </w:rPr>
      </w:pPr>
    </w:p>
    <w:p w14:paraId="623B38C2" w14:textId="77777777" w:rsidR="00D35D91" w:rsidRDefault="00D35D91" w:rsidP="00D35D91">
      <w:pPr>
        <w:pStyle w:val="Body"/>
        <w:rPr>
          <w:rFonts w:ascii="Arial" w:hAnsi="Arial" w:cs="Arial"/>
        </w:rPr>
      </w:pPr>
      <w:r w:rsidRPr="00D35D91">
        <w:rPr>
          <w:rFonts w:ascii="Arial" w:hAnsi="Arial" w:cs="Arial"/>
        </w:rPr>
        <w:t xml:space="preserve">The ethical evaluation of experimental animal use constitutes a fundamental process for ensuring the scientific rigor and moral acceptability of animal research. Central to this process is the stringent implementation of the “3Rs” principle (Replacement, Reduction, and Refinement) which provides a structured framework for minimizing animal use while optimizing welfare and research </w:t>
      </w:r>
      <w:r w:rsidRPr="00D04548">
        <w:rPr>
          <w:rFonts w:ascii="Arial" w:hAnsi="Arial" w:cs="Arial"/>
        </w:rPr>
        <w:t>quality (Kolar, 2006).In accordance</w:t>
      </w:r>
      <w:r w:rsidRPr="00D35D91">
        <w:rPr>
          <w:rFonts w:ascii="Arial" w:hAnsi="Arial" w:cs="Arial"/>
        </w:rPr>
        <w:t xml:space="preserve"> with internationally recognized ethical standards for animal experimentation, researchers are encouraged to prioritize the use of lower-order organisms as test subjects, employ optimized experimental designs to reduce the number of animals required, and refine methodologies to mitigate pain, stress, and distress in the animals </w:t>
      </w:r>
      <w:r w:rsidRPr="00D04548">
        <w:rPr>
          <w:rFonts w:ascii="Arial" w:hAnsi="Arial" w:cs="Arial"/>
        </w:rPr>
        <w:t>involved(Flecknell, 2002). In recent</w:t>
      </w:r>
      <w:r w:rsidRPr="00D35D91">
        <w:rPr>
          <w:rFonts w:ascii="Arial" w:hAnsi="Arial" w:cs="Arial"/>
        </w:rPr>
        <w:t xml:space="preserve"> years, growing concerns over animal welfare have prompted the scientific community to significantly limit the use of vertebrates particularly mammals in experimental research. This shift has encouraged the exploration of alternative model organisms that bypass the need for formal ethical approval. The domesticated silkworm (</w:t>
      </w:r>
      <w:r w:rsidRPr="00D35D91">
        <w:rPr>
          <w:rFonts w:ascii="Arial" w:hAnsi="Arial" w:cs="Arial"/>
          <w:i/>
          <w:iCs/>
        </w:rPr>
        <w:t>Bombyx mori</w:t>
      </w:r>
      <w:r w:rsidRPr="00D35D91">
        <w:rPr>
          <w:rFonts w:ascii="Arial" w:hAnsi="Arial" w:cs="Arial"/>
        </w:rPr>
        <w:t xml:space="preserve">), long cultivated in the silk industry, offers such an alternative. Its established history of human use and exemption from stringent ethical regulations make it a practical and economical choice for experimental studies when compared to </w:t>
      </w:r>
      <w:r w:rsidRPr="00E33DA3">
        <w:rPr>
          <w:rFonts w:ascii="Arial" w:hAnsi="Arial" w:cs="Arial"/>
        </w:rPr>
        <w:t xml:space="preserve">vertebrate models (Panthee </w:t>
      </w:r>
      <w:r w:rsidRPr="00E33DA3">
        <w:rPr>
          <w:rFonts w:ascii="Arial" w:hAnsi="Arial" w:cs="Arial"/>
          <w:i/>
        </w:rPr>
        <w:t>et al.,</w:t>
      </w:r>
      <w:r w:rsidRPr="00E33DA3">
        <w:rPr>
          <w:rFonts w:ascii="Arial" w:hAnsi="Arial" w:cs="Arial"/>
        </w:rPr>
        <w:t xml:space="preserve"> 2017).</w:t>
      </w:r>
    </w:p>
    <w:p w14:paraId="14FD5E05" w14:textId="77777777" w:rsidR="00D35D91" w:rsidRPr="00C95F11" w:rsidRDefault="00D35D91" w:rsidP="00D35D91">
      <w:pPr>
        <w:pStyle w:val="Body"/>
        <w:rPr>
          <w:rFonts w:ascii="Arial" w:hAnsi="Arial" w:cs="Arial"/>
        </w:rPr>
      </w:pPr>
      <w:r w:rsidRPr="00C95F11">
        <w:rPr>
          <w:rFonts w:ascii="Arial" w:hAnsi="Arial" w:cs="Arial"/>
          <w:b/>
          <w:caps/>
          <w:sz w:val="22"/>
        </w:rPr>
        <w:t xml:space="preserve">2.2 </w:t>
      </w:r>
      <w:r w:rsidRPr="00D35D91">
        <w:rPr>
          <w:rFonts w:ascii="Arial" w:hAnsi="Arial" w:cs="Arial"/>
          <w:b/>
          <w:sz w:val="22"/>
        </w:rPr>
        <w:t>Minimal feeding expenses and a short life cycle</w:t>
      </w:r>
    </w:p>
    <w:p w14:paraId="570C9CBD" w14:textId="77777777" w:rsidR="00D35D91" w:rsidRPr="00D35D91" w:rsidRDefault="00D35D91" w:rsidP="00D35D91">
      <w:pPr>
        <w:pStyle w:val="Body"/>
        <w:rPr>
          <w:rFonts w:ascii="Arial" w:hAnsi="Arial" w:cs="Arial"/>
        </w:rPr>
      </w:pPr>
      <w:r w:rsidRPr="00D35D91">
        <w:rPr>
          <w:rFonts w:ascii="Arial" w:hAnsi="Arial" w:cs="Arial"/>
        </w:rPr>
        <w:t xml:space="preserve">Extensive domestication of silkworms through their long association with the silk industry has resulted in well-defined feeding and husbandry practices. The advent of artificial diets in the 1960s, which supplanted the seasonal dependence on mulberry leaves, made continuous rearing possible throughout the year. This innovation enhanced breeding efficiency and produced silkworm populations of uniform quality which is an important prerequisite for obtaining consistent and reproducible outcomes in scientific </w:t>
      </w:r>
      <w:r w:rsidRPr="00E33DA3">
        <w:rPr>
          <w:rFonts w:ascii="Arial" w:hAnsi="Arial" w:cs="Arial"/>
        </w:rPr>
        <w:t xml:space="preserve">investigations (Panthee </w:t>
      </w:r>
      <w:r w:rsidRPr="00E33DA3">
        <w:rPr>
          <w:rFonts w:ascii="Arial" w:hAnsi="Arial" w:cs="Arial"/>
          <w:i/>
        </w:rPr>
        <w:t>et al.,</w:t>
      </w:r>
      <w:r w:rsidRPr="00E33DA3">
        <w:rPr>
          <w:rFonts w:ascii="Arial" w:hAnsi="Arial" w:cs="Arial"/>
        </w:rPr>
        <w:t xml:space="preserve"> 2017).The extensive global presence of the silk industry ensures ready accessibility to fertilized silkworm eggs, thereby significantly minimizing the time and labor demands</w:t>
      </w:r>
      <w:r w:rsidRPr="00D35D91">
        <w:rPr>
          <w:rFonts w:ascii="Arial" w:hAnsi="Arial" w:cs="Arial"/>
        </w:rPr>
        <w:t xml:space="preserve"> associated with their rearing and maintenance.</w:t>
      </w:r>
    </w:p>
    <w:p w14:paraId="19E5DDF9" w14:textId="77777777" w:rsidR="00D35D91" w:rsidRDefault="00D35D91" w:rsidP="00D35D91">
      <w:pPr>
        <w:pStyle w:val="Body"/>
        <w:rPr>
          <w:rFonts w:ascii="Arial" w:hAnsi="Arial" w:cs="Arial"/>
        </w:rPr>
      </w:pPr>
      <w:r w:rsidRPr="00D35D91">
        <w:rPr>
          <w:rFonts w:ascii="Arial" w:hAnsi="Arial" w:cs="Arial"/>
        </w:rPr>
        <w:lastRenderedPageBreak/>
        <w:t>The silkworm (</w:t>
      </w:r>
      <w:r w:rsidRPr="00D35D91">
        <w:rPr>
          <w:rFonts w:ascii="Arial" w:hAnsi="Arial" w:cs="Arial"/>
          <w:i/>
        </w:rPr>
        <w:t>Bombyx mori</w:t>
      </w:r>
      <w:r w:rsidRPr="00D35D91">
        <w:rPr>
          <w:rFonts w:ascii="Arial" w:hAnsi="Arial" w:cs="Arial"/>
        </w:rPr>
        <w:t>) exhibits a well-defined developmental cycle comprising four stages- egg, larva, pupa, and adult</w:t>
      </w:r>
      <w:r w:rsidR="0092145F">
        <w:rPr>
          <w:rFonts w:ascii="Arial" w:hAnsi="Arial" w:cs="Arial"/>
        </w:rPr>
        <w:t xml:space="preserve"> (Fig.1)</w:t>
      </w:r>
      <w:r w:rsidRPr="00D35D91">
        <w:rPr>
          <w:rFonts w:ascii="Arial" w:hAnsi="Arial" w:cs="Arial"/>
        </w:rPr>
        <w:t xml:space="preserve">. From hatching to the fifth instar, development is completed within 23–29 days, with individual stages lasting approximately 7–10 days for eggs, 3–4 days for first instar larvae, 3–4 days for second instar, 4–5 days for third instar, 6–7 days for fourth instar, and 7–9 days for fifth instar (Fig.1). This rapid life cycle, coupled with high reproductive capacity, enables the swift generation of large offspring populations, thereby reducing experimental duration and enhancing research throughput. Nutritionally, silkworms require only mulberry leaves or mulberry leaf-based artificial diets, making feeding management straightforward. Compared to mammalian models, their rearing demands are minimal eliminating the need for sophisticated incubators or specialized animal housing. A single rearing chamber can accommodate hundreds to thousands of individuals, optimizing space utilization and significantly lowering establishment and maintenance costs. These attributes make silkworms an economically viable and logistically efficient model for large-scale experimental </w:t>
      </w:r>
      <w:r w:rsidRPr="00D04548">
        <w:rPr>
          <w:rFonts w:ascii="Arial" w:hAnsi="Arial" w:cs="Arial"/>
        </w:rPr>
        <w:t xml:space="preserve">research (Ma </w:t>
      </w:r>
      <w:r w:rsidR="00D04548" w:rsidRPr="00D04548">
        <w:rPr>
          <w:rFonts w:ascii="Arial" w:hAnsi="Arial" w:cs="Arial"/>
        </w:rPr>
        <w:t xml:space="preserve">&amp; Li, </w:t>
      </w:r>
      <w:r w:rsidRPr="00D04548">
        <w:rPr>
          <w:rFonts w:ascii="Arial" w:hAnsi="Arial" w:cs="Arial"/>
        </w:rPr>
        <w:t>2025).</w:t>
      </w:r>
    </w:p>
    <w:p w14:paraId="22814EBC" w14:textId="77777777" w:rsidR="0092145F" w:rsidRDefault="0092145F" w:rsidP="00D35D91">
      <w:pPr>
        <w:pStyle w:val="Body"/>
        <w:rPr>
          <w:rFonts w:ascii="Arial" w:hAnsi="Arial" w:cs="Arial"/>
        </w:rPr>
      </w:pPr>
    </w:p>
    <w:p w14:paraId="55B63B64" w14:textId="77777777" w:rsidR="0092145F" w:rsidRDefault="0092145F" w:rsidP="00D35D91">
      <w:pPr>
        <w:pStyle w:val="Body"/>
        <w:rPr>
          <w:rFonts w:ascii="Arial" w:hAnsi="Arial" w:cs="Arial"/>
        </w:rPr>
      </w:pPr>
    </w:p>
    <w:p w14:paraId="4B1154E7" w14:textId="77777777" w:rsidR="0092145F" w:rsidRDefault="0092145F" w:rsidP="00D35D91">
      <w:pPr>
        <w:pStyle w:val="Body"/>
        <w:rPr>
          <w:rFonts w:ascii="Arial" w:hAnsi="Arial" w:cs="Arial"/>
        </w:rPr>
      </w:pPr>
    </w:p>
    <w:p w14:paraId="72F2F922" w14:textId="77777777" w:rsidR="0092145F" w:rsidRDefault="0092145F" w:rsidP="00D35D91">
      <w:pPr>
        <w:pStyle w:val="Body"/>
        <w:rPr>
          <w:rFonts w:ascii="Arial" w:hAnsi="Arial" w:cs="Arial"/>
        </w:rPr>
      </w:pPr>
    </w:p>
    <w:p w14:paraId="6E4C77AC" w14:textId="77777777" w:rsidR="0092145F" w:rsidRDefault="0092145F" w:rsidP="00D35D91">
      <w:pPr>
        <w:pStyle w:val="Body"/>
        <w:rPr>
          <w:rFonts w:ascii="Arial" w:hAnsi="Arial" w:cs="Arial"/>
        </w:rPr>
      </w:pPr>
    </w:p>
    <w:p w14:paraId="0697F81A" w14:textId="77777777" w:rsidR="0092145F" w:rsidRDefault="0092145F" w:rsidP="00D35D91">
      <w:pPr>
        <w:pStyle w:val="Body"/>
        <w:rPr>
          <w:rFonts w:ascii="Arial" w:hAnsi="Arial" w:cs="Arial"/>
        </w:rPr>
      </w:pPr>
    </w:p>
    <w:p w14:paraId="0F159F3E" w14:textId="77777777" w:rsidR="0092145F" w:rsidRDefault="0092145F" w:rsidP="00D35D91">
      <w:pPr>
        <w:pStyle w:val="Body"/>
        <w:rPr>
          <w:rFonts w:ascii="Arial" w:hAnsi="Arial" w:cs="Arial"/>
        </w:rPr>
      </w:pPr>
    </w:p>
    <w:p w14:paraId="4B8ABDED" w14:textId="77777777" w:rsidR="0092145F" w:rsidRDefault="0092145F" w:rsidP="00D35D91">
      <w:pPr>
        <w:pStyle w:val="Body"/>
        <w:rPr>
          <w:rFonts w:ascii="Arial" w:hAnsi="Arial" w:cs="Arial"/>
        </w:rPr>
      </w:pPr>
    </w:p>
    <w:p w14:paraId="24A513FA" w14:textId="77777777" w:rsidR="0092145F" w:rsidRDefault="0092145F" w:rsidP="00D35D91">
      <w:pPr>
        <w:pStyle w:val="Body"/>
        <w:rPr>
          <w:rFonts w:ascii="Arial" w:hAnsi="Arial" w:cs="Arial"/>
        </w:rPr>
      </w:pPr>
    </w:p>
    <w:p w14:paraId="6BFC205B" w14:textId="77777777" w:rsidR="0092145F" w:rsidRDefault="0092145F" w:rsidP="00D35D91">
      <w:pPr>
        <w:pStyle w:val="Body"/>
        <w:rPr>
          <w:rFonts w:ascii="Arial" w:hAnsi="Arial" w:cs="Arial"/>
        </w:rPr>
      </w:pPr>
    </w:p>
    <w:p w14:paraId="42722849" w14:textId="77777777" w:rsidR="0092145F" w:rsidRDefault="0092145F" w:rsidP="00D35D91">
      <w:pPr>
        <w:pStyle w:val="Body"/>
        <w:rPr>
          <w:rFonts w:ascii="Arial" w:hAnsi="Arial" w:cs="Arial"/>
        </w:rPr>
      </w:pPr>
    </w:p>
    <w:p w14:paraId="308061A5" w14:textId="77777777" w:rsidR="0092145F" w:rsidRPr="00D35D91" w:rsidRDefault="0092145F" w:rsidP="00D35D91">
      <w:pPr>
        <w:pStyle w:val="Body"/>
        <w:rPr>
          <w:rFonts w:ascii="Arial" w:hAnsi="Arial" w:cs="Arial"/>
        </w:rPr>
      </w:pPr>
      <w:r w:rsidRPr="0092145F">
        <w:rPr>
          <w:rFonts w:ascii="Times New Roman" w:eastAsia="Calibri" w:hAnsi="Times New Roman"/>
          <w:noProof/>
          <w:sz w:val="22"/>
          <w:szCs w:val="22"/>
        </w:rPr>
        <w:lastRenderedPageBreak/>
        <w:drawing>
          <wp:anchor distT="0" distB="0" distL="114300" distR="114300" simplePos="0" relativeHeight="251657728" behindDoc="1" locked="0" layoutInCell="1" allowOverlap="1" wp14:anchorId="6ECC773B" wp14:editId="5C68F68A">
            <wp:simplePos x="0" y="0"/>
            <wp:positionH relativeFrom="column">
              <wp:posOffset>-60960</wp:posOffset>
            </wp:positionH>
            <wp:positionV relativeFrom="paragraph">
              <wp:posOffset>304800</wp:posOffset>
            </wp:positionV>
            <wp:extent cx="5190490" cy="4162425"/>
            <wp:effectExtent l="0" t="0" r="0" b="0"/>
            <wp:wrapTight wrapText="bothSides">
              <wp:wrapPolygon edited="0">
                <wp:start x="0" y="0"/>
                <wp:lineTo x="0" y="21551"/>
                <wp:lineTo x="21484" y="21551"/>
                <wp:lineTo x="21484" y="0"/>
                <wp:lineTo x="0" y="0"/>
              </wp:wrapPolygon>
            </wp:wrapTight>
            <wp:docPr id="1" name="Picture 1" descr="D:\Users\Pankaj\Desktop\image_2025-08-10_22-15-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Pankaj\Desktop\image_2025-08-10_22-15-52.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190490" cy="41624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82ECAB6" w14:textId="77777777" w:rsidR="0092145F" w:rsidRDefault="0092145F" w:rsidP="0092145F">
      <w:pPr>
        <w:pStyle w:val="Body"/>
        <w:rPr>
          <w:rFonts w:ascii="Arial" w:hAnsi="Arial" w:cs="Arial"/>
          <w:b/>
        </w:rPr>
      </w:pPr>
      <w:r w:rsidRPr="00AA7A4F">
        <w:rPr>
          <w:rFonts w:ascii="Arial" w:hAnsi="Arial" w:cs="Arial"/>
          <w:b/>
        </w:rPr>
        <w:t xml:space="preserve">Fig. 1 </w:t>
      </w:r>
      <w:r w:rsidRPr="0092145F">
        <w:rPr>
          <w:rFonts w:ascii="Arial" w:hAnsi="Arial" w:cs="Arial"/>
          <w:b/>
        </w:rPr>
        <w:t>Life Cycle of the Mulberry Silkworm (</w:t>
      </w:r>
      <w:r w:rsidRPr="0092145F">
        <w:rPr>
          <w:rFonts w:ascii="Arial" w:hAnsi="Arial" w:cs="Arial"/>
          <w:b/>
          <w:i/>
        </w:rPr>
        <w:t>Bombyx mori</w:t>
      </w:r>
      <w:r w:rsidRPr="0092145F">
        <w:rPr>
          <w:rFonts w:ascii="Arial" w:hAnsi="Arial" w:cs="Arial"/>
          <w:b/>
        </w:rPr>
        <w:t xml:space="preserve"> L.) with Duration of Developmental Stages</w:t>
      </w:r>
    </w:p>
    <w:p w14:paraId="462384CE" w14:textId="77777777" w:rsidR="0092145F" w:rsidRPr="0092145F" w:rsidRDefault="0092145F" w:rsidP="0092145F">
      <w:pPr>
        <w:pStyle w:val="Body"/>
        <w:rPr>
          <w:rFonts w:ascii="Arial" w:hAnsi="Arial" w:cs="Arial"/>
        </w:rPr>
      </w:pPr>
      <w:r w:rsidRPr="00C95F11">
        <w:rPr>
          <w:rFonts w:ascii="Arial" w:hAnsi="Arial" w:cs="Arial"/>
          <w:b/>
          <w:caps/>
          <w:sz w:val="22"/>
        </w:rPr>
        <w:t xml:space="preserve">2.3 </w:t>
      </w:r>
      <w:r w:rsidRPr="0092145F">
        <w:rPr>
          <w:rFonts w:ascii="Arial" w:hAnsi="Arial" w:cs="Arial"/>
          <w:b/>
          <w:sz w:val="22"/>
        </w:rPr>
        <w:t>Genetic resemblance</w:t>
      </w:r>
    </w:p>
    <w:p w14:paraId="5BAAA0C3" w14:textId="77777777" w:rsidR="0092145F" w:rsidRDefault="0092145F" w:rsidP="0092145F">
      <w:pPr>
        <w:pStyle w:val="Body"/>
        <w:rPr>
          <w:rFonts w:ascii="Arial" w:hAnsi="Arial" w:cs="Arial"/>
        </w:rPr>
      </w:pPr>
      <w:r w:rsidRPr="0092145F">
        <w:rPr>
          <w:rFonts w:ascii="Arial" w:hAnsi="Arial" w:cs="Arial"/>
        </w:rPr>
        <w:t xml:space="preserve">The silkworm shares a remarkable evolutionary conservation of genetic mechanisms with humans, with several functional regions of its genome exhibiting high homology to the human </w:t>
      </w:r>
      <w:r w:rsidRPr="00D04548">
        <w:rPr>
          <w:rFonts w:ascii="Arial" w:hAnsi="Arial" w:cs="Arial"/>
        </w:rPr>
        <w:t xml:space="preserve">genome (Chen </w:t>
      </w:r>
      <w:r w:rsidRPr="00D04548">
        <w:rPr>
          <w:rFonts w:ascii="Arial" w:hAnsi="Arial" w:cs="Arial"/>
          <w:i/>
        </w:rPr>
        <w:t>et al.,</w:t>
      </w:r>
      <w:r w:rsidRPr="00D04548">
        <w:rPr>
          <w:rFonts w:ascii="Arial" w:hAnsi="Arial" w:cs="Arial"/>
        </w:rPr>
        <w:t xml:space="preserve"> 2016). This</w:t>
      </w:r>
      <w:r w:rsidRPr="0092145F">
        <w:rPr>
          <w:rFonts w:ascii="Arial" w:hAnsi="Arial" w:cs="Arial"/>
        </w:rPr>
        <w:t xml:space="preserve"> genetic resemblance allows specific silkworm mutants to replicate phenotypic traits characteristic of human genetic disorders, making it a valuable model organism for investigating such conditions. Using the silkworm model, researchers can comprehensively explore gene function networks, mutation processes, and disease pathogenesis, thereby advancing the molecular understanding of genetic disorders. Such insights provide a strong theoretical foundation for the early detection of diseases, as well as for the design of targeted treatments, preventive measures, and potential therapeutic interventions. Consequently, the silkworm holds a unique and irreplaceable position in both fundamental research and translational medicine related to human genetic </w:t>
      </w:r>
      <w:r w:rsidRPr="00694746">
        <w:rPr>
          <w:rFonts w:ascii="Arial" w:hAnsi="Arial" w:cs="Arial"/>
        </w:rPr>
        <w:t xml:space="preserve">diseases (Meng </w:t>
      </w:r>
      <w:r w:rsidRPr="00694746">
        <w:rPr>
          <w:rFonts w:ascii="Arial" w:hAnsi="Arial" w:cs="Arial"/>
          <w:i/>
        </w:rPr>
        <w:t>et al.,</w:t>
      </w:r>
      <w:r w:rsidRPr="00694746">
        <w:rPr>
          <w:rFonts w:ascii="Arial" w:hAnsi="Arial" w:cs="Arial"/>
        </w:rPr>
        <w:t xml:space="preserve"> 2017).</w:t>
      </w:r>
    </w:p>
    <w:p w14:paraId="3BE62F15" w14:textId="77777777" w:rsidR="0092145F" w:rsidRPr="00C95F11" w:rsidRDefault="0092145F" w:rsidP="0092145F">
      <w:pPr>
        <w:pStyle w:val="Body"/>
        <w:rPr>
          <w:rFonts w:ascii="Arial" w:hAnsi="Arial" w:cs="Arial"/>
          <w:b/>
          <w:sz w:val="22"/>
        </w:rPr>
      </w:pPr>
      <w:r w:rsidRPr="00C95F11">
        <w:rPr>
          <w:rFonts w:ascii="Arial" w:hAnsi="Arial" w:cs="Arial"/>
          <w:b/>
          <w:caps/>
          <w:sz w:val="22"/>
        </w:rPr>
        <w:t xml:space="preserve">2.4 </w:t>
      </w:r>
      <w:r w:rsidRPr="0092145F">
        <w:rPr>
          <w:rFonts w:ascii="Arial" w:hAnsi="Arial" w:cs="Arial"/>
          <w:b/>
          <w:sz w:val="22"/>
        </w:rPr>
        <w:t>Gene Editing</w:t>
      </w:r>
    </w:p>
    <w:p w14:paraId="08A91518" w14:textId="77777777" w:rsidR="0092145F" w:rsidRDefault="0092145F" w:rsidP="0092145F">
      <w:pPr>
        <w:pStyle w:val="Body"/>
        <w:rPr>
          <w:rFonts w:ascii="Arial" w:hAnsi="Arial" w:cs="Arial"/>
        </w:rPr>
      </w:pPr>
      <w:r w:rsidRPr="0092145F">
        <w:rPr>
          <w:rFonts w:ascii="Arial" w:hAnsi="Arial" w:cs="Arial"/>
        </w:rPr>
        <w:t xml:space="preserve">Efforts to decode the genome of </w:t>
      </w:r>
      <w:r w:rsidRPr="0092145F">
        <w:rPr>
          <w:rFonts w:ascii="Arial" w:hAnsi="Arial" w:cs="Arial"/>
          <w:i/>
          <w:iCs/>
        </w:rPr>
        <w:t>Bombyx mori</w:t>
      </w:r>
      <w:r w:rsidRPr="0092145F">
        <w:rPr>
          <w:rFonts w:ascii="Arial" w:hAnsi="Arial" w:cs="Arial"/>
        </w:rPr>
        <w:t xml:space="preserve"> were accomplished in 2004 and 2008 </w:t>
      </w:r>
      <w:r w:rsidRPr="00694746">
        <w:rPr>
          <w:rFonts w:ascii="Arial" w:hAnsi="Arial" w:cs="Arial"/>
        </w:rPr>
        <w:t xml:space="preserve">(Xia </w:t>
      </w:r>
      <w:r w:rsidRPr="00694746">
        <w:rPr>
          <w:rFonts w:ascii="Arial" w:hAnsi="Arial" w:cs="Arial"/>
          <w:i/>
        </w:rPr>
        <w:t>et al.,</w:t>
      </w:r>
      <w:r w:rsidRPr="00694746">
        <w:rPr>
          <w:rFonts w:ascii="Arial" w:hAnsi="Arial" w:cs="Arial"/>
        </w:rPr>
        <w:t xml:space="preserve"> 2004; International Silkworm Genome Consortium, 2008), providing</w:t>
      </w:r>
      <w:r w:rsidRPr="0092145F">
        <w:rPr>
          <w:rFonts w:ascii="Arial" w:hAnsi="Arial" w:cs="Arial"/>
        </w:rPr>
        <w:t xml:space="preserve"> a crucial foundation </w:t>
      </w:r>
      <w:r w:rsidRPr="0092145F">
        <w:rPr>
          <w:rFonts w:ascii="Arial" w:hAnsi="Arial" w:cs="Arial"/>
        </w:rPr>
        <w:lastRenderedPageBreak/>
        <w:t xml:space="preserve">for the advancement of genetic and molecular tools, as well as the identification of genetic markers. Over the past decade, genetic engineering techniques for </w:t>
      </w:r>
      <w:r w:rsidRPr="0092145F">
        <w:rPr>
          <w:rFonts w:ascii="Arial" w:hAnsi="Arial" w:cs="Arial"/>
          <w:i/>
          <w:iCs/>
        </w:rPr>
        <w:t>B. mori</w:t>
      </w:r>
      <w:r w:rsidRPr="0092145F">
        <w:rPr>
          <w:rFonts w:ascii="Arial" w:hAnsi="Arial" w:cs="Arial"/>
        </w:rPr>
        <w:t xml:space="preserve"> have undergone significant progress. Genome modification in this species can be achieved through multiple approaches, including transposon-based methods for transgene integration and expression, RNA interference (RNAi)-mediated gene silencing, gene- and enhancer-trap strategies, and advanced genome editing platforms such as zinc finger nucleases (ZFNs), transcription activator-like effector nucleases (TALENs), and CRISPR</w:t>
      </w:r>
      <w:r w:rsidRPr="00694746">
        <w:rPr>
          <w:rFonts w:ascii="Arial" w:hAnsi="Arial" w:cs="Arial"/>
        </w:rPr>
        <w:t>/Cas9 (Xu &amp; O’Brochta, 2015).</w:t>
      </w:r>
      <w:r w:rsidRPr="0092145F">
        <w:rPr>
          <w:rFonts w:ascii="Arial" w:hAnsi="Arial" w:cs="Arial"/>
        </w:rPr>
        <w:t xml:space="preserve"> Notably, researchers from Dr. Sezutsu’s team at the National Agriculture and Food Research Organization, Japan, have successfully applied these cutting-edge tools to precisely edit the </w:t>
      </w:r>
      <w:r w:rsidRPr="0092145F">
        <w:rPr>
          <w:rFonts w:ascii="Arial" w:hAnsi="Arial" w:cs="Arial"/>
          <w:i/>
          <w:iCs/>
        </w:rPr>
        <w:t>B. mori</w:t>
      </w:r>
      <w:r w:rsidRPr="0092145F">
        <w:rPr>
          <w:rFonts w:ascii="Arial" w:hAnsi="Arial" w:cs="Arial"/>
        </w:rPr>
        <w:t xml:space="preserve"> </w:t>
      </w:r>
      <w:r w:rsidRPr="00694746">
        <w:rPr>
          <w:rFonts w:ascii="Arial" w:hAnsi="Arial" w:cs="Arial"/>
        </w:rPr>
        <w:t xml:space="preserve">genome (Inagaki </w:t>
      </w:r>
      <w:r w:rsidRPr="00694746">
        <w:rPr>
          <w:rFonts w:ascii="Arial" w:hAnsi="Arial" w:cs="Arial"/>
          <w:i/>
        </w:rPr>
        <w:t xml:space="preserve">et al., </w:t>
      </w:r>
      <w:r w:rsidRPr="00694746">
        <w:rPr>
          <w:rFonts w:ascii="Arial" w:hAnsi="Arial" w:cs="Arial"/>
        </w:rPr>
        <w:t xml:space="preserve">2015; Sakurai </w:t>
      </w:r>
      <w:r w:rsidRPr="00694746">
        <w:rPr>
          <w:rFonts w:ascii="Arial" w:hAnsi="Arial" w:cs="Arial"/>
          <w:i/>
        </w:rPr>
        <w:t>et al.,</w:t>
      </w:r>
      <w:r w:rsidRPr="00694746">
        <w:rPr>
          <w:rFonts w:ascii="Arial" w:hAnsi="Arial" w:cs="Arial"/>
        </w:rPr>
        <w:t xml:space="preserve"> 2015; Takasu </w:t>
      </w:r>
      <w:r w:rsidRPr="00694746">
        <w:rPr>
          <w:rFonts w:ascii="Arial" w:hAnsi="Arial" w:cs="Arial"/>
          <w:i/>
        </w:rPr>
        <w:t>et al.,</w:t>
      </w:r>
      <w:r w:rsidRPr="00694746">
        <w:rPr>
          <w:rFonts w:ascii="Arial" w:hAnsi="Arial" w:cs="Arial"/>
        </w:rPr>
        <w:t xml:space="preserve"> 2016). These breakthroughs have established </w:t>
      </w:r>
      <w:r w:rsidRPr="00694746">
        <w:rPr>
          <w:rFonts w:ascii="Arial" w:hAnsi="Arial" w:cs="Arial"/>
          <w:i/>
          <w:iCs/>
        </w:rPr>
        <w:t>B. mori</w:t>
      </w:r>
      <w:r w:rsidRPr="00694746">
        <w:rPr>
          <w:rFonts w:ascii="Arial" w:hAnsi="Arial" w:cs="Arial"/>
        </w:rPr>
        <w:t xml:space="preserve"> as a robust and sophisticated genetic modification platform, enabling its use in developing disease models and</w:t>
      </w:r>
      <w:r w:rsidRPr="0092145F">
        <w:rPr>
          <w:rFonts w:ascii="Arial" w:hAnsi="Arial" w:cs="Arial"/>
        </w:rPr>
        <w:t xml:space="preserve"> humanized systems for candidate drug screening and in-depth analysis of physiological mechanisms.</w:t>
      </w:r>
    </w:p>
    <w:p w14:paraId="599AF2BD" w14:textId="77777777" w:rsidR="003506AC" w:rsidRPr="00C95F11" w:rsidRDefault="003506AC" w:rsidP="003506AC">
      <w:pPr>
        <w:pStyle w:val="Body"/>
        <w:rPr>
          <w:rFonts w:ascii="Arial" w:hAnsi="Arial" w:cs="Arial"/>
          <w:b/>
          <w:sz w:val="22"/>
        </w:rPr>
      </w:pPr>
      <w:r>
        <w:rPr>
          <w:rFonts w:ascii="Arial" w:hAnsi="Arial" w:cs="Arial"/>
          <w:b/>
          <w:caps/>
          <w:sz w:val="22"/>
        </w:rPr>
        <w:t>2.5</w:t>
      </w:r>
      <w:r w:rsidRPr="00C95F11">
        <w:rPr>
          <w:rFonts w:ascii="Arial" w:hAnsi="Arial" w:cs="Arial"/>
          <w:b/>
          <w:caps/>
          <w:sz w:val="22"/>
        </w:rPr>
        <w:t xml:space="preserve"> </w:t>
      </w:r>
      <w:r w:rsidRPr="003506AC">
        <w:rPr>
          <w:rFonts w:ascii="Arial" w:hAnsi="Arial" w:cs="Arial"/>
          <w:b/>
          <w:sz w:val="22"/>
        </w:rPr>
        <w:t>Metabolic significance</w:t>
      </w:r>
    </w:p>
    <w:p w14:paraId="285F1F44" w14:textId="77777777" w:rsidR="003506AC" w:rsidRDefault="003506AC" w:rsidP="003506AC">
      <w:pPr>
        <w:pStyle w:val="Body"/>
        <w:rPr>
          <w:rFonts w:ascii="Arial" w:hAnsi="Arial" w:cs="Arial"/>
        </w:rPr>
      </w:pPr>
      <w:r w:rsidRPr="003506AC">
        <w:rPr>
          <w:rFonts w:ascii="Arial" w:hAnsi="Arial" w:cs="Arial"/>
        </w:rPr>
        <w:t xml:space="preserve">The silkworm shows remarkable similarity with mammals in terms of toxicity response and drug metabolism. On the one hand, the lethal dose levels of cytotoxic chemicals in silkworms are basically the same as those in mammals; on the other hand, the half-life of 4-methylumbelliferone in the hemolymph of silkworm larvae is 7.0 ± 0.1 min, which is similar to that in the blood of mice, according to a study using 4-methylumbelliferone as a model drug. More interestingly, at the level of metabolic mechanisms, silkworms and mammals share commonalities: both can metabolise chemicals by reacting with cytochrome P450 enzymes, binding to hydroxylated compounds, and ultimately excreting </w:t>
      </w:r>
      <w:r w:rsidRPr="003C04F4">
        <w:rPr>
          <w:rFonts w:ascii="Arial" w:hAnsi="Arial" w:cs="Arial"/>
        </w:rPr>
        <w:t xml:space="preserve">them (Hamamoto </w:t>
      </w:r>
      <w:r w:rsidRPr="003C04F4">
        <w:rPr>
          <w:rFonts w:ascii="Arial" w:hAnsi="Arial" w:cs="Arial"/>
          <w:i/>
        </w:rPr>
        <w:t>et al.,</w:t>
      </w:r>
      <w:r w:rsidRPr="003C04F4">
        <w:rPr>
          <w:rFonts w:ascii="Arial" w:hAnsi="Arial" w:cs="Arial"/>
        </w:rPr>
        <w:t xml:space="preserve"> 2009; Ma </w:t>
      </w:r>
      <w:r w:rsidR="003C04F4" w:rsidRPr="003C04F4">
        <w:rPr>
          <w:rFonts w:ascii="Arial" w:hAnsi="Arial" w:cs="Arial"/>
        </w:rPr>
        <w:t>&amp; Li,</w:t>
      </w:r>
      <w:r w:rsidRPr="003C04F4">
        <w:rPr>
          <w:rFonts w:ascii="Arial" w:hAnsi="Arial" w:cs="Arial"/>
        </w:rPr>
        <w:t xml:space="preserve"> 2025).</w:t>
      </w:r>
      <w:r w:rsidRPr="003506AC">
        <w:rPr>
          <w:rFonts w:ascii="Arial" w:hAnsi="Arial" w:cs="Arial"/>
        </w:rPr>
        <w:t xml:space="preserve"> </w:t>
      </w:r>
    </w:p>
    <w:p w14:paraId="643F4F0A" w14:textId="77777777" w:rsidR="003506AC" w:rsidRPr="003506AC" w:rsidRDefault="003506AC" w:rsidP="003506AC">
      <w:pPr>
        <w:pStyle w:val="AbstHead"/>
        <w:rPr>
          <w:rFonts w:ascii="Arial" w:hAnsi="Arial" w:cs="Arial"/>
        </w:rPr>
      </w:pPr>
      <w:r>
        <w:rPr>
          <w:rFonts w:ascii="Arial" w:hAnsi="Arial" w:cs="Arial"/>
        </w:rPr>
        <w:t xml:space="preserve">3. </w:t>
      </w:r>
      <w:r w:rsidRPr="003506AC">
        <w:rPr>
          <w:rFonts w:ascii="Arial" w:hAnsi="Arial" w:cs="Arial"/>
        </w:rPr>
        <w:t>Applications of silkworm in Drug Screening</w:t>
      </w:r>
    </w:p>
    <w:p w14:paraId="6BC81C94" w14:textId="77777777" w:rsidR="003506AC" w:rsidRPr="003506AC" w:rsidRDefault="003506AC" w:rsidP="003506AC">
      <w:pPr>
        <w:pStyle w:val="Body"/>
        <w:rPr>
          <w:rFonts w:ascii="Arial" w:hAnsi="Arial" w:cs="Arial"/>
          <w:bCs/>
        </w:rPr>
      </w:pPr>
      <w:r w:rsidRPr="003506AC">
        <w:rPr>
          <w:rFonts w:ascii="Arial" w:hAnsi="Arial" w:cs="Arial"/>
          <w:bCs/>
        </w:rPr>
        <w:t>Silkworms (</w:t>
      </w:r>
      <w:r w:rsidRPr="003506AC">
        <w:rPr>
          <w:rFonts w:ascii="Arial" w:hAnsi="Arial" w:cs="Arial"/>
          <w:bCs/>
          <w:i/>
          <w:iCs/>
        </w:rPr>
        <w:t>Bombyx mori</w:t>
      </w:r>
      <w:r w:rsidRPr="003506AC">
        <w:rPr>
          <w:rFonts w:ascii="Arial" w:hAnsi="Arial" w:cs="Arial"/>
          <w:bCs/>
        </w:rPr>
        <w:t>) have emerged as a valuable invertebrate model for drug screening due to their genetic tractability, short life cycle, low maintenance cost, and physiological similarities to mammals in aspects of metabolism and immune response. Advances in genetic modification and genome editing technologies have further enhanced their potential, enabling the development of disease models and humanized strains for pharmacological studies. These attributes make silkworms a promising, ethical, and cost-effective alternative for preliminary drug evaluation before progressing to mammalian systems.</w:t>
      </w:r>
    </w:p>
    <w:p w14:paraId="76FD53D2" w14:textId="77777777" w:rsidR="003506AC" w:rsidRPr="003506AC" w:rsidRDefault="003506AC" w:rsidP="003506AC">
      <w:pPr>
        <w:spacing w:before="100" w:beforeAutospacing="1" w:after="240" w:line="360" w:lineRule="auto"/>
        <w:jc w:val="both"/>
        <w:rPr>
          <w:rFonts w:ascii="Arial" w:hAnsi="Arial" w:cs="Arial"/>
          <w:b/>
          <w:sz w:val="22"/>
          <w:szCs w:val="22"/>
        </w:rPr>
      </w:pPr>
      <w:r w:rsidRPr="00C95F11">
        <w:rPr>
          <w:rFonts w:ascii="Arial" w:hAnsi="Arial" w:cs="Arial"/>
          <w:b/>
          <w:sz w:val="22"/>
          <w:szCs w:val="22"/>
        </w:rPr>
        <w:t xml:space="preserve">3.1 </w:t>
      </w:r>
      <w:r w:rsidRPr="003506AC">
        <w:rPr>
          <w:rFonts w:ascii="Arial" w:hAnsi="Arial" w:cs="Arial"/>
          <w:b/>
          <w:sz w:val="22"/>
          <w:szCs w:val="22"/>
        </w:rPr>
        <w:t>Antimicrobial drug screening</w:t>
      </w:r>
    </w:p>
    <w:p w14:paraId="6F859B71" w14:textId="77777777" w:rsidR="003506AC" w:rsidRPr="003506AC" w:rsidRDefault="003506AC" w:rsidP="003506AC">
      <w:pPr>
        <w:pStyle w:val="Body"/>
        <w:rPr>
          <w:rFonts w:ascii="Arial" w:hAnsi="Arial" w:cs="Arial"/>
        </w:rPr>
      </w:pPr>
      <w:r w:rsidRPr="003506AC">
        <w:rPr>
          <w:rFonts w:ascii="Arial" w:hAnsi="Arial" w:cs="Arial"/>
        </w:rPr>
        <w:t>The domesticated silkworm (</w:t>
      </w:r>
      <w:r w:rsidRPr="003506AC">
        <w:rPr>
          <w:rFonts w:ascii="Arial" w:hAnsi="Arial" w:cs="Arial"/>
          <w:i/>
          <w:iCs/>
        </w:rPr>
        <w:t>Bombyx mori</w:t>
      </w:r>
      <w:r w:rsidRPr="003506AC">
        <w:rPr>
          <w:rFonts w:ascii="Arial" w:hAnsi="Arial" w:cs="Arial"/>
        </w:rPr>
        <w:t xml:space="preserve">) has emerged as a promising model for antimicrobial drug screening, comparable to other well-established invertebrate systems such as </w:t>
      </w:r>
      <w:r w:rsidRPr="003506AC">
        <w:rPr>
          <w:rFonts w:ascii="Arial" w:hAnsi="Arial" w:cs="Arial"/>
          <w:i/>
          <w:iCs/>
        </w:rPr>
        <w:t>Drosophila melanogaster</w:t>
      </w:r>
      <w:r w:rsidRPr="003506AC">
        <w:rPr>
          <w:rFonts w:ascii="Arial" w:hAnsi="Arial" w:cs="Arial"/>
        </w:rPr>
        <w:t xml:space="preserve"> and </w:t>
      </w:r>
      <w:r w:rsidRPr="003506AC">
        <w:rPr>
          <w:rFonts w:ascii="Arial" w:hAnsi="Arial" w:cs="Arial"/>
          <w:i/>
          <w:iCs/>
        </w:rPr>
        <w:t>Caenorhabditis elegans</w:t>
      </w:r>
      <w:r w:rsidRPr="003506AC">
        <w:rPr>
          <w:rFonts w:ascii="Arial" w:hAnsi="Arial" w:cs="Arial"/>
        </w:rPr>
        <w:t xml:space="preserve">. Expanding the repertoire of model organisms in this domain can accelerate the understanding of microbial pathogenicity and facilitate the timely development of novel therapeutics. Early work demonstrated that silkworms could serve as substitutes for mammals in bacterial pathogenicity experiments </w:t>
      </w:r>
      <w:r w:rsidRPr="00CE7A63">
        <w:rPr>
          <w:rFonts w:ascii="Arial" w:hAnsi="Arial" w:cs="Arial"/>
        </w:rPr>
        <w:t xml:space="preserve">(Kaito </w:t>
      </w:r>
      <w:r w:rsidRPr="00CE7A63">
        <w:rPr>
          <w:rFonts w:ascii="Arial" w:hAnsi="Arial" w:cs="Arial"/>
          <w:i/>
        </w:rPr>
        <w:t>et al.,</w:t>
      </w:r>
      <w:r w:rsidRPr="00CE7A63">
        <w:rPr>
          <w:rFonts w:ascii="Arial" w:hAnsi="Arial" w:cs="Arial"/>
        </w:rPr>
        <w:t xml:space="preserve"> 2002). Comparative</w:t>
      </w:r>
      <w:r w:rsidRPr="003506AC">
        <w:rPr>
          <w:rFonts w:ascii="Arial" w:hAnsi="Arial" w:cs="Arial"/>
        </w:rPr>
        <w:t xml:space="preserve"> studies have revealed notable similarities in drug metabolism between silkworms, rats, and other mammals, with pharmacodynamic outcomes showing strong consistency across these </w:t>
      </w:r>
      <w:r w:rsidRPr="003C04F4">
        <w:rPr>
          <w:rFonts w:ascii="Arial" w:hAnsi="Arial" w:cs="Arial"/>
        </w:rPr>
        <w:t xml:space="preserve">systems (Inagaki </w:t>
      </w:r>
      <w:r w:rsidRPr="003C04F4">
        <w:rPr>
          <w:rFonts w:ascii="Arial" w:hAnsi="Arial" w:cs="Arial"/>
          <w:i/>
        </w:rPr>
        <w:t>et al.,</w:t>
      </w:r>
      <w:r w:rsidRPr="003C04F4">
        <w:rPr>
          <w:rFonts w:ascii="Arial" w:hAnsi="Arial" w:cs="Arial"/>
        </w:rPr>
        <w:t xml:space="preserve"> 2012). Moreover</w:t>
      </w:r>
      <w:r w:rsidRPr="003506AC">
        <w:rPr>
          <w:rFonts w:ascii="Arial" w:hAnsi="Arial" w:cs="Arial"/>
        </w:rPr>
        <w:t xml:space="preserve">, several iatrogenic pathogens of clinical significance such as </w:t>
      </w:r>
      <w:r w:rsidRPr="003506AC">
        <w:rPr>
          <w:rFonts w:ascii="Arial" w:hAnsi="Arial" w:cs="Arial"/>
          <w:i/>
          <w:iCs/>
        </w:rPr>
        <w:t>Staphylococcus aureus</w:t>
      </w:r>
      <w:r w:rsidRPr="003506AC">
        <w:rPr>
          <w:rFonts w:ascii="Arial" w:hAnsi="Arial" w:cs="Arial"/>
        </w:rPr>
        <w:t xml:space="preserve">, </w:t>
      </w:r>
      <w:r w:rsidRPr="003506AC">
        <w:rPr>
          <w:rFonts w:ascii="Arial" w:hAnsi="Arial" w:cs="Arial"/>
          <w:i/>
          <w:iCs/>
        </w:rPr>
        <w:t>Candida</w:t>
      </w:r>
      <w:r w:rsidRPr="003506AC">
        <w:rPr>
          <w:rFonts w:ascii="Arial" w:hAnsi="Arial" w:cs="Arial"/>
        </w:rPr>
        <w:t xml:space="preserve"> spp., and </w:t>
      </w:r>
      <w:r w:rsidRPr="003506AC">
        <w:rPr>
          <w:rFonts w:ascii="Arial" w:hAnsi="Arial" w:cs="Arial"/>
          <w:i/>
          <w:iCs/>
        </w:rPr>
        <w:t>Aspergillus</w:t>
      </w:r>
      <w:r w:rsidRPr="003506AC">
        <w:rPr>
          <w:rFonts w:ascii="Arial" w:hAnsi="Arial" w:cs="Arial"/>
        </w:rPr>
        <w:t xml:space="preserve"> spp. are capable of inducing lethal infections in </w:t>
      </w:r>
      <w:r w:rsidRPr="003C04F4">
        <w:rPr>
          <w:rFonts w:ascii="Arial" w:hAnsi="Arial" w:cs="Arial"/>
        </w:rPr>
        <w:t xml:space="preserve">silkworms (Miyazaki </w:t>
      </w:r>
      <w:r w:rsidRPr="003C04F4">
        <w:rPr>
          <w:rFonts w:ascii="Arial" w:hAnsi="Arial" w:cs="Arial"/>
          <w:i/>
        </w:rPr>
        <w:t>et al.,</w:t>
      </w:r>
      <w:r w:rsidRPr="003C04F4">
        <w:rPr>
          <w:rFonts w:ascii="Arial" w:hAnsi="Arial" w:cs="Arial"/>
        </w:rPr>
        <w:t xml:space="preserve"> 2012). Iatrogenic pathogens, which are transmitted during medical interventions, represent a critical subset of infectious agents encountered in healthcare settings.</w:t>
      </w:r>
    </w:p>
    <w:p w14:paraId="73A93D80" w14:textId="77777777" w:rsidR="003506AC" w:rsidRPr="003506AC" w:rsidRDefault="003506AC" w:rsidP="003506AC">
      <w:pPr>
        <w:pStyle w:val="Body"/>
        <w:rPr>
          <w:rFonts w:ascii="Arial" w:hAnsi="Arial" w:cs="Arial"/>
        </w:rPr>
      </w:pPr>
      <w:r w:rsidRPr="003506AC">
        <w:rPr>
          <w:rFonts w:ascii="Arial" w:hAnsi="Arial" w:cs="Arial"/>
        </w:rPr>
        <w:lastRenderedPageBreak/>
        <w:t xml:space="preserve">Evidence from </w:t>
      </w:r>
      <w:r w:rsidRPr="00CE7A63">
        <w:rPr>
          <w:rFonts w:ascii="Arial" w:hAnsi="Arial" w:cs="Arial"/>
        </w:rPr>
        <w:t xml:space="preserve">studies by Hamamoto </w:t>
      </w:r>
      <w:r w:rsidRPr="00CE7A63">
        <w:rPr>
          <w:rFonts w:ascii="Arial" w:hAnsi="Arial" w:cs="Arial"/>
          <w:i/>
        </w:rPr>
        <w:t xml:space="preserve">et al., </w:t>
      </w:r>
      <w:r w:rsidRPr="00CE7A63">
        <w:rPr>
          <w:rFonts w:ascii="Arial" w:hAnsi="Arial" w:cs="Arial"/>
        </w:rPr>
        <w:t>(2004</w:t>
      </w:r>
      <w:r w:rsidRPr="00722944">
        <w:rPr>
          <w:rFonts w:ascii="Arial" w:hAnsi="Arial" w:cs="Arial"/>
        </w:rPr>
        <w:t xml:space="preserve">) and Usui </w:t>
      </w:r>
      <w:r w:rsidRPr="00722944">
        <w:rPr>
          <w:rFonts w:ascii="Arial" w:hAnsi="Arial" w:cs="Arial"/>
          <w:i/>
        </w:rPr>
        <w:t>et al.,</w:t>
      </w:r>
      <w:r w:rsidRPr="00722944">
        <w:rPr>
          <w:rFonts w:ascii="Arial" w:hAnsi="Arial" w:cs="Arial"/>
        </w:rPr>
        <w:t xml:space="preserve"> (2016) further</w:t>
      </w:r>
      <w:r w:rsidRPr="003506AC">
        <w:rPr>
          <w:rFonts w:ascii="Arial" w:hAnsi="Arial" w:cs="Arial"/>
        </w:rPr>
        <w:t xml:space="preserve"> validates the applicability of </w:t>
      </w:r>
      <w:r w:rsidRPr="003506AC">
        <w:rPr>
          <w:rFonts w:ascii="Arial" w:hAnsi="Arial" w:cs="Arial"/>
          <w:i/>
          <w:iCs/>
        </w:rPr>
        <w:t>B. mori</w:t>
      </w:r>
      <w:r w:rsidRPr="003506AC">
        <w:rPr>
          <w:rFonts w:ascii="Arial" w:hAnsi="Arial" w:cs="Arial"/>
        </w:rPr>
        <w:t xml:space="preserve"> for assessing pathogen virulence and drug toxicity, with median effective dose (ED</w:t>
      </w:r>
      <w:r w:rsidRPr="003506AC">
        <w:rPr>
          <w:rFonts w:ascii="Cambria Math" w:hAnsi="Cambria Math" w:cs="Cambria Math"/>
        </w:rPr>
        <w:t>₅₀</w:t>
      </w:r>
      <w:r w:rsidRPr="003506AC">
        <w:rPr>
          <w:rFonts w:ascii="Arial" w:hAnsi="Arial" w:cs="Arial"/>
        </w:rPr>
        <w:t>) and median lethal dose (LD</w:t>
      </w:r>
      <w:r w:rsidRPr="003506AC">
        <w:rPr>
          <w:rFonts w:ascii="Cambria Math" w:hAnsi="Cambria Math" w:cs="Cambria Math"/>
        </w:rPr>
        <w:t>₅₀</w:t>
      </w:r>
      <w:r w:rsidRPr="003506AC">
        <w:rPr>
          <w:rFonts w:ascii="Arial" w:hAnsi="Arial" w:cs="Arial"/>
        </w:rPr>
        <w:t xml:space="preserve">) values for certain human pathogens closely matching those obtained in mouse models. Experimental infections with bacteria such as </w:t>
      </w:r>
      <w:r w:rsidRPr="003506AC">
        <w:rPr>
          <w:rFonts w:ascii="Arial" w:hAnsi="Arial" w:cs="Arial"/>
          <w:i/>
          <w:iCs/>
        </w:rPr>
        <w:t>Pseudomonas aeruginosa</w:t>
      </w:r>
      <w:r w:rsidRPr="003506AC">
        <w:rPr>
          <w:rFonts w:ascii="Arial" w:hAnsi="Arial" w:cs="Arial"/>
        </w:rPr>
        <w:t xml:space="preserve">, </w:t>
      </w:r>
      <w:r w:rsidRPr="003506AC">
        <w:rPr>
          <w:rFonts w:ascii="Arial" w:hAnsi="Arial" w:cs="Arial"/>
          <w:i/>
          <w:iCs/>
        </w:rPr>
        <w:t>S. aureus</w:t>
      </w:r>
      <w:r w:rsidRPr="003506AC">
        <w:rPr>
          <w:rFonts w:ascii="Arial" w:hAnsi="Arial" w:cs="Arial"/>
        </w:rPr>
        <w:t xml:space="preserve">, and </w:t>
      </w:r>
      <w:r w:rsidRPr="003506AC">
        <w:rPr>
          <w:rFonts w:ascii="Arial" w:hAnsi="Arial" w:cs="Arial"/>
          <w:i/>
          <w:iCs/>
        </w:rPr>
        <w:t>Vibrio cholerae</w:t>
      </w:r>
      <w:r w:rsidRPr="003506AC">
        <w:rPr>
          <w:rFonts w:ascii="Arial" w:hAnsi="Arial" w:cs="Arial"/>
        </w:rPr>
        <w:t xml:space="preserve"> consistently result in larval mortality within 48 hours, demonstrating the capacity of the silkworm host to reflect pathogen virulence.</w:t>
      </w:r>
    </w:p>
    <w:p w14:paraId="3EA956A7" w14:textId="77777777" w:rsidR="003506AC" w:rsidRPr="003506AC" w:rsidRDefault="003506AC" w:rsidP="003506AC">
      <w:pPr>
        <w:pStyle w:val="Body"/>
        <w:rPr>
          <w:rFonts w:ascii="Arial" w:hAnsi="Arial" w:cs="Arial"/>
        </w:rPr>
      </w:pPr>
      <w:r w:rsidRPr="003506AC">
        <w:rPr>
          <w:rFonts w:ascii="Arial" w:hAnsi="Arial" w:cs="Arial"/>
        </w:rPr>
        <w:t xml:space="preserve">Beyond pathogenicity research, </w:t>
      </w:r>
      <w:r w:rsidRPr="003506AC">
        <w:rPr>
          <w:rFonts w:ascii="Arial" w:hAnsi="Arial" w:cs="Arial"/>
          <w:i/>
          <w:iCs/>
        </w:rPr>
        <w:t>B. mori</w:t>
      </w:r>
      <w:r w:rsidRPr="003506AC">
        <w:rPr>
          <w:rFonts w:ascii="Arial" w:hAnsi="Arial" w:cs="Arial"/>
        </w:rPr>
        <w:t xml:space="preserve"> is a valuable tool for evaluating the therapeutic efficacy of antimicrobial compounds. For instance, silkworm larvae infected with methicillin-sensitive </w:t>
      </w:r>
      <w:r w:rsidRPr="003506AC">
        <w:rPr>
          <w:rFonts w:ascii="Arial" w:hAnsi="Arial" w:cs="Arial"/>
          <w:i/>
          <w:iCs/>
        </w:rPr>
        <w:t>S. aureus</w:t>
      </w:r>
      <w:r w:rsidRPr="003506AC">
        <w:rPr>
          <w:rFonts w:ascii="Arial" w:hAnsi="Arial" w:cs="Arial"/>
        </w:rPr>
        <w:t xml:space="preserve"> were successfully treated with ampicillin and oxacillin, confirming the in vivo activity of these agents within the insect </w:t>
      </w:r>
      <w:r w:rsidRPr="00CE7A63">
        <w:rPr>
          <w:rFonts w:ascii="Arial" w:hAnsi="Arial" w:cs="Arial"/>
        </w:rPr>
        <w:t xml:space="preserve">model (Kaito </w:t>
      </w:r>
      <w:r w:rsidRPr="00CE7A63">
        <w:rPr>
          <w:rFonts w:ascii="Arial" w:hAnsi="Arial" w:cs="Arial"/>
          <w:i/>
        </w:rPr>
        <w:t>et al.,</w:t>
      </w:r>
      <w:r w:rsidRPr="00CE7A63">
        <w:rPr>
          <w:rFonts w:ascii="Arial" w:hAnsi="Arial" w:cs="Arial"/>
        </w:rPr>
        <w:t xml:space="preserve"> 2002). The model</w:t>
      </w:r>
      <w:r w:rsidRPr="003506AC">
        <w:rPr>
          <w:rFonts w:ascii="Arial" w:hAnsi="Arial" w:cs="Arial"/>
        </w:rPr>
        <w:t xml:space="preserve"> has also been instrumental in the discovery of novel bioactive compounds, including lysocin E, an antibiotic with a unique mechanism of action involving binding to menaquinone, a key molecule in the bacterial electron transport chain, leading to membrane disruption and bactericidal </w:t>
      </w:r>
      <w:r w:rsidRPr="00E33DA3">
        <w:rPr>
          <w:rFonts w:ascii="Arial" w:hAnsi="Arial" w:cs="Arial"/>
        </w:rPr>
        <w:t xml:space="preserve">activity (Panthee </w:t>
      </w:r>
      <w:r w:rsidRPr="00E33DA3">
        <w:rPr>
          <w:rFonts w:ascii="Arial" w:hAnsi="Arial" w:cs="Arial"/>
          <w:i/>
        </w:rPr>
        <w:t>et al.,</w:t>
      </w:r>
      <w:r w:rsidRPr="00E33DA3">
        <w:rPr>
          <w:rFonts w:ascii="Arial" w:hAnsi="Arial" w:cs="Arial"/>
        </w:rPr>
        <w:t xml:space="preserve"> 2017).</w:t>
      </w:r>
    </w:p>
    <w:p w14:paraId="016E27F4" w14:textId="77777777" w:rsidR="003506AC" w:rsidRPr="003506AC" w:rsidRDefault="003506AC" w:rsidP="003506AC">
      <w:pPr>
        <w:pStyle w:val="Body"/>
        <w:rPr>
          <w:rFonts w:ascii="Arial" w:hAnsi="Arial" w:cs="Arial"/>
        </w:rPr>
      </w:pPr>
      <w:r w:rsidRPr="003506AC">
        <w:rPr>
          <w:rFonts w:ascii="Arial" w:hAnsi="Arial" w:cs="Arial"/>
        </w:rPr>
        <w:t xml:space="preserve">The versatility of </w:t>
      </w:r>
      <w:r w:rsidRPr="003506AC">
        <w:rPr>
          <w:rFonts w:ascii="Arial" w:hAnsi="Arial" w:cs="Arial"/>
          <w:i/>
          <w:iCs/>
        </w:rPr>
        <w:t>B. mori</w:t>
      </w:r>
      <w:r w:rsidRPr="003506AC">
        <w:rPr>
          <w:rFonts w:ascii="Arial" w:hAnsi="Arial" w:cs="Arial"/>
        </w:rPr>
        <w:t xml:space="preserve"> extends to fungal infection </w:t>
      </w:r>
      <w:r w:rsidRPr="00722944">
        <w:rPr>
          <w:rFonts w:ascii="Arial" w:hAnsi="Arial" w:cs="Arial"/>
        </w:rPr>
        <w:t xml:space="preserve">models. Matsumoto </w:t>
      </w:r>
      <w:r w:rsidRPr="00722944">
        <w:rPr>
          <w:rFonts w:ascii="Arial" w:hAnsi="Arial" w:cs="Arial"/>
          <w:i/>
        </w:rPr>
        <w:t>et al.,</w:t>
      </w:r>
      <w:r w:rsidRPr="00722944">
        <w:rPr>
          <w:rFonts w:ascii="Arial" w:hAnsi="Arial" w:cs="Arial"/>
        </w:rPr>
        <w:t xml:space="preserve"> (2017)</w:t>
      </w:r>
      <w:r w:rsidRPr="003506AC">
        <w:rPr>
          <w:rFonts w:ascii="Arial" w:hAnsi="Arial" w:cs="Arial"/>
        </w:rPr>
        <w:t xml:space="preserve"> developed a Bombyx mori infection model to assess Cryptococcus neoformans pathogenicity and antifungal drug efficacy. Silkworms at 37 °C died only when infected with viable C. neoformans, confirming fungal viability as essential for lethality. LD</w:t>
      </w:r>
      <w:r w:rsidRPr="003506AC">
        <w:rPr>
          <w:rFonts w:ascii="Cambria Math" w:hAnsi="Cambria Math" w:cs="Cambria Math"/>
        </w:rPr>
        <w:t>₅₀</w:t>
      </w:r>
      <w:r w:rsidRPr="003506AC">
        <w:rPr>
          <w:rFonts w:ascii="Arial" w:hAnsi="Arial" w:cs="Arial"/>
        </w:rPr>
        <w:t xml:space="preserve"> values revealed that highly pathogenic serotype A strains were more virulent than serotype D strains, paralleling mammalian models, while strains lacking virulence genes (</w:t>
      </w:r>
      <w:r w:rsidRPr="003506AC">
        <w:rPr>
          <w:rFonts w:ascii="Arial" w:hAnsi="Arial" w:cs="Arial"/>
          <w:i/>
        </w:rPr>
        <w:t>gpa1</w:t>
      </w:r>
      <w:r w:rsidRPr="003506AC">
        <w:rPr>
          <w:rFonts w:ascii="Arial" w:hAnsi="Arial" w:cs="Arial"/>
        </w:rPr>
        <w:t xml:space="preserve">, </w:t>
      </w:r>
      <w:r w:rsidRPr="003506AC">
        <w:rPr>
          <w:rFonts w:ascii="Arial" w:hAnsi="Arial" w:cs="Arial"/>
          <w:i/>
        </w:rPr>
        <w:t>pka1, cna1</w:t>
      </w:r>
      <w:r w:rsidRPr="003506AC">
        <w:rPr>
          <w:rFonts w:ascii="Arial" w:hAnsi="Arial" w:cs="Arial"/>
        </w:rPr>
        <w:t>) showed reduced pathogenicity. Pharmacokinetics of antifungals in silkworms resembled those in mammals, with ED</w:t>
      </w:r>
      <w:r w:rsidRPr="003506AC">
        <w:rPr>
          <w:rFonts w:ascii="Cambria Math" w:hAnsi="Cambria Math" w:cs="Cambria Math"/>
        </w:rPr>
        <w:t>₅₀</w:t>
      </w:r>
      <w:r w:rsidRPr="003506AC">
        <w:rPr>
          <w:rFonts w:ascii="Arial" w:hAnsi="Arial" w:cs="Arial"/>
        </w:rPr>
        <w:t>/MIC ratios below 10 for amphotericin B, flucytosine, and fluconazole, indicating effective systemic action; ketoconazole had a higher ratio, reflecting lower systemic efficacy. Oral-route mimicry confirmed amphotericin B’s poor intestinal absorption, consistent with mammalian data. This model effectively predicts antifungal therapeutic potential and safety, offering cost-effective, scalable, and ethical advantages over traditional mammalian systems.</w:t>
      </w:r>
    </w:p>
    <w:p w14:paraId="79FF629A" w14:textId="77777777" w:rsidR="003506AC" w:rsidRPr="003506AC" w:rsidRDefault="003506AC" w:rsidP="003506AC">
      <w:pPr>
        <w:pStyle w:val="Body"/>
        <w:rPr>
          <w:rFonts w:ascii="Arial" w:hAnsi="Arial" w:cs="Arial"/>
        </w:rPr>
      </w:pPr>
      <w:r w:rsidRPr="003506AC">
        <w:rPr>
          <w:rFonts w:ascii="Arial" w:hAnsi="Arial" w:cs="Arial"/>
        </w:rPr>
        <w:t xml:space="preserve">Temperature-controlled rearing has further enhanced the model’s utility. For example, </w:t>
      </w:r>
      <w:r w:rsidRPr="003506AC">
        <w:rPr>
          <w:rFonts w:ascii="Arial" w:hAnsi="Arial" w:cs="Arial"/>
          <w:i/>
          <w:iCs/>
        </w:rPr>
        <w:t>S. epidermidis</w:t>
      </w:r>
      <w:r>
        <w:rPr>
          <w:rFonts w:ascii="Arial" w:hAnsi="Arial" w:cs="Arial"/>
          <w:i/>
          <w:iCs/>
        </w:rPr>
        <w:t xml:space="preserve"> </w:t>
      </w:r>
      <w:r w:rsidRPr="003506AC">
        <w:rPr>
          <w:rFonts w:ascii="Arial" w:hAnsi="Arial" w:cs="Arial"/>
        </w:rPr>
        <w:t xml:space="preserve">infected larvae treated with glycopeptide antibiotics such as vancomycin, teicoplanin, and dalbavancin exhibited reduced mortality and suppressed immune activation, as measured by two novel indicators: hemocyte viability and lysozyme activity. These markers offer additional endpoints for screening new </w:t>
      </w:r>
      <w:r w:rsidRPr="00722944">
        <w:rPr>
          <w:rFonts w:ascii="Arial" w:hAnsi="Arial" w:cs="Arial"/>
        </w:rPr>
        <w:t xml:space="preserve">antimicrobial compounds (Montali </w:t>
      </w:r>
      <w:r w:rsidRPr="00722944">
        <w:rPr>
          <w:rFonts w:ascii="Arial" w:hAnsi="Arial" w:cs="Arial"/>
          <w:i/>
        </w:rPr>
        <w:t>et al.,</w:t>
      </w:r>
      <w:r w:rsidRPr="00722944">
        <w:rPr>
          <w:rFonts w:ascii="Arial" w:hAnsi="Arial" w:cs="Arial"/>
        </w:rPr>
        <w:t xml:space="preserve"> 2022). Similarly</w:t>
      </w:r>
      <w:r w:rsidRPr="003506AC">
        <w:rPr>
          <w:rFonts w:ascii="Arial" w:hAnsi="Arial" w:cs="Arial"/>
        </w:rPr>
        <w:t xml:space="preserve">, </w:t>
      </w:r>
      <w:r w:rsidRPr="003506AC">
        <w:rPr>
          <w:rFonts w:ascii="Arial" w:hAnsi="Arial" w:cs="Arial"/>
          <w:i/>
          <w:iCs/>
        </w:rPr>
        <w:t>Trichosporon asahii</w:t>
      </w:r>
      <w:r w:rsidRPr="003506AC">
        <w:rPr>
          <w:rFonts w:ascii="Arial" w:hAnsi="Arial" w:cs="Arial"/>
        </w:rPr>
        <w:t xml:space="preserve"> infection models in </w:t>
      </w:r>
      <w:r w:rsidRPr="003506AC">
        <w:rPr>
          <w:rFonts w:ascii="Arial" w:hAnsi="Arial" w:cs="Arial"/>
          <w:i/>
          <w:iCs/>
        </w:rPr>
        <w:t>B. mori</w:t>
      </w:r>
      <w:r w:rsidRPr="003506AC">
        <w:rPr>
          <w:rFonts w:ascii="Arial" w:hAnsi="Arial" w:cs="Arial"/>
        </w:rPr>
        <w:t xml:space="preserve"> have been developed, enabling evaluation of antifungal efficacy alongside pharmacokinetic and toxicity profiling. The use of transgenic </w:t>
      </w:r>
      <w:r w:rsidRPr="003506AC">
        <w:rPr>
          <w:rFonts w:ascii="Arial" w:hAnsi="Arial" w:cs="Arial"/>
          <w:i/>
          <w:iCs/>
        </w:rPr>
        <w:t>T. asahii</w:t>
      </w:r>
      <w:r w:rsidRPr="003506AC">
        <w:rPr>
          <w:rFonts w:ascii="Arial" w:hAnsi="Arial" w:cs="Arial"/>
        </w:rPr>
        <w:t xml:space="preserve"> expressing eGFP has allowed real-time visualization of infection </w:t>
      </w:r>
      <w:r w:rsidRPr="00722944">
        <w:rPr>
          <w:rFonts w:ascii="Arial" w:hAnsi="Arial" w:cs="Arial"/>
        </w:rPr>
        <w:t xml:space="preserve">dynamics (Matsumoto </w:t>
      </w:r>
      <w:r w:rsidRPr="00722944">
        <w:rPr>
          <w:rFonts w:ascii="Arial" w:hAnsi="Arial" w:cs="Arial"/>
          <w:i/>
        </w:rPr>
        <w:t>et al.,</w:t>
      </w:r>
      <w:r w:rsidRPr="00722944">
        <w:rPr>
          <w:rFonts w:ascii="Arial" w:hAnsi="Arial" w:cs="Arial"/>
        </w:rPr>
        <w:t xml:space="preserve"> 2020).</w:t>
      </w:r>
    </w:p>
    <w:p w14:paraId="5576992B" w14:textId="77777777" w:rsidR="003506AC" w:rsidRDefault="003506AC" w:rsidP="003506AC">
      <w:pPr>
        <w:pStyle w:val="Body"/>
        <w:rPr>
          <w:rFonts w:ascii="Arial" w:hAnsi="Arial" w:cs="Arial"/>
        </w:rPr>
      </w:pPr>
      <w:r w:rsidRPr="003506AC">
        <w:rPr>
          <w:rFonts w:ascii="Arial" w:hAnsi="Arial" w:cs="Arial"/>
        </w:rPr>
        <w:t xml:space="preserve">While physiological differences between silkworms and humans such as the absence of adaptive immunity are substantial, the insect’s robust innate immune system parallels that of mammals in many respects. This makes </w:t>
      </w:r>
      <w:r w:rsidRPr="003506AC">
        <w:rPr>
          <w:rFonts w:ascii="Arial" w:hAnsi="Arial" w:cs="Arial"/>
          <w:i/>
          <w:iCs/>
        </w:rPr>
        <w:t>B. mori</w:t>
      </w:r>
      <w:r w:rsidRPr="003506AC">
        <w:rPr>
          <w:rFonts w:ascii="Arial" w:hAnsi="Arial" w:cs="Arial"/>
        </w:rPr>
        <w:t xml:space="preserve"> a valuable adjunct to mammalian models in infectious disease research. By complementing established invertebrate models such as </w:t>
      </w:r>
      <w:r w:rsidRPr="003506AC">
        <w:rPr>
          <w:rFonts w:ascii="Arial" w:hAnsi="Arial" w:cs="Arial"/>
          <w:i/>
          <w:iCs/>
        </w:rPr>
        <w:t>D. melanogaster</w:t>
      </w:r>
      <w:r w:rsidRPr="003506AC">
        <w:rPr>
          <w:rFonts w:ascii="Arial" w:hAnsi="Arial" w:cs="Arial"/>
        </w:rPr>
        <w:t xml:space="preserve"> and </w:t>
      </w:r>
      <w:r w:rsidRPr="003506AC">
        <w:rPr>
          <w:rFonts w:ascii="Arial" w:hAnsi="Arial" w:cs="Arial"/>
          <w:i/>
          <w:iCs/>
        </w:rPr>
        <w:t>C. elegans</w:t>
      </w:r>
      <w:r w:rsidRPr="003506AC">
        <w:rPr>
          <w:rFonts w:ascii="Arial" w:hAnsi="Arial" w:cs="Arial"/>
        </w:rPr>
        <w:t>, silkworm-based assays can streamline pathogen characterization and therapeutic discovery, ultimately expediting preclinical drug development.</w:t>
      </w:r>
    </w:p>
    <w:p w14:paraId="41DEE94D" w14:textId="77777777" w:rsidR="00313F85" w:rsidRDefault="00313F85" w:rsidP="003506AC">
      <w:pPr>
        <w:pStyle w:val="Body"/>
        <w:rPr>
          <w:rFonts w:ascii="Arial" w:hAnsi="Arial" w:cs="Arial"/>
        </w:rPr>
      </w:pPr>
    </w:p>
    <w:p w14:paraId="1FA91148" w14:textId="77777777" w:rsidR="00313F85" w:rsidRDefault="00313F85" w:rsidP="003506AC">
      <w:pPr>
        <w:pStyle w:val="Body"/>
        <w:rPr>
          <w:rFonts w:ascii="Arial" w:hAnsi="Arial" w:cs="Arial"/>
        </w:rPr>
      </w:pPr>
    </w:p>
    <w:p w14:paraId="3408B69F" w14:textId="77777777" w:rsidR="00313F85" w:rsidRPr="00313F85" w:rsidRDefault="003A53A9" w:rsidP="00313F85">
      <w:pPr>
        <w:spacing w:before="100" w:beforeAutospacing="1" w:after="240" w:line="360" w:lineRule="auto"/>
        <w:jc w:val="both"/>
        <w:rPr>
          <w:rFonts w:ascii="Arial" w:hAnsi="Arial" w:cs="Arial"/>
          <w:b/>
          <w:i/>
          <w:sz w:val="22"/>
          <w:szCs w:val="22"/>
        </w:rPr>
      </w:pPr>
      <w:r w:rsidRPr="00C95F11">
        <w:rPr>
          <w:rFonts w:ascii="Arial" w:hAnsi="Arial" w:cs="Arial"/>
          <w:b/>
          <w:sz w:val="22"/>
          <w:szCs w:val="22"/>
        </w:rPr>
        <w:t xml:space="preserve">3.2 </w:t>
      </w:r>
      <w:r w:rsidR="00313F85" w:rsidRPr="00313F85">
        <w:rPr>
          <w:rFonts w:ascii="Arial" w:hAnsi="Arial" w:cs="Arial"/>
          <w:b/>
          <w:sz w:val="22"/>
          <w:szCs w:val="22"/>
        </w:rPr>
        <w:t>Diabetes drug screening and efficacy evaluation</w:t>
      </w:r>
    </w:p>
    <w:p w14:paraId="4D52C5D5" w14:textId="77777777" w:rsidR="00313F85" w:rsidRPr="00313F85" w:rsidRDefault="00313F85" w:rsidP="00313F85">
      <w:pPr>
        <w:pStyle w:val="Body"/>
        <w:rPr>
          <w:rFonts w:ascii="Arial" w:hAnsi="Arial" w:cs="Arial"/>
        </w:rPr>
      </w:pPr>
      <w:r w:rsidRPr="00313F85">
        <w:rPr>
          <w:rFonts w:ascii="Arial" w:hAnsi="Arial" w:cs="Arial"/>
        </w:rPr>
        <w:lastRenderedPageBreak/>
        <w:t xml:space="preserve">Diabetes is a rapidly escalating global metabolic disorder, projected to affect 643 million individuals by 2030 and 783 </w:t>
      </w:r>
      <w:r w:rsidRPr="00AB0CFF">
        <w:rPr>
          <w:rFonts w:ascii="Arial" w:hAnsi="Arial" w:cs="Arial"/>
        </w:rPr>
        <w:t xml:space="preserve">million by 2045 (Ma </w:t>
      </w:r>
      <w:r w:rsidR="00AB0CFF" w:rsidRPr="00AB0CFF">
        <w:rPr>
          <w:rFonts w:ascii="Arial" w:hAnsi="Arial" w:cs="Arial"/>
        </w:rPr>
        <w:t>&amp; Li,</w:t>
      </w:r>
      <w:r w:rsidRPr="00AB0CFF">
        <w:rPr>
          <w:rFonts w:ascii="Arial" w:hAnsi="Arial" w:cs="Arial"/>
        </w:rPr>
        <w:t xml:space="preserve"> 2025). Between 2021</w:t>
      </w:r>
      <w:r w:rsidRPr="00313F85">
        <w:rPr>
          <w:rFonts w:ascii="Arial" w:hAnsi="Arial" w:cs="Arial"/>
        </w:rPr>
        <w:t xml:space="preserve"> and 2045, while the global population is expected to increase by 20%, the prevalence of diabetes is predicted to rise by 46%, far outpacing overall </w:t>
      </w:r>
      <w:r w:rsidRPr="00AB0CFF">
        <w:rPr>
          <w:rFonts w:ascii="Arial" w:hAnsi="Arial" w:cs="Arial"/>
        </w:rPr>
        <w:t xml:space="preserve">population growth (Sun </w:t>
      </w:r>
      <w:r w:rsidRPr="00AB0CFF">
        <w:rPr>
          <w:rFonts w:ascii="Arial" w:hAnsi="Arial" w:cs="Arial"/>
          <w:i/>
        </w:rPr>
        <w:t>et al.,</w:t>
      </w:r>
      <w:r w:rsidRPr="00AB0CFF">
        <w:rPr>
          <w:rFonts w:ascii="Arial" w:hAnsi="Arial" w:cs="Arial"/>
        </w:rPr>
        <w:t xml:space="preserve"> 2022). Despite advances</w:t>
      </w:r>
      <w:r w:rsidRPr="00313F85">
        <w:rPr>
          <w:rFonts w:ascii="Arial" w:hAnsi="Arial" w:cs="Arial"/>
        </w:rPr>
        <w:t xml:space="preserve"> in treatment, current antidiabetic drugs face significant limitations in disease management, with adverse effects that compromise therapeutic outcomes and severely impact patients' health and quality of </w:t>
      </w:r>
      <w:r w:rsidRPr="00AB0CFF">
        <w:rPr>
          <w:rFonts w:ascii="Arial" w:hAnsi="Arial" w:cs="Arial"/>
        </w:rPr>
        <w:t xml:space="preserve">life (Stottlemyer </w:t>
      </w:r>
      <w:r w:rsidRPr="00AB0CFF">
        <w:rPr>
          <w:rFonts w:ascii="Arial" w:hAnsi="Arial" w:cs="Arial"/>
          <w:i/>
        </w:rPr>
        <w:t>et al.,</w:t>
      </w:r>
      <w:r w:rsidRPr="00AB0CFF">
        <w:rPr>
          <w:rFonts w:ascii="Arial" w:hAnsi="Arial" w:cs="Arial"/>
        </w:rPr>
        <w:t xml:space="preserve"> 2023). For instance</w:t>
      </w:r>
      <w:r w:rsidRPr="00313F85">
        <w:rPr>
          <w:rFonts w:ascii="Arial" w:hAnsi="Arial" w:cs="Arial"/>
        </w:rPr>
        <w:t>, commonly used type 2 diabetes medications such as empagliflozin can cause blood glucose fluctuations, nausea, and dizziness; dagliflozin is associated with undesired weight loss; and cagliflozin has been linked to serious complications including diabetic ketoacidosis, limb amputation, kidney injury, infections, and osteomyelitis. Furthermore, glucagon-like peptide-1 receptor agonists like dulaglutide and somatostatin, while effective at lowering glucose, often induce gastrointestinal side effects that limit their clinical utility (</w:t>
      </w:r>
      <w:r w:rsidR="00AB0CFF" w:rsidRPr="00AB0CFF">
        <w:rPr>
          <w:rFonts w:ascii="Arial" w:hAnsi="Arial" w:cs="Arial"/>
        </w:rPr>
        <w:t>Ma &amp; Li, 2025</w:t>
      </w:r>
      <w:r w:rsidRPr="00313F85">
        <w:rPr>
          <w:rFonts w:ascii="Arial" w:hAnsi="Arial" w:cs="Arial"/>
        </w:rPr>
        <w:t>). These safety challenges not only exacerbate the disease burden but also impose substantial economic costs, underscoring the urgent need for safer, more affordable, and effective therapeutics.</w:t>
      </w:r>
    </w:p>
    <w:p w14:paraId="7B7C4E92" w14:textId="77777777" w:rsidR="00313F85" w:rsidRPr="00313F85" w:rsidRDefault="00313F85" w:rsidP="00313F85">
      <w:pPr>
        <w:pStyle w:val="Body"/>
        <w:rPr>
          <w:rFonts w:ascii="Arial" w:hAnsi="Arial" w:cs="Arial"/>
        </w:rPr>
      </w:pPr>
      <w:r w:rsidRPr="00313F85">
        <w:rPr>
          <w:rFonts w:ascii="Arial" w:hAnsi="Arial" w:cs="Arial"/>
        </w:rPr>
        <w:t>Screening candidate drugs for efficacy and safety prior to human use is therefore critical. Although both vertebrate and invertebrate models have traditionally been employed in drug screening, ethical concerns have increasingly restricted their use, prompting a search for alternative models. Within this context, the silkworm (</w:t>
      </w:r>
      <w:r w:rsidRPr="00313F85">
        <w:rPr>
          <w:rFonts w:ascii="Arial" w:hAnsi="Arial" w:cs="Arial"/>
          <w:i/>
        </w:rPr>
        <w:t>Bombyx mori</w:t>
      </w:r>
      <w:r w:rsidRPr="00313F85">
        <w:rPr>
          <w:rFonts w:ascii="Arial" w:hAnsi="Arial" w:cs="Arial"/>
        </w:rPr>
        <w:t xml:space="preserve">) has emerged as a highly promising model organism for diabetic drug screening. The silkworm possesses unique molecular and biological attributes relevant to diabetes research. Notably, its insulin-like peptide shares significant homology with human insulin, with highly conserved A and B </w:t>
      </w:r>
      <w:r w:rsidRPr="00AB0CFF">
        <w:rPr>
          <w:rFonts w:ascii="Arial" w:hAnsi="Arial" w:cs="Arial"/>
        </w:rPr>
        <w:t xml:space="preserve">chains (Nagasawa </w:t>
      </w:r>
      <w:r w:rsidRPr="00AB0CFF">
        <w:rPr>
          <w:rFonts w:ascii="Arial" w:hAnsi="Arial" w:cs="Arial"/>
          <w:i/>
        </w:rPr>
        <w:t>et al.,</w:t>
      </w:r>
      <w:r w:rsidRPr="00AB0CFF">
        <w:rPr>
          <w:rFonts w:ascii="Arial" w:hAnsi="Arial" w:cs="Arial"/>
        </w:rPr>
        <w:t xml:space="preserve"> 1984), making it</w:t>
      </w:r>
      <w:r w:rsidRPr="00313F85">
        <w:rPr>
          <w:rFonts w:ascii="Arial" w:hAnsi="Arial" w:cs="Arial"/>
        </w:rPr>
        <w:t xml:space="preserve"> an excellent model for investigating diabetes pathogenesis, complications, and hypoglycemic drug screening. Under pathological conditions, silkworms manifest diabetes-like symptoms, including metabolic disturbances caused by hyperglycemia. Importantly, the silkworm produces bombyxin, a peptide hormone whose three-dimensional structure closely resembles that of human </w:t>
      </w:r>
      <w:r w:rsidRPr="00AB0CFF">
        <w:rPr>
          <w:rFonts w:ascii="Arial" w:hAnsi="Arial" w:cs="Arial"/>
        </w:rPr>
        <w:t xml:space="preserve">insulin (Iwami </w:t>
      </w:r>
      <w:r w:rsidRPr="00AB0CFF">
        <w:rPr>
          <w:rFonts w:ascii="Arial" w:hAnsi="Arial" w:cs="Arial"/>
          <w:i/>
        </w:rPr>
        <w:t>et al.,</w:t>
      </w:r>
      <w:r w:rsidRPr="00AB0CFF">
        <w:rPr>
          <w:rFonts w:ascii="Arial" w:hAnsi="Arial" w:cs="Arial"/>
        </w:rPr>
        <w:t xml:space="preserve"> 1989), providing a critical molecular framework to study insulin signaling pathways and metabolic regulation. Several studies have demonstrated the utility of silkworms in evaluating the efficacy and safety of antidiabetic drugs, highlighting their potenti</w:t>
      </w:r>
      <w:r w:rsidRPr="00313F85">
        <w:rPr>
          <w:rFonts w:ascii="Arial" w:hAnsi="Arial" w:cs="Arial"/>
        </w:rPr>
        <w:t>al to accelerate drug development while reducing costs and ethical concerns.</w:t>
      </w:r>
    </w:p>
    <w:p w14:paraId="6ADF4134" w14:textId="77777777" w:rsidR="00313F85" w:rsidRPr="00313F85" w:rsidRDefault="00313F85" w:rsidP="00313F85">
      <w:pPr>
        <w:pStyle w:val="Body"/>
        <w:rPr>
          <w:rFonts w:ascii="Arial" w:hAnsi="Arial" w:cs="Arial"/>
        </w:rPr>
      </w:pPr>
      <w:r w:rsidRPr="00313F85">
        <w:rPr>
          <w:rFonts w:ascii="Arial" w:hAnsi="Arial" w:cs="Arial"/>
        </w:rPr>
        <w:t>Japanese researchers have revealed that silkworms share conserved mechanisms of blood glucose regulation with mammals, involving the AMP-activated protein kinase (AMPK) and insulin signaling pathways in their hemolymph. Their studies showed that both 5-aminoimidazole-4-carboxamide-1-β-D-ribofuranoside (AICAR), an AMPK activator, and human insulin effectively improved the growth defects of hyperglycemic silkworms by reducing total glucose levels in the hemolymph (</w:t>
      </w:r>
      <w:r w:rsidRPr="00B123D7">
        <w:rPr>
          <w:rFonts w:ascii="Arial" w:hAnsi="Arial" w:cs="Arial"/>
        </w:rPr>
        <w:t xml:space="preserve">Matsumoto </w:t>
      </w:r>
      <w:r w:rsidRPr="00B123D7">
        <w:rPr>
          <w:rFonts w:ascii="Arial" w:hAnsi="Arial" w:cs="Arial"/>
          <w:i/>
        </w:rPr>
        <w:t>et al.,</w:t>
      </w:r>
      <w:r w:rsidRPr="00B123D7">
        <w:rPr>
          <w:rFonts w:ascii="Arial" w:hAnsi="Arial" w:cs="Arial"/>
        </w:rPr>
        <w:t xml:space="preserve"> 2011</w:t>
      </w:r>
      <w:r w:rsidRPr="00963B23">
        <w:rPr>
          <w:rFonts w:ascii="Arial" w:hAnsi="Arial" w:cs="Arial"/>
        </w:rPr>
        <w:t>; Matsumoto &amp; Sekimizu, 2016).</w:t>
      </w:r>
      <w:r w:rsidRPr="00313F85">
        <w:rPr>
          <w:rFonts w:ascii="Arial" w:hAnsi="Arial" w:cs="Arial"/>
        </w:rPr>
        <w:t xml:space="preserve"> This discovery supports the use of silkworms as a reliable model for screening antidiabetic drugs targeting the AMPK/insulin pathways. Furthermore, the research team demonstrated that </w:t>
      </w:r>
      <w:r w:rsidRPr="00313F85">
        <w:rPr>
          <w:rFonts w:ascii="Arial" w:hAnsi="Arial" w:cs="Arial"/>
          <w:i/>
        </w:rPr>
        <w:t>Enterococcus faecalis</w:t>
      </w:r>
      <w:r w:rsidRPr="00313F85">
        <w:rPr>
          <w:rFonts w:ascii="Arial" w:hAnsi="Arial" w:cs="Arial"/>
        </w:rPr>
        <w:t xml:space="preserve"> YM0831 significantly suppressed sucrose-induced hyperglycemia, and when combined with the Traditional Chinese medicine extract Kothala himbutu (</w:t>
      </w:r>
      <w:r w:rsidRPr="00313F85">
        <w:rPr>
          <w:rFonts w:ascii="Arial" w:hAnsi="Arial" w:cs="Arial"/>
          <w:i/>
        </w:rPr>
        <w:t>Salacia reticulata</w:t>
      </w:r>
      <w:r w:rsidRPr="00313F85">
        <w:rPr>
          <w:rFonts w:ascii="Arial" w:hAnsi="Arial" w:cs="Arial"/>
        </w:rPr>
        <w:t xml:space="preserve">), exhibited synergistic hypoglycemic effects in </w:t>
      </w:r>
      <w:r w:rsidRPr="00963B23">
        <w:rPr>
          <w:rFonts w:ascii="Arial" w:hAnsi="Arial" w:cs="Arial"/>
        </w:rPr>
        <w:t xml:space="preserve">silkworms (Matsumoto </w:t>
      </w:r>
      <w:r w:rsidRPr="00963B23">
        <w:rPr>
          <w:rFonts w:ascii="Arial" w:hAnsi="Arial" w:cs="Arial"/>
          <w:i/>
        </w:rPr>
        <w:t>et al.,</w:t>
      </w:r>
      <w:r w:rsidRPr="00963B23">
        <w:rPr>
          <w:rFonts w:ascii="Arial" w:hAnsi="Arial" w:cs="Arial"/>
        </w:rPr>
        <w:t xml:space="preserve"> 2019; Ishii </w:t>
      </w:r>
      <w:r w:rsidRPr="00963B23">
        <w:rPr>
          <w:rFonts w:ascii="Arial" w:hAnsi="Arial" w:cs="Arial"/>
          <w:i/>
        </w:rPr>
        <w:t>et al.,</w:t>
      </w:r>
      <w:r w:rsidRPr="00963B23">
        <w:rPr>
          <w:rFonts w:ascii="Arial" w:hAnsi="Arial" w:cs="Arial"/>
        </w:rPr>
        <w:t xml:space="preserve"> 2019), offering new</w:t>
      </w:r>
      <w:r w:rsidRPr="00313F85">
        <w:rPr>
          <w:rFonts w:ascii="Arial" w:hAnsi="Arial" w:cs="Arial"/>
        </w:rPr>
        <w:t xml:space="preserve"> avenues for developing complex hypoglycemic therapies. Additionally, silkworm-based studies have identified several herbs, including jasmine crude polysaccharides and total flavonoids from </w:t>
      </w:r>
      <w:r w:rsidRPr="00313F85">
        <w:rPr>
          <w:rFonts w:ascii="Arial" w:hAnsi="Arial" w:cs="Arial"/>
          <w:i/>
        </w:rPr>
        <w:t>Paederia scandens</w:t>
      </w:r>
      <w:r w:rsidRPr="00313F85">
        <w:rPr>
          <w:rFonts w:ascii="Arial" w:hAnsi="Arial" w:cs="Arial"/>
        </w:rPr>
        <w:t xml:space="preserve">, </w:t>
      </w:r>
      <w:r w:rsidRPr="00313F85">
        <w:rPr>
          <w:rFonts w:ascii="Arial" w:hAnsi="Arial" w:cs="Arial"/>
          <w:i/>
        </w:rPr>
        <w:t>hibiscus</w:t>
      </w:r>
      <w:r w:rsidRPr="00313F85">
        <w:rPr>
          <w:rFonts w:ascii="Arial" w:hAnsi="Arial" w:cs="Arial"/>
        </w:rPr>
        <w:t xml:space="preserve"> flowers, and chamomile, which effectively lower blood glucose by inhibiting α-glucosidase </w:t>
      </w:r>
      <w:r w:rsidRPr="00963B23">
        <w:rPr>
          <w:rFonts w:ascii="Arial" w:hAnsi="Arial" w:cs="Arial"/>
        </w:rPr>
        <w:t xml:space="preserve">activity (Tan </w:t>
      </w:r>
      <w:r w:rsidRPr="00963B23">
        <w:rPr>
          <w:rFonts w:ascii="Arial" w:hAnsi="Arial" w:cs="Arial"/>
          <w:i/>
        </w:rPr>
        <w:t>et al.,</w:t>
      </w:r>
      <w:r w:rsidRPr="00963B23">
        <w:rPr>
          <w:rFonts w:ascii="Arial" w:hAnsi="Arial" w:cs="Arial"/>
        </w:rPr>
        <w:t xml:space="preserve"> 2025).</w:t>
      </w:r>
    </w:p>
    <w:p w14:paraId="11D56600" w14:textId="77777777" w:rsidR="00313F85" w:rsidRPr="00313F85" w:rsidRDefault="00313F85" w:rsidP="00313F85">
      <w:pPr>
        <w:pStyle w:val="Body"/>
        <w:rPr>
          <w:rFonts w:ascii="Arial" w:hAnsi="Arial" w:cs="Arial"/>
        </w:rPr>
      </w:pPr>
      <w:r w:rsidRPr="00313F85">
        <w:rPr>
          <w:rFonts w:ascii="Arial" w:hAnsi="Arial" w:cs="Arial"/>
        </w:rPr>
        <w:t xml:space="preserve">For pharmacodynamic assessment, researchers developed a type 2 diabetes model in silkworms by feeding them a high-glucose diet for 18 hours. In this model, the clinically approved hypoglycemic drugs pioglitazone and metformin significantly improved glucose </w:t>
      </w:r>
      <w:r w:rsidRPr="00313F85">
        <w:rPr>
          <w:rFonts w:ascii="Arial" w:hAnsi="Arial" w:cs="Arial"/>
        </w:rPr>
        <w:lastRenderedPageBreak/>
        <w:t xml:space="preserve">tolerance, validating the model's suitability for evaluating antidiabetic </w:t>
      </w:r>
      <w:r w:rsidRPr="00037055">
        <w:rPr>
          <w:rFonts w:ascii="Arial" w:hAnsi="Arial" w:cs="Arial"/>
        </w:rPr>
        <w:t xml:space="preserve">therapies (Matsumoto </w:t>
      </w:r>
      <w:r w:rsidRPr="00037055">
        <w:rPr>
          <w:rFonts w:ascii="Arial" w:hAnsi="Arial" w:cs="Arial"/>
          <w:i/>
        </w:rPr>
        <w:t>et al.,</w:t>
      </w:r>
      <w:r w:rsidRPr="00037055">
        <w:rPr>
          <w:rFonts w:ascii="Arial" w:hAnsi="Arial" w:cs="Arial"/>
        </w:rPr>
        <w:t xml:space="preserve"> 2015). Additionally, the efficacy of Jiou extract- a traditional Chinese medicine derived from the rhizom</w:t>
      </w:r>
      <w:r w:rsidRPr="00313F85">
        <w:rPr>
          <w:rFonts w:ascii="Arial" w:hAnsi="Arial" w:cs="Arial"/>
        </w:rPr>
        <w:t xml:space="preserve">e of </w:t>
      </w:r>
      <w:r w:rsidRPr="00313F85">
        <w:rPr>
          <w:rFonts w:ascii="Arial" w:hAnsi="Arial" w:cs="Arial"/>
          <w:i/>
          <w:iCs/>
        </w:rPr>
        <w:t>Rehmannia glutinosa</w:t>
      </w:r>
      <w:r w:rsidRPr="00313F85">
        <w:rPr>
          <w:rFonts w:ascii="Arial" w:hAnsi="Arial" w:cs="Arial"/>
        </w:rPr>
        <w:t xml:space="preserve"> Libosch. f. </w:t>
      </w:r>
      <w:r w:rsidRPr="00313F85">
        <w:rPr>
          <w:rFonts w:ascii="Arial" w:hAnsi="Arial" w:cs="Arial"/>
          <w:i/>
          <w:iCs/>
        </w:rPr>
        <w:t>hueichingensis</w:t>
      </w:r>
      <w:r w:rsidRPr="00313F85">
        <w:rPr>
          <w:rFonts w:ascii="Arial" w:hAnsi="Arial" w:cs="Arial"/>
        </w:rPr>
        <w:t xml:space="preserve">was tested by injecting it into hyperglycemic silkworms, which resulted in a notable reduction in hemolymph glucose levels. Galactose was identified as the primary active hypoglycemic compound within this </w:t>
      </w:r>
      <w:r w:rsidRPr="003C04F4">
        <w:rPr>
          <w:rFonts w:ascii="Arial" w:hAnsi="Arial" w:cs="Arial"/>
        </w:rPr>
        <w:t xml:space="preserve">extract (Miyazaki </w:t>
      </w:r>
      <w:r w:rsidRPr="003C04F4">
        <w:rPr>
          <w:rFonts w:ascii="Arial" w:hAnsi="Arial" w:cs="Arial"/>
          <w:i/>
        </w:rPr>
        <w:t>et al.,</w:t>
      </w:r>
      <w:r w:rsidRPr="003C04F4">
        <w:rPr>
          <w:rFonts w:ascii="Arial" w:hAnsi="Arial" w:cs="Arial"/>
        </w:rPr>
        <w:t xml:space="preserve"> </w:t>
      </w:r>
      <w:r w:rsidRPr="00037055">
        <w:rPr>
          <w:rFonts w:ascii="Arial" w:hAnsi="Arial" w:cs="Arial"/>
        </w:rPr>
        <w:t xml:space="preserve">2012; Ota </w:t>
      </w:r>
      <w:r w:rsidRPr="00037055">
        <w:rPr>
          <w:rFonts w:ascii="Arial" w:hAnsi="Arial" w:cs="Arial"/>
          <w:i/>
        </w:rPr>
        <w:t>et al.,</w:t>
      </w:r>
      <w:r w:rsidRPr="00037055">
        <w:rPr>
          <w:rFonts w:ascii="Arial" w:hAnsi="Arial" w:cs="Arial"/>
        </w:rPr>
        <w:t xml:space="preserve"> 2019). Moreover</w:t>
      </w:r>
      <w:r w:rsidRPr="00313F85">
        <w:rPr>
          <w:rFonts w:ascii="Arial" w:hAnsi="Arial" w:cs="Arial"/>
        </w:rPr>
        <w:t xml:space="preserve">, another study demonstrated that hyperglycemia induced in silkworms by a high-sucrose diet was effectively suppressed by polysaccharides derived from various soil bacteria, including </w:t>
      </w:r>
      <w:r w:rsidRPr="00313F85">
        <w:rPr>
          <w:rFonts w:ascii="Arial" w:hAnsi="Arial" w:cs="Arial"/>
          <w:i/>
          <w:iCs/>
        </w:rPr>
        <w:t>Rhizobium altiplani</w:t>
      </w:r>
      <w:r w:rsidRPr="00313F85">
        <w:rPr>
          <w:rFonts w:ascii="Arial" w:hAnsi="Arial" w:cs="Arial"/>
        </w:rPr>
        <w:t xml:space="preserve">, </w:t>
      </w:r>
      <w:r w:rsidRPr="00313F85">
        <w:rPr>
          <w:rFonts w:ascii="Arial" w:hAnsi="Arial" w:cs="Arial"/>
          <w:i/>
          <w:iCs/>
        </w:rPr>
        <w:t>Cupriavidus</w:t>
      </w:r>
      <w:r w:rsidRPr="00313F85">
        <w:rPr>
          <w:rFonts w:ascii="Arial" w:hAnsi="Arial" w:cs="Arial"/>
        </w:rPr>
        <w:t xml:space="preserve"> sp., </w:t>
      </w:r>
      <w:r w:rsidRPr="00313F85">
        <w:rPr>
          <w:rFonts w:ascii="Arial" w:hAnsi="Arial" w:cs="Arial"/>
          <w:i/>
          <w:iCs/>
        </w:rPr>
        <w:t>Paenibacillus polymyxa</w:t>
      </w:r>
      <w:r w:rsidRPr="00313F85">
        <w:rPr>
          <w:rFonts w:ascii="Arial" w:hAnsi="Arial" w:cs="Arial"/>
        </w:rPr>
        <w:t xml:space="preserve">, </w:t>
      </w:r>
      <w:r w:rsidRPr="00313F85">
        <w:rPr>
          <w:rFonts w:ascii="Arial" w:hAnsi="Arial" w:cs="Arial"/>
          <w:i/>
          <w:iCs/>
        </w:rPr>
        <w:t>Pantoea eucalypti</w:t>
      </w:r>
      <w:r w:rsidRPr="00313F85">
        <w:rPr>
          <w:rFonts w:ascii="Arial" w:hAnsi="Arial" w:cs="Arial"/>
        </w:rPr>
        <w:t xml:space="preserve">, </w:t>
      </w:r>
      <w:r w:rsidRPr="00313F85">
        <w:rPr>
          <w:rFonts w:ascii="Arial" w:hAnsi="Arial" w:cs="Arial"/>
          <w:i/>
          <w:iCs/>
        </w:rPr>
        <w:t>Variovorax boronicumulans</w:t>
      </w:r>
      <w:r w:rsidRPr="00313F85">
        <w:rPr>
          <w:rFonts w:ascii="Arial" w:hAnsi="Arial" w:cs="Arial"/>
        </w:rPr>
        <w:t xml:space="preserve">, and </w:t>
      </w:r>
      <w:r w:rsidRPr="00313F85">
        <w:rPr>
          <w:rFonts w:ascii="Arial" w:hAnsi="Arial" w:cs="Arial"/>
          <w:i/>
          <w:iCs/>
        </w:rPr>
        <w:t xml:space="preserve">Xanthomonas </w:t>
      </w:r>
      <w:r w:rsidRPr="00037055">
        <w:rPr>
          <w:rFonts w:ascii="Arial" w:hAnsi="Arial" w:cs="Arial"/>
          <w:i/>
          <w:iCs/>
        </w:rPr>
        <w:t>cynarae</w:t>
      </w:r>
      <w:r w:rsidRPr="00037055">
        <w:rPr>
          <w:rFonts w:ascii="Arial" w:hAnsi="Arial" w:cs="Arial"/>
        </w:rPr>
        <w:t xml:space="preserve"> (Ishii </w:t>
      </w:r>
      <w:r w:rsidRPr="00037055">
        <w:rPr>
          <w:rFonts w:ascii="Arial" w:hAnsi="Arial" w:cs="Arial"/>
          <w:i/>
        </w:rPr>
        <w:t>et al.,</w:t>
      </w:r>
      <w:r w:rsidRPr="00037055">
        <w:rPr>
          <w:rFonts w:ascii="Arial" w:hAnsi="Arial" w:cs="Arial"/>
        </w:rPr>
        <w:t xml:space="preserve"> 2018). These findings collectively highlight the utility of the silkworm model in screening and evaluating both synthetic</w:t>
      </w:r>
      <w:r w:rsidRPr="00313F85">
        <w:rPr>
          <w:rFonts w:ascii="Arial" w:hAnsi="Arial" w:cs="Arial"/>
        </w:rPr>
        <w:t xml:space="preserve"> and natural antidiabetic agents.</w:t>
      </w:r>
    </w:p>
    <w:p w14:paraId="42B6B616" w14:textId="77777777" w:rsidR="00313F85" w:rsidRDefault="00313F85" w:rsidP="00313F85">
      <w:pPr>
        <w:pStyle w:val="Body"/>
        <w:rPr>
          <w:rFonts w:ascii="Arial" w:hAnsi="Arial" w:cs="Arial"/>
        </w:rPr>
      </w:pPr>
      <w:r w:rsidRPr="00313F85">
        <w:rPr>
          <w:rFonts w:ascii="Arial" w:hAnsi="Arial" w:cs="Arial"/>
        </w:rPr>
        <w:t>From the above findings, it is clear that the silkworm model offers a robust and versatile platform for advancing diabetes research, bridging gaps between in vitro assays and mammalian studies. Its conserved metabolic and signaling pathways allow for detailed investigation of drug mechanisms and interactions within a living organism, while its compatibility with both synthetic pharmaceuticals and natural compounds broadens the scope of therapeutic exploration. Moreover, the ethical and economic advantages associated with silkworm-based studies facilitate large-scale screening and mechanistic analyses that would be challenging in traditional models. Continued integration of this model into antidiabetic drug development promises to accelerate discovery, improve safety profiling, and contribute to more effective and accessible treatments for the growing global burden of diabetes.</w:t>
      </w:r>
    </w:p>
    <w:p w14:paraId="76744AA6" w14:textId="77777777" w:rsidR="00313F85" w:rsidRPr="00313F85" w:rsidRDefault="00313F85" w:rsidP="00313F85">
      <w:pPr>
        <w:pStyle w:val="AbstHead"/>
        <w:rPr>
          <w:rFonts w:ascii="Arial" w:hAnsi="Arial" w:cs="Arial"/>
        </w:rPr>
      </w:pPr>
      <w:r>
        <w:rPr>
          <w:rFonts w:ascii="Arial" w:hAnsi="Arial" w:cs="Arial"/>
        </w:rPr>
        <w:t xml:space="preserve">4. </w:t>
      </w:r>
      <w:r w:rsidRPr="00313F85">
        <w:rPr>
          <w:rFonts w:ascii="Arial" w:hAnsi="Arial" w:cs="Arial"/>
        </w:rPr>
        <w:t>SILKWORM AS A MODEL FOR METABOLIC DISORDERS</w:t>
      </w:r>
    </w:p>
    <w:p w14:paraId="6660A848" w14:textId="77777777" w:rsidR="000D77C7" w:rsidRDefault="000D77C7" w:rsidP="000D77C7">
      <w:pPr>
        <w:pStyle w:val="Body"/>
        <w:rPr>
          <w:rFonts w:ascii="Arial" w:hAnsi="Arial" w:cs="Arial"/>
        </w:rPr>
      </w:pPr>
      <w:r w:rsidRPr="000D77C7">
        <w:rPr>
          <w:rFonts w:ascii="Arial" w:hAnsi="Arial" w:cs="Arial"/>
        </w:rPr>
        <w:t>Metabolic disorders, from gout and diabetes to rare enzyme deficiencies and kidney stones, affect millions of people worldwide and can seriously impact quality of life. While mice and other mammals have long been the standard for studying these conditions, researchers are increasingly turning to smaller, simpler, and more ethical models that can still reveal important biological insights. The silkworm (</w:t>
      </w:r>
      <w:r w:rsidRPr="000D77C7">
        <w:rPr>
          <w:rFonts w:ascii="Arial" w:hAnsi="Arial" w:cs="Arial"/>
          <w:i/>
          <w:iCs/>
        </w:rPr>
        <w:t>Bombyx mori</w:t>
      </w:r>
      <w:r w:rsidRPr="000D77C7">
        <w:rPr>
          <w:rFonts w:ascii="Arial" w:hAnsi="Arial" w:cs="Arial"/>
        </w:rPr>
        <w:t>), best known for its role in producing silk, shares surprising similarities with humans in key metabolic pathways such as uric acid processing, insulin-like signalling, and certain amino acid and purine metabolic routes. Some naturally occurring silkworm strains even develop conditions that closely resemble human metabolic disorders, while others can be induced to do so through diet or genetic manipulation. These models not only help us understand disease mechanisms but also offer a practical, low-cost way to screen potential treatments before moving to more complex systems (Table 1, Fig. 2).</w:t>
      </w:r>
    </w:p>
    <w:p w14:paraId="2524B43D" w14:textId="77777777" w:rsidR="000D77C7" w:rsidRDefault="000D77C7" w:rsidP="000D77C7">
      <w:pPr>
        <w:pStyle w:val="Body"/>
        <w:rPr>
          <w:rFonts w:ascii="Arial" w:hAnsi="Arial" w:cs="Arial"/>
        </w:rPr>
      </w:pPr>
    </w:p>
    <w:p w14:paraId="0C235916" w14:textId="77777777" w:rsidR="000D77C7" w:rsidRDefault="000D77C7" w:rsidP="000D77C7">
      <w:pPr>
        <w:pStyle w:val="Body"/>
        <w:rPr>
          <w:rFonts w:ascii="Arial" w:hAnsi="Arial" w:cs="Arial"/>
        </w:rPr>
      </w:pPr>
    </w:p>
    <w:p w14:paraId="431D5B10" w14:textId="77777777" w:rsidR="000D77C7" w:rsidRDefault="000D77C7" w:rsidP="000D77C7">
      <w:pPr>
        <w:pStyle w:val="Body"/>
        <w:rPr>
          <w:rFonts w:ascii="Arial" w:hAnsi="Arial" w:cs="Arial"/>
        </w:rPr>
      </w:pPr>
    </w:p>
    <w:p w14:paraId="583B45E2" w14:textId="77777777" w:rsidR="000D77C7" w:rsidRDefault="000D77C7" w:rsidP="000D77C7">
      <w:pPr>
        <w:pStyle w:val="Body"/>
        <w:rPr>
          <w:rFonts w:ascii="Arial" w:hAnsi="Arial" w:cs="Arial"/>
        </w:rPr>
      </w:pPr>
    </w:p>
    <w:p w14:paraId="74F4DD78" w14:textId="77777777" w:rsidR="000D77C7" w:rsidRDefault="000D77C7" w:rsidP="000D77C7">
      <w:pPr>
        <w:pStyle w:val="Body"/>
        <w:rPr>
          <w:rFonts w:ascii="Arial" w:hAnsi="Arial" w:cs="Arial"/>
        </w:rPr>
        <w:sectPr w:rsidR="000D77C7" w:rsidSect="00517E43">
          <w:headerReference w:type="even" r:id="rId15"/>
          <w:headerReference w:type="default" r:id="rId16"/>
          <w:footerReference w:type="default" r:id="rId17"/>
          <w:headerReference w:type="first" r:id="rId18"/>
          <w:type w:val="continuous"/>
          <w:pgSz w:w="12240" w:h="15840"/>
          <w:pgMar w:top="1440" w:right="2016" w:bottom="2016" w:left="2016" w:header="720" w:footer="1123" w:gutter="0"/>
          <w:cols w:space="720"/>
          <w:docGrid w:linePitch="272"/>
        </w:sectPr>
      </w:pPr>
    </w:p>
    <w:p w14:paraId="70E133C9" w14:textId="77777777" w:rsidR="000D77C7" w:rsidRPr="00341293" w:rsidRDefault="00341293" w:rsidP="00341293">
      <w:pPr>
        <w:tabs>
          <w:tab w:val="left" w:pos="1080"/>
        </w:tabs>
        <w:spacing w:after="240"/>
        <w:jc w:val="both"/>
        <w:rPr>
          <w:rFonts w:ascii="Arial" w:hAnsi="Arial"/>
          <w:b/>
        </w:rPr>
      </w:pPr>
      <w:r>
        <w:rPr>
          <w:rFonts w:ascii="Arial" w:hAnsi="Arial"/>
          <w:b/>
        </w:rPr>
        <w:lastRenderedPageBreak/>
        <w:t>Table 2</w:t>
      </w:r>
      <w:r w:rsidRPr="00341293">
        <w:t xml:space="preserve"> </w:t>
      </w:r>
      <w:r w:rsidRPr="00341293">
        <w:rPr>
          <w:rFonts w:ascii="Arial" w:hAnsi="Arial"/>
          <w:b/>
        </w:rPr>
        <w:t xml:space="preserve">Silkworm-Based Experimental Models for Human Metabolic Disorders: Mechanisms, Assays, </w:t>
      </w:r>
      <w:r>
        <w:rPr>
          <w:rFonts w:ascii="Arial" w:hAnsi="Arial"/>
          <w:b/>
        </w:rPr>
        <w:t xml:space="preserve">Advantages </w:t>
      </w:r>
      <w:r w:rsidRPr="00341293">
        <w:rPr>
          <w:rFonts w:ascii="Arial" w:hAnsi="Arial"/>
          <w:b/>
        </w:rPr>
        <w:t>and Limitations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44"/>
        <w:gridCol w:w="2882"/>
        <w:gridCol w:w="2362"/>
        <w:gridCol w:w="1628"/>
        <w:gridCol w:w="1662"/>
        <w:gridCol w:w="1506"/>
      </w:tblGrid>
      <w:tr w:rsidR="000D77C7" w:rsidRPr="000D77C7" w14:paraId="6C25B380" w14:textId="77777777" w:rsidTr="00341293">
        <w:tc>
          <w:tcPr>
            <w:tcW w:w="2181" w:type="dxa"/>
            <w:tcBorders>
              <w:top w:val="single" w:sz="4" w:space="0" w:color="auto"/>
              <w:bottom w:val="single" w:sz="4" w:space="0" w:color="auto"/>
            </w:tcBorders>
            <w:hideMark/>
          </w:tcPr>
          <w:p w14:paraId="0A8C9524" w14:textId="77777777" w:rsidR="000D77C7" w:rsidRPr="000D77C7" w:rsidRDefault="000D77C7" w:rsidP="003D6394">
            <w:pPr>
              <w:spacing w:after="240"/>
              <w:rPr>
                <w:rFonts w:ascii="Arial" w:eastAsia="Times New Roman" w:hAnsi="Arial" w:cs="Arial"/>
                <w:b/>
                <w:bCs/>
                <w:sz w:val="20"/>
                <w:szCs w:val="20"/>
              </w:rPr>
            </w:pPr>
            <w:r w:rsidRPr="000D77C7">
              <w:rPr>
                <w:rFonts w:ascii="Arial" w:eastAsia="Times New Roman" w:hAnsi="Arial" w:cs="Arial"/>
                <w:b/>
                <w:bCs/>
                <w:sz w:val="20"/>
                <w:szCs w:val="20"/>
              </w:rPr>
              <w:t>Metabolic Disorder (Human)</w:t>
            </w:r>
          </w:p>
        </w:tc>
        <w:tc>
          <w:tcPr>
            <w:tcW w:w="2166" w:type="dxa"/>
            <w:tcBorders>
              <w:top w:val="single" w:sz="4" w:space="0" w:color="auto"/>
              <w:bottom w:val="single" w:sz="4" w:space="0" w:color="auto"/>
            </w:tcBorders>
            <w:hideMark/>
          </w:tcPr>
          <w:p w14:paraId="4E4247F1" w14:textId="77777777" w:rsidR="000D77C7" w:rsidRPr="000D77C7" w:rsidRDefault="000D77C7" w:rsidP="003D6394">
            <w:pPr>
              <w:spacing w:after="240"/>
              <w:rPr>
                <w:rFonts w:ascii="Arial" w:eastAsia="Times New Roman" w:hAnsi="Arial" w:cs="Arial"/>
                <w:b/>
                <w:bCs/>
                <w:sz w:val="20"/>
                <w:szCs w:val="20"/>
              </w:rPr>
            </w:pPr>
            <w:r w:rsidRPr="000D77C7">
              <w:rPr>
                <w:rFonts w:ascii="Arial" w:eastAsia="Times New Roman" w:hAnsi="Arial" w:cs="Arial"/>
                <w:b/>
                <w:bCs/>
                <w:sz w:val="20"/>
                <w:szCs w:val="20"/>
              </w:rPr>
              <w:t>Key Human Pathology / Mechanism</w:t>
            </w:r>
          </w:p>
        </w:tc>
        <w:tc>
          <w:tcPr>
            <w:tcW w:w="0" w:type="auto"/>
            <w:tcBorders>
              <w:top w:val="single" w:sz="4" w:space="0" w:color="auto"/>
              <w:bottom w:val="single" w:sz="4" w:space="0" w:color="auto"/>
            </w:tcBorders>
            <w:hideMark/>
          </w:tcPr>
          <w:p w14:paraId="5FCEB56D" w14:textId="77777777" w:rsidR="000D77C7" w:rsidRPr="000D77C7" w:rsidRDefault="000D77C7" w:rsidP="003D6394">
            <w:pPr>
              <w:spacing w:after="240"/>
              <w:rPr>
                <w:rFonts w:ascii="Arial" w:eastAsia="Times New Roman" w:hAnsi="Arial" w:cs="Arial"/>
                <w:b/>
                <w:bCs/>
                <w:sz w:val="20"/>
                <w:szCs w:val="20"/>
              </w:rPr>
            </w:pPr>
            <w:r w:rsidRPr="000D77C7">
              <w:rPr>
                <w:rFonts w:ascii="Arial" w:eastAsia="Times New Roman" w:hAnsi="Arial" w:cs="Arial"/>
                <w:b/>
                <w:bCs/>
                <w:sz w:val="20"/>
                <w:szCs w:val="20"/>
              </w:rPr>
              <w:t>Silkworm Model (Strain / Induction)</w:t>
            </w:r>
          </w:p>
        </w:tc>
        <w:tc>
          <w:tcPr>
            <w:tcW w:w="0" w:type="auto"/>
            <w:tcBorders>
              <w:top w:val="single" w:sz="4" w:space="0" w:color="auto"/>
              <w:bottom w:val="single" w:sz="4" w:space="0" w:color="auto"/>
            </w:tcBorders>
            <w:hideMark/>
          </w:tcPr>
          <w:p w14:paraId="1812FE60" w14:textId="77777777" w:rsidR="000D77C7" w:rsidRPr="000D77C7" w:rsidRDefault="000D77C7" w:rsidP="003D6394">
            <w:pPr>
              <w:spacing w:after="240"/>
              <w:rPr>
                <w:rFonts w:ascii="Arial" w:eastAsia="Times New Roman" w:hAnsi="Arial" w:cs="Arial"/>
                <w:b/>
                <w:bCs/>
                <w:sz w:val="20"/>
                <w:szCs w:val="20"/>
              </w:rPr>
            </w:pPr>
            <w:r w:rsidRPr="000D77C7">
              <w:rPr>
                <w:rFonts w:ascii="Arial" w:eastAsia="Times New Roman" w:hAnsi="Arial" w:cs="Arial"/>
                <w:b/>
                <w:bCs/>
                <w:sz w:val="20"/>
                <w:szCs w:val="20"/>
              </w:rPr>
              <w:t>Typical Experimental Readouts / Assays in Silkworm</w:t>
            </w:r>
          </w:p>
        </w:tc>
        <w:tc>
          <w:tcPr>
            <w:tcW w:w="0" w:type="auto"/>
            <w:tcBorders>
              <w:top w:val="single" w:sz="4" w:space="0" w:color="auto"/>
              <w:bottom w:val="single" w:sz="4" w:space="0" w:color="auto"/>
            </w:tcBorders>
            <w:hideMark/>
          </w:tcPr>
          <w:p w14:paraId="2BB5724E" w14:textId="77777777" w:rsidR="000D77C7" w:rsidRPr="000D77C7" w:rsidRDefault="000D77C7" w:rsidP="003D6394">
            <w:pPr>
              <w:spacing w:after="240"/>
              <w:rPr>
                <w:rFonts w:ascii="Arial" w:eastAsia="Times New Roman" w:hAnsi="Arial" w:cs="Arial"/>
                <w:b/>
                <w:bCs/>
                <w:sz w:val="20"/>
                <w:szCs w:val="20"/>
              </w:rPr>
            </w:pPr>
            <w:r w:rsidRPr="000D77C7">
              <w:rPr>
                <w:rFonts w:ascii="Arial" w:eastAsia="Times New Roman" w:hAnsi="Arial" w:cs="Arial"/>
                <w:b/>
                <w:bCs/>
                <w:sz w:val="20"/>
                <w:szCs w:val="20"/>
              </w:rPr>
              <w:t>Advantages and Limitations</w:t>
            </w:r>
          </w:p>
        </w:tc>
        <w:tc>
          <w:tcPr>
            <w:tcW w:w="0" w:type="auto"/>
            <w:tcBorders>
              <w:top w:val="single" w:sz="4" w:space="0" w:color="auto"/>
              <w:bottom w:val="single" w:sz="4" w:space="0" w:color="auto"/>
            </w:tcBorders>
          </w:tcPr>
          <w:p w14:paraId="6AEEF479" w14:textId="77777777" w:rsidR="000D77C7" w:rsidRPr="000D77C7" w:rsidRDefault="000D77C7" w:rsidP="003D6394">
            <w:pPr>
              <w:spacing w:after="240"/>
              <w:rPr>
                <w:rFonts w:ascii="Arial" w:eastAsia="Times New Roman" w:hAnsi="Arial" w:cs="Arial"/>
                <w:b/>
                <w:bCs/>
                <w:sz w:val="20"/>
                <w:szCs w:val="20"/>
              </w:rPr>
            </w:pPr>
            <w:r w:rsidRPr="000D77C7">
              <w:rPr>
                <w:rFonts w:ascii="Arial" w:eastAsia="Times New Roman" w:hAnsi="Arial" w:cs="Arial"/>
                <w:b/>
                <w:bCs/>
                <w:sz w:val="20"/>
                <w:szCs w:val="20"/>
              </w:rPr>
              <w:t>References</w:t>
            </w:r>
          </w:p>
        </w:tc>
      </w:tr>
      <w:tr w:rsidR="000D77C7" w:rsidRPr="000D77C7" w14:paraId="49A17E80" w14:textId="77777777" w:rsidTr="00341293">
        <w:tc>
          <w:tcPr>
            <w:tcW w:w="0" w:type="auto"/>
            <w:tcBorders>
              <w:top w:val="single" w:sz="4" w:space="0" w:color="auto"/>
            </w:tcBorders>
            <w:hideMark/>
          </w:tcPr>
          <w:p w14:paraId="7D6424EA" w14:textId="77777777" w:rsidR="000D77C7" w:rsidRPr="000D77C7" w:rsidRDefault="000D77C7" w:rsidP="003D6394">
            <w:pPr>
              <w:spacing w:after="240"/>
              <w:rPr>
                <w:rFonts w:ascii="Arial" w:eastAsia="Times New Roman" w:hAnsi="Arial" w:cs="Arial"/>
                <w:sz w:val="20"/>
                <w:szCs w:val="20"/>
              </w:rPr>
            </w:pPr>
            <w:r w:rsidRPr="000D77C7">
              <w:rPr>
                <w:rFonts w:ascii="Arial" w:eastAsia="Times New Roman" w:hAnsi="Arial" w:cs="Arial"/>
                <w:b/>
                <w:bCs/>
                <w:sz w:val="20"/>
                <w:szCs w:val="20"/>
              </w:rPr>
              <w:t>Uric Acid Metabolism Disorders / Gout</w:t>
            </w:r>
          </w:p>
        </w:tc>
        <w:tc>
          <w:tcPr>
            <w:tcW w:w="0" w:type="auto"/>
            <w:tcBorders>
              <w:top w:val="single" w:sz="4" w:space="0" w:color="auto"/>
            </w:tcBorders>
            <w:hideMark/>
          </w:tcPr>
          <w:p w14:paraId="05E9291C" w14:textId="77777777" w:rsidR="000D77C7" w:rsidRPr="000D77C7" w:rsidRDefault="000D77C7" w:rsidP="003D6394">
            <w:pPr>
              <w:spacing w:after="240"/>
              <w:rPr>
                <w:rFonts w:ascii="Arial" w:eastAsia="Times New Roman" w:hAnsi="Arial" w:cs="Arial"/>
                <w:sz w:val="20"/>
                <w:szCs w:val="20"/>
              </w:rPr>
            </w:pPr>
            <w:r w:rsidRPr="000D77C7">
              <w:rPr>
                <w:rFonts w:ascii="Arial" w:eastAsia="Times New Roman" w:hAnsi="Arial" w:cs="Arial"/>
                <w:sz w:val="20"/>
                <w:szCs w:val="20"/>
              </w:rPr>
              <w:t>Gout results from the accumulation of uric acid due to purine metabolism, with deposition of monosodium urate crystals in joints. In humans, the absence of uricase leads to uric acid being the final product of purine degradation.</w:t>
            </w:r>
          </w:p>
        </w:tc>
        <w:tc>
          <w:tcPr>
            <w:tcW w:w="0" w:type="auto"/>
            <w:tcBorders>
              <w:top w:val="single" w:sz="4" w:space="0" w:color="auto"/>
            </w:tcBorders>
            <w:hideMark/>
          </w:tcPr>
          <w:p w14:paraId="5CDAD3A3" w14:textId="77777777" w:rsidR="000D77C7" w:rsidRPr="000D77C7" w:rsidRDefault="000D77C7" w:rsidP="003D6394">
            <w:pPr>
              <w:spacing w:after="240"/>
              <w:rPr>
                <w:rFonts w:ascii="Arial" w:eastAsia="Times New Roman" w:hAnsi="Arial" w:cs="Arial"/>
                <w:sz w:val="20"/>
                <w:szCs w:val="20"/>
              </w:rPr>
            </w:pPr>
            <w:r w:rsidRPr="000D77C7">
              <w:rPr>
                <w:rFonts w:ascii="Arial" w:eastAsia="Times New Roman" w:hAnsi="Arial" w:cs="Arial"/>
                <w:sz w:val="20"/>
                <w:szCs w:val="20"/>
              </w:rPr>
              <w:t>The silkworm naturally produces uric acid as the end product of purine metabolism and stores it as urate granules in the epidermis, giving the integument a white appearance. Pharmacological treatment with allopurinol and sodium bicarbonate leads to decreased uric acid levels and a translucent integument, mimicking aspects of uric acid–lowering therapy.</w:t>
            </w:r>
          </w:p>
        </w:tc>
        <w:tc>
          <w:tcPr>
            <w:tcW w:w="0" w:type="auto"/>
            <w:tcBorders>
              <w:top w:val="single" w:sz="4" w:space="0" w:color="auto"/>
            </w:tcBorders>
            <w:hideMark/>
          </w:tcPr>
          <w:p w14:paraId="51F60475" w14:textId="77777777" w:rsidR="000D77C7" w:rsidRPr="000D77C7" w:rsidRDefault="000D77C7" w:rsidP="003D6394">
            <w:pPr>
              <w:spacing w:after="240"/>
              <w:rPr>
                <w:rFonts w:ascii="Arial" w:eastAsia="Times New Roman" w:hAnsi="Arial" w:cs="Arial"/>
                <w:sz w:val="20"/>
                <w:szCs w:val="20"/>
              </w:rPr>
            </w:pPr>
            <w:r w:rsidRPr="000D77C7">
              <w:rPr>
                <w:rFonts w:ascii="Arial" w:eastAsia="Times New Roman" w:hAnsi="Arial" w:cs="Arial"/>
                <w:sz w:val="20"/>
                <w:szCs w:val="20"/>
              </w:rPr>
              <w:t>Researchers can visually assess integument colour changes, quantify uric acid in the hemolymph or whole body, and measure xanthine oxidase activity. This model has been used for drug screening, particularly for xanthine oxidase inhibitors.</w:t>
            </w:r>
          </w:p>
        </w:tc>
        <w:tc>
          <w:tcPr>
            <w:tcW w:w="0" w:type="auto"/>
            <w:tcBorders>
              <w:top w:val="single" w:sz="4" w:space="0" w:color="auto"/>
            </w:tcBorders>
            <w:hideMark/>
          </w:tcPr>
          <w:p w14:paraId="6615DA16" w14:textId="77777777" w:rsidR="000D77C7" w:rsidRPr="000D77C7" w:rsidRDefault="000D77C7" w:rsidP="003D6394">
            <w:pPr>
              <w:spacing w:after="240"/>
              <w:rPr>
                <w:rFonts w:ascii="Arial" w:eastAsia="Times New Roman" w:hAnsi="Arial" w:cs="Arial"/>
                <w:sz w:val="20"/>
                <w:szCs w:val="20"/>
              </w:rPr>
            </w:pPr>
            <w:r w:rsidRPr="000D77C7">
              <w:rPr>
                <w:rFonts w:ascii="Arial" w:eastAsia="Times New Roman" w:hAnsi="Arial" w:cs="Arial"/>
                <w:sz w:val="20"/>
                <w:szCs w:val="20"/>
              </w:rPr>
              <w:t>The silkworm provides a simple, inexpensive, and visually clear phenotype for screening uric acid–lowering compounds. However, it cannot reproduce the joint inflammation seen in human gout because insects lack joints analogous to human synovial joints.</w:t>
            </w:r>
          </w:p>
        </w:tc>
        <w:tc>
          <w:tcPr>
            <w:tcW w:w="0" w:type="auto"/>
            <w:tcBorders>
              <w:top w:val="single" w:sz="4" w:space="0" w:color="auto"/>
            </w:tcBorders>
          </w:tcPr>
          <w:p w14:paraId="6F5C792C" w14:textId="77777777" w:rsidR="000D77C7" w:rsidRPr="000D77C7" w:rsidRDefault="000D77C7" w:rsidP="003D6394">
            <w:pPr>
              <w:spacing w:after="240"/>
              <w:rPr>
                <w:rFonts w:ascii="Arial" w:eastAsia="Times New Roman" w:hAnsi="Arial" w:cs="Arial"/>
                <w:sz w:val="20"/>
                <w:szCs w:val="20"/>
              </w:rPr>
            </w:pPr>
            <w:r w:rsidRPr="00037055">
              <w:rPr>
                <w:rFonts w:ascii="Arial" w:hAnsi="Arial" w:cs="Arial"/>
                <w:sz w:val="20"/>
                <w:szCs w:val="20"/>
              </w:rPr>
              <w:t xml:space="preserve">Edwards, (2008); Choi </w:t>
            </w:r>
            <w:r w:rsidRPr="00037055">
              <w:rPr>
                <w:rFonts w:ascii="Arial" w:hAnsi="Arial" w:cs="Arial"/>
                <w:i/>
                <w:sz w:val="20"/>
                <w:szCs w:val="20"/>
              </w:rPr>
              <w:t>et al</w:t>
            </w:r>
            <w:r w:rsidRPr="00037055">
              <w:rPr>
                <w:rFonts w:ascii="Arial" w:hAnsi="Arial" w:cs="Arial"/>
                <w:sz w:val="20"/>
                <w:szCs w:val="20"/>
              </w:rPr>
              <w:t>., (2005);</w:t>
            </w:r>
            <w:r w:rsidRPr="00341293">
              <w:rPr>
                <w:rFonts w:ascii="Arial" w:hAnsi="Arial" w:cs="Arial"/>
                <w:sz w:val="20"/>
                <w:szCs w:val="20"/>
                <w:highlight w:val="yellow"/>
              </w:rPr>
              <w:t xml:space="preserve"> </w:t>
            </w:r>
            <w:r w:rsidRPr="00037055">
              <w:rPr>
                <w:rFonts w:ascii="Arial" w:hAnsi="Arial" w:cs="Arial"/>
                <w:sz w:val="20"/>
                <w:szCs w:val="20"/>
              </w:rPr>
              <w:t xml:space="preserve">Zhang </w:t>
            </w:r>
            <w:r w:rsidRPr="00037055">
              <w:rPr>
                <w:rFonts w:ascii="Arial" w:hAnsi="Arial" w:cs="Arial"/>
                <w:i/>
                <w:sz w:val="20"/>
                <w:szCs w:val="20"/>
              </w:rPr>
              <w:t>et al</w:t>
            </w:r>
            <w:r w:rsidRPr="00037055">
              <w:rPr>
                <w:rFonts w:ascii="Arial" w:hAnsi="Arial" w:cs="Arial"/>
                <w:sz w:val="20"/>
                <w:szCs w:val="20"/>
              </w:rPr>
              <w:t xml:space="preserve">., (2012); Lang </w:t>
            </w:r>
            <w:r w:rsidRPr="00037055">
              <w:rPr>
                <w:rFonts w:ascii="Arial" w:hAnsi="Arial" w:cs="Arial"/>
                <w:i/>
                <w:sz w:val="20"/>
                <w:szCs w:val="20"/>
              </w:rPr>
              <w:t>et al</w:t>
            </w:r>
            <w:r w:rsidRPr="00037055">
              <w:rPr>
                <w:rFonts w:ascii="Arial" w:hAnsi="Arial" w:cs="Arial"/>
                <w:sz w:val="20"/>
                <w:szCs w:val="20"/>
              </w:rPr>
              <w:t xml:space="preserve">., (2019); Tang </w:t>
            </w:r>
            <w:r w:rsidRPr="00037055">
              <w:rPr>
                <w:rFonts w:ascii="Arial" w:hAnsi="Arial" w:cs="Arial"/>
                <w:i/>
                <w:sz w:val="20"/>
                <w:szCs w:val="20"/>
              </w:rPr>
              <w:t>et al</w:t>
            </w:r>
            <w:r w:rsidRPr="00037055">
              <w:rPr>
                <w:rFonts w:ascii="Arial" w:hAnsi="Arial" w:cs="Arial"/>
                <w:sz w:val="20"/>
                <w:szCs w:val="20"/>
              </w:rPr>
              <w:t>., (2021)</w:t>
            </w:r>
          </w:p>
        </w:tc>
      </w:tr>
      <w:tr w:rsidR="000D77C7" w:rsidRPr="000D77C7" w14:paraId="0D4965DF" w14:textId="77777777" w:rsidTr="00341293">
        <w:tc>
          <w:tcPr>
            <w:tcW w:w="0" w:type="auto"/>
            <w:hideMark/>
          </w:tcPr>
          <w:p w14:paraId="537ED588" w14:textId="77777777" w:rsidR="000D77C7" w:rsidRPr="000D77C7" w:rsidRDefault="000D77C7" w:rsidP="003D6394">
            <w:pPr>
              <w:spacing w:after="240"/>
              <w:rPr>
                <w:rFonts w:ascii="Arial" w:eastAsia="Times New Roman" w:hAnsi="Arial" w:cs="Arial"/>
                <w:sz w:val="20"/>
                <w:szCs w:val="20"/>
              </w:rPr>
            </w:pPr>
            <w:r w:rsidRPr="000D77C7">
              <w:rPr>
                <w:rFonts w:ascii="Arial" w:eastAsia="Times New Roman" w:hAnsi="Arial" w:cs="Arial"/>
                <w:b/>
                <w:bCs/>
                <w:sz w:val="20"/>
                <w:szCs w:val="20"/>
              </w:rPr>
              <w:t>Phenylketonuria (PKU) due to Tetrahydrobiopterin (BH</w:t>
            </w:r>
            <w:r w:rsidRPr="000D77C7">
              <w:rPr>
                <w:rFonts w:ascii="Cambria Math" w:eastAsia="Times New Roman" w:hAnsi="Cambria Math" w:cs="Cambria Math"/>
                <w:b/>
                <w:bCs/>
                <w:sz w:val="20"/>
                <w:szCs w:val="20"/>
              </w:rPr>
              <w:t>₄</w:t>
            </w:r>
            <w:r w:rsidRPr="000D77C7">
              <w:rPr>
                <w:rFonts w:ascii="Arial" w:eastAsia="Times New Roman" w:hAnsi="Arial" w:cs="Arial"/>
                <w:b/>
                <w:bCs/>
                <w:sz w:val="20"/>
                <w:szCs w:val="20"/>
              </w:rPr>
              <w:t>) Deficiency</w:t>
            </w:r>
          </w:p>
        </w:tc>
        <w:tc>
          <w:tcPr>
            <w:tcW w:w="0" w:type="auto"/>
            <w:hideMark/>
          </w:tcPr>
          <w:p w14:paraId="43D2A4DD" w14:textId="77777777" w:rsidR="000D77C7" w:rsidRPr="000D77C7" w:rsidRDefault="000D77C7" w:rsidP="003D6394">
            <w:pPr>
              <w:spacing w:after="240"/>
              <w:rPr>
                <w:rFonts w:ascii="Arial" w:eastAsia="Times New Roman" w:hAnsi="Arial" w:cs="Arial"/>
                <w:sz w:val="20"/>
                <w:szCs w:val="20"/>
              </w:rPr>
            </w:pPr>
            <w:r w:rsidRPr="000D77C7">
              <w:rPr>
                <w:rFonts w:ascii="Arial" w:eastAsia="Times New Roman" w:hAnsi="Arial" w:cs="Arial"/>
                <w:sz w:val="20"/>
                <w:szCs w:val="20"/>
              </w:rPr>
              <w:t>PKU is a metabolic disorder in which mutations affecting tetrahydrobiopterin (BH</w:t>
            </w:r>
            <w:r w:rsidRPr="000D77C7">
              <w:rPr>
                <w:rFonts w:ascii="Cambria Math" w:eastAsia="Times New Roman" w:hAnsi="Cambria Math" w:cs="Cambria Math"/>
                <w:sz w:val="20"/>
                <w:szCs w:val="20"/>
              </w:rPr>
              <w:t>₄</w:t>
            </w:r>
            <w:r w:rsidRPr="000D77C7">
              <w:rPr>
                <w:rFonts w:ascii="Arial" w:eastAsia="Times New Roman" w:hAnsi="Arial" w:cs="Arial"/>
                <w:sz w:val="20"/>
                <w:szCs w:val="20"/>
              </w:rPr>
              <w:t>), a cofactor</w:t>
            </w:r>
            <w:r w:rsidRPr="000D77C7">
              <w:rPr>
                <w:rFonts w:ascii="Arial" w:hAnsi="Arial" w:cs="Arial"/>
                <w:sz w:val="20"/>
                <w:szCs w:val="20"/>
              </w:rPr>
              <w:t xml:space="preserve"> involved in the synthesis of melanin, </w:t>
            </w:r>
            <w:r w:rsidRPr="000D77C7">
              <w:rPr>
                <w:rFonts w:ascii="Arial" w:eastAsia="Times New Roman" w:hAnsi="Arial" w:cs="Arial"/>
                <w:sz w:val="20"/>
                <w:szCs w:val="20"/>
              </w:rPr>
              <w:t xml:space="preserve">leading </w:t>
            </w:r>
            <w:r w:rsidRPr="000D77C7">
              <w:rPr>
                <w:rFonts w:ascii="Arial" w:eastAsia="Times New Roman" w:hAnsi="Arial" w:cs="Arial"/>
                <w:sz w:val="20"/>
                <w:szCs w:val="20"/>
              </w:rPr>
              <w:lastRenderedPageBreak/>
              <w:t xml:space="preserve">to </w:t>
            </w:r>
            <w:r w:rsidRPr="000D77C7">
              <w:rPr>
                <w:rFonts w:ascii="Arial" w:hAnsi="Arial" w:cs="Arial"/>
                <w:sz w:val="20"/>
                <w:szCs w:val="20"/>
              </w:rPr>
              <w:t>decrease in the metabolism of the amino acid phenylalanine</w:t>
            </w:r>
            <w:r w:rsidRPr="000D77C7">
              <w:rPr>
                <w:rFonts w:ascii="Arial" w:eastAsia="Times New Roman" w:hAnsi="Arial" w:cs="Arial"/>
                <w:sz w:val="20"/>
                <w:szCs w:val="20"/>
              </w:rPr>
              <w:t>.</w:t>
            </w:r>
          </w:p>
        </w:tc>
        <w:tc>
          <w:tcPr>
            <w:tcW w:w="0" w:type="auto"/>
            <w:hideMark/>
          </w:tcPr>
          <w:p w14:paraId="030B7FB1" w14:textId="77777777" w:rsidR="000D77C7" w:rsidRPr="000D77C7" w:rsidRDefault="000D77C7" w:rsidP="003D6394">
            <w:pPr>
              <w:spacing w:after="240"/>
              <w:rPr>
                <w:rFonts w:ascii="Arial" w:eastAsia="Times New Roman" w:hAnsi="Arial" w:cs="Arial"/>
                <w:sz w:val="20"/>
                <w:szCs w:val="20"/>
              </w:rPr>
            </w:pPr>
            <w:r w:rsidRPr="000D77C7">
              <w:rPr>
                <w:rFonts w:ascii="Arial" w:eastAsia="Times New Roman" w:hAnsi="Arial" w:cs="Arial"/>
                <w:sz w:val="20"/>
                <w:szCs w:val="20"/>
              </w:rPr>
              <w:lastRenderedPageBreak/>
              <w:t xml:space="preserve">The albino (al) mutant of </w:t>
            </w:r>
            <w:r w:rsidRPr="000D77C7">
              <w:rPr>
                <w:rFonts w:ascii="Arial" w:eastAsia="Times New Roman" w:hAnsi="Arial" w:cs="Arial"/>
                <w:i/>
                <w:sz w:val="20"/>
                <w:szCs w:val="20"/>
              </w:rPr>
              <w:t>Bombyx mori</w:t>
            </w:r>
            <w:r w:rsidRPr="000D77C7">
              <w:rPr>
                <w:rFonts w:ascii="Arial" w:eastAsia="Times New Roman" w:hAnsi="Arial" w:cs="Arial"/>
                <w:sz w:val="20"/>
                <w:szCs w:val="20"/>
              </w:rPr>
              <w:t xml:space="preserve"> carries a mutation in the BmPTS gene, which encodes 6-</w:t>
            </w:r>
            <w:r w:rsidRPr="000D77C7">
              <w:rPr>
                <w:rFonts w:ascii="Arial" w:eastAsia="Times New Roman" w:hAnsi="Arial" w:cs="Arial"/>
                <w:sz w:val="20"/>
                <w:szCs w:val="20"/>
              </w:rPr>
              <w:lastRenderedPageBreak/>
              <w:t>pyruvoyltetrahydropterin synthase, an enzyme required for BH</w:t>
            </w:r>
            <w:r w:rsidRPr="000D77C7">
              <w:rPr>
                <w:rFonts w:ascii="Cambria Math" w:eastAsia="Times New Roman" w:hAnsi="Cambria Math" w:cs="Cambria Math"/>
                <w:sz w:val="20"/>
                <w:szCs w:val="20"/>
              </w:rPr>
              <w:t>₄</w:t>
            </w:r>
            <w:r w:rsidRPr="000D77C7">
              <w:rPr>
                <w:rFonts w:ascii="Arial" w:eastAsia="Times New Roman" w:hAnsi="Arial" w:cs="Arial"/>
                <w:sz w:val="20"/>
                <w:szCs w:val="20"/>
              </w:rPr>
              <w:t xml:space="preserve"> synthesis. This mutation disrupts melanin production, leading to an albino phenotype, and models the biochemical defect seen in human BH</w:t>
            </w:r>
            <w:r w:rsidRPr="000D77C7">
              <w:rPr>
                <w:rFonts w:ascii="Cambria Math" w:eastAsia="Times New Roman" w:hAnsi="Cambria Math" w:cs="Cambria Math"/>
                <w:sz w:val="20"/>
                <w:szCs w:val="20"/>
              </w:rPr>
              <w:t>₄</w:t>
            </w:r>
            <w:r w:rsidRPr="000D77C7">
              <w:rPr>
                <w:rFonts w:ascii="Arial" w:eastAsia="Times New Roman" w:hAnsi="Arial" w:cs="Arial"/>
                <w:sz w:val="20"/>
                <w:szCs w:val="20"/>
              </w:rPr>
              <w:t>-deficient PKU.</w:t>
            </w:r>
          </w:p>
        </w:tc>
        <w:tc>
          <w:tcPr>
            <w:tcW w:w="0" w:type="auto"/>
            <w:hideMark/>
          </w:tcPr>
          <w:p w14:paraId="6B2E4EC3" w14:textId="77777777" w:rsidR="000D77C7" w:rsidRPr="000D77C7" w:rsidRDefault="000D77C7" w:rsidP="003D6394">
            <w:pPr>
              <w:spacing w:after="240"/>
              <w:rPr>
                <w:rFonts w:ascii="Arial" w:eastAsia="Times New Roman" w:hAnsi="Arial" w:cs="Arial"/>
                <w:sz w:val="20"/>
                <w:szCs w:val="20"/>
              </w:rPr>
            </w:pPr>
            <w:r w:rsidRPr="000D77C7">
              <w:rPr>
                <w:rFonts w:ascii="Arial" w:eastAsia="Times New Roman" w:hAnsi="Arial" w:cs="Arial"/>
                <w:sz w:val="20"/>
                <w:szCs w:val="20"/>
              </w:rPr>
              <w:lastRenderedPageBreak/>
              <w:t xml:space="preserve">Pigmentation defects, and death after first moult. Molecular </w:t>
            </w:r>
            <w:r w:rsidRPr="000D77C7">
              <w:rPr>
                <w:rFonts w:ascii="Arial" w:eastAsia="Times New Roman" w:hAnsi="Arial" w:cs="Arial"/>
                <w:sz w:val="20"/>
                <w:szCs w:val="20"/>
              </w:rPr>
              <w:lastRenderedPageBreak/>
              <w:t>studies can confirm the disruption in the BH</w:t>
            </w:r>
            <w:r w:rsidRPr="000D77C7">
              <w:rPr>
                <w:rFonts w:ascii="Cambria Math" w:eastAsia="Times New Roman" w:hAnsi="Cambria Math" w:cs="Cambria Math"/>
                <w:sz w:val="20"/>
                <w:szCs w:val="20"/>
              </w:rPr>
              <w:t>₄</w:t>
            </w:r>
            <w:r w:rsidRPr="000D77C7">
              <w:rPr>
                <w:rFonts w:ascii="Arial" w:eastAsia="Times New Roman" w:hAnsi="Arial" w:cs="Arial"/>
                <w:sz w:val="20"/>
                <w:szCs w:val="20"/>
              </w:rPr>
              <w:t xml:space="preserve"> synthesis pathway.</w:t>
            </w:r>
          </w:p>
        </w:tc>
        <w:tc>
          <w:tcPr>
            <w:tcW w:w="0" w:type="auto"/>
            <w:hideMark/>
          </w:tcPr>
          <w:p w14:paraId="6A908826" w14:textId="77777777" w:rsidR="000D77C7" w:rsidRPr="000D77C7" w:rsidRDefault="000D77C7" w:rsidP="003D6394">
            <w:pPr>
              <w:spacing w:after="240"/>
              <w:rPr>
                <w:rFonts w:ascii="Arial" w:eastAsia="Times New Roman" w:hAnsi="Arial" w:cs="Arial"/>
                <w:sz w:val="20"/>
                <w:szCs w:val="20"/>
              </w:rPr>
            </w:pPr>
            <w:r w:rsidRPr="000D77C7">
              <w:rPr>
                <w:rFonts w:ascii="Arial" w:eastAsia="Times New Roman" w:hAnsi="Arial" w:cs="Arial"/>
                <w:sz w:val="20"/>
                <w:szCs w:val="20"/>
              </w:rPr>
              <w:lastRenderedPageBreak/>
              <w:t>This natural mutant allows in vivo study of BH</w:t>
            </w:r>
            <w:r w:rsidRPr="000D77C7">
              <w:rPr>
                <w:rFonts w:ascii="Cambria Math" w:eastAsia="Times New Roman" w:hAnsi="Cambria Math" w:cs="Cambria Math"/>
                <w:sz w:val="20"/>
                <w:szCs w:val="20"/>
              </w:rPr>
              <w:t>₄</w:t>
            </w:r>
            <w:r w:rsidRPr="000D77C7">
              <w:rPr>
                <w:rFonts w:ascii="Arial" w:eastAsia="Times New Roman" w:hAnsi="Arial" w:cs="Arial"/>
                <w:sz w:val="20"/>
                <w:szCs w:val="20"/>
              </w:rPr>
              <w:t xml:space="preserve"> biosynthesis </w:t>
            </w:r>
            <w:r w:rsidRPr="000D77C7">
              <w:rPr>
                <w:rFonts w:ascii="Arial" w:eastAsia="Times New Roman" w:hAnsi="Arial" w:cs="Arial"/>
                <w:sz w:val="20"/>
                <w:szCs w:val="20"/>
              </w:rPr>
              <w:lastRenderedPageBreak/>
              <w:t>and its downstream effects, offering a platform for biochemical and genetic analyses. However, because insect nervous systems differ from humans, the neurological aspects of PKU cannot be directly replicated.</w:t>
            </w:r>
          </w:p>
        </w:tc>
        <w:tc>
          <w:tcPr>
            <w:tcW w:w="0" w:type="auto"/>
          </w:tcPr>
          <w:p w14:paraId="45C40D92" w14:textId="77777777" w:rsidR="000D77C7" w:rsidRPr="000D77C7" w:rsidRDefault="000D77C7" w:rsidP="003D6394">
            <w:pPr>
              <w:spacing w:after="240"/>
              <w:rPr>
                <w:rFonts w:ascii="Arial" w:eastAsia="Times New Roman" w:hAnsi="Arial" w:cs="Arial"/>
                <w:sz w:val="20"/>
                <w:szCs w:val="20"/>
              </w:rPr>
            </w:pPr>
            <w:r w:rsidRPr="00037055">
              <w:rPr>
                <w:rFonts w:ascii="Arial" w:hAnsi="Arial" w:cs="Arial"/>
                <w:sz w:val="20"/>
                <w:szCs w:val="20"/>
              </w:rPr>
              <w:lastRenderedPageBreak/>
              <w:t xml:space="preserve">Al Hafid &amp; Christodoulou, </w:t>
            </w:r>
            <w:r w:rsidRPr="00B56512">
              <w:rPr>
                <w:rFonts w:ascii="Arial" w:hAnsi="Arial" w:cs="Arial"/>
                <w:sz w:val="20"/>
                <w:szCs w:val="20"/>
              </w:rPr>
              <w:t xml:space="preserve">(2015); </w:t>
            </w:r>
            <w:r w:rsidR="00B56512" w:rsidRPr="00B56512">
              <w:rPr>
                <w:rFonts w:ascii="Arial" w:hAnsi="Arial" w:cs="Arial"/>
                <w:sz w:val="20"/>
                <w:szCs w:val="20"/>
              </w:rPr>
              <w:t xml:space="preserve">Blau </w:t>
            </w:r>
            <w:r w:rsidR="00B56512" w:rsidRPr="00B56512">
              <w:rPr>
                <w:rFonts w:ascii="Arial" w:hAnsi="Arial" w:cs="Arial"/>
                <w:i/>
                <w:sz w:val="20"/>
                <w:szCs w:val="20"/>
              </w:rPr>
              <w:t>et al.</w:t>
            </w:r>
            <w:r w:rsidRPr="00B56512">
              <w:rPr>
                <w:rFonts w:ascii="Arial" w:hAnsi="Arial" w:cs="Arial"/>
                <w:i/>
                <w:sz w:val="20"/>
                <w:szCs w:val="20"/>
              </w:rPr>
              <w:t>,</w:t>
            </w:r>
            <w:r w:rsidRPr="00B56512">
              <w:rPr>
                <w:rFonts w:ascii="Arial" w:hAnsi="Arial" w:cs="Arial"/>
                <w:sz w:val="20"/>
                <w:szCs w:val="20"/>
              </w:rPr>
              <w:t xml:space="preserve"> (2001); </w:t>
            </w:r>
            <w:r w:rsidRPr="00B56512">
              <w:rPr>
                <w:rFonts w:ascii="Arial" w:hAnsi="Arial" w:cs="Arial"/>
                <w:sz w:val="20"/>
                <w:szCs w:val="20"/>
              </w:rPr>
              <w:lastRenderedPageBreak/>
              <w:t xml:space="preserve">Bonafe </w:t>
            </w:r>
            <w:r w:rsidRPr="00B56512">
              <w:rPr>
                <w:rFonts w:ascii="Arial" w:hAnsi="Arial" w:cs="Arial"/>
                <w:i/>
                <w:sz w:val="20"/>
                <w:szCs w:val="20"/>
              </w:rPr>
              <w:t>et al</w:t>
            </w:r>
            <w:r w:rsidRPr="00B56512">
              <w:rPr>
                <w:rFonts w:ascii="Arial" w:hAnsi="Arial" w:cs="Arial"/>
                <w:sz w:val="20"/>
                <w:szCs w:val="20"/>
              </w:rPr>
              <w:t>., (2001)</w:t>
            </w:r>
          </w:p>
        </w:tc>
      </w:tr>
      <w:tr w:rsidR="000D77C7" w:rsidRPr="00F35CD1" w14:paraId="40C5CD3E" w14:textId="77777777" w:rsidTr="00341293">
        <w:tc>
          <w:tcPr>
            <w:tcW w:w="0" w:type="auto"/>
            <w:hideMark/>
          </w:tcPr>
          <w:p w14:paraId="53D5C898" w14:textId="77777777" w:rsidR="000D77C7" w:rsidRPr="000D77C7" w:rsidRDefault="000D77C7" w:rsidP="003D6394">
            <w:pPr>
              <w:spacing w:after="240"/>
              <w:rPr>
                <w:rFonts w:ascii="Arial" w:eastAsia="Times New Roman" w:hAnsi="Arial" w:cs="Arial"/>
                <w:sz w:val="20"/>
                <w:szCs w:val="20"/>
              </w:rPr>
            </w:pPr>
            <w:r w:rsidRPr="000D77C7">
              <w:rPr>
                <w:rFonts w:ascii="Arial" w:eastAsia="Times New Roman" w:hAnsi="Arial" w:cs="Arial"/>
                <w:b/>
                <w:bCs/>
                <w:sz w:val="20"/>
                <w:szCs w:val="20"/>
              </w:rPr>
              <w:lastRenderedPageBreak/>
              <w:t>Sepiapterin Reductase Deficiency (SRD) / Dopa-Responsive Dystonia</w:t>
            </w:r>
          </w:p>
        </w:tc>
        <w:tc>
          <w:tcPr>
            <w:tcW w:w="0" w:type="auto"/>
            <w:hideMark/>
          </w:tcPr>
          <w:p w14:paraId="4B7D4BFB" w14:textId="77777777" w:rsidR="000D77C7" w:rsidRPr="000D77C7" w:rsidRDefault="000D77C7" w:rsidP="003D6394">
            <w:pPr>
              <w:spacing w:after="240"/>
              <w:rPr>
                <w:rFonts w:ascii="Arial" w:eastAsia="Times New Roman" w:hAnsi="Arial" w:cs="Arial"/>
                <w:sz w:val="20"/>
                <w:szCs w:val="20"/>
              </w:rPr>
            </w:pPr>
            <w:r w:rsidRPr="000D77C7">
              <w:rPr>
                <w:rFonts w:ascii="Arial" w:eastAsia="Times New Roman" w:hAnsi="Arial" w:cs="Arial"/>
                <w:sz w:val="20"/>
                <w:szCs w:val="20"/>
              </w:rPr>
              <w:t>SRD is an autosomal recessive disorder caused by deficiency of sepiapterin reductase, which is required for BH</w:t>
            </w:r>
            <w:r w:rsidRPr="000D77C7">
              <w:rPr>
                <w:rFonts w:ascii="Cambria Math" w:eastAsia="Times New Roman" w:hAnsi="Cambria Math" w:cs="Cambria Math"/>
                <w:sz w:val="20"/>
                <w:szCs w:val="20"/>
              </w:rPr>
              <w:t>₄</w:t>
            </w:r>
            <w:r w:rsidRPr="000D77C7">
              <w:rPr>
                <w:rFonts w:ascii="Arial" w:eastAsia="Times New Roman" w:hAnsi="Arial" w:cs="Arial"/>
                <w:sz w:val="20"/>
                <w:szCs w:val="20"/>
              </w:rPr>
              <w:t xml:space="preserve"> biosynthesis. The resulting BH</w:t>
            </w:r>
            <w:r w:rsidRPr="000D77C7">
              <w:rPr>
                <w:rFonts w:ascii="Cambria Math" w:eastAsia="Times New Roman" w:hAnsi="Cambria Math" w:cs="Cambria Math"/>
                <w:sz w:val="20"/>
                <w:szCs w:val="20"/>
              </w:rPr>
              <w:t>₄</w:t>
            </w:r>
            <w:r w:rsidRPr="000D77C7">
              <w:rPr>
                <w:rFonts w:ascii="Arial" w:eastAsia="Times New Roman" w:hAnsi="Arial" w:cs="Arial"/>
                <w:sz w:val="20"/>
                <w:szCs w:val="20"/>
              </w:rPr>
              <w:t xml:space="preserve"> shortage impairs dopamine and serotonin synthesis, leading to motor dysfunction and dystonia in humans.</w:t>
            </w:r>
          </w:p>
        </w:tc>
        <w:tc>
          <w:tcPr>
            <w:tcW w:w="0" w:type="auto"/>
            <w:hideMark/>
          </w:tcPr>
          <w:p w14:paraId="20D8B114" w14:textId="77777777" w:rsidR="000D77C7" w:rsidRPr="000D77C7" w:rsidRDefault="000D77C7" w:rsidP="003D6394">
            <w:pPr>
              <w:spacing w:after="240"/>
              <w:rPr>
                <w:rFonts w:ascii="Arial" w:eastAsia="Times New Roman" w:hAnsi="Arial" w:cs="Arial"/>
                <w:sz w:val="20"/>
                <w:szCs w:val="20"/>
              </w:rPr>
            </w:pPr>
            <w:r w:rsidRPr="000D77C7">
              <w:rPr>
                <w:rFonts w:ascii="Arial" w:eastAsia="Times New Roman" w:hAnsi="Arial" w:cs="Arial"/>
                <w:sz w:val="20"/>
                <w:szCs w:val="20"/>
              </w:rPr>
              <w:t xml:space="preserve">The lemon (lem) mutant of </w:t>
            </w:r>
            <w:r w:rsidRPr="000D77C7">
              <w:rPr>
                <w:rFonts w:ascii="Arial" w:eastAsia="Times New Roman" w:hAnsi="Arial" w:cs="Arial"/>
                <w:i/>
                <w:sz w:val="20"/>
                <w:szCs w:val="20"/>
              </w:rPr>
              <w:t>Bombyx mori</w:t>
            </w:r>
            <w:r w:rsidRPr="000D77C7">
              <w:rPr>
                <w:rFonts w:ascii="Arial" w:eastAsia="Times New Roman" w:hAnsi="Arial" w:cs="Arial"/>
                <w:sz w:val="20"/>
                <w:szCs w:val="20"/>
              </w:rPr>
              <w:t xml:space="preserve"> has a mutation in the </w:t>
            </w:r>
            <w:r w:rsidRPr="00341293">
              <w:rPr>
                <w:rFonts w:ascii="Arial" w:eastAsia="Times New Roman" w:hAnsi="Arial" w:cs="Arial"/>
                <w:i/>
                <w:sz w:val="20"/>
                <w:szCs w:val="20"/>
              </w:rPr>
              <w:t>BmSPR</w:t>
            </w:r>
            <w:r w:rsidRPr="000D77C7">
              <w:rPr>
                <w:rFonts w:ascii="Arial" w:eastAsia="Times New Roman" w:hAnsi="Arial" w:cs="Arial"/>
                <w:sz w:val="20"/>
                <w:szCs w:val="20"/>
              </w:rPr>
              <w:t xml:space="preserve"> gene encoding sepiapterin reductase. This mutation disrupts BH</w:t>
            </w:r>
            <w:r w:rsidRPr="000D77C7">
              <w:rPr>
                <w:rFonts w:ascii="Cambria Math" w:eastAsia="Times New Roman" w:hAnsi="Cambria Math" w:cs="Cambria Math"/>
                <w:sz w:val="20"/>
                <w:szCs w:val="20"/>
              </w:rPr>
              <w:t>₄</w:t>
            </w:r>
            <w:r w:rsidRPr="000D77C7">
              <w:rPr>
                <w:rFonts w:ascii="Arial" w:eastAsia="Times New Roman" w:hAnsi="Arial" w:cs="Arial"/>
                <w:sz w:val="20"/>
                <w:szCs w:val="20"/>
              </w:rPr>
              <w:t xml:space="preserve"> biosynthesis, alters melanin metabolism, and causes accumulation of yellow xanthine pigments in dermal cells.</w:t>
            </w:r>
          </w:p>
        </w:tc>
        <w:tc>
          <w:tcPr>
            <w:tcW w:w="0" w:type="auto"/>
            <w:hideMark/>
          </w:tcPr>
          <w:p w14:paraId="340E1E63" w14:textId="77777777" w:rsidR="000D77C7" w:rsidRPr="000D77C7" w:rsidRDefault="000D77C7" w:rsidP="003D6394">
            <w:pPr>
              <w:spacing w:after="240"/>
              <w:rPr>
                <w:rFonts w:ascii="Arial" w:eastAsia="Times New Roman" w:hAnsi="Arial" w:cs="Arial"/>
                <w:sz w:val="20"/>
                <w:szCs w:val="20"/>
              </w:rPr>
            </w:pPr>
            <w:r w:rsidRPr="000D77C7">
              <w:rPr>
                <w:rFonts w:ascii="Arial" w:eastAsia="Times New Roman" w:hAnsi="Arial" w:cs="Arial"/>
                <w:sz w:val="20"/>
                <w:szCs w:val="20"/>
              </w:rPr>
              <w:t>Experimental analyses include assessment of body colour changes, biochemical measurement of BH</w:t>
            </w:r>
            <w:r w:rsidRPr="000D77C7">
              <w:rPr>
                <w:rFonts w:ascii="Cambria Math" w:eastAsia="Times New Roman" w:hAnsi="Cambria Math" w:cs="Cambria Math"/>
                <w:sz w:val="20"/>
                <w:szCs w:val="20"/>
              </w:rPr>
              <w:t>₄</w:t>
            </w:r>
            <w:r w:rsidRPr="000D77C7">
              <w:rPr>
                <w:rFonts w:ascii="Arial" w:eastAsia="Times New Roman" w:hAnsi="Arial" w:cs="Arial"/>
                <w:sz w:val="20"/>
                <w:szCs w:val="20"/>
              </w:rPr>
              <w:t xml:space="preserve"> and pathway intermediates, and molecular characterization of the BmSPR gene.</w:t>
            </w:r>
          </w:p>
        </w:tc>
        <w:tc>
          <w:tcPr>
            <w:tcW w:w="0" w:type="auto"/>
            <w:hideMark/>
          </w:tcPr>
          <w:p w14:paraId="1CB098CE" w14:textId="77777777" w:rsidR="000D77C7" w:rsidRPr="000D77C7" w:rsidRDefault="000D77C7" w:rsidP="003D6394">
            <w:pPr>
              <w:spacing w:after="240"/>
              <w:rPr>
                <w:rFonts w:ascii="Arial" w:eastAsia="Times New Roman" w:hAnsi="Arial" w:cs="Arial"/>
                <w:sz w:val="20"/>
                <w:szCs w:val="20"/>
              </w:rPr>
            </w:pPr>
            <w:r w:rsidRPr="000D77C7">
              <w:rPr>
                <w:rFonts w:ascii="Arial" w:eastAsia="Times New Roman" w:hAnsi="Arial" w:cs="Arial"/>
                <w:sz w:val="20"/>
                <w:szCs w:val="20"/>
              </w:rPr>
              <w:t>This mutant is a unique insect model that recapitulates the biochemical defects of SRD, making it useful for studying BH</w:t>
            </w:r>
            <w:r w:rsidRPr="000D77C7">
              <w:rPr>
                <w:rFonts w:ascii="Cambria Math" w:eastAsia="Times New Roman" w:hAnsi="Cambria Math" w:cs="Cambria Math"/>
                <w:sz w:val="20"/>
                <w:szCs w:val="20"/>
              </w:rPr>
              <w:t>₄</w:t>
            </w:r>
            <w:r w:rsidRPr="000D77C7">
              <w:rPr>
                <w:rFonts w:ascii="Arial" w:eastAsia="Times New Roman" w:hAnsi="Arial" w:cs="Arial"/>
                <w:sz w:val="20"/>
                <w:szCs w:val="20"/>
              </w:rPr>
              <w:t xml:space="preserve">-related metabolic pathways. Nevertheless, behavioural manifestations of human dystonia cannot be fully </w:t>
            </w:r>
            <w:r w:rsidRPr="000D77C7">
              <w:rPr>
                <w:rFonts w:ascii="Arial" w:eastAsia="Times New Roman" w:hAnsi="Arial" w:cs="Arial"/>
                <w:sz w:val="20"/>
                <w:szCs w:val="20"/>
              </w:rPr>
              <w:lastRenderedPageBreak/>
              <w:t>modelled due to differences in insect neurobiology.</w:t>
            </w:r>
          </w:p>
        </w:tc>
        <w:tc>
          <w:tcPr>
            <w:tcW w:w="0" w:type="auto"/>
          </w:tcPr>
          <w:p w14:paraId="3DE2CC56" w14:textId="77777777" w:rsidR="000D77C7" w:rsidRPr="00F35CD1" w:rsidRDefault="000D77C7" w:rsidP="003D6394">
            <w:pPr>
              <w:spacing w:after="240"/>
              <w:rPr>
                <w:rFonts w:ascii="Arial" w:eastAsia="Times New Roman" w:hAnsi="Arial" w:cs="Arial"/>
                <w:sz w:val="20"/>
                <w:szCs w:val="20"/>
              </w:rPr>
            </w:pPr>
            <w:r w:rsidRPr="00F35CD1">
              <w:rPr>
                <w:rFonts w:ascii="Arial" w:hAnsi="Arial" w:cs="Arial"/>
                <w:sz w:val="20"/>
                <w:szCs w:val="20"/>
              </w:rPr>
              <w:lastRenderedPageBreak/>
              <w:t xml:space="preserve">Arrabal </w:t>
            </w:r>
            <w:r w:rsidRPr="00F35CD1">
              <w:rPr>
                <w:rFonts w:ascii="Arial" w:hAnsi="Arial" w:cs="Arial"/>
                <w:i/>
                <w:sz w:val="20"/>
                <w:szCs w:val="20"/>
              </w:rPr>
              <w:t>et al</w:t>
            </w:r>
            <w:r w:rsidRPr="00F35CD1">
              <w:rPr>
                <w:rFonts w:ascii="Arial" w:hAnsi="Arial" w:cs="Arial"/>
                <w:sz w:val="20"/>
                <w:szCs w:val="20"/>
              </w:rPr>
              <w:t xml:space="preserve">., (2011); Nevill </w:t>
            </w:r>
            <w:r w:rsidRPr="00F35CD1">
              <w:rPr>
                <w:rFonts w:ascii="Arial" w:hAnsi="Arial" w:cs="Arial"/>
                <w:i/>
                <w:sz w:val="20"/>
                <w:szCs w:val="20"/>
              </w:rPr>
              <w:t>et al.,</w:t>
            </w:r>
            <w:r w:rsidRPr="00F35CD1">
              <w:rPr>
                <w:rFonts w:ascii="Arial" w:hAnsi="Arial" w:cs="Arial"/>
                <w:sz w:val="20"/>
                <w:szCs w:val="20"/>
              </w:rPr>
              <w:t xml:space="preserve"> (2005)</w:t>
            </w:r>
          </w:p>
        </w:tc>
      </w:tr>
      <w:tr w:rsidR="000D77C7" w:rsidRPr="000D77C7" w14:paraId="529C94A5" w14:textId="77777777" w:rsidTr="00341293">
        <w:tc>
          <w:tcPr>
            <w:tcW w:w="0" w:type="auto"/>
            <w:tcBorders>
              <w:bottom w:val="single" w:sz="4" w:space="0" w:color="auto"/>
            </w:tcBorders>
            <w:hideMark/>
          </w:tcPr>
          <w:p w14:paraId="7F5FA0BB" w14:textId="77777777" w:rsidR="000D77C7" w:rsidRPr="000D77C7" w:rsidRDefault="000D77C7" w:rsidP="003D6394">
            <w:pPr>
              <w:spacing w:after="240"/>
              <w:rPr>
                <w:rFonts w:ascii="Arial" w:eastAsia="Times New Roman" w:hAnsi="Arial" w:cs="Arial"/>
                <w:sz w:val="20"/>
                <w:szCs w:val="20"/>
              </w:rPr>
            </w:pPr>
            <w:r w:rsidRPr="000D77C7">
              <w:rPr>
                <w:rFonts w:ascii="Arial" w:eastAsia="Times New Roman" w:hAnsi="Arial" w:cs="Arial"/>
                <w:b/>
                <w:bCs/>
                <w:sz w:val="20"/>
                <w:szCs w:val="20"/>
              </w:rPr>
              <w:t>Nephrolithiasis (Kidney Stone Formation)</w:t>
            </w:r>
          </w:p>
        </w:tc>
        <w:tc>
          <w:tcPr>
            <w:tcW w:w="0" w:type="auto"/>
            <w:tcBorders>
              <w:bottom w:val="single" w:sz="4" w:space="0" w:color="auto"/>
            </w:tcBorders>
            <w:hideMark/>
          </w:tcPr>
          <w:p w14:paraId="12A624A4" w14:textId="77777777" w:rsidR="000D77C7" w:rsidRPr="000D77C7" w:rsidRDefault="000D77C7" w:rsidP="003D6394">
            <w:pPr>
              <w:spacing w:after="240"/>
              <w:rPr>
                <w:rFonts w:ascii="Arial" w:eastAsia="Times New Roman" w:hAnsi="Arial" w:cs="Arial"/>
                <w:sz w:val="20"/>
                <w:szCs w:val="20"/>
              </w:rPr>
            </w:pPr>
            <w:r w:rsidRPr="000D77C7">
              <w:rPr>
                <w:rFonts w:ascii="Arial" w:eastAsia="Times New Roman" w:hAnsi="Arial" w:cs="Arial"/>
                <w:sz w:val="20"/>
                <w:szCs w:val="20"/>
              </w:rPr>
              <w:t>Kidney stones, most often composed of calcium oxalate, form in the urinary tract when urine becomes supersaturated with stone-forming salts. Metabolic syndrome and diabetes can increase risk.</w:t>
            </w:r>
          </w:p>
        </w:tc>
        <w:tc>
          <w:tcPr>
            <w:tcW w:w="0" w:type="auto"/>
            <w:tcBorders>
              <w:bottom w:val="single" w:sz="4" w:space="0" w:color="auto"/>
            </w:tcBorders>
            <w:hideMark/>
          </w:tcPr>
          <w:p w14:paraId="0AD8610D" w14:textId="77777777" w:rsidR="000D77C7" w:rsidRPr="000D77C7" w:rsidRDefault="000D77C7" w:rsidP="003D6394">
            <w:pPr>
              <w:spacing w:after="240"/>
              <w:rPr>
                <w:rFonts w:ascii="Arial" w:eastAsia="Times New Roman" w:hAnsi="Arial" w:cs="Arial"/>
                <w:sz w:val="20"/>
                <w:szCs w:val="20"/>
              </w:rPr>
            </w:pPr>
            <w:r w:rsidRPr="000D77C7">
              <w:rPr>
                <w:rFonts w:ascii="Arial" w:eastAsia="Times New Roman" w:hAnsi="Arial" w:cs="Arial"/>
                <w:sz w:val="20"/>
                <w:szCs w:val="20"/>
              </w:rPr>
              <w:t xml:space="preserve">In </w:t>
            </w:r>
            <w:r w:rsidRPr="000D77C7">
              <w:rPr>
                <w:rFonts w:ascii="Arial" w:eastAsia="Times New Roman" w:hAnsi="Arial" w:cs="Arial"/>
                <w:i/>
                <w:sz w:val="20"/>
                <w:szCs w:val="20"/>
              </w:rPr>
              <w:t>Bombyx mori</w:t>
            </w:r>
            <w:r w:rsidRPr="000D77C7">
              <w:rPr>
                <w:rFonts w:ascii="Arial" w:eastAsia="Times New Roman" w:hAnsi="Arial" w:cs="Arial"/>
                <w:sz w:val="20"/>
                <w:szCs w:val="20"/>
              </w:rPr>
              <w:t>, the Malpighian tubules naturally accumulate large numbers of calcium oxalate crystals during larval development without causing harm to the insect. This provides a physiological context for studying factors influencing crystal formation.</w:t>
            </w:r>
          </w:p>
        </w:tc>
        <w:tc>
          <w:tcPr>
            <w:tcW w:w="0" w:type="auto"/>
            <w:tcBorders>
              <w:bottom w:val="single" w:sz="4" w:space="0" w:color="auto"/>
            </w:tcBorders>
            <w:hideMark/>
          </w:tcPr>
          <w:p w14:paraId="2A0FEF6A" w14:textId="77777777" w:rsidR="000D77C7" w:rsidRPr="000D77C7" w:rsidRDefault="000D77C7" w:rsidP="003D6394">
            <w:pPr>
              <w:spacing w:after="240"/>
              <w:rPr>
                <w:rFonts w:ascii="Arial" w:eastAsia="Times New Roman" w:hAnsi="Arial" w:cs="Arial"/>
                <w:sz w:val="20"/>
                <w:szCs w:val="20"/>
              </w:rPr>
            </w:pPr>
            <w:r w:rsidRPr="000D77C7">
              <w:rPr>
                <w:rFonts w:ascii="Arial" w:eastAsia="Times New Roman" w:hAnsi="Arial" w:cs="Arial"/>
                <w:sz w:val="20"/>
                <w:szCs w:val="20"/>
              </w:rPr>
              <w:t>Microscopic examination of the Malpighian tubules allows observation of crystal number and morphology. Exudates from the tubules can be analysed using GC–MS and proteomic approaches to identify factors that promote or inhibit crystallisation.</w:t>
            </w:r>
          </w:p>
        </w:tc>
        <w:tc>
          <w:tcPr>
            <w:tcW w:w="0" w:type="auto"/>
            <w:tcBorders>
              <w:bottom w:val="single" w:sz="4" w:space="0" w:color="auto"/>
            </w:tcBorders>
            <w:hideMark/>
          </w:tcPr>
          <w:p w14:paraId="4060781F" w14:textId="77777777" w:rsidR="000D77C7" w:rsidRPr="000D77C7" w:rsidRDefault="000D77C7" w:rsidP="003D6394">
            <w:pPr>
              <w:spacing w:after="240"/>
              <w:rPr>
                <w:rFonts w:ascii="Arial" w:eastAsia="Times New Roman" w:hAnsi="Arial" w:cs="Arial"/>
                <w:sz w:val="20"/>
                <w:szCs w:val="20"/>
              </w:rPr>
            </w:pPr>
            <w:r w:rsidRPr="000D77C7">
              <w:rPr>
                <w:rFonts w:ascii="Arial" w:eastAsia="Times New Roman" w:hAnsi="Arial" w:cs="Arial"/>
                <w:sz w:val="20"/>
                <w:szCs w:val="20"/>
              </w:rPr>
              <w:t>The silkworm offers a naturally high crystal load, allowing reproducible studies of crystal formation and dissolution. However, the insect excretory system lacks a glomerular filtration mechanism, and therefore cannot fully reproduce the pathophysiology of human nephrolithiasis.</w:t>
            </w:r>
          </w:p>
        </w:tc>
        <w:tc>
          <w:tcPr>
            <w:tcW w:w="0" w:type="auto"/>
            <w:tcBorders>
              <w:bottom w:val="single" w:sz="4" w:space="0" w:color="auto"/>
            </w:tcBorders>
          </w:tcPr>
          <w:p w14:paraId="4FED0318" w14:textId="77777777" w:rsidR="000D77C7" w:rsidRPr="000D77C7" w:rsidRDefault="000D77C7" w:rsidP="003D6394">
            <w:pPr>
              <w:spacing w:after="240"/>
              <w:rPr>
                <w:rFonts w:ascii="Arial" w:eastAsia="Times New Roman" w:hAnsi="Arial" w:cs="Arial"/>
                <w:sz w:val="20"/>
                <w:szCs w:val="20"/>
              </w:rPr>
            </w:pPr>
            <w:r w:rsidRPr="00F35CD1">
              <w:rPr>
                <w:rFonts w:ascii="Arial" w:hAnsi="Arial" w:cs="Arial"/>
                <w:sz w:val="20"/>
                <w:szCs w:val="20"/>
              </w:rPr>
              <w:t xml:space="preserve">Khan </w:t>
            </w:r>
            <w:r w:rsidRPr="00F35CD1">
              <w:rPr>
                <w:rFonts w:ascii="Arial" w:hAnsi="Arial" w:cs="Arial"/>
                <w:i/>
                <w:sz w:val="20"/>
                <w:szCs w:val="20"/>
              </w:rPr>
              <w:t>et al</w:t>
            </w:r>
            <w:r w:rsidRPr="00F35CD1">
              <w:rPr>
                <w:rFonts w:ascii="Arial" w:hAnsi="Arial" w:cs="Arial"/>
                <w:sz w:val="20"/>
                <w:szCs w:val="20"/>
              </w:rPr>
              <w:t xml:space="preserve">., (2016); Wong </w:t>
            </w:r>
            <w:r w:rsidRPr="00F35CD1">
              <w:rPr>
                <w:rFonts w:ascii="Arial" w:hAnsi="Arial" w:cs="Arial"/>
                <w:i/>
                <w:sz w:val="20"/>
                <w:szCs w:val="20"/>
              </w:rPr>
              <w:t>et al.</w:t>
            </w:r>
            <w:r w:rsidRPr="00F35CD1">
              <w:rPr>
                <w:rFonts w:ascii="Arial" w:hAnsi="Arial" w:cs="Arial"/>
                <w:sz w:val="20"/>
                <w:szCs w:val="20"/>
              </w:rPr>
              <w:t>,(2016); Stamatelou &amp; Goldfarb, (2023)</w:t>
            </w:r>
          </w:p>
        </w:tc>
      </w:tr>
    </w:tbl>
    <w:p w14:paraId="5BFF717B" w14:textId="77777777" w:rsidR="000D77C7" w:rsidRPr="000D77C7" w:rsidRDefault="000D77C7" w:rsidP="000D77C7">
      <w:pPr>
        <w:pStyle w:val="Body"/>
        <w:rPr>
          <w:rFonts w:ascii="Arial" w:hAnsi="Arial" w:cs="Arial"/>
        </w:rPr>
      </w:pPr>
    </w:p>
    <w:p w14:paraId="71B158F7" w14:textId="77777777" w:rsidR="00341293" w:rsidRDefault="00341293" w:rsidP="003506AC">
      <w:pPr>
        <w:pStyle w:val="Body"/>
        <w:rPr>
          <w:rFonts w:ascii="Arial" w:hAnsi="Arial" w:cs="Arial"/>
        </w:rPr>
        <w:sectPr w:rsidR="00341293" w:rsidSect="00517E43">
          <w:type w:val="continuous"/>
          <w:pgSz w:w="15840" w:h="12240" w:orient="landscape"/>
          <w:pgMar w:top="2016" w:right="1440" w:bottom="2016" w:left="2016" w:header="720" w:footer="1123" w:gutter="0"/>
          <w:cols w:space="720"/>
          <w:docGrid w:linePitch="272"/>
        </w:sectPr>
      </w:pPr>
    </w:p>
    <w:p w14:paraId="3BAF0167" w14:textId="77777777" w:rsidR="003D6394" w:rsidRDefault="003D6394" w:rsidP="003506AC">
      <w:pPr>
        <w:pStyle w:val="Body"/>
        <w:rPr>
          <w:rFonts w:ascii="Arial" w:hAnsi="Arial" w:cs="Arial"/>
        </w:rPr>
      </w:pPr>
      <w:r>
        <w:rPr>
          <w:rFonts w:ascii="Arial" w:hAnsi="Arial" w:cs="Arial"/>
          <w:b/>
        </w:rPr>
        <w:lastRenderedPageBreak/>
        <w:t>Fig. 2</w:t>
      </w:r>
      <w:r w:rsidRPr="003D6394">
        <w:rPr>
          <w:rFonts w:ascii="Arial" w:hAnsi="Arial" w:cs="Arial"/>
          <w:b/>
        </w:rPr>
        <w:t xml:space="preserve"> Silkworm-Based Experimental and Genetic Models for Metabolic Disorders. (A) Pharmacological induction of low uric acid levels in </w:t>
      </w:r>
      <w:r w:rsidRPr="003D6394">
        <w:rPr>
          <w:rFonts w:ascii="Arial" w:hAnsi="Arial" w:cs="Arial"/>
          <w:b/>
          <w:i/>
        </w:rPr>
        <w:t>Bombyx mori</w:t>
      </w:r>
      <w:r w:rsidRPr="003D6394">
        <w:rPr>
          <w:rFonts w:ascii="Arial" w:hAnsi="Arial" w:cs="Arial"/>
          <w:b/>
        </w:rPr>
        <w:t xml:space="preserve">. Administration of allopurinol or sodium bicarbonate to white-coloured silkworms leads to a translucent integument, reflecting reduced uric acid levels. (B) The albino (al) silkworm mutant, caused by mutation in the </w:t>
      </w:r>
      <w:r w:rsidRPr="003D6394">
        <w:rPr>
          <w:rFonts w:ascii="Arial" w:hAnsi="Arial" w:cs="Arial"/>
          <w:b/>
          <w:i/>
        </w:rPr>
        <w:t>BmPTS</w:t>
      </w:r>
      <w:r w:rsidRPr="003D6394">
        <w:rPr>
          <w:rFonts w:ascii="Arial" w:hAnsi="Arial" w:cs="Arial"/>
          <w:b/>
        </w:rPr>
        <w:t xml:space="preserve"> gene, results in defective BH</w:t>
      </w:r>
      <w:r w:rsidRPr="003D6394">
        <w:rPr>
          <w:rFonts w:ascii="Cambria Math" w:hAnsi="Cambria Math" w:cs="Cambria Math"/>
          <w:b/>
        </w:rPr>
        <w:t>₄</w:t>
      </w:r>
      <w:r w:rsidRPr="003D6394">
        <w:rPr>
          <w:rFonts w:ascii="Arial" w:hAnsi="Arial" w:cs="Arial"/>
          <w:b/>
        </w:rPr>
        <w:t xml:space="preserve"> synthesis. BH</w:t>
      </w:r>
      <w:r w:rsidRPr="003D6394">
        <w:rPr>
          <w:rFonts w:ascii="Cambria Math" w:hAnsi="Cambria Math" w:cs="Cambria Math"/>
          <w:b/>
        </w:rPr>
        <w:t>₄</w:t>
      </w:r>
      <w:r w:rsidRPr="003D6394">
        <w:rPr>
          <w:rFonts w:ascii="Arial" w:hAnsi="Arial" w:cs="Arial"/>
          <w:b/>
        </w:rPr>
        <w:t xml:space="preserve"> normally acts as a cofactor in melanin biosynthesis; its deficiency leads to failure of melanisation, transparency of the larva, and death after the first moult. (C) The lemon (lem) silkworm mutant, caused by deletion of the </w:t>
      </w:r>
      <w:r w:rsidRPr="003D6394">
        <w:rPr>
          <w:rFonts w:ascii="Arial" w:hAnsi="Arial" w:cs="Arial"/>
          <w:b/>
          <w:i/>
        </w:rPr>
        <w:t>BmSPR</w:t>
      </w:r>
      <w:r w:rsidRPr="003D6394">
        <w:rPr>
          <w:rFonts w:ascii="Arial" w:hAnsi="Arial" w:cs="Arial"/>
          <w:b/>
        </w:rPr>
        <w:t xml:space="preserve"> gene, exhibits impaired BH</w:t>
      </w:r>
      <w:r w:rsidRPr="003D6394">
        <w:rPr>
          <w:rFonts w:ascii="Cambria Math" w:hAnsi="Cambria Math" w:cs="Cambria Math"/>
          <w:b/>
        </w:rPr>
        <w:t>₄</w:t>
      </w:r>
      <w:r w:rsidRPr="003D6394">
        <w:rPr>
          <w:rFonts w:ascii="Arial" w:hAnsi="Arial" w:cs="Arial"/>
          <w:b/>
        </w:rPr>
        <w:t xml:space="preserve"> synthesis. This defect leads to accumulation of xanthine B1 in dermal cells, mimicking a biochemical symptom of human sepiapterin reductase deficiency (SRD). </w:t>
      </w:r>
      <w:r w:rsidRPr="003D6394">
        <w:rPr>
          <w:rFonts w:ascii="Arial" w:hAnsi="Arial" w:cs="Arial"/>
        </w:rPr>
        <w:t xml:space="preserve">Source: Ashraf &amp; Qamar, </w:t>
      </w:r>
      <w:r>
        <w:rPr>
          <w:rFonts w:ascii="Arial" w:hAnsi="Arial" w:cs="Arial"/>
        </w:rPr>
        <w:t>(</w:t>
      </w:r>
      <w:r w:rsidRPr="003D6394">
        <w:rPr>
          <w:rFonts w:ascii="Arial" w:hAnsi="Arial" w:cs="Arial"/>
        </w:rPr>
        <w:t>2023</w:t>
      </w:r>
      <w:r w:rsidRPr="003D6394">
        <w:rPr>
          <w:rFonts w:ascii="Calibri" w:eastAsia="Calibri" w:hAnsi="Calibri"/>
          <w:b/>
          <w:noProof/>
          <w:sz w:val="22"/>
          <w:szCs w:val="22"/>
        </w:rPr>
        <w:drawing>
          <wp:anchor distT="0" distB="0" distL="114300" distR="114300" simplePos="0" relativeHeight="251658752" behindDoc="1" locked="0" layoutInCell="1" allowOverlap="1" wp14:anchorId="6BBBE506" wp14:editId="224E1835">
            <wp:simplePos x="0" y="0"/>
            <wp:positionH relativeFrom="column">
              <wp:posOffset>-137160</wp:posOffset>
            </wp:positionH>
            <wp:positionV relativeFrom="paragraph">
              <wp:posOffset>0</wp:posOffset>
            </wp:positionV>
            <wp:extent cx="5582920" cy="5324475"/>
            <wp:effectExtent l="19050" t="19050" r="0" b="9525"/>
            <wp:wrapTight wrapText="bothSides">
              <wp:wrapPolygon edited="0">
                <wp:start x="-74" y="-77"/>
                <wp:lineTo x="-74" y="21639"/>
                <wp:lineTo x="21595" y="21639"/>
                <wp:lineTo x="21595" y="-77"/>
                <wp:lineTo x="-74" y="-77"/>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lum/>
                      <a:extLst>
                        <a:ext uri="{28A0092B-C50C-407E-A947-70E740481C1C}">
                          <a14:useLocalDpi xmlns:a14="http://schemas.microsoft.com/office/drawing/2010/main" val="0"/>
                        </a:ext>
                      </a:extLst>
                    </a:blip>
                    <a:srcRect t="16988" b="5562"/>
                    <a:stretch>
                      <a:fillRect/>
                    </a:stretch>
                  </pic:blipFill>
                  <pic:spPr bwMode="auto">
                    <a:xfrm>
                      <a:off x="0" y="0"/>
                      <a:ext cx="5582920" cy="5324475"/>
                    </a:xfrm>
                    <a:prstGeom prst="rect">
                      <a:avLst/>
                    </a:prstGeom>
                    <a:noFill/>
                    <a:ln w="9525">
                      <a:solidFill>
                        <a:schemeClr val="tx1"/>
                      </a:solidFill>
                      <a:miter lim="800000"/>
                      <a:headEnd/>
                      <a:tailEnd/>
                    </a:ln>
                  </pic:spPr>
                </pic:pic>
              </a:graphicData>
            </a:graphic>
            <wp14:sizeRelH relativeFrom="margin">
              <wp14:pctWidth>0</wp14:pctWidth>
            </wp14:sizeRelH>
            <wp14:sizeRelV relativeFrom="margin">
              <wp14:pctHeight>0</wp14:pctHeight>
            </wp14:sizeRelV>
          </wp:anchor>
        </w:drawing>
      </w:r>
      <w:r>
        <w:rPr>
          <w:rFonts w:ascii="Arial" w:hAnsi="Arial" w:cs="Arial"/>
        </w:rPr>
        <w:t>)</w:t>
      </w:r>
    </w:p>
    <w:p w14:paraId="43D5A80E" w14:textId="77777777" w:rsidR="003D6394" w:rsidRPr="00AD6C54" w:rsidRDefault="00AD6C54" w:rsidP="00AD6C54">
      <w:pPr>
        <w:pStyle w:val="ConcHead"/>
        <w:spacing w:before="240"/>
        <w:jc w:val="both"/>
        <w:rPr>
          <w:rFonts w:ascii="Arial" w:hAnsi="Arial" w:cs="Arial"/>
          <w:bCs/>
        </w:rPr>
      </w:pPr>
      <w:r w:rsidRPr="00C95F11">
        <w:rPr>
          <w:rFonts w:ascii="Arial" w:hAnsi="Arial" w:cs="Arial"/>
        </w:rPr>
        <w:lastRenderedPageBreak/>
        <w:t xml:space="preserve">5. </w:t>
      </w:r>
      <w:r w:rsidRPr="00AD6C54">
        <w:rPr>
          <w:rFonts w:ascii="Arial" w:hAnsi="Arial" w:cs="Arial"/>
          <w:bCs/>
        </w:rPr>
        <w:t>Pharmacokinetic and Pharmacodynamic Characterization of the Silkworm (</w:t>
      </w:r>
      <w:r w:rsidRPr="00AD6C54">
        <w:rPr>
          <w:rFonts w:ascii="Arial" w:hAnsi="Arial" w:cs="Arial"/>
          <w:bCs/>
          <w:i/>
          <w:iCs/>
        </w:rPr>
        <w:t>Bombyx mori</w:t>
      </w:r>
      <w:r w:rsidRPr="00AD6C54">
        <w:rPr>
          <w:rFonts w:ascii="Arial" w:hAnsi="Arial" w:cs="Arial"/>
          <w:bCs/>
        </w:rPr>
        <w:t>) Model</w:t>
      </w:r>
    </w:p>
    <w:p w14:paraId="769D008B" w14:textId="77777777" w:rsidR="00AD6C54" w:rsidRPr="00AD6C54" w:rsidRDefault="00AD6C54" w:rsidP="00AD6C54">
      <w:pPr>
        <w:pStyle w:val="Body"/>
        <w:rPr>
          <w:rFonts w:ascii="Arial" w:hAnsi="Arial" w:cs="Arial"/>
        </w:rPr>
      </w:pPr>
      <w:r w:rsidRPr="00AD6C54">
        <w:rPr>
          <w:rFonts w:ascii="Arial" w:hAnsi="Arial" w:cs="Arial"/>
        </w:rPr>
        <w:t>Pharmacokinetics</w:t>
      </w:r>
      <w:r w:rsidR="000D278B">
        <w:rPr>
          <w:rFonts w:ascii="Arial" w:hAnsi="Arial" w:cs="Arial"/>
        </w:rPr>
        <w:t xml:space="preserve"> (PK)</w:t>
      </w:r>
      <w:r w:rsidRPr="00AD6C54">
        <w:rPr>
          <w:rFonts w:ascii="Arial" w:hAnsi="Arial" w:cs="Arial"/>
        </w:rPr>
        <w:t xml:space="preserve"> is the study of the time-dependent processes of drug absorption, distribution, metabolism, and </w:t>
      </w:r>
      <w:r w:rsidRPr="00E15E73">
        <w:rPr>
          <w:rFonts w:ascii="Arial" w:hAnsi="Arial" w:cs="Arial"/>
        </w:rPr>
        <w:t>excretion (</w:t>
      </w:r>
      <w:r w:rsidR="00E15E73" w:rsidRPr="00E15E73">
        <w:rPr>
          <w:rFonts w:ascii="Arial" w:hAnsi="Arial" w:cs="Arial"/>
        </w:rPr>
        <w:t>Chinta and Vootla, 2018b</w:t>
      </w:r>
      <w:r w:rsidRPr="00E15E73">
        <w:rPr>
          <w:rFonts w:ascii="Arial" w:hAnsi="Arial" w:cs="Arial"/>
        </w:rPr>
        <w:t>).The silkworm (</w:t>
      </w:r>
      <w:r w:rsidRPr="00E15E73">
        <w:rPr>
          <w:rFonts w:ascii="Arial" w:hAnsi="Arial" w:cs="Arial"/>
          <w:i/>
          <w:iCs/>
        </w:rPr>
        <w:t>Bombyx mori</w:t>
      </w:r>
      <w:r w:rsidRPr="00E15E73">
        <w:rPr>
          <w:rFonts w:ascii="Arial" w:hAnsi="Arial" w:cs="Arial"/>
        </w:rPr>
        <w:t>) has gained recognition as a valuable invertebrate model for</w:t>
      </w:r>
      <w:r w:rsidRPr="00AD6C54">
        <w:rPr>
          <w:rFonts w:ascii="Arial" w:hAnsi="Arial" w:cs="Arial"/>
        </w:rPr>
        <w:t xml:space="preserve"> pharmacokinetic (PK) and pharmacodynamic (PD) studies owing to its ease of handling, low maintenance costs, and lack of ethical constraints associated with vertebrate use. Its anatomical and physiological features allow accurate drug administration and repeated hemolymph sampling, enabling detailed investigation of absorption, distribution, metabolism, and excretion processes. Comparative studies have shown that effective and lethal doses (ED</w:t>
      </w:r>
      <w:r w:rsidRPr="00AD6C54">
        <w:rPr>
          <w:rFonts w:ascii="Cambria Math" w:hAnsi="Cambria Math" w:cs="Cambria Math"/>
        </w:rPr>
        <w:t>₅₀</w:t>
      </w:r>
      <w:r w:rsidRPr="00AD6C54">
        <w:rPr>
          <w:rFonts w:ascii="Arial" w:hAnsi="Arial" w:cs="Arial"/>
        </w:rPr>
        <w:t xml:space="preserve"> and LD</w:t>
      </w:r>
      <w:r w:rsidRPr="00AD6C54">
        <w:rPr>
          <w:rFonts w:ascii="Cambria Math" w:hAnsi="Cambria Math" w:cs="Cambria Math"/>
        </w:rPr>
        <w:t>₅₀</w:t>
      </w:r>
      <w:r w:rsidRPr="00AD6C54">
        <w:rPr>
          <w:rFonts w:ascii="Arial" w:hAnsi="Arial" w:cs="Arial"/>
        </w:rPr>
        <w:t xml:space="preserve">) in silkworms often correspond closely with mammalian values when normalized to body weight, indicating conservation of key pharmacological </w:t>
      </w:r>
      <w:r w:rsidRPr="003C04F4">
        <w:rPr>
          <w:rFonts w:ascii="Arial" w:hAnsi="Arial" w:cs="Arial"/>
        </w:rPr>
        <w:t xml:space="preserve">mechanisms (Hamamoto </w:t>
      </w:r>
      <w:r w:rsidRPr="003C04F4">
        <w:rPr>
          <w:rFonts w:ascii="Arial" w:hAnsi="Arial" w:cs="Arial"/>
          <w:i/>
        </w:rPr>
        <w:t xml:space="preserve">et al., </w:t>
      </w:r>
      <w:r w:rsidRPr="003C04F4">
        <w:rPr>
          <w:rFonts w:ascii="Arial" w:hAnsi="Arial" w:cs="Arial"/>
        </w:rPr>
        <w:t xml:space="preserve">2009; </w:t>
      </w:r>
      <w:r w:rsidRPr="0014506A">
        <w:rPr>
          <w:rFonts w:ascii="Arial" w:hAnsi="Arial" w:cs="Arial"/>
        </w:rPr>
        <w:t xml:space="preserve">Fujiyuki </w:t>
      </w:r>
      <w:r w:rsidRPr="0014506A">
        <w:rPr>
          <w:rFonts w:ascii="Arial" w:hAnsi="Arial" w:cs="Arial"/>
          <w:i/>
        </w:rPr>
        <w:t>et al.,</w:t>
      </w:r>
      <w:r w:rsidRPr="0014506A">
        <w:rPr>
          <w:rFonts w:ascii="Arial" w:hAnsi="Arial" w:cs="Arial"/>
        </w:rPr>
        <w:t xml:space="preserve"> 2010; </w:t>
      </w:r>
      <w:r w:rsidR="0014506A" w:rsidRPr="0014506A">
        <w:rPr>
          <w:rFonts w:ascii="Arial" w:hAnsi="Arial" w:cs="Arial"/>
        </w:rPr>
        <w:t>Panthee</w:t>
      </w:r>
      <w:r w:rsidRPr="0014506A">
        <w:rPr>
          <w:rFonts w:ascii="Arial" w:hAnsi="Arial" w:cs="Arial"/>
        </w:rPr>
        <w:t xml:space="preserve"> </w:t>
      </w:r>
      <w:r w:rsidRPr="0014506A">
        <w:rPr>
          <w:rFonts w:ascii="Arial" w:hAnsi="Arial" w:cs="Arial"/>
          <w:i/>
        </w:rPr>
        <w:t>et al.,</w:t>
      </w:r>
      <w:r w:rsidRPr="0014506A">
        <w:rPr>
          <w:rFonts w:ascii="Arial" w:hAnsi="Arial" w:cs="Arial"/>
        </w:rPr>
        <w:t xml:space="preserve"> 2017).</w:t>
      </w:r>
    </w:p>
    <w:p w14:paraId="002ABE13" w14:textId="77777777" w:rsidR="00AD6C54" w:rsidRPr="00AD6C54" w:rsidRDefault="00AD6C54" w:rsidP="00AD6C54">
      <w:pPr>
        <w:pStyle w:val="Body"/>
        <w:rPr>
          <w:rFonts w:ascii="Arial" w:hAnsi="Arial" w:cs="Arial"/>
        </w:rPr>
      </w:pPr>
      <w:r w:rsidRPr="00AD6C54">
        <w:rPr>
          <w:rFonts w:ascii="Arial" w:hAnsi="Arial" w:cs="Arial"/>
        </w:rPr>
        <w:t xml:space="preserve">Experimental designs in the silkworm model incorporate two primary administration routes: intra-midgut injection, which mimics oral dosing, and intra-hemolymph injection, analogous to intravenous delivery. This duality enables separation of absorption from systemic </w:t>
      </w:r>
      <w:r w:rsidRPr="00110E71">
        <w:rPr>
          <w:rFonts w:ascii="Arial" w:hAnsi="Arial" w:cs="Arial"/>
        </w:rPr>
        <w:t xml:space="preserve">disposition (Asami </w:t>
      </w:r>
      <w:r w:rsidRPr="00110E71">
        <w:rPr>
          <w:rFonts w:ascii="Arial" w:hAnsi="Arial" w:cs="Arial"/>
          <w:i/>
        </w:rPr>
        <w:t>et al.,</w:t>
      </w:r>
      <w:r w:rsidRPr="00110E71">
        <w:rPr>
          <w:rFonts w:ascii="Arial" w:hAnsi="Arial" w:cs="Arial"/>
        </w:rPr>
        <w:t xml:space="preserve"> 2010). Drugs</w:t>
      </w:r>
      <w:r w:rsidRPr="00AD6C54">
        <w:rPr>
          <w:rFonts w:ascii="Arial" w:hAnsi="Arial" w:cs="Arial"/>
        </w:rPr>
        <w:t xml:space="preserve"> and metabolites in hemolymph are routinely quantified by high-performance liquid chromatography (HPLC), liquid chromatography–mass spectrometry (LC–MS), UV–visible spectrophotometry, and Fourier transform infrared spectroscopy (</w:t>
      </w:r>
      <w:r w:rsidRPr="0014506A">
        <w:rPr>
          <w:rFonts w:ascii="Arial" w:hAnsi="Arial" w:cs="Arial"/>
        </w:rPr>
        <w:t>FTIR) (</w:t>
      </w:r>
      <w:r w:rsidR="00E15E73" w:rsidRPr="0014506A">
        <w:rPr>
          <w:rFonts w:ascii="Arial" w:hAnsi="Arial" w:cs="Arial"/>
        </w:rPr>
        <w:t>Chinta &amp; Vootla, 2018b</w:t>
      </w:r>
      <w:r w:rsidRPr="0014506A">
        <w:rPr>
          <w:rFonts w:ascii="Arial" w:hAnsi="Arial" w:cs="Arial"/>
        </w:rPr>
        <w:t>). Such techniques permit derivation of PK parameters through compartmental or non-compartmental analysis, as demonstrated for antibiotics like ofloxacin (</w:t>
      </w:r>
      <w:r w:rsidR="00E15E73" w:rsidRPr="0014506A">
        <w:rPr>
          <w:rFonts w:ascii="Arial" w:hAnsi="Arial" w:cs="Arial"/>
        </w:rPr>
        <w:t>Chinta &amp; Vootla, 2018b</w:t>
      </w:r>
      <w:r w:rsidRPr="0014506A">
        <w:rPr>
          <w:rFonts w:ascii="Arial" w:hAnsi="Arial" w:cs="Arial"/>
        </w:rPr>
        <w:t>) and plant</w:t>
      </w:r>
      <w:r w:rsidRPr="00AD6C54">
        <w:rPr>
          <w:rFonts w:ascii="Arial" w:hAnsi="Arial" w:cs="Arial"/>
        </w:rPr>
        <w:t xml:space="preserve">-derived </w:t>
      </w:r>
      <w:r w:rsidRPr="00110E71">
        <w:rPr>
          <w:rFonts w:ascii="Arial" w:hAnsi="Arial" w:cs="Arial"/>
        </w:rPr>
        <w:t xml:space="preserve">flavonoids (Asami </w:t>
      </w:r>
      <w:r w:rsidRPr="00110E71">
        <w:rPr>
          <w:rFonts w:ascii="Arial" w:hAnsi="Arial" w:cs="Arial"/>
          <w:i/>
        </w:rPr>
        <w:t>et al.,</w:t>
      </w:r>
      <w:r w:rsidRPr="00110E71">
        <w:rPr>
          <w:rFonts w:ascii="Arial" w:hAnsi="Arial" w:cs="Arial"/>
        </w:rPr>
        <w:t xml:space="preserve"> 2010).</w:t>
      </w:r>
    </w:p>
    <w:p w14:paraId="02CA8FD6" w14:textId="77777777" w:rsidR="00AD6C54" w:rsidRPr="00AD6C54" w:rsidRDefault="00AD6C54" w:rsidP="00AD6C54">
      <w:pPr>
        <w:pStyle w:val="Body"/>
        <w:rPr>
          <w:rFonts w:ascii="Arial" w:hAnsi="Arial" w:cs="Arial"/>
        </w:rPr>
      </w:pPr>
      <w:r w:rsidRPr="00AD6C54">
        <w:rPr>
          <w:rFonts w:ascii="Arial" w:hAnsi="Arial" w:cs="Arial"/>
        </w:rPr>
        <w:t xml:space="preserve">Absorption and distribution patterns in silkworms parallel those in </w:t>
      </w:r>
      <w:r w:rsidRPr="00110E71">
        <w:rPr>
          <w:rFonts w:ascii="Arial" w:hAnsi="Arial" w:cs="Arial"/>
        </w:rPr>
        <w:t xml:space="preserve">mammals. Asami </w:t>
      </w:r>
      <w:r w:rsidRPr="00110E71">
        <w:rPr>
          <w:rFonts w:ascii="Arial" w:hAnsi="Arial" w:cs="Arial"/>
          <w:i/>
        </w:rPr>
        <w:t>et al.,</w:t>
      </w:r>
      <w:r w:rsidRPr="00110E71">
        <w:rPr>
          <w:rFonts w:ascii="Arial" w:hAnsi="Arial" w:cs="Arial"/>
        </w:rPr>
        <w:t xml:space="preserve"> (2010)</w:t>
      </w:r>
      <w:r w:rsidRPr="00AD6C54">
        <w:rPr>
          <w:rFonts w:ascii="Arial" w:hAnsi="Arial" w:cs="Arial"/>
        </w:rPr>
        <w:t xml:space="preserve"> reported that the polymethoxyflavones nobiletin, heptamethoxyflavone, and tangeretin administered via the midgut appeared in hemolymph and persisted with terminal half-lives of 18, 26, and 34 hours, respectively, comparable to mammalian values. Protein binding effects also resemble mammalian systems and certain chromogenic dyes maintained high total hemolymph concentrations yet failed to exert therapeutic effects due to strong plasma protein binding, which </w:t>
      </w:r>
      <w:r w:rsidRPr="0014506A">
        <w:rPr>
          <w:rFonts w:ascii="Arial" w:hAnsi="Arial" w:cs="Arial"/>
        </w:rPr>
        <w:t xml:space="preserve">reduced the free fraction (Fujiyuki </w:t>
      </w:r>
      <w:r w:rsidRPr="0014506A">
        <w:rPr>
          <w:rFonts w:ascii="Arial" w:hAnsi="Arial" w:cs="Arial"/>
          <w:i/>
        </w:rPr>
        <w:t>et al.,</w:t>
      </w:r>
      <w:r w:rsidRPr="0014506A">
        <w:rPr>
          <w:rFonts w:ascii="Arial" w:hAnsi="Arial" w:cs="Arial"/>
        </w:rPr>
        <w:t xml:space="preserve"> 2010). Metabolic investigations reveal both similarities and differences with mammalian pathways.</w:t>
      </w:r>
      <w:r w:rsidRPr="00AD6C54">
        <w:rPr>
          <w:rFonts w:ascii="Arial" w:hAnsi="Arial" w:cs="Arial"/>
        </w:rPr>
        <w:t xml:space="preserve"> Phase I metabolism in silkworms involves cytochrome P450-mediated oxidation, such as dealkylation of 7-ethoxycoumarin to </w:t>
      </w:r>
      <w:r w:rsidRPr="003C04F4">
        <w:rPr>
          <w:rFonts w:ascii="Arial" w:hAnsi="Arial" w:cs="Arial"/>
        </w:rPr>
        <w:t xml:space="preserve">umbelliferone (Hamamoto </w:t>
      </w:r>
      <w:r w:rsidRPr="003C04F4">
        <w:rPr>
          <w:rFonts w:ascii="Arial" w:hAnsi="Arial" w:cs="Arial"/>
          <w:i/>
        </w:rPr>
        <w:t>et al.,</w:t>
      </w:r>
      <w:r w:rsidRPr="003C04F4">
        <w:rPr>
          <w:rFonts w:ascii="Arial" w:hAnsi="Arial" w:cs="Arial"/>
        </w:rPr>
        <w:t xml:space="preserve"> 2009). However, phase II conjugation diverges: silkworms preferentially employ UDP-glucosyltransferase to form glucose conjugates, whereas mammals primarily use glucuronidation or sulfation (Hamamoto </w:t>
      </w:r>
      <w:r w:rsidRPr="003C04F4">
        <w:rPr>
          <w:rFonts w:ascii="Arial" w:hAnsi="Arial" w:cs="Arial"/>
          <w:i/>
        </w:rPr>
        <w:t>et al.,</w:t>
      </w:r>
      <w:r w:rsidRPr="003C04F4">
        <w:rPr>
          <w:rFonts w:ascii="Arial" w:hAnsi="Arial" w:cs="Arial"/>
        </w:rPr>
        <w:t xml:space="preserve"> 2009). For instance, umbelliferone is excreted largely as its glucose conjugate in silkworm faeces, with fat-body microsomes showing strong glucose-conjugating activity. While this functional similarity increases metabolite polarity for excretion, it produces structurally distinct metabolites, which may affect interspecies extrapolation. Excretion occurs predominantly via feces, underscoring the importance of faecal metabolite analysis in silkworm PK studies (Hamamoto </w:t>
      </w:r>
      <w:r w:rsidRPr="003C04F4">
        <w:rPr>
          <w:rFonts w:ascii="Arial" w:hAnsi="Arial" w:cs="Arial"/>
          <w:i/>
        </w:rPr>
        <w:t>et al.,</w:t>
      </w:r>
      <w:r w:rsidRPr="003C04F4">
        <w:rPr>
          <w:rFonts w:ascii="Arial" w:hAnsi="Arial" w:cs="Arial"/>
        </w:rPr>
        <w:t xml:space="preserve"> 2009).</w:t>
      </w:r>
    </w:p>
    <w:p w14:paraId="2FFCA94F" w14:textId="77777777" w:rsidR="00AD6C54" w:rsidRPr="00AD6C54" w:rsidRDefault="00AD6C54" w:rsidP="00AD6C54">
      <w:pPr>
        <w:pStyle w:val="Body"/>
        <w:rPr>
          <w:rFonts w:ascii="Arial" w:hAnsi="Arial" w:cs="Arial"/>
        </w:rPr>
      </w:pPr>
      <w:r w:rsidRPr="00AD6C54">
        <w:rPr>
          <w:rFonts w:ascii="Arial" w:hAnsi="Arial" w:cs="Arial"/>
        </w:rPr>
        <w:t xml:space="preserve">Quantitative PK studies underscore the model’s translational relevance. Ofloxacin, administered by midgut or hemolymph routes, was detectable in hemolymph for up to 300 minutes, and analysis yielded parameters such as area under the curve (AUC), mean residence time (MRT), steady-state volume of distribution (Vss), and </w:t>
      </w:r>
      <w:r w:rsidRPr="0014506A">
        <w:rPr>
          <w:rFonts w:ascii="Arial" w:hAnsi="Arial" w:cs="Arial"/>
        </w:rPr>
        <w:t>clearance (</w:t>
      </w:r>
      <w:r w:rsidR="00E15E73" w:rsidRPr="0014506A">
        <w:rPr>
          <w:rFonts w:ascii="Arial" w:hAnsi="Arial" w:cs="Arial"/>
        </w:rPr>
        <w:t>Chinta &amp; Vootla, 2018b</w:t>
      </w:r>
      <w:r w:rsidRPr="0014506A">
        <w:rPr>
          <w:rFonts w:ascii="Arial" w:hAnsi="Arial" w:cs="Arial"/>
        </w:rPr>
        <w:t xml:space="preserve">). Similarly, rifampicin exhibited elimination half-lives in silkworms consistent with those in mammals (Fujiyuki </w:t>
      </w:r>
      <w:r w:rsidRPr="0014506A">
        <w:rPr>
          <w:rFonts w:ascii="Arial" w:hAnsi="Arial" w:cs="Arial"/>
          <w:i/>
        </w:rPr>
        <w:t>et al.,</w:t>
      </w:r>
      <w:r w:rsidRPr="0014506A">
        <w:rPr>
          <w:rFonts w:ascii="Arial" w:hAnsi="Arial" w:cs="Arial"/>
        </w:rPr>
        <w:t xml:space="preserve"> 2010). Failures of certain dyes in vivo were attributed to instability, toxicity, or protein-binding effects rather than inadequate intrinsic antimicrobial potency.</w:t>
      </w:r>
    </w:p>
    <w:p w14:paraId="0AF81621" w14:textId="77777777" w:rsidR="00AD6C54" w:rsidRDefault="00AD6C54" w:rsidP="00AD6C54">
      <w:pPr>
        <w:pStyle w:val="Body"/>
        <w:rPr>
          <w:rFonts w:ascii="Arial" w:hAnsi="Arial" w:cs="Arial"/>
        </w:rPr>
      </w:pPr>
      <w:r w:rsidRPr="00AD6C54">
        <w:rPr>
          <w:rFonts w:ascii="Arial" w:hAnsi="Arial" w:cs="Arial"/>
        </w:rPr>
        <w:lastRenderedPageBreak/>
        <w:t xml:space="preserve">Despite its advantages, the silkworm model has limitations. Distinct conjugation chemistry can yield metabolites absent in mammals, complicating direct predictions of human metabolic fate. Differences in excretory anatomy may affect clearance scaling, and variations in plasma protein composition can alter binding profiles. Therefore, comprehensive metabolite characterization and parallel mammalian testing remain essential before clinical translation. Overall, </w:t>
      </w:r>
      <w:r w:rsidRPr="00AD6C54">
        <w:rPr>
          <w:rFonts w:ascii="Arial" w:hAnsi="Arial" w:cs="Arial"/>
          <w:i/>
          <w:iCs/>
        </w:rPr>
        <w:t>B. mori</w:t>
      </w:r>
      <w:r w:rsidRPr="00AD6C54">
        <w:rPr>
          <w:rFonts w:ascii="Arial" w:hAnsi="Arial" w:cs="Arial"/>
        </w:rPr>
        <w:t xml:space="preserve"> offers a robust, cost-effective, and ethically favorable platform for early PK/PD evaluation. It captures major ADME phenomena, enables route-specific comparisons, and provides mechanistic insights into drug disposition and action.</w:t>
      </w:r>
    </w:p>
    <w:p w14:paraId="6A75ACCA" w14:textId="77777777" w:rsidR="000D278B" w:rsidRPr="000D278B" w:rsidRDefault="000D278B" w:rsidP="000D278B">
      <w:pPr>
        <w:pStyle w:val="ConcHead"/>
        <w:spacing w:before="240"/>
        <w:jc w:val="both"/>
        <w:rPr>
          <w:rFonts w:ascii="Arial" w:hAnsi="Arial" w:cs="Arial"/>
          <w:bCs/>
        </w:rPr>
      </w:pPr>
      <w:r>
        <w:rPr>
          <w:rFonts w:ascii="Arial" w:hAnsi="Arial" w:cs="Arial"/>
        </w:rPr>
        <w:t>6</w:t>
      </w:r>
      <w:r w:rsidRPr="00C95F11">
        <w:rPr>
          <w:rFonts w:ascii="Arial" w:hAnsi="Arial" w:cs="Arial"/>
        </w:rPr>
        <w:t xml:space="preserve">. </w:t>
      </w:r>
      <w:r w:rsidRPr="000D278B">
        <w:rPr>
          <w:rFonts w:ascii="Arial" w:hAnsi="Arial" w:cs="Arial"/>
          <w:bCs/>
        </w:rPr>
        <w:t>Future Prospects and Challenges</w:t>
      </w:r>
    </w:p>
    <w:p w14:paraId="3F72BDCD" w14:textId="77777777" w:rsidR="000D278B" w:rsidRPr="000D278B" w:rsidRDefault="000D278B" w:rsidP="000D278B">
      <w:pPr>
        <w:pStyle w:val="Body"/>
        <w:rPr>
          <w:rFonts w:ascii="Arial" w:hAnsi="Arial" w:cs="Arial"/>
        </w:rPr>
      </w:pPr>
      <w:r w:rsidRPr="000D278B">
        <w:rPr>
          <w:rFonts w:ascii="Arial" w:hAnsi="Arial" w:cs="Arial"/>
        </w:rPr>
        <w:t>The potential of the silkworm (</w:t>
      </w:r>
      <w:r w:rsidRPr="000D278B">
        <w:rPr>
          <w:rFonts w:ascii="Arial" w:hAnsi="Arial" w:cs="Arial"/>
          <w:i/>
        </w:rPr>
        <w:t>Bombyx mori</w:t>
      </w:r>
      <w:r w:rsidRPr="000D278B">
        <w:rPr>
          <w:rFonts w:ascii="Arial" w:hAnsi="Arial" w:cs="Arial"/>
        </w:rPr>
        <w:t>) as a model organism is expected to expand substantially with advancements in molecular biology and biotechnology. The application of CRISPR/Cas9, TALENs, and RNA interference technologies provides opportunities for precise genetic modifications, allowing the development of humanized silkworm strains that can replicate complex disease phenotypes. These genetically engineered models could serve as robust platforms for studying human genetic disorders, metabolic dysfunctions, and immune responses. Additionally, the integration of omics-based tools such as transcriptomics, proteomics, and metabolomics will enable comprehensive mapping of drug response pathways and toxicity mechanisms. These strategies have the potential to accelerate pharmacological profiling and improve predictive accuracy for human applications.</w:t>
      </w:r>
    </w:p>
    <w:p w14:paraId="2FE83FBC" w14:textId="77777777" w:rsidR="000D278B" w:rsidRPr="000D278B" w:rsidRDefault="000D278B" w:rsidP="000D278B">
      <w:pPr>
        <w:pStyle w:val="Body"/>
        <w:rPr>
          <w:rFonts w:ascii="Arial" w:hAnsi="Arial" w:cs="Arial"/>
        </w:rPr>
      </w:pPr>
      <w:r w:rsidRPr="000D278B">
        <w:rPr>
          <w:rFonts w:ascii="Arial" w:hAnsi="Arial" w:cs="Arial"/>
        </w:rPr>
        <w:t>The future of silkworm utilization in pharmacokinetic and pharmacodynamic studies also includes the incorporation of high-throughput automated systems for compound administration, imaging, and data analysis. Coupling these systems with artificial intelligence and machine learning can facilitate predictive modeling of drug absorption, distribution, metabolism, and excretion. Such innovations will not only shorten the early-phase drug discovery timeline but also significantly reduce the costs associated with conventional mammalian testing. Furthermore, the growing interest in using silkworms for natural product research and the screening of plant-derived bioactive compounds underscores their versatility in both synthetic and herbal drug development.</w:t>
      </w:r>
    </w:p>
    <w:p w14:paraId="7BE1D61A" w14:textId="77777777" w:rsidR="000D278B" w:rsidRPr="000D278B" w:rsidRDefault="000D278B" w:rsidP="000D278B">
      <w:pPr>
        <w:pStyle w:val="Body"/>
        <w:rPr>
          <w:rFonts w:ascii="Arial" w:hAnsi="Arial" w:cs="Arial"/>
        </w:rPr>
      </w:pPr>
      <w:r w:rsidRPr="000D278B">
        <w:rPr>
          <w:rFonts w:ascii="Arial" w:hAnsi="Arial" w:cs="Arial"/>
        </w:rPr>
        <w:t>However, several challenges need to be addressed to fully realize these prospects. Physiological and biochemical differences between silkworms and mammals remain a major limitation. Although similarities exist in xenobiotic metabolism and cytochrome P450 activity, differences in phase II reactions—such as the predominance of glucosylation in silkworms compared to glucuronidation in mammals—pose hurdles for direct data extrapolation. The absence of adaptive immunity and organ systems such as a liver equivalent restricts the modeling of certain human diseases and immune-mediated conditions. Consequently, while silkworm models can provide preliminary insights, confirmatory studies in mammalian systems remain indispensable.</w:t>
      </w:r>
    </w:p>
    <w:p w14:paraId="21DF963D" w14:textId="77777777" w:rsidR="000D278B" w:rsidRPr="000D278B" w:rsidRDefault="000D278B" w:rsidP="000D278B">
      <w:pPr>
        <w:pStyle w:val="Body"/>
        <w:rPr>
          <w:rFonts w:ascii="Arial" w:hAnsi="Arial" w:cs="Arial"/>
        </w:rPr>
      </w:pPr>
      <w:r w:rsidRPr="000D278B">
        <w:rPr>
          <w:rFonts w:ascii="Arial" w:hAnsi="Arial" w:cs="Arial"/>
        </w:rPr>
        <w:t>Another significant challenge is the lack of standardized experimental protocols. Variations in rearing conditions, artificial diets, infection models, and dosage administration methods can lead to inconsistencies in results across laboratories. Establishing globally recognized guidelines for silkworm-based pharmacological studies will be essential for achieving reproducibility and regulatory acceptance. In addition, maintaining temperature-controlled environments and performing intra-hemolymph injections require technical expertise, which may limit large-scale application in resource-constrained research settings. Addressing these constraints through simplified rearing systems, automated injection techniques, and optimized artificial diets will be critical for the broader adoption of this model.</w:t>
      </w:r>
    </w:p>
    <w:p w14:paraId="19936021" w14:textId="77777777" w:rsidR="000D278B" w:rsidRDefault="000D278B" w:rsidP="000D278B">
      <w:pPr>
        <w:pStyle w:val="Body"/>
        <w:rPr>
          <w:rFonts w:ascii="Arial" w:hAnsi="Arial" w:cs="Arial"/>
        </w:rPr>
      </w:pPr>
      <w:r w:rsidRPr="000D278B">
        <w:rPr>
          <w:rFonts w:ascii="Arial" w:hAnsi="Arial" w:cs="Arial"/>
        </w:rPr>
        <w:lastRenderedPageBreak/>
        <w:t xml:space="preserve">Overall, the trajectory of research indicates that </w:t>
      </w:r>
      <w:r w:rsidRPr="000D278B">
        <w:rPr>
          <w:rFonts w:ascii="Arial" w:hAnsi="Arial" w:cs="Arial"/>
          <w:i/>
        </w:rPr>
        <w:t>Bombyx mori</w:t>
      </w:r>
      <w:r w:rsidRPr="000D278B">
        <w:rPr>
          <w:rFonts w:ascii="Arial" w:hAnsi="Arial" w:cs="Arial"/>
        </w:rPr>
        <w:t xml:space="preserve"> can play a transformative role in early-stage drug discovery, toxicity assessment, and metabolic disease modeling when supported by genetic engineering, advanced analytical methods, and standardized practices.</w:t>
      </w:r>
    </w:p>
    <w:p w14:paraId="45DB8DC8" w14:textId="77777777" w:rsidR="000D278B" w:rsidRPr="000D278B" w:rsidRDefault="000D278B" w:rsidP="000D278B">
      <w:pPr>
        <w:pStyle w:val="ConcHead"/>
        <w:spacing w:before="240"/>
        <w:jc w:val="both"/>
        <w:rPr>
          <w:rFonts w:ascii="Arial" w:hAnsi="Arial" w:cs="Arial"/>
        </w:rPr>
      </w:pPr>
      <w:r>
        <w:rPr>
          <w:rFonts w:ascii="Arial" w:hAnsi="Arial" w:cs="Arial"/>
        </w:rPr>
        <w:t>7</w:t>
      </w:r>
      <w:r w:rsidRPr="00C95F11">
        <w:rPr>
          <w:rFonts w:ascii="Arial" w:hAnsi="Arial" w:cs="Arial"/>
        </w:rPr>
        <w:t xml:space="preserve">. </w:t>
      </w:r>
      <w:r w:rsidRPr="000D278B">
        <w:rPr>
          <w:rFonts w:ascii="Arial" w:hAnsi="Arial" w:cs="Arial"/>
          <w:bCs/>
        </w:rPr>
        <w:t>Conclusion</w:t>
      </w:r>
    </w:p>
    <w:p w14:paraId="12DB098D" w14:textId="77777777" w:rsidR="000D278B" w:rsidRPr="000D278B" w:rsidRDefault="000D278B" w:rsidP="000D278B">
      <w:pPr>
        <w:pStyle w:val="Body"/>
        <w:rPr>
          <w:rFonts w:ascii="Arial" w:hAnsi="Arial" w:cs="Arial"/>
        </w:rPr>
      </w:pPr>
      <w:r w:rsidRPr="000D278B">
        <w:rPr>
          <w:rFonts w:ascii="Arial" w:hAnsi="Arial" w:cs="Arial"/>
        </w:rPr>
        <w:t>The silkworm (</w:t>
      </w:r>
      <w:r w:rsidRPr="000D278B">
        <w:rPr>
          <w:rFonts w:ascii="Arial" w:hAnsi="Arial" w:cs="Arial"/>
          <w:i/>
        </w:rPr>
        <w:t>Bombyx mori</w:t>
      </w:r>
      <w:r w:rsidRPr="000D278B">
        <w:rPr>
          <w:rFonts w:ascii="Arial" w:hAnsi="Arial" w:cs="Arial"/>
        </w:rPr>
        <w:t>) has emerged as a promising and versatile invertebrate model in modern biomedical research, offering an ethically acceptable, cost-effective, and logistically convenient alternative to vertebrate systems for preliminary drug screening and pharmacokinetic studies. Its physiological and biochemical attributes, including conserved metabolic pathways, similarity in drug disposition processes, and the presence of cytochrome P450-mediated reactions, provide a foundation for translational relevance to mammalian systems. The availability of advanced molecular tools, a fully sequenced genome, and established genetic manipulation techniques such as CRISPR/Cas9 and RNAi further enhance the silkworm’s applicability for generating disease-specific and humanized models. These advances position Bombyx mori as a valuable platform for studying drug efficacy, toxicity, and mechanism of action, thereby bridging the gap between in vitro assays and mammalian testing.</w:t>
      </w:r>
    </w:p>
    <w:p w14:paraId="780A1C2B" w14:textId="77777777" w:rsidR="000D278B" w:rsidRPr="000D278B" w:rsidRDefault="000D278B" w:rsidP="000D278B">
      <w:pPr>
        <w:pStyle w:val="Body"/>
        <w:rPr>
          <w:rFonts w:ascii="Arial" w:hAnsi="Arial" w:cs="Arial"/>
        </w:rPr>
      </w:pPr>
      <w:r w:rsidRPr="000D278B">
        <w:rPr>
          <w:rFonts w:ascii="Arial" w:hAnsi="Arial" w:cs="Arial"/>
        </w:rPr>
        <w:t>Beyond its role in antimicrobial and antidiabetic drug screening, the silkworm has demonstrated potential in modeling complex metabolic disorders such as hyperuricemia, phenylketonuria, and kidney stone formation, underscoring its utility in pathophysiological investigations. Moreover, the compatibility of this model with high-throughput screening systems, combined with emerging technologies such as artificial intelligence and omics-based approaches, indicates a significant opportunity for accelerating drug discovery pipelines and improving predictive accuracy for human pharmacology.</w:t>
      </w:r>
    </w:p>
    <w:p w14:paraId="36E7956F" w14:textId="77777777" w:rsidR="000D278B" w:rsidRDefault="000D278B" w:rsidP="000D278B">
      <w:pPr>
        <w:pStyle w:val="Body"/>
        <w:rPr>
          <w:rFonts w:ascii="Arial" w:hAnsi="Arial" w:cs="Arial"/>
        </w:rPr>
      </w:pPr>
      <w:r w:rsidRPr="000D278B">
        <w:rPr>
          <w:rFonts w:ascii="Arial" w:hAnsi="Arial" w:cs="Arial"/>
        </w:rPr>
        <w:t>However, certain limitations persist, including the absence of adaptive immunity, differences in phase II conjugation pathways, and anatomical disparities that restrict direct extrapolation of some pharmacokinetic parameters. Addressing these gaps through genetic engineering, optimized rearing conditions, and standardized experimental protocols will be essential to ensure reproducibility and regulatory acceptance. Despite these challenges, the silkworm model provides a scientifically robust, ethically favorable, and economically sustainable framework for preclinical research. Its continued integration into drug development workflows holds the potential to reduce reliance on mammalian models, minimize ethical concerns, and contribute to more efficient discovery of safe and effective therapeutics.</w:t>
      </w:r>
    </w:p>
    <w:p w14:paraId="3D33A296" w14:textId="77777777" w:rsidR="002319C0" w:rsidRPr="002319C0" w:rsidRDefault="002319C0" w:rsidP="002319C0">
      <w:pPr>
        <w:pStyle w:val="ReferHead"/>
        <w:jc w:val="both"/>
        <w:rPr>
          <w:rFonts w:ascii="Arial" w:hAnsi="Arial" w:cs="Arial"/>
          <w:b w:val="0"/>
          <w:caps w:val="0"/>
          <w:sz w:val="20"/>
        </w:rPr>
      </w:pPr>
      <w:r w:rsidRPr="002319C0">
        <w:rPr>
          <w:rFonts w:ascii="Arial" w:hAnsi="Arial" w:cs="Arial"/>
          <w:b w:val="0"/>
          <w:caps w:val="0"/>
          <w:sz w:val="20"/>
        </w:rPr>
        <w:t>Ethical Approval</w:t>
      </w:r>
    </w:p>
    <w:p w14:paraId="0BEA642F" w14:textId="00F11EFA" w:rsidR="00530E19" w:rsidRDefault="002319C0" w:rsidP="002319C0">
      <w:pPr>
        <w:pStyle w:val="ReferHead"/>
        <w:jc w:val="both"/>
        <w:rPr>
          <w:rFonts w:ascii="Arial" w:hAnsi="Arial" w:cs="Arial"/>
          <w:b w:val="0"/>
          <w:caps w:val="0"/>
          <w:sz w:val="20"/>
        </w:rPr>
      </w:pPr>
      <w:r w:rsidRPr="002319C0">
        <w:rPr>
          <w:rFonts w:ascii="Arial" w:hAnsi="Arial" w:cs="Arial"/>
          <w:b w:val="0"/>
          <w:caps w:val="0"/>
          <w:sz w:val="20"/>
        </w:rPr>
        <w:t>Animal Ethic committee approval has been collected and preserved by the author(s)</w:t>
      </w:r>
      <w:bookmarkStart w:id="0" w:name="_GoBack"/>
      <w:bookmarkEnd w:id="0"/>
    </w:p>
    <w:p w14:paraId="32F9C858" w14:textId="77777777" w:rsidR="00530E19" w:rsidRPr="00530E19" w:rsidRDefault="00530E19" w:rsidP="00530E19">
      <w:pPr>
        <w:pStyle w:val="ReferHead"/>
        <w:jc w:val="both"/>
        <w:rPr>
          <w:rFonts w:ascii="Arial" w:hAnsi="Arial" w:cs="Arial"/>
          <w:b w:val="0"/>
          <w:caps w:val="0"/>
          <w:sz w:val="20"/>
        </w:rPr>
      </w:pPr>
      <w:r w:rsidRPr="00530E19">
        <w:rPr>
          <w:rFonts w:ascii="Arial" w:hAnsi="Arial" w:cs="Arial"/>
          <w:b w:val="0"/>
          <w:caps w:val="0"/>
          <w:sz w:val="20"/>
        </w:rPr>
        <w:t>COMPETING INTERESTS DISCLAIMER:</w:t>
      </w:r>
    </w:p>
    <w:p w14:paraId="4953D265" w14:textId="291C3978" w:rsidR="00530E19" w:rsidRDefault="00530E19" w:rsidP="00530E19">
      <w:pPr>
        <w:pStyle w:val="ReferHead"/>
        <w:jc w:val="both"/>
        <w:rPr>
          <w:rFonts w:ascii="Arial" w:hAnsi="Arial" w:cs="Arial"/>
          <w:b w:val="0"/>
          <w:caps w:val="0"/>
          <w:sz w:val="20"/>
        </w:rPr>
      </w:pPr>
      <w:r w:rsidRPr="00530E19">
        <w:rPr>
          <w:rFonts w:ascii="Arial" w:hAnsi="Arial" w:cs="Arial"/>
          <w:b w:val="0"/>
          <w:caps w:val="0"/>
          <w:sz w:val="20"/>
        </w:rPr>
        <w:t>Authors have declared that they have no known competing financial interests OR non-financial interests OR personal relationships that could have appeared to influence the work reported in this paper.</w:t>
      </w:r>
    </w:p>
    <w:p w14:paraId="3AD57BD3" w14:textId="2AFC0F37" w:rsidR="00D52F99" w:rsidRDefault="00D52F99" w:rsidP="00530E19">
      <w:pPr>
        <w:pStyle w:val="ReferHead"/>
        <w:jc w:val="both"/>
        <w:rPr>
          <w:rFonts w:ascii="Arial" w:hAnsi="Arial" w:cs="Arial"/>
          <w:b w:val="0"/>
          <w:caps w:val="0"/>
          <w:sz w:val="20"/>
        </w:rPr>
      </w:pPr>
    </w:p>
    <w:p w14:paraId="1ADB903B" w14:textId="77777777" w:rsidR="00D52F99" w:rsidRPr="00FE7640" w:rsidRDefault="00D52F99" w:rsidP="00D52F99">
      <w:pPr>
        <w:rPr>
          <w:rFonts w:ascii="Calibri" w:eastAsia="Calibri" w:hAnsi="Calibri"/>
          <w:kern w:val="2"/>
          <w:highlight w:val="yellow"/>
        </w:rPr>
      </w:pPr>
      <w:bookmarkStart w:id="1" w:name="_Hlk201835975"/>
      <w:bookmarkStart w:id="2" w:name="_Hlk193540946"/>
      <w:bookmarkStart w:id="3" w:name="_Hlk180402183"/>
      <w:bookmarkStart w:id="4" w:name="_Hlk183680988"/>
      <w:bookmarkStart w:id="5" w:name="_Hlk197173371"/>
      <w:r w:rsidRPr="00FE7640">
        <w:rPr>
          <w:rFonts w:ascii="Calibri" w:eastAsia="Calibri" w:hAnsi="Calibri"/>
          <w:kern w:val="2"/>
          <w:highlight w:val="yellow"/>
        </w:rPr>
        <w:t>Disclaimer (Artificial intelligence)</w:t>
      </w:r>
    </w:p>
    <w:p w14:paraId="7438EF5D" w14:textId="77777777" w:rsidR="00D52F99" w:rsidRPr="009C5487" w:rsidRDefault="00D52F99" w:rsidP="00D52F99">
      <w:pPr>
        <w:rPr>
          <w:rFonts w:ascii="Calibri" w:eastAsia="Calibri" w:hAnsi="Calibri"/>
          <w:kern w:val="2"/>
          <w:highlight w:val="yellow"/>
        </w:rPr>
      </w:pPr>
      <w:r w:rsidRPr="009C5487">
        <w:rPr>
          <w:rFonts w:ascii="Calibri" w:eastAsia="Calibri" w:hAnsi="Calibri"/>
          <w:kern w:val="2"/>
          <w:highlight w:val="yellow"/>
        </w:rPr>
        <w:t xml:space="preserve">Option 1: </w:t>
      </w:r>
    </w:p>
    <w:bookmarkEnd w:id="1"/>
    <w:bookmarkEnd w:id="2"/>
    <w:bookmarkEnd w:id="3"/>
    <w:bookmarkEnd w:id="4"/>
    <w:bookmarkEnd w:id="5"/>
    <w:p w14:paraId="22E08859" w14:textId="23F412AF" w:rsidR="00D52F99" w:rsidRDefault="008B231F" w:rsidP="00530E19">
      <w:pPr>
        <w:pStyle w:val="ReferHead"/>
        <w:jc w:val="both"/>
        <w:rPr>
          <w:rFonts w:ascii="Arial" w:hAnsi="Arial" w:cs="Arial"/>
          <w:b w:val="0"/>
          <w:caps w:val="0"/>
          <w:sz w:val="20"/>
        </w:rPr>
      </w:pPr>
      <w:r w:rsidRPr="008B231F">
        <w:rPr>
          <w:rFonts w:ascii="Calibri" w:eastAsia="Calibri" w:hAnsi="Calibri"/>
          <w:b w:val="0"/>
          <w:caps w:val="0"/>
          <w:kern w:val="2"/>
          <w:sz w:val="20"/>
        </w:rPr>
        <w:lastRenderedPageBreak/>
        <w:t>Author(s) hereby declare that NO generative AI technologies such as Large Language Models (</w:t>
      </w:r>
      <w:proofErr w:type="spellStart"/>
      <w:r w:rsidRPr="008B231F">
        <w:rPr>
          <w:rFonts w:ascii="Calibri" w:eastAsia="Calibri" w:hAnsi="Calibri"/>
          <w:b w:val="0"/>
          <w:caps w:val="0"/>
          <w:kern w:val="2"/>
          <w:sz w:val="20"/>
        </w:rPr>
        <w:t>ChatGPT</w:t>
      </w:r>
      <w:proofErr w:type="spellEnd"/>
      <w:r w:rsidRPr="008B231F">
        <w:rPr>
          <w:rFonts w:ascii="Calibri" w:eastAsia="Calibri" w:hAnsi="Calibri"/>
          <w:b w:val="0"/>
          <w:caps w:val="0"/>
          <w:kern w:val="2"/>
          <w:sz w:val="20"/>
        </w:rPr>
        <w:t>, COPILOT, etc.) and text-to-image generators have been used during the writing or editing of this manuscript.</w:t>
      </w:r>
    </w:p>
    <w:p w14:paraId="0171B782" w14:textId="77777777" w:rsidR="00FF0480" w:rsidRDefault="00FF0480" w:rsidP="00FF0480">
      <w:pPr>
        <w:pStyle w:val="ReferHead"/>
        <w:jc w:val="both"/>
        <w:rPr>
          <w:rFonts w:ascii="Arial" w:hAnsi="Arial" w:cs="Arial"/>
          <w:b w:val="0"/>
          <w:caps w:val="0"/>
          <w:sz w:val="20"/>
        </w:rPr>
      </w:pPr>
    </w:p>
    <w:p w14:paraId="02999D91" w14:textId="77777777" w:rsidR="00FF0480" w:rsidRDefault="00FF0480" w:rsidP="00FF0480">
      <w:pPr>
        <w:pStyle w:val="ReferHead"/>
        <w:jc w:val="both"/>
        <w:rPr>
          <w:rFonts w:ascii="Arial" w:hAnsi="Arial" w:cs="Arial"/>
        </w:rPr>
      </w:pPr>
      <w:r w:rsidRPr="00FB3A86">
        <w:rPr>
          <w:rFonts w:ascii="Arial" w:hAnsi="Arial" w:cs="Arial"/>
        </w:rPr>
        <w:t>References</w:t>
      </w:r>
    </w:p>
    <w:p w14:paraId="5A3E8503" w14:textId="77777777" w:rsidR="00110E71" w:rsidRDefault="00110E71" w:rsidP="00110E71">
      <w:pPr>
        <w:pStyle w:val="Body"/>
        <w:numPr>
          <w:ilvl w:val="0"/>
          <w:numId w:val="31"/>
        </w:numPr>
        <w:rPr>
          <w:rFonts w:ascii="Arial" w:hAnsi="Arial" w:cs="Arial"/>
        </w:rPr>
      </w:pPr>
      <w:r>
        <w:t xml:space="preserve">Katiyar, C., Gupta, A., Kanjilal, S., &amp; Katiyar, S. (2012). Drug discovery from plant sources: An integrated approach. </w:t>
      </w:r>
      <w:r w:rsidRPr="00110E71">
        <w:rPr>
          <w:rStyle w:val="Emphasis"/>
          <w:i w:val="0"/>
        </w:rPr>
        <w:t>AYU (An International Quarterly Journal of Research in Ayurveda), 33</w:t>
      </w:r>
      <w:r>
        <w:t xml:space="preserve">(1), 10–19. </w:t>
      </w:r>
      <w:hyperlink r:id="rId20" w:history="1">
        <w:r w:rsidRPr="00311702">
          <w:rPr>
            <w:rStyle w:val="Hyperlink"/>
          </w:rPr>
          <w:t>https://doi.org/10.4103/0974-8520.100295</w:t>
        </w:r>
      </w:hyperlink>
    </w:p>
    <w:p w14:paraId="2B81B86A" w14:textId="77777777" w:rsidR="000D278B" w:rsidRPr="00110E71" w:rsidRDefault="00FF0480" w:rsidP="00110E71">
      <w:pPr>
        <w:pStyle w:val="Body"/>
        <w:numPr>
          <w:ilvl w:val="0"/>
          <w:numId w:val="31"/>
        </w:numPr>
        <w:rPr>
          <w:rFonts w:ascii="Arial" w:hAnsi="Arial" w:cs="Arial"/>
        </w:rPr>
      </w:pPr>
      <w:r w:rsidRPr="00FF0480">
        <w:t>Chinta, S., &amp; Vootla, S. (2018</w:t>
      </w:r>
      <w:r>
        <w:t>a</w:t>
      </w:r>
      <w:r w:rsidRPr="00FF0480">
        <w:t xml:space="preserve">). Screening of organic solvents in a silkworm, an invertebrate animal model. </w:t>
      </w:r>
      <w:r w:rsidRPr="00110E71">
        <w:rPr>
          <w:iCs/>
        </w:rPr>
        <w:t>International Journal of Recent Scientific Research, 9</w:t>
      </w:r>
      <w:r w:rsidRPr="00FF0480">
        <w:t xml:space="preserve">(1), 22981–22985. </w:t>
      </w:r>
      <w:hyperlink r:id="rId21" w:tgtFrame="_new" w:history="1">
        <w:r w:rsidRPr="00110E71">
          <w:rPr>
            <w:color w:val="0000FF"/>
            <w:u w:val="single"/>
          </w:rPr>
          <w:t>https://doi.org/10.24327/ijrsr.2018.0901.1374</w:t>
        </w:r>
      </w:hyperlink>
    </w:p>
    <w:p w14:paraId="2A8C9074" w14:textId="77777777" w:rsidR="00FF0480" w:rsidRPr="00110E71" w:rsidRDefault="00110E71" w:rsidP="00FF0480">
      <w:pPr>
        <w:pStyle w:val="Body"/>
        <w:numPr>
          <w:ilvl w:val="0"/>
          <w:numId w:val="31"/>
        </w:numPr>
        <w:rPr>
          <w:rFonts w:ascii="Arial" w:hAnsi="Arial" w:cs="Arial"/>
        </w:rPr>
      </w:pPr>
      <w:r>
        <w:t xml:space="preserve">Asami, Y., Horie, R., Hamamoto, H., &amp; Sekimizu, K. (2010). Use of silkworms for identification of drug candidates having appropriate pharmacokinetics from plant sources. </w:t>
      </w:r>
      <w:r w:rsidRPr="00110E71">
        <w:rPr>
          <w:rStyle w:val="Emphasis"/>
          <w:i w:val="0"/>
        </w:rPr>
        <w:t>BMC Pharmacology, 10</w:t>
      </w:r>
      <w:r>
        <w:t xml:space="preserve">(1), 7. </w:t>
      </w:r>
      <w:hyperlink r:id="rId22" w:history="1">
        <w:r w:rsidRPr="00311702">
          <w:rPr>
            <w:rStyle w:val="Hyperlink"/>
          </w:rPr>
          <w:t>https://doi.org/10.1186/1471-2210-10-7</w:t>
        </w:r>
      </w:hyperlink>
    </w:p>
    <w:p w14:paraId="6D8E72BA" w14:textId="77777777" w:rsidR="00110E71" w:rsidRPr="00110E71" w:rsidRDefault="00110E71" w:rsidP="00FF0480">
      <w:pPr>
        <w:pStyle w:val="Body"/>
        <w:numPr>
          <w:ilvl w:val="0"/>
          <w:numId w:val="31"/>
        </w:numPr>
        <w:rPr>
          <w:rFonts w:ascii="Arial" w:hAnsi="Arial" w:cs="Arial"/>
        </w:rPr>
      </w:pPr>
      <w:r>
        <w:t xml:space="preserve">Ohno, Y. (2011). Alternatives to animal experiments in pharmacology. </w:t>
      </w:r>
      <w:r w:rsidRPr="00110E71">
        <w:rPr>
          <w:rStyle w:val="Emphasis"/>
          <w:i w:val="0"/>
        </w:rPr>
        <w:t>Nihon Yakurigaku Zasshi. Folia Pharmacologica Japonica,</w:t>
      </w:r>
      <w:r>
        <w:rPr>
          <w:rStyle w:val="Emphasis"/>
        </w:rPr>
        <w:t xml:space="preserve"> 138</w:t>
      </w:r>
      <w:r>
        <w:t xml:space="preserve">(3), 99–102. </w:t>
      </w:r>
      <w:hyperlink r:id="rId23" w:history="1">
        <w:r w:rsidRPr="00311702">
          <w:rPr>
            <w:rStyle w:val="Hyperlink"/>
          </w:rPr>
          <w:t>https://doi.org/10.1254/fpj.138.99</w:t>
        </w:r>
      </w:hyperlink>
    </w:p>
    <w:p w14:paraId="0CD43971" w14:textId="77777777" w:rsidR="00110E71" w:rsidRPr="00110E71" w:rsidRDefault="00110E71" w:rsidP="00110E71">
      <w:pPr>
        <w:pStyle w:val="Body"/>
        <w:numPr>
          <w:ilvl w:val="0"/>
          <w:numId w:val="31"/>
        </w:numPr>
        <w:rPr>
          <w:rFonts w:ascii="Arial" w:hAnsi="Arial" w:cs="Arial"/>
        </w:rPr>
      </w:pPr>
      <w:r>
        <w:t xml:space="preserve">Levy, N. (2012). The use of animal as models: Ethical considerations. </w:t>
      </w:r>
      <w:r w:rsidRPr="00110E71">
        <w:rPr>
          <w:rStyle w:val="Emphasis"/>
          <w:i w:val="0"/>
        </w:rPr>
        <w:t>International Journal of Stroke, 7</w:t>
      </w:r>
      <w:r>
        <w:t xml:space="preserve">(5), 440–442. </w:t>
      </w:r>
      <w:hyperlink r:id="rId24" w:history="1">
        <w:r w:rsidRPr="00311702">
          <w:rPr>
            <w:rStyle w:val="Hyperlink"/>
          </w:rPr>
          <w:t>https://doi.org/10.1111/j.1747-4949.2012.00772.x</w:t>
        </w:r>
      </w:hyperlink>
    </w:p>
    <w:p w14:paraId="44AC5EDF" w14:textId="77777777" w:rsidR="00110E71" w:rsidRPr="00AD05BA" w:rsidRDefault="00110E71" w:rsidP="00AD05BA">
      <w:pPr>
        <w:pStyle w:val="Body"/>
        <w:numPr>
          <w:ilvl w:val="0"/>
          <w:numId w:val="31"/>
        </w:numPr>
        <w:rPr>
          <w:rFonts w:ascii="Arial" w:hAnsi="Arial" w:cs="Arial"/>
        </w:rPr>
      </w:pPr>
      <w:r>
        <w:t xml:space="preserve">Berger, J. (2009). Preclinical testing on insects predicts human haematotoxic potentials. </w:t>
      </w:r>
      <w:r w:rsidRPr="00110E71">
        <w:rPr>
          <w:rStyle w:val="Emphasis"/>
          <w:i w:val="0"/>
        </w:rPr>
        <w:t>Laboratory Animals,</w:t>
      </w:r>
      <w:r>
        <w:rPr>
          <w:rStyle w:val="Emphasis"/>
        </w:rPr>
        <w:t xml:space="preserve"> </w:t>
      </w:r>
      <w:r w:rsidRPr="00AD05BA">
        <w:rPr>
          <w:rStyle w:val="Emphasis"/>
          <w:i w:val="0"/>
        </w:rPr>
        <w:t>43</w:t>
      </w:r>
      <w:r>
        <w:t>(4), 328–332.</w:t>
      </w:r>
      <w:r w:rsidR="00AD05BA" w:rsidRPr="00AD05BA">
        <w:t xml:space="preserve"> </w:t>
      </w:r>
      <w:hyperlink r:id="rId25" w:history="1">
        <w:r w:rsidR="00AD05BA" w:rsidRPr="00311702">
          <w:rPr>
            <w:rStyle w:val="Hyperlink"/>
          </w:rPr>
          <w:t>https://doi.org/10.1258/la.2008.007162</w:t>
        </w:r>
      </w:hyperlink>
    </w:p>
    <w:p w14:paraId="23C05B0B" w14:textId="77777777" w:rsidR="00AD05BA" w:rsidRPr="00AD05BA" w:rsidRDefault="00AD05BA" w:rsidP="00AD05BA">
      <w:pPr>
        <w:pStyle w:val="Body"/>
        <w:numPr>
          <w:ilvl w:val="0"/>
          <w:numId w:val="31"/>
        </w:numPr>
        <w:rPr>
          <w:rFonts w:ascii="Arial" w:hAnsi="Arial" w:cs="Arial"/>
        </w:rPr>
      </w:pPr>
      <w:r>
        <w:t xml:space="preserve">Mahajan-Miklos, S., Tan, M. W., Rahme, L. G., &amp; Ausubel, F. M. (1999). Molecular mechanisms of bacterial virulence elucidated using a </w:t>
      </w:r>
      <w:r w:rsidRPr="00AD05BA">
        <w:rPr>
          <w:i/>
        </w:rPr>
        <w:t>Pseudomonas aeruginosa</w:t>
      </w:r>
      <w:r>
        <w:t>–</w:t>
      </w:r>
      <w:r w:rsidRPr="00AD05BA">
        <w:rPr>
          <w:i/>
        </w:rPr>
        <w:t>Caenorhabditis elegans</w:t>
      </w:r>
      <w:r>
        <w:t xml:space="preserve"> pathogenesis model. </w:t>
      </w:r>
      <w:r w:rsidRPr="00AD05BA">
        <w:rPr>
          <w:rStyle w:val="Emphasis"/>
          <w:i w:val="0"/>
        </w:rPr>
        <w:t>Cell, 96</w:t>
      </w:r>
      <w:r>
        <w:t xml:space="preserve">(1), 47–56. </w:t>
      </w:r>
      <w:hyperlink r:id="rId26" w:history="1">
        <w:r w:rsidRPr="00311702">
          <w:rPr>
            <w:rStyle w:val="Hyperlink"/>
          </w:rPr>
          <w:t>https://doi.org/10.1016/S0092-8674(00)80958-7</w:t>
        </w:r>
      </w:hyperlink>
    </w:p>
    <w:p w14:paraId="25717A28" w14:textId="77777777" w:rsidR="00AD05BA" w:rsidRPr="00AD05BA" w:rsidRDefault="00AD05BA" w:rsidP="00AD05BA">
      <w:pPr>
        <w:pStyle w:val="Body"/>
        <w:numPr>
          <w:ilvl w:val="0"/>
          <w:numId w:val="31"/>
        </w:numPr>
        <w:rPr>
          <w:rFonts w:ascii="Arial" w:hAnsi="Arial" w:cs="Arial"/>
        </w:rPr>
      </w:pPr>
      <w:r>
        <w:t xml:space="preserve">Lemaitre, B., Nicolas, E., Michaut, L., Reichhart, J. M., &amp; Hoffmann, J. A. (1996). The dorsoventral regulatory gene cassette spätzle/Toll/cactus controls the potent antifungal response in Drosophila adults. </w:t>
      </w:r>
      <w:r w:rsidRPr="00AD05BA">
        <w:rPr>
          <w:rStyle w:val="Emphasis"/>
          <w:i w:val="0"/>
        </w:rPr>
        <w:t>Cell, 86</w:t>
      </w:r>
      <w:r>
        <w:t xml:space="preserve">(6), 973–983. </w:t>
      </w:r>
      <w:hyperlink r:id="rId27" w:history="1">
        <w:r w:rsidRPr="00311702">
          <w:rPr>
            <w:rStyle w:val="Hyperlink"/>
          </w:rPr>
          <w:t>https://doi.org/10.1016/S0092-8674(00)80172-5</w:t>
        </w:r>
      </w:hyperlink>
    </w:p>
    <w:p w14:paraId="0D681D1D" w14:textId="77777777" w:rsidR="00AD05BA" w:rsidRPr="004C23FD" w:rsidRDefault="00AD05BA" w:rsidP="004C23FD">
      <w:pPr>
        <w:pStyle w:val="Body"/>
        <w:numPr>
          <w:ilvl w:val="0"/>
          <w:numId w:val="31"/>
        </w:numPr>
        <w:rPr>
          <w:rFonts w:ascii="Arial" w:hAnsi="Arial" w:cs="Arial"/>
        </w:rPr>
      </w:pPr>
      <w:r>
        <w:t xml:space="preserve">Bernal, A., &amp; Kimbrell, D. A. (2000). </w:t>
      </w:r>
      <w:r w:rsidRPr="00D96DE9">
        <w:t>Drosophila Thor</w:t>
      </w:r>
      <w:r>
        <w:t xml:space="preserve"> participates in host immune defense and connects a translational regulator with innate immunity. </w:t>
      </w:r>
      <w:r w:rsidRPr="00AD05BA">
        <w:rPr>
          <w:rStyle w:val="Emphasis"/>
          <w:i w:val="0"/>
        </w:rPr>
        <w:t>Proceedings of the National Academy of Sciences,</w:t>
      </w:r>
      <w:r>
        <w:rPr>
          <w:rStyle w:val="Emphasis"/>
        </w:rPr>
        <w:t xml:space="preserve"> 97</w:t>
      </w:r>
      <w:r>
        <w:t xml:space="preserve">(11), 6019–6024. </w:t>
      </w:r>
      <w:hyperlink r:id="rId28" w:history="1">
        <w:r w:rsidR="004C23FD" w:rsidRPr="00311702">
          <w:rPr>
            <w:rStyle w:val="Hyperlink"/>
          </w:rPr>
          <w:t>https://doi.org/10.1073/pnas.100391597</w:t>
        </w:r>
      </w:hyperlink>
    </w:p>
    <w:p w14:paraId="6E318712" w14:textId="77777777" w:rsidR="004C23FD" w:rsidRPr="004C23FD" w:rsidRDefault="004C23FD" w:rsidP="004C23FD">
      <w:pPr>
        <w:pStyle w:val="Body"/>
        <w:numPr>
          <w:ilvl w:val="0"/>
          <w:numId w:val="31"/>
        </w:numPr>
        <w:rPr>
          <w:rFonts w:ascii="Arial" w:hAnsi="Arial" w:cs="Arial"/>
        </w:rPr>
      </w:pPr>
      <w:r>
        <w:t xml:space="preserve">Johny, S., Lange, C. E., Solter, L. F., </w:t>
      </w:r>
      <w:proofErr w:type="spellStart"/>
      <w:r>
        <w:t>Merisko</w:t>
      </w:r>
      <w:proofErr w:type="spellEnd"/>
      <w:r>
        <w:t xml:space="preserve">, A., &amp; Whitman, D. W. (2007). New insect system for testing antibiotics. </w:t>
      </w:r>
      <w:r w:rsidRPr="004C23FD">
        <w:rPr>
          <w:rStyle w:val="Emphasis"/>
          <w:i w:val="0"/>
        </w:rPr>
        <w:t>Journal of Parasitology, 93</w:t>
      </w:r>
      <w:r>
        <w:t xml:space="preserve">(6), 1505–1511. </w:t>
      </w:r>
      <w:hyperlink r:id="rId29" w:history="1">
        <w:r w:rsidRPr="00311702">
          <w:rPr>
            <w:rStyle w:val="Hyperlink"/>
          </w:rPr>
          <w:t>https://doi.org/10.1645/GE-1213.1</w:t>
        </w:r>
      </w:hyperlink>
    </w:p>
    <w:p w14:paraId="7D17BDD0" w14:textId="77777777" w:rsidR="004C23FD" w:rsidRPr="004C23FD" w:rsidRDefault="004C23FD" w:rsidP="004C23FD">
      <w:pPr>
        <w:pStyle w:val="Body"/>
        <w:numPr>
          <w:ilvl w:val="0"/>
          <w:numId w:val="31"/>
        </w:numPr>
        <w:rPr>
          <w:rFonts w:ascii="Arial" w:hAnsi="Arial" w:cs="Arial"/>
        </w:rPr>
      </w:pPr>
      <w:r>
        <w:t xml:space="preserve">Champion, O. L., Cooper, I. A., James, S. L., Ford, D., </w:t>
      </w:r>
      <w:proofErr w:type="spellStart"/>
      <w:r>
        <w:t>Karlyshev</w:t>
      </w:r>
      <w:proofErr w:type="spellEnd"/>
      <w:r>
        <w:t xml:space="preserve">, A., Wren, B. W., </w:t>
      </w:r>
      <w:r w:rsidRPr="00D96DE9">
        <w:rPr>
          <w:i/>
        </w:rPr>
        <w:t>et al.</w:t>
      </w:r>
      <w:r>
        <w:t xml:space="preserve"> (2009). Galleria mellonella as an alternative infection model for </w:t>
      </w:r>
      <w:r>
        <w:rPr>
          <w:rStyle w:val="Emphasis"/>
        </w:rPr>
        <w:t xml:space="preserve">Yersinia </w:t>
      </w:r>
      <w:r>
        <w:rPr>
          <w:rStyle w:val="Emphasis"/>
        </w:rPr>
        <w:lastRenderedPageBreak/>
        <w:t>pseudotuberculosis</w:t>
      </w:r>
      <w:r>
        <w:t xml:space="preserve">. </w:t>
      </w:r>
      <w:r w:rsidRPr="004C23FD">
        <w:rPr>
          <w:rStyle w:val="Emphasis"/>
          <w:i w:val="0"/>
        </w:rPr>
        <w:t>Microbiology, 155</w:t>
      </w:r>
      <w:r>
        <w:t xml:space="preserve">(5), 1516–1522. </w:t>
      </w:r>
      <w:hyperlink r:id="rId30" w:history="1">
        <w:r w:rsidRPr="00311702">
          <w:rPr>
            <w:rStyle w:val="Hyperlink"/>
          </w:rPr>
          <w:t>https://doi.org/10.1099/mic.0.026823-0</w:t>
        </w:r>
      </w:hyperlink>
    </w:p>
    <w:p w14:paraId="12D9D392" w14:textId="77777777" w:rsidR="004C23FD" w:rsidRPr="004C23FD" w:rsidRDefault="004C23FD" w:rsidP="004C23FD">
      <w:pPr>
        <w:pStyle w:val="Body"/>
        <w:numPr>
          <w:ilvl w:val="0"/>
          <w:numId w:val="31"/>
        </w:numPr>
        <w:rPr>
          <w:rFonts w:ascii="Arial" w:hAnsi="Arial" w:cs="Arial"/>
        </w:rPr>
      </w:pPr>
      <w:r>
        <w:t xml:space="preserve">Dussaubat, C., Brunet, J. L., Higes, M., Colbourne, J. K., Lopez, J., Choi, J. H., </w:t>
      </w:r>
      <w:r w:rsidRPr="00D96DE9">
        <w:rPr>
          <w:i/>
        </w:rPr>
        <w:t>et al.</w:t>
      </w:r>
      <w:r>
        <w:t xml:space="preserve"> (2012). Gut pathology and responses to the microsporidium </w:t>
      </w:r>
      <w:r>
        <w:rPr>
          <w:rStyle w:val="Emphasis"/>
        </w:rPr>
        <w:t>Nosema ceranae</w:t>
      </w:r>
      <w:r>
        <w:t xml:space="preserve"> in the honey bee </w:t>
      </w:r>
      <w:r>
        <w:rPr>
          <w:rStyle w:val="Emphasis"/>
        </w:rPr>
        <w:t>Apis mellifera</w:t>
      </w:r>
      <w:r>
        <w:t xml:space="preserve">. </w:t>
      </w:r>
      <w:r w:rsidRPr="004C23FD">
        <w:rPr>
          <w:rStyle w:val="Emphasis"/>
          <w:i w:val="0"/>
        </w:rPr>
        <w:t>PLOS ONE, 7</w:t>
      </w:r>
      <w:r>
        <w:t xml:space="preserve">(5), e37017. </w:t>
      </w:r>
      <w:hyperlink r:id="rId31" w:history="1">
        <w:r w:rsidRPr="00311702">
          <w:rPr>
            <w:rStyle w:val="Hyperlink"/>
          </w:rPr>
          <w:t>https://doi.org/10.1371/journal.pone.0037017</w:t>
        </w:r>
      </w:hyperlink>
    </w:p>
    <w:p w14:paraId="49963705" w14:textId="77777777" w:rsidR="004C23FD" w:rsidRPr="004C23FD" w:rsidRDefault="004C23FD" w:rsidP="004C23FD">
      <w:pPr>
        <w:pStyle w:val="Body"/>
        <w:numPr>
          <w:ilvl w:val="0"/>
          <w:numId w:val="31"/>
        </w:numPr>
        <w:rPr>
          <w:rFonts w:ascii="Arial" w:hAnsi="Arial" w:cs="Arial"/>
        </w:rPr>
      </w:pPr>
      <w:r>
        <w:t xml:space="preserve">Needham, A. J., </w:t>
      </w:r>
      <w:proofErr w:type="spellStart"/>
      <w:r>
        <w:t>Kibart</w:t>
      </w:r>
      <w:proofErr w:type="spellEnd"/>
      <w:r>
        <w:t xml:space="preserve">, M., Crossley, H., Ingham, P. W., &amp; Foster, S. J. (2004). </w:t>
      </w:r>
      <w:r>
        <w:rPr>
          <w:rStyle w:val="Emphasis"/>
        </w:rPr>
        <w:t>Drosophila melanogaster</w:t>
      </w:r>
      <w:r>
        <w:t xml:space="preserve"> as a model host for </w:t>
      </w:r>
      <w:r>
        <w:rPr>
          <w:rStyle w:val="Emphasis"/>
        </w:rPr>
        <w:t>Staphylococcus aureus</w:t>
      </w:r>
      <w:r>
        <w:t xml:space="preserve"> infection. </w:t>
      </w:r>
      <w:r w:rsidRPr="004C23FD">
        <w:rPr>
          <w:rStyle w:val="Emphasis"/>
          <w:i w:val="0"/>
        </w:rPr>
        <w:t>Microbiology, 150</w:t>
      </w:r>
      <w:r>
        <w:t xml:space="preserve">(7), 2347–2355. </w:t>
      </w:r>
      <w:hyperlink r:id="rId32" w:history="1">
        <w:r w:rsidRPr="00311702">
          <w:rPr>
            <w:rStyle w:val="Hyperlink"/>
          </w:rPr>
          <w:t>https://doi.org/10.1099/mic.0.27116-0</w:t>
        </w:r>
      </w:hyperlink>
    </w:p>
    <w:p w14:paraId="22C99063" w14:textId="77777777" w:rsidR="004C23FD" w:rsidRPr="004C23FD" w:rsidRDefault="004C23FD" w:rsidP="004C23FD">
      <w:pPr>
        <w:pStyle w:val="Body"/>
        <w:numPr>
          <w:ilvl w:val="0"/>
          <w:numId w:val="31"/>
        </w:numPr>
        <w:rPr>
          <w:rFonts w:ascii="Arial" w:hAnsi="Arial" w:cs="Arial"/>
        </w:rPr>
      </w:pPr>
      <w:r>
        <w:t xml:space="preserve">Breger, J., Fuchs, B. B., </w:t>
      </w:r>
      <w:proofErr w:type="spellStart"/>
      <w:r>
        <w:t>Aperis</w:t>
      </w:r>
      <w:proofErr w:type="spellEnd"/>
      <w:r>
        <w:t xml:space="preserve">, G., Moy, T. I., Ausubel, F. M., &amp; Mylonakis, E. (2007). Antifungal chemical compounds identified using a </w:t>
      </w:r>
      <w:r>
        <w:rPr>
          <w:rStyle w:val="Emphasis"/>
        </w:rPr>
        <w:t>C. elegans</w:t>
      </w:r>
      <w:r>
        <w:t xml:space="preserve"> pathogenicity assay. </w:t>
      </w:r>
      <w:r w:rsidRPr="004C23FD">
        <w:rPr>
          <w:rStyle w:val="Emphasis"/>
          <w:i w:val="0"/>
        </w:rPr>
        <w:t>PLOS Pathogens, 3</w:t>
      </w:r>
      <w:r>
        <w:t xml:space="preserve">(2), e18. </w:t>
      </w:r>
      <w:hyperlink r:id="rId33" w:history="1">
        <w:r w:rsidRPr="00311702">
          <w:rPr>
            <w:rStyle w:val="Hyperlink"/>
          </w:rPr>
          <w:t>https://doi.org/10.1371/journal.ppat.0030018</w:t>
        </w:r>
      </w:hyperlink>
    </w:p>
    <w:p w14:paraId="29B4EA14" w14:textId="77777777" w:rsidR="004C23FD" w:rsidRPr="00CE7A63" w:rsidRDefault="00CE7A63" w:rsidP="004C23FD">
      <w:pPr>
        <w:pStyle w:val="Body"/>
        <w:numPr>
          <w:ilvl w:val="0"/>
          <w:numId w:val="31"/>
        </w:numPr>
        <w:rPr>
          <w:rFonts w:ascii="Arial" w:hAnsi="Arial" w:cs="Arial"/>
        </w:rPr>
      </w:pPr>
      <w:r>
        <w:t xml:space="preserve">Tamura, T., Thibert, C., Royer, C., Kanda, T., Eappen, A., Kamba, M., </w:t>
      </w:r>
      <w:r w:rsidRPr="00D96DE9">
        <w:rPr>
          <w:i/>
        </w:rPr>
        <w:t xml:space="preserve">et al. </w:t>
      </w:r>
      <w:r>
        <w:t xml:space="preserve">(2000). Germline transformation of the silkworm </w:t>
      </w:r>
      <w:r>
        <w:rPr>
          <w:rStyle w:val="Emphasis"/>
        </w:rPr>
        <w:t>Bombyx mori</w:t>
      </w:r>
      <w:r>
        <w:t xml:space="preserve"> L. using a piggyBac transposon-derived vector. </w:t>
      </w:r>
      <w:r w:rsidRPr="00CE7A63">
        <w:rPr>
          <w:rStyle w:val="Emphasis"/>
          <w:i w:val="0"/>
        </w:rPr>
        <w:t>Nature Biotechnology, 18</w:t>
      </w:r>
      <w:r>
        <w:t xml:space="preserve">(1), 81–84. </w:t>
      </w:r>
      <w:hyperlink r:id="rId34" w:history="1">
        <w:r w:rsidRPr="00311702">
          <w:rPr>
            <w:rStyle w:val="Hyperlink"/>
          </w:rPr>
          <w:t>https://doi.org/10.1038/71978</w:t>
        </w:r>
      </w:hyperlink>
    </w:p>
    <w:p w14:paraId="1C84B904" w14:textId="77777777" w:rsidR="00CE7A63" w:rsidRPr="00CE7A63" w:rsidRDefault="00CE7A63" w:rsidP="004C23FD">
      <w:pPr>
        <w:pStyle w:val="Body"/>
        <w:numPr>
          <w:ilvl w:val="0"/>
          <w:numId w:val="31"/>
        </w:numPr>
        <w:rPr>
          <w:rFonts w:ascii="Arial" w:hAnsi="Arial" w:cs="Arial"/>
        </w:rPr>
      </w:pPr>
      <w:r>
        <w:t xml:space="preserve">Kaito, C., Akimitsu, N., Watanabe, H., &amp; Sekimizu, K. (2002). Silkworm larvae as an animal model of bacterial infection pathogenic to humans. </w:t>
      </w:r>
      <w:r w:rsidRPr="00CE7A63">
        <w:rPr>
          <w:rStyle w:val="Emphasis"/>
          <w:i w:val="0"/>
        </w:rPr>
        <w:t>Microbial Pathogenesis, 32</w:t>
      </w:r>
      <w:r>
        <w:t xml:space="preserve">(4), 183–190. </w:t>
      </w:r>
      <w:hyperlink r:id="rId35" w:history="1">
        <w:r w:rsidRPr="00311702">
          <w:rPr>
            <w:rStyle w:val="Hyperlink"/>
          </w:rPr>
          <w:t>https://doi.org/10.1006/mpat.2002.0494</w:t>
        </w:r>
      </w:hyperlink>
    </w:p>
    <w:p w14:paraId="2ABA8753" w14:textId="77777777" w:rsidR="00CE7A63" w:rsidRPr="00CE7A63" w:rsidRDefault="00CE7A63" w:rsidP="004C23FD">
      <w:pPr>
        <w:pStyle w:val="Body"/>
        <w:numPr>
          <w:ilvl w:val="0"/>
          <w:numId w:val="31"/>
        </w:numPr>
        <w:rPr>
          <w:rFonts w:ascii="Arial" w:hAnsi="Arial" w:cs="Arial"/>
        </w:rPr>
      </w:pPr>
      <w:r>
        <w:t xml:space="preserve">Hamamoto, H., Kurokawa, K., Kaito, C., Kamura, K., Razanajatovo, I. M., Kusuhara, H., </w:t>
      </w:r>
      <w:r w:rsidRPr="00D96DE9">
        <w:rPr>
          <w:i/>
        </w:rPr>
        <w:t>et al.</w:t>
      </w:r>
      <w:r>
        <w:t xml:space="preserve"> (2004). Quantitative evaluation of the therapeutic effects of antibiotics using silkworms infected with human pathogenic microorganisms. </w:t>
      </w:r>
      <w:r w:rsidRPr="00CE7A63">
        <w:rPr>
          <w:rStyle w:val="Emphasis"/>
          <w:i w:val="0"/>
        </w:rPr>
        <w:t>Antimicrobial Agents and Chemotherapy, 48</w:t>
      </w:r>
      <w:r>
        <w:t xml:space="preserve">(3), 774–779. </w:t>
      </w:r>
      <w:hyperlink r:id="rId36" w:history="1">
        <w:r w:rsidRPr="00311702">
          <w:rPr>
            <w:rStyle w:val="Hyperlink"/>
          </w:rPr>
          <w:t>https://doi.org/10.1128/AAC.48.3.774-779.2004</w:t>
        </w:r>
      </w:hyperlink>
    </w:p>
    <w:p w14:paraId="50E64FD2" w14:textId="77777777" w:rsidR="00CE7A63" w:rsidRPr="00D96DE9" w:rsidRDefault="00D96DE9" w:rsidP="004C23FD">
      <w:pPr>
        <w:pStyle w:val="Body"/>
        <w:numPr>
          <w:ilvl w:val="0"/>
          <w:numId w:val="31"/>
        </w:numPr>
        <w:rPr>
          <w:rFonts w:ascii="Arial" w:hAnsi="Arial" w:cs="Arial"/>
        </w:rPr>
      </w:pPr>
      <w:r>
        <w:t xml:space="preserve">Kaito, C., &amp; Sekimizu, K. (2007). A silkworm model of pathogenic bacterial infection. </w:t>
      </w:r>
      <w:r w:rsidRPr="00D96DE9">
        <w:rPr>
          <w:rStyle w:val="Emphasis"/>
          <w:i w:val="0"/>
        </w:rPr>
        <w:t>Drug Discovery &amp; Therapy, 1</w:t>
      </w:r>
      <w:r>
        <w:t>(2), 89–93.</w:t>
      </w:r>
    </w:p>
    <w:p w14:paraId="2E910EDF" w14:textId="77777777" w:rsidR="00D96DE9" w:rsidRPr="00D96DE9" w:rsidRDefault="00D96DE9" w:rsidP="00D96DE9">
      <w:pPr>
        <w:pStyle w:val="Body"/>
        <w:numPr>
          <w:ilvl w:val="0"/>
          <w:numId w:val="31"/>
        </w:numPr>
        <w:rPr>
          <w:rFonts w:ascii="Arial" w:hAnsi="Arial" w:cs="Arial"/>
        </w:rPr>
      </w:pPr>
      <w:r>
        <w:t>Nwibo, D. D., Hamamoto, H., Matsumoto, Y., Kaito, C., &amp; Sekimizu, K. (2015). Current use of silkworm larvae (</w:t>
      </w:r>
      <w:r>
        <w:rPr>
          <w:rStyle w:val="Emphasis"/>
        </w:rPr>
        <w:t>Bombyx mori</w:t>
      </w:r>
      <w:r>
        <w:t xml:space="preserve">) as an animal model in pharmaco-medical research. </w:t>
      </w:r>
      <w:r w:rsidRPr="00D96DE9">
        <w:rPr>
          <w:rStyle w:val="Emphasis"/>
          <w:i w:val="0"/>
        </w:rPr>
        <w:t>Drug Discoveries &amp; Therapeutics, 9</w:t>
      </w:r>
      <w:r>
        <w:t xml:space="preserve">(2), 133–135. </w:t>
      </w:r>
      <w:hyperlink r:id="rId37" w:history="1">
        <w:r w:rsidRPr="00311702">
          <w:rPr>
            <w:rStyle w:val="Hyperlink"/>
          </w:rPr>
          <w:t>https://doi.org/10.5582/ddt.2015.01026</w:t>
        </w:r>
      </w:hyperlink>
    </w:p>
    <w:p w14:paraId="0DF443DA" w14:textId="77777777" w:rsidR="00D96DE9" w:rsidRDefault="00D96DE9" w:rsidP="00D96DE9">
      <w:pPr>
        <w:pStyle w:val="Body"/>
        <w:numPr>
          <w:ilvl w:val="0"/>
          <w:numId w:val="31"/>
        </w:numPr>
        <w:rPr>
          <w:rFonts w:ascii="Arial" w:hAnsi="Arial" w:cs="Arial"/>
        </w:rPr>
      </w:pPr>
      <w:r w:rsidRPr="00D96DE9">
        <w:rPr>
          <w:rFonts w:ascii="Arial" w:hAnsi="Arial" w:cs="Arial"/>
        </w:rPr>
        <w:t xml:space="preserve">Dutta, P. L., Nath, I., Narzary, P. R., Nitish, G., Sharma, J., Rajah, A., </w:t>
      </w:r>
      <w:r w:rsidRPr="00E33DA3">
        <w:rPr>
          <w:rFonts w:ascii="Arial" w:hAnsi="Arial" w:cs="Arial"/>
          <w:i/>
        </w:rPr>
        <w:t>et al.</w:t>
      </w:r>
      <w:r w:rsidRPr="00D96DE9">
        <w:rPr>
          <w:rFonts w:ascii="Arial" w:hAnsi="Arial" w:cs="Arial"/>
        </w:rPr>
        <w:t xml:space="preserve"> (2025). Global perspective on silk: An economic analysis of international sericulture trade. </w:t>
      </w:r>
      <w:r w:rsidRPr="00D96DE9">
        <w:rPr>
          <w:rFonts w:ascii="Arial" w:hAnsi="Arial" w:cs="Arial"/>
          <w:iCs/>
        </w:rPr>
        <w:t>AATCC Review, 13</w:t>
      </w:r>
      <w:r w:rsidRPr="00D96DE9">
        <w:rPr>
          <w:rFonts w:ascii="Arial" w:hAnsi="Arial" w:cs="Arial"/>
        </w:rPr>
        <w:t xml:space="preserve">(2), 231–238. </w:t>
      </w:r>
      <w:hyperlink r:id="rId38" w:tgtFrame="_new" w:history="1">
        <w:r w:rsidRPr="00D96DE9">
          <w:rPr>
            <w:rStyle w:val="Hyperlink"/>
            <w:rFonts w:ascii="Arial" w:hAnsi="Arial" w:cs="Arial"/>
          </w:rPr>
          <w:t>https://doi.org/10.21276/AATCCReview.2025.13.02.231</w:t>
        </w:r>
      </w:hyperlink>
    </w:p>
    <w:p w14:paraId="6EDBB691" w14:textId="77777777" w:rsidR="00D96DE9" w:rsidRPr="00E33DA3" w:rsidRDefault="00E33DA3" w:rsidP="00D96DE9">
      <w:pPr>
        <w:pStyle w:val="Body"/>
        <w:numPr>
          <w:ilvl w:val="0"/>
          <w:numId w:val="31"/>
        </w:numPr>
        <w:rPr>
          <w:rFonts w:ascii="Arial" w:hAnsi="Arial" w:cs="Arial"/>
        </w:rPr>
      </w:pPr>
      <w:r>
        <w:t xml:space="preserve">Altman, G. H., Diaz, F., Jakuba, C., Calabro, T., Horan, R. L., Chen, J., </w:t>
      </w:r>
      <w:r w:rsidRPr="00E33DA3">
        <w:rPr>
          <w:i/>
        </w:rPr>
        <w:t>et al.</w:t>
      </w:r>
      <w:r>
        <w:t xml:space="preserve"> (2003). Silk-based biomaterials. </w:t>
      </w:r>
      <w:r>
        <w:rPr>
          <w:rStyle w:val="Emphasis"/>
        </w:rPr>
        <w:t>Biomaterials, 24</w:t>
      </w:r>
      <w:r>
        <w:t xml:space="preserve">(3), 401–416. </w:t>
      </w:r>
      <w:hyperlink r:id="rId39" w:history="1">
        <w:r w:rsidRPr="00311702">
          <w:rPr>
            <w:rStyle w:val="Hyperlink"/>
          </w:rPr>
          <w:t>https://doi.org/10.1016/S0142-9612(02)00353-8</w:t>
        </w:r>
      </w:hyperlink>
    </w:p>
    <w:p w14:paraId="7DF7D79A" w14:textId="77777777" w:rsidR="00E33DA3" w:rsidRPr="00E33DA3" w:rsidRDefault="00E33DA3" w:rsidP="00D96DE9">
      <w:pPr>
        <w:pStyle w:val="Body"/>
        <w:numPr>
          <w:ilvl w:val="0"/>
          <w:numId w:val="31"/>
        </w:numPr>
        <w:rPr>
          <w:rFonts w:ascii="Arial" w:hAnsi="Arial" w:cs="Arial"/>
        </w:rPr>
      </w:pPr>
      <w:r>
        <w:t xml:space="preserve">Kato, T., Kajikawa, M., Maenaka, K., &amp; Park, E. Y. (2010). Silkworm expression system as a platform technology in life science. </w:t>
      </w:r>
      <w:r w:rsidRPr="00E33DA3">
        <w:rPr>
          <w:rStyle w:val="Emphasis"/>
          <w:i w:val="0"/>
        </w:rPr>
        <w:t>Applied Microbiology and Biotechnology, 85</w:t>
      </w:r>
      <w:r>
        <w:t xml:space="preserve">(3), 459–470. </w:t>
      </w:r>
      <w:hyperlink r:id="rId40" w:history="1">
        <w:r w:rsidRPr="00311702">
          <w:rPr>
            <w:rStyle w:val="Hyperlink"/>
          </w:rPr>
          <w:t>https://doi.org/10.1007/s00253-009-2267-2</w:t>
        </w:r>
      </w:hyperlink>
    </w:p>
    <w:p w14:paraId="281723C3" w14:textId="77777777" w:rsidR="00E33DA3" w:rsidRPr="00E33DA3" w:rsidRDefault="00E33DA3" w:rsidP="00D96DE9">
      <w:pPr>
        <w:pStyle w:val="Body"/>
        <w:numPr>
          <w:ilvl w:val="0"/>
          <w:numId w:val="31"/>
        </w:numPr>
        <w:rPr>
          <w:rFonts w:ascii="Arial" w:hAnsi="Arial" w:cs="Arial"/>
        </w:rPr>
      </w:pPr>
      <w:r>
        <w:lastRenderedPageBreak/>
        <w:t xml:space="preserve">Panthee, S., Paudel, A., Hamamoto, H., &amp; Sekimizu, K. (2017). Advantages of the silkworm as an animal model for developing novel antimicrobial agents. </w:t>
      </w:r>
      <w:r w:rsidRPr="00E33DA3">
        <w:rPr>
          <w:rStyle w:val="Emphasis"/>
          <w:i w:val="0"/>
        </w:rPr>
        <w:t>Frontiers in Microbiology, 8,</w:t>
      </w:r>
      <w:r>
        <w:t xml:space="preserve"> 373. </w:t>
      </w:r>
      <w:hyperlink r:id="rId41" w:history="1">
        <w:r w:rsidRPr="00311702">
          <w:rPr>
            <w:rStyle w:val="Hyperlink"/>
          </w:rPr>
          <w:t>https://doi.org/10.3389/fmicb.2017.00373</w:t>
        </w:r>
      </w:hyperlink>
    </w:p>
    <w:p w14:paraId="1AC3AA36" w14:textId="77777777" w:rsidR="00E33DA3" w:rsidRPr="00E33DA3" w:rsidRDefault="00E33DA3" w:rsidP="00D96DE9">
      <w:pPr>
        <w:pStyle w:val="Body"/>
        <w:numPr>
          <w:ilvl w:val="0"/>
          <w:numId w:val="31"/>
        </w:numPr>
        <w:rPr>
          <w:rFonts w:ascii="Arial" w:hAnsi="Arial" w:cs="Arial"/>
        </w:rPr>
      </w:pPr>
      <w:r>
        <w:t xml:space="preserve">Sekimizu, N., Paudel, A., &amp; Hamamoto, H. (2012). Animal welfare and use of silkworm as a model animal. </w:t>
      </w:r>
      <w:r w:rsidRPr="00E33DA3">
        <w:rPr>
          <w:rStyle w:val="Emphasis"/>
          <w:i w:val="0"/>
        </w:rPr>
        <w:t>Drug Discoveries &amp; Therapeutics, 6</w:t>
      </w:r>
      <w:r w:rsidRPr="00E33DA3">
        <w:rPr>
          <w:i/>
        </w:rPr>
        <w:t>(</w:t>
      </w:r>
      <w:r>
        <w:t xml:space="preserve">4), 226–229. </w:t>
      </w:r>
      <w:hyperlink r:id="rId42" w:history="1">
        <w:r w:rsidRPr="00311702">
          <w:rPr>
            <w:rStyle w:val="Hyperlink"/>
          </w:rPr>
          <w:t>https://doi.org/10.5582/ddt.2012.v6.4.226</w:t>
        </w:r>
      </w:hyperlink>
    </w:p>
    <w:p w14:paraId="5F65A033" w14:textId="77777777" w:rsidR="00E33DA3" w:rsidRPr="00D04548" w:rsidRDefault="00D04548" w:rsidP="00D96DE9">
      <w:pPr>
        <w:pStyle w:val="Body"/>
        <w:numPr>
          <w:ilvl w:val="0"/>
          <w:numId w:val="31"/>
        </w:numPr>
        <w:rPr>
          <w:rFonts w:ascii="Arial" w:hAnsi="Arial" w:cs="Arial"/>
        </w:rPr>
      </w:pPr>
      <w:r>
        <w:t xml:space="preserve">Kolar, R. (2006). Animal experimentation. </w:t>
      </w:r>
      <w:r w:rsidRPr="00D04548">
        <w:rPr>
          <w:rStyle w:val="Emphasis"/>
          <w:i w:val="0"/>
        </w:rPr>
        <w:t>Science and Engineering Ethics, 12</w:t>
      </w:r>
      <w:r>
        <w:t xml:space="preserve">(1), 111–122. </w:t>
      </w:r>
      <w:hyperlink r:id="rId43" w:history="1">
        <w:r w:rsidRPr="00311702">
          <w:rPr>
            <w:rStyle w:val="Hyperlink"/>
            <w:rFonts w:cs="Helvetica"/>
            <w:shd w:val="clear" w:color="auto" w:fill="FFFFFF"/>
          </w:rPr>
          <w:t>https://doi.org/10.1007/s11948-006-0011-1</w:t>
        </w:r>
      </w:hyperlink>
    </w:p>
    <w:p w14:paraId="58BFA269" w14:textId="77777777" w:rsidR="00D04548" w:rsidRPr="00D04548" w:rsidRDefault="00D04548" w:rsidP="00D96DE9">
      <w:pPr>
        <w:pStyle w:val="Body"/>
        <w:numPr>
          <w:ilvl w:val="0"/>
          <w:numId w:val="31"/>
        </w:numPr>
        <w:rPr>
          <w:rFonts w:ascii="Arial" w:hAnsi="Arial" w:cs="Arial"/>
        </w:rPr>
      </w:pPr>
      <w:r>
        <w:t xml:space="preserve">Flecknell, P. (2002). Replacement, reduction, refinement. </w:t>
      </w:r>
      <w:r w:rsidRPr="00D04548">
        <w:rPr>
          <w:rStyle w:val="Emphasis"/>
          <w:i w:val="0"/>
        </w:rPr>
        <w:t>ALTEX-Alternatives to Animal Experimentation, 19</w:t>
      </w:r>
      <w:r>
        <w:t>(2), 73–78.</w:t>
      </w:r>
    </w:p>
    <w:p w14:paraId="4AC686D6" w14:textId="77777777" w:rsidR="00D04548" w:rsidRPr="00D04548" w:rsidRDefault="00D04548" w:rsidP="00D04548">
      <w:pPr>
        <w:pStyle w:val="Body"/>
        <w:numPr>
          <w:ilvl w:val="0"/>
          <w:numId w:val="31"/>
        </w:numPr>
        <w:rPr>
          <w:rFonts w:ascii="Arial" w:hAnsi="Arial" w:cs="Arial"/>
        </w:rPr>
      </w:pPr>
      <w:r>
        <w:t xml:space="preserve">Ma, J., &amp; Li, W. (2025). The silkworm: A promising invertebrate diabetes model for natural drug discovery. </w:t>
      </w:r>
      <w:r w:rsidRPr="00D04548">
        <w:rPr>
          <w:rStyle w:val="Emphasis"/>
          <w:i w:val="0"/>
        </w:rPr>
        <w:t>Global Health &amp; Medicine,</w:t>
      </w:r>
      <w:r>
        <w:rPr>
          <w:rStyle w:val="Emphasis"/>
        </w:rPr>
        <w:t xml:space="preserve"> 7</w:t>
      </w:r>
      <w:r>
        <w:t xml:space="preserve">(3), 199–210. </w:t>
      </w:r>
      <w:hyperlink r:id="rId44" w:history="1">
        <w:r w:rsidRPr="00311702">
          <w:rPr>
            <w:rStyle w:val="Hyperlink"/>
          </w:rPr>
          <w:t>https://doi.org/10.35772/ghm.2025.01067</w:t>
        </w:r>
      </w:hyperlink>
    </w:p>
    <w:p w14:paraId="3D2FA0C6" w14:textId="77777777" w:rsidR="00D04548" w:rsidRPr="00D04548" w:rsidRDefault="00D04548" w:rsidP="00D04548">
      <w:pPr>
        <w:pStyle w:val="Body"/>
        <w:numPr>
          <w:ilvl w:val="0"/>
          <w:numId w:val="31"/>
        </w:numPr>
        <w:rPr>
          <w:rFonts w:ascii="Arial" w:hAnsi="Arial" w:cs="Arial"/>
        </w:rPr>
      </w:pPr>
      <w:r>
        <w:t xml:space="preserve">Chen, M., Song, J. B., Li, Z. Q., Tang, D. M., Tong, X. L., &amp; Dai, F. Y. (2016). Progress and perspective of silkworm as a model of human diseases for drug screening. </w:t>
      </w:r>
      <w:r w:rsidRPr="00D04548">
        <w:rPr>
          <w:rStyle w:val="Emphasis"/>
          <w:i w:val="0"/>
        </w:rPr>
        <w:t xml:space="preserve">Yao </w:t>
      </w:r>
      <w:proofErr w:type="spellStart"/>
      <w:r w:rsidRPr="00D04548">
        <w:rPr>
          <w:rStyle w:val="Emphasis"/>
          <w:i w:val="0"/>
        </w:rPr>
        <w:t>Xue</w:t>
      </w:r>
      <w:proofErr w:type="spellEnd"/>
      <w:r w:rsidRPr="00D04548">
        <w:rPr>
          <w:rStyle w:val="Emphasis"/>
          <w:i w:val="0"/>
        </w:rPr>
        <w:t xml:space="preserve"> </w:t>
      </w:r>
      <w:proofErr w:type="spellStart"/>
      <w:r w:rsidRPr="00D04548">
        <w:rPr>
          <w:rStyle w:val="Emphasis"/>
          <w:i w:val="0"/>
        </w:rPr>
        <w:t>Xue</w:t>
      </w:r>
      <w:proofErr w:type="spellEnd"/>
      <w:r w:rsidRPr="00D04548">
        <w:rPr>
          <w:rStyle w:val="Emphasis"/>
          <w:i w:val="0"/>
        </w:rPr>
        <w:t xml:space="preserve"> Bao = Acta Pharmaceutica Sinica, 51</w:t>
      </w:r>
      <w:r>
        <w:t>(5), 690–697.</w:t>
      </w:r>
    </w:p>
    <w:p w14:paraId="6737AE62" w14:textId="77777777" w:rsidR="00D04548" w:rsidRPr="00694746" w:rsidRDefault="00694746" w:rsidP="00694746">
      <w:pPr>
        <w:pStyle w:val="Body"/>
        <w:numPr>
          <w:ilvl w:val="0"/>
          <w:numId w:val="31"/>
        </w:numPr>
        <w:rPr>
          <w:rFonts w:ascii="Arial" w:hAnsi="Arial" w:cs="Arial"/>
        </w:rPr>
      </w:pPr>
      <w:r>
        <w:t xml:space="preserve">Meng, X., Zhu, F., &amp; Chen, K. (2017). Silkworm: A promising model organism in life science. </w:t>
      </w:r>
      <w:r w:rsidRPr="00694746">
        <w:rPr>
          <w:rStyle w:val="Emphasis"/>
          <w:i w:val="0"/>
        </w:rPr>
        <w:t>Journal of Insect Science, 17</w:t>
      </w:r>
      <w:r>
        <w:t xml:space="preserve">(5), 97. </w:t>
      </w:r>
      <w:hyperlink r:id="rId45" w:history="1">
        <w:r w:rsidRPr="00311702">
          <w:rPr>
            <w:rStyle w:val="Hyperlink"/>
          </w:rPr>
          <w:t>https://doi.org/10.1093/jisesa/iex064</w:t>
        </w:r>
      </w:hyperlink>
    </w:p>
    <w:p w14:paraId="5E29D95D" w14:textId="77777777" w:rsidR="00694746" w:rsidRPr="00694746" w:rsidRDefault="00694746" w:rsidP="00694746">
      <w:pPr>
        <w:pStyle w:val="Body"/>
        <w:numPr>
          <w:ilvl w:val="0"/>
          <w:numId w:val="31"/>
        </w:numPr>
        <w:rPr>
          <w:rFonts w:ascii="Arial" w:hAnsi="Arial" w:cs="Arial"/>
        </w:rPr>
      </w:pPr>
      <w:r w:rsidRPr="00694746">
        <w:t xml:space="preserve">Xia, Q., Zhou, Z., Lu, C., Cheng, D., Dai, F., Li, B., </w:t>
      </w:r>
      <w:r w:rsidRPr="00694746">
        <w:rPr>
          <w:i/>
        </w:rPr>
        <w:t>et al.</w:t>
      </w:r>
      <w:r w:rsidRPr="00694746">
        <w:t xml:space="preserve"> (2004). A draft sequence for the genome of the domesticated silkworm </w:t>
      </w:r>
      <w:r w:rsidRPr="00694746">
        <w:rPr>
          <w:i/>
          <w:iCs/>
        </w:rPr>
        <w:t>Bombyx mori</w:t>
      </w:r>
      <w:r w:rsidRPr="00694746">
        <w:t xml:space="preserve">. </w:t>
      </w:r>
      <w:r w:rsidRPr="00694746">
        <w:rPr>
          <w:iCs/>
        </w:rPr>
        <w:t>Science, 306</w:t>
      </w:r>
      <w:r w:rsidRPr="00694746">
        <w:t xml:space="preserve">(5703), 1937–1940. </w:t>
      </w:r>
      <w:hyperlink r:id="rId46" w:tgtFrame="_new" w:history="1">
        <w:r w:rsidRPr="00694746">
          <w:rPr>
            <w:color w:val="0000FF"/>
            <w:u w:val="single"/>
          </w:rPr>
          <w:t>https://doi.org/10.1126/science.1102210</w:t>
        </w:r>
      </w:hyperlink>
    </w:p>
    <w:p w14:paraId="0684B6FB" w14:textId="77777777" w:rsidR="00694746" w:rsidRPr="00694746" w:rsidRDefault="00694746" w:rsidP="00694746">
      <w:pPr>
        <w:pStyle w:val="Body"/>
        <w:numPr>
          <w:ilvl w:val="0"/>
          <w:numId w:val="31"/>
        </w:numPr>
        <w:rPr>
          <w:rFonts w:ascii="Arial" w:hAnsi="Arial" w:cs="Arial"/>
        </w:rPr>
      </w:pPr>
      <w:r>
        <w:t xml:space="preserve">International Silkworm Genome Consortium. (2008). The genome of a lepidopteran model insect, the silkworm </w:t>
      </w:r>
      <w:r>
        <w:rPr>
          <w:rStyle w:val="Emphasis"/>
        </w:rPr>
        <w:t>Bombyx mori</w:t>
      </w:r>
      <w:r>
        <w:t xml:space="preserve">. </w:t>
      </w:r>
      <w:r w:rsidRPr="00694746">
        <w:rPr>
          <w:rStyle w:val="Emphasis"/>
          <w:i w:val="0"/>
        </w:rPr>
        <w:t>Insect Biochemistry and Molecular Biology, 38</w:t>
      </w:r>
      <w:r>
        <w:t xml:space="preserve">(12), 1036–1045. </w:t>
      </w:r>
      <w:hyperlink r:id="rId47" w:history="1">
        <w:r w:rsidRPr="00311702">
          <w:rPr>
            <w:rStyle w:val="Hyperlink"/>
          </w:rPr>
          <w:t>https://doi.org/10.1016/j.ibmb.2008.11.004</w:t>
        </w:r>
      </w:hyperlink>
    </w:p>
    <w:p w14:paraId="2C6C67C4" w14:textId="77777777" w:rsidR="00694746" w:rsidRPr="00694746" w:rsidRDefault="00694746" w:rsidP="00694746">
      <w:pPr>
        <w:pStyle w:val="Body"/>
        <w:numPr>
          <w:ilvl w:val="0"/>
          <w:numId w:val="31"/>
        </w:numPr>
        <w:rPr>
          <w:rFonts w:ascii="Arial" w:hAnsi="Arial" w:cs="Arial"/>
        </w:rPr>
      </w:pPr>
      <w:r>
        <w:t xml:space="preserve">Xu, H., &amp; O'Brochta, D. A. (2015). Advanced technologies for genetically manipulating the silkworm </w:t>
      </w:r>
      <w:r>
        <w:rPr>
          <w:rStyle w:val="Emphasis"/>
        </w:rPr>
        <w:t>Bombyx mori</w:t>
      </w:r>
      <w:r>
        <w:t xml:space="preserve">, a model Lepidopteran insect. </w:t>
      </w:r>
      <w:r w:rsidRPr="00694746">
        <w:rPr>
          <w:rStyle w:val="Emphasis"/>
          <w:i w:val="0"/>
        </w:rPr>
        <w:t>Proceedings of the Royal Society B: Biological Sciences, 282</w:t>
      </w:r>
      <w:r>
        <w:t xml:space="preserve">(1810), 20150487. </w:t>
      </w:r>
      <w:hyperlink r:id="rId48" w:history="1">
        <w:r w:rsidRPr="00311702">
          <w:rPr>
            <w:rStyle w:val="Hyperlink"/>
          </w:rPr>
          <w:t>https://doi.org/10.1098/rspb.2015.0487</w:t>
        </w:r>
      </w:hyperlink>
    </w:p>
    <w:p w14:paraId="55D5A6F7" w14:textId="77777777" w:rsidR="00694746" w:rsidRPr="00694746" w:rsidRDefault="00694746" w:rsidP="00694746">
      <w:pPr>
        <w:pStyle w:val="Body"/>
        <w:numPr>
          <w:ilvl w:val="0"/>
          <w:numId w:val="31"/>
        </w:numPr>
        <w:rPr>
          <w:rFonts w:ascii="Arial" w:hAnsi="Arial" w:cs="Arial"/>
        </w:rPr>
      </w:pPr>
      <w:r>
        <w:t xml:space="preserve">Inagaki, Y., Matsumoto, Y., Ishii, M., Uchino, K., Sezutsu, H., &amp; Sekimizu, K. (2015). Fluorescence imaging for a noninvasive in vivo toxicity test using a transgenic silkworm expressing green fluorescent protein. </w:t>
      </w:r>
      <w:r w:rsidRPr="00694746">
        <w:rPr>
          <w:rStyle w:val="Emphasis"/>
          <w:i w:val="0"/>
        </w:rPr>
        <w:t>Scientific Reports, 5</w:t>
      </w:r>
      <w:r>
        <w:t xml:space="preserve">(1), 11180. </w:t>
      </w:r>
      <w:hyperlink r:id="rId49" w:history="1">
        <w:r w:rsidRPr="00311702">
          <w:rPr>
            <w:rStyle w:val="Hyperlink"/>
          </w:rPr>
          <w:t>https://doi.org/10.1038/srep11180</w:t>
        </w:r>
      </w:hyperlink>
    </w:p>
    <w:p w14:paraId="007326A1" w14:textId="77777777" w:rsidR="00694746" w:rsidRPr="00694746" w:rsidRDefault="00694746" w:rsidP="00694746">
      <w:pPr>
        <w:pStyle w:val="Body"/>
        <w:numPr>
          <w:ilvl w:val="0"/>
          <w:numId w:val="31"/>
        </w:numPr>
        <w:rPr>
          <w:rFonts w:ascii="Arial" w:hAnsi="Arial" w:cs="Arial"/>
        </w:rPr>
      </w:pPr>
      <w:r>
        <w:t xml:space="preserve">Sakurai, T., Mitsuno, H., Mikami, A., Uchino, K., Tabuchi, M., Zhang, F., </w:t>
      </w:r>
      <w:r w:rsidRPr="00694746">
        <w:rPr>
          <w:i/>
        </w:rPr>
        <w:t>et al.</w:t>
      </w:r>
      <w:r>
        <w:t xml:space="preserve"> (2015). Targeted disruption of a single sex pheromone receptor gene completely abolishes in vivo pheromone response in the silkmoth. </w:t>
      </w:r>
      <w:r w:rsidRPr="00694746">
        <w:rPr>
          <w:rStyle w:val="Emphasis"/>
          <w:i w:val="0"/>
        </w:rPr>
        <w:t>Scientific Reports, 5</w:t>
      </w:r>
      <w:r>
        <w:t xml:space="preserve">(1), 11001. </w:t>
      </w:r>
      <w:hyperlink r:id="rId50" w:history="1">
        <w:r w:rsidRPr="00311702">
          <w:rPr>
            <w:rStyle w:val="Hyperlink"/>
          </w:rPr>
          <w:t>https://doi.org/10.1038/srep11001</w:t>
        </w:r>
      </w:hyperlink>
    </w:p>
    <w:p w14:paraId="5C9D9A3F" w14:textId="77777777" w:rsidR="00694746" w:rsidRPr="00694746" w:rsidRDefault="00694746" w:rsidP="00694746">
      <w:pPr>
        <w:pStyle w:val="Body"/>
        <w:numPr>
          <w:ilvl w:val="0"/>
          <w:numId w:val="31"/>
        </w:numPr>
        <w:rPr>
          <w:rFonts w:ascii="Arial" w:hAnsi="Arial" w:cs="Arial"/>
        </w:rPr>
      </w:pPr>
      <w:r>
        <w:t xml:space="preserve">Takasu, Y., Kobayashi, I., Tamura, T., Uchino, K., Sezutsu, H., &amp; Zurovec, M. (2016). Precise genome editing in the silkworm </w:t>
      </w:r>
      <w:r>
        <w:rPr>
          <w:rStyle w:val="Emphasis"/>
        </w:rPr>
        <w:t>Bombyx mori</w:t>
      </w:r>
      <w:r>
        <w:t xml:space="preserve"> using TALENs and ds- and ssDNA donors – A practical approach. </w:t>
      </w:r>
      <w:r w:rsidRPr="00694746">
        <w:rPr>
          <w:rStyle w:val="Emphasis"/>
          <w:i w:val="0"/>
        </w:rPr>
        <w:t>Insect Biochemistry and Molecular Biology, 78,</w:t>
      </w:r>
      <w:r>
        <w:t xml:space="preserve"> 29–38. </w:t>
      </w:r>
      <w:hyperlink r:id="rId51" w:history="1">
        <w:r w:rsidRPr="00311702">
          <w:rPr>
            <w:rStyle w:val="Hyperlink"/>
          </w:rPr>
          <w:t>https://doi.org/10.1016/j.ibmb.2016.08.006</w:t>
        </w:r>
      </w:hyperlink>
    </w:p>
    <w:p w14:paraId="25333FBA" w14:textId="77777777" w:rsidR="00694746" w:rsidRPr="003C04F4" w:rsidRDefault="003C04F4" w:rsidP="003C04F4">
      <w:pPr>
        <w:pStyle w:val="Body"/>
        <w:numPr>
          <w:ilvl w:val="0"/>
          <w:numId w:val="31"/>
        </w:numPr>
        <w:rPr>
          <w:rFonts w:ascii="Arial" w:hAnsi="Arial" w:cs="Arial"/>
        </w:rPr>
      </w:pPr>
      <w:r>
        <w:lastRenderedPageBreak/>
        <w:t xml:space="preserve">Hamamoto, H., Tonoike, A., Narushima, K., Horie, R., &amp; Sekimizu, K. (2009). Silkworm as a model animal to evaluate drug candidate toxicity and metabolism. </w:t>
      </w:r>
      <w:r w:rsidRPr="003C04F4">
        <w:rPr>
          <w:rStyle w:val="Emphasis"/>
          <w:i w:val="0"/>
        </w:rPr>
        <w:t>Comparative Biochemistry and Physiology Part C: Toxicology &amp; Pharmacology, 149</w:t>
      </w:r>
      <w:r>
        <w:t xml:space="preserve">(3), 334–339. </w:t>
      </w:r>
      <w:hyperlink r:id="rId52" w:history="1">
        <w:r w:rsidRPr="00311702">
          <w:rPr>
            <w:rStyle w:val="Hyperlink"/>
          </w:rPr>
          <w:t>https://doi.org/10.1016/j.cbpc.2008.08.008</w:t>
        </w:r>
      </w:hyperlink>
    </w:p>
    <w:p w14:paraId="3A208389" w14:textId="77777777" w:rsidR="003C04F4" w:rsidRPr="003C04F4" w:rsidRDefault="003C04F4" w:rsidP="003C04F4">
      <w:pPr>
        <w:pStyle w:val="Body"/>
        <w:numPr>
          <w:ilvl w:val="0"/>
          <w:numId w:val="31"/>
        </w:numPr>
        <w:rPr>
          <w:rFonts w:ascii="Arial" w:hAnsi="Arial" w:cs="Arial"/>
        </w:rPr>
      </w:pPr>
      <w:r>
        <w:t xml:space="preserve">Inagaki, Y., Matsumoto, Y., Kataoka, K., Matsuhashi, N., &amp; Sekimizu, K. (2012). Evaluation of drug-induced tissue injury by measuring alanine aminotransferase (ALT) activity in silkworm hemolymph. </w:t>
      </w:r>
      <w:r w:rsidRPr="003C04F4">
        <w:rPr>
          <w:rStyle w:val="Emphasis"/>
          <w:i w:val="0"/>
        </w:rPr>
        <w:t>BMC Pharmacology and Toxicology, 13</w:t>
      </w:r>
      <w:r>
        <w:t xml:space="preserve">(1), 13. </w:t>
      </w:r>
      <w:hyperlink r:id="rId53" w:history="1">
        <w:r w:rsidRPr="00311702">
          <w:rPr>
            <w:rStyle w:val="Hyperlink"/>
          </w:rPr>
          <w:t>https://doi.org/10.1186/2050-6511-13-13</w:t>
        </w:r>
      </w:hyperlink>
    </w:p>
    <w:p w14:paraId="0C62E4C2" w14:textId="77777777" w:rsidR="003C04F4" w:rsidRPr="003C04F4" w:rsidRDefault="003C04F4" w:rsidP="003C04F4">
      <w:pPr>
        <w:pStyle w:val="Body"/>
        <w:numPr>
          <w:ilvl w:val="0"/>
          <w:numId w:val="31"/>
        </w:numPr>
        <w:rPr>
          <w:rFonts w:ascii="Arial" w:hAnsi="Arial" w:cs="Arial"/>
        </w:rPr>
      </w:pPr>
      <w:r>
        <w:t xml:space="preserve">Miyazaki, S., Matsumoto, Y., Sekimizu, K., &amp; Kaito, C. (2012). Evaluation of </w:t>
      </w:r>
      <w:r>
        <w:rPr>
          <w:rStyle w:val="Emphasis"/>
        </w:rPr>
        <w:t>Staphylococcus aureus</w:t>
      </w:r>
      <w:r>
        <w:t xml:space="preserve"> virulence factors using a silkworm model. </w:t>
      </w:r>
      <w:r w:rsidRPr="003C04F4">
        <w:rPr>
          <w:rStyle w:val="Emphasis"/>
          <w:i w:val="0"/>
        </w:rPr>
        <w:t>FEMS Microbiology Letters, 326</w:t>
      </w:r>
      <w:r>
        <w:t>(2), 116–124.</w:t>
      </w:r>
      <w:r>
        <w:rPr>
          <w:rFonts w:ascii="Arial" w:hAnsi="Arial" w:cs="Arial"/>
        </w:rPr>
        <w:t xml:space="preserve"> </w:t>
      </w:r>
      <w:hyperlink r:id="rId54" w:history="1">
        <w:r w:rsidRPr="00311702">
          <w:rPr>
            <w:rStyle w:val="Hyperlink"/>
          </w:rPr>
          <w:t>https://doi.org/10.1111/j.1574-6968.2011.02439.x</w:t>
        </w:r>
      </w:hyperlink>
    </w:p>
    <w:p w14:paraId="48EE8C9D" w14:textId="77777777" w:rsidR="003C04F4" w:rsidRPr="00722944" w:rsidRDefault="00722944" w:rsidP="00722944">
      <w:pPr>
        <w:pStyle w:val="Body"/>
        <w:numPr>
          <w:ilvl w:val="0"/>
          <w:numId w:val="31"/>
        </w:numPr>
        <w:rPr>
          <w:rFonts w:ascii="Arial" w:hAnsi="Arial" w:cs="Arial"/>
        </w:rPr>
      </w:pPr>
      <w:r>
        <w:t xml:space="preserve">Usui, K., Nishida, S., Sugita, T., Ueki, T., Matsumoto, Y., Okumura, H., &amp; Sekimizu, K. (2016). Acute oral toxicity test of chemical compounds in silkworms. </w:t>
      </w:r>
      <w:r w:rsidRPr="00722944">
        <w:rPr>
          <w:rStyle w:val="Emphasis"/>
          <w:i w:val="0"/>
        </w:rPr>
        <w:t>Drug Discoveries &amp; Therapeutics, 10</w:t>
      </w:r>
      <w:r>
        <w:t xml:space="preserve">(1), 57–61. </w:t>
      </w:r>
      <w:hyperlink r:id="rId55" w:history="1">
        <w:r w:rsidRPr="00311702">
          <w:rPr>
            <w:rStyle w:val="Hyperlink"/>
          </w:rPr>
          <w:t>https://doi.org/10.5582/ddt.2016.01025</w:t>
        </w:r>
      </w:hyperlink>
    </w:p>
    <w:p w14:paraId="02954E56" w14:textId="77777777" w:rsidR="00722944" w:rsidRPr="00722944" w:rsidRDefault="00722944" w:rsidP="00722944">
      <w:pPr>
        <w:pStyle w:val="Body"/>
        <w:numPr>
          <w:ilvl w:val="0"/>
          <w:numId w:val="31"/>
        </w:numPr>
        <w:rPr>
          <w:rFonts w:ascii="Arial" w:hAnsi="Arial" w:cs="Arial"/>
        </w:rPr>
      </w:pPr>
      <w:r>
        <w:t xml:space="preserve">Matsumoto, Y., Ishii, M., Shimizu, K., Kawamoto, S., &amp; Sekimizu, K. (2017). A silkworm infection model to evaluate antifungal drugs for cryptococcosis. </w:t>
      </w:r>
      <w:r>
        <w:rPr>
          <w:rStyle w:val="Emphasis"/>
        </w:rPr>
        <w:t>Medical Mycology Journal, 58</w:t>
      </w:r>
      <w:r>
        <w:t xml:space="preserve">(4), E131–E137. </w:t>
      </w:r>
      <w:hyperlink r:id="rId56" w:history="1">
        <w:r w:rsidRPr="00311702">
          <w:rPr>
            <w:rStyle w:val="Hyperlink"/>
          </w:rPr>
          <w:t>https://doi.org/10.3314/mmj.17.016</w:t>
        </w:r>
      </w:hyperlink>
    </w:p>
    <w:p w14:paraId="34EAF0EA" w14:textId="77777777" w:rsidR="00722944" w:rsidRPr="00722944" w:rsidRDefault="00722944" w:rsidP="00722944">
      <w:pPr>
        <w:pStyle w:val="Body"/>
        <w:numPr>
          <w:ilvl w:val="0"/>
          <w:numId w:val="31"/>
        </w:numPr>
        <w:rPr>
          <w:rFonts w:ascii="Arial" w:hAnsi="Arial" w:cs="Arial"/>
        </w:rPr>
      </w:pPr>
      <w:r>
        <w:t xml:space="preserve">Montali, A., Berini, F., </w:t>
      </w:r>
      <w:proofErr w:type="spellStart"/>
      <w:r>
        <w:t>Saviane</w:t>
      </w:r>
      <w:proofErr w:type="spellEnd"/>
      <w:r>
        <w:t xml:space="preserve">, A., Cappellozza, S., Marinelli, F., &amp; </w:t>
      </w:r>
      <w:proofErr w:type="spellStart"/>
      <w:r>
        <w:t>Tettamanti</w:t>
      </w:r>
      <w:proofErr w:type="spellEnd"/>
      <w:r>
        <w:t xml:space="preserve">, G. (2022). A </w:t>
      </w:r>
      <w:r>
        <w:rPr>
          <w:rStyle w:val="Emphasis"/>
        </w:rPr>
        <w:t>Bombyx mori</w:t>
      </w:r>
      <w:r>
        <w:t xml:space="preserve"> infection model for screening antibiotics against </w:t>
      </w:r>
      <w:r>
        <w:rPr>
          <w:rStyle w:val="Emphasis"/>
        </w:rPr>
        <w:t>Staphylococcus epidermidis</w:t>
      </w:r>
      <w:r>
        <w:t xml:space="preserve">. </w:t>
      </w:r>
      <w:r w:rsidRPr="00722944">
        <w:rPr>
          <w:rStyle w:val="Emphasis"/>
          <w:i w:val="0"/>
        </w:rPr>
        <w:t>Insects, 13</w:t>
      </w:r>
      <w:r>
        <w:t xml:space="preserve">(8), 748. </w:t>
      </w:r>
      <w:hyperlink r:id="rId57" w:history="1">
        <w:r w:rsidRPr="00311702">
          <w:rPr>
            <w:rStyle w:val="Hyperlink"/>
          </w:rPr>
          <w:t>https://doi.org/10.3390/insects13080748</w:t>
        </w:r>
      </w:hyperlink>
    </w:p>
    <w:p w14:paraId="34291947" w14:textId="77777777" w:rsidR="00722944" w:rsidRPr="00AB0CFF" w:rsidRDefault="00722944" w:rsidP="00722944">
      <w:pPr>
        <w:pStyle w:val="Body"/>
        <w:numPr>
          <w:ilvl w:val="0"/>
          <w:numId w:val="31"/>
        </w:numPr>
        <w:rPr>
          <w:rFonts w:ascii="Arial" w:hAnsi="Arial" w:cs="Arial"/>
        </w:rPr>
      </w:pPr>
      <w:r>
        <w:t xml:space="preserve">Matsumoto, Y., Yamazaki, H., Yamasaki, Y., Tateyama, Y., Yamada, T., &amp; Sugita, T. (2020). A novel silkworm infection model with fluorescence imaging using transgenic </w:t>
      </w:r>
      <w:r>
        <w:rPr>
          <w:rStyle w:val="Emphasis"/>
        </w:rPr>
        <w:t>Trichosporon asahii</w:t>
      </w:r>
      <w:r>
        <w:t xml:space="preserve"> expressing eGFP. </w:t>
      </w:r>
      <w:r w:rsidRPr="00AB0CFF">
        <w:rPr>
          <w:rStyle w:val="Emphasis"/>
          <w:i w:val="0"/>
        </w:rPr>
        <w:t>Scientific Reports, 10</w:t>
      </w:r>
      <w:r>
        <w:t>(1), 10991</w:t>
      </w:r>
      <w:r w:rsidR="00AB0CFF">
        <w:t xml:space="preserve">. </w:t>
      </w:r>
      <w:hyperlink r:id="rId58" w:history="1">
        <w:r w:rsidR="00AB0CFF" w:rsidRPr="00311702">
          <w:rPr>
            <w:rStyle w:val="Hyperlink"/>
            <w:rFonts w:ascii="Arial" w:hAnsi="Arial" w:cs="Arial"/>
            <w:shd w:val="clear" w:color="auto" w:fill="FFFFFF"/>
          </w:rPr>
          <w:t>https://doi.org/10.1038/s41598-020-67841-6</w:t>
        </w:r>
      </w:hyperlink>
    </w:p>
    <w:p w14:paraId="27BB8239" w14:textId="77777777" w:rsidR="00AB0CFF" w:rsidRPr="00AB0CFF" w:rsidRDefault="00AB0CFF" w:rsidP="00722944">
      <w:pPr>
        <w:pStyle w:val="Body"/>
        <w:numPr>
          <w:ilvl w:val="0"/>
          <w:numId w:val="31"/>
        </w:numPr>
        <w:rPr>
          <w:rFonts w:ascii="Arial" w:hAnsi="Arial" w:cs="Arial"/>
        </w:rPr>
      </w:pPr>
      <w:r>
        <w:t xml:space="preserve">Sun, H., Saeedi, P., </w:t>
      </w:r>
      <w:proofErr w:type="spellStart"/>
      <w:r>
        <w:t>Karuranga</w:t>
      </w:r>
      <w:proofErr w:type="spellEnd"/>
      <w:r>
        <w:t xml:space="preserve">, S., </w:t>
      </w:r>
      <w:proofErr w:type="spellStart"/>
      <w:r>
        <w:t>Pinkepank</w:t>
      </w:r>
      <w:proofErr w:type="spellEnd"/>
      <w:r>
        <w:t xml:space="preserve">, M., </w:t>
      </w:r>
      <w:proofErr w:type="spellStart"/>
      <w:r>
        <w:t>Ogurtsova</w:t>
      </w:r>
      <w:proofErr w:type="spellEnd"/>
      <w:r>
        <w:t xml:space="preserve">, K., Duncan, B. B., </w:t>
      </w:r>
      <w:r w:rsidRPr="00AB0CFF">
        <w:rPr>
          <w:i/>
        </w:rPr>
        <w:t>et al.</w:t>
      </w:r>
      <w:r>
        <w:t xml:space="preserve"> (2022). IDF Diabetes Atlas: Global, regional and country-level diabetes prevalence estimates for 2021 and projections for 2045. </w:t>
      </w:r>
      <w:r w:rsidRPr="00AB0CFF">
        <w:rPr>
          <w:rStyle w:val="Emphasis"/>
          <w:i w:val="0"/>
        </w:rPr>
        <w:t>Diabetes Research and Clinical Practice, 183</w:t>
      </w:r>
      <w:r w:rsidRPr="00AB0CFF">
        <w:rPr>
          <w:i/>
        </w:rPr>
        <w:t xml:space="preserve">, </w:t>
      </w:r>
      <w:r>
        <w:t xml:space="preserve">109119. </w:t>
      </w:r>
      <w:hyperlink r:id="rId59" w:history="1">
        <w:r w:rsidRPr="00311702">
          <w:rPr>
            <w:rStyle w:val="Hyperlink"/>
          </w:rPr>
          <w:t>https://doi.org/10.1016/j.diabres.2021.109119</w:t>
        </w:r>
      </w:hyperlink>
    </w:p>
    <w:p w14:paraId="5F7F9ED8" w14:textId="77777777" w:rsidR="00AB0CFF" w:rsidRPr="00AB0CFF" w:rsidRDefault="00AB0CFF" w:rsidP="00722944">
      <w:pPr>
        <w:pStyle w:val="Body"/>
        <w:numPr>
          <w:ilvl w:val="0"/>
          <w:numId w:val="31"/>
        </w:numPr>
        <w:rPr>
          <w:rFonts w:ascii="Arial" w:hAnsi="Arial" w:cs="Arial"/>
        </w:rPr>
      </w:pPr>
      <w:r>
        <w:t xml:space="preserve">Stottlemyer, B. A., McDermott, M. C., Minogue, M. R., Gray, M. P., Boyce, R. D., &amp; Kane-Gill, S. L. (2023). Assessing adverse drug reaction reports for antidiabetic medications approved by the Food and Drug Administration between 2012 and 2017: A pharmacovigilance study. </w:t>
      </w:r>
      <w:r w:rsidRPr="00AB0CFF">
        <w:rPr>
          <w:rStyle w:val="Emphasis"/>
          <w:i w:val="0"/>
        </w:rPr>
        <w:t>Therapeutic Advances in Drug Safety, 14</w:t>
      </w:r>
      <w:r w:rsidRPr="00AB0CFF">
        <w:rPr>
          <w:i/>
        </w:rPr>
        <w:t>,</w:t>
      </w:r>
      <w:r>
        <w:t xml:space="preserve"> 20420986231181334. </w:t>
      </w:r>
      <w:hyperlink r:id="rId60" w:history="1">
        <w:r w:rsidRPr="00311702">
          <w:rPr>
            <w:rStyle w:val="Hyperlink"/>
          </w:rPr>
          <w:t>https://doi.org/10.1177/20420986231181334</w:t>
        </w:r>
      </w:hyperlink>
    </w:p>
    <w:p w14:paraId="3DFDB204" w14:textId="77777777" w:rsidR="00AB0CFF" w:rsidRPr="00AB0CFF" w:rsidRDefault="00AB0CFF" w:rsidP="00722944">
      <w:pPr>
        <w:pStyle w:val="Body"/>
        <w:numPr>
          <w:ilvl w:val="0"/>
          <w:numId w:val="31"/>
        </w:numPr>
        <w:rPr>
          <w:rFonts w:ascii="Arial" w:hAnsi="Arial" w:cs="Arial"/>
        </w:rPr>
      </w:pPr>
      <w:r>
        <w:t xml:space="preserve">Nagasawa, H., Kataoka, H., Isogai, A., Tamura, S., Suzuki, A., Ishizaki, H., </w:t>
      </w:r>
      <w:r w:rsidRPr="00AB0CFF">
        <w:rPr>
          <w:i/>
        </w:rPr>
        <w:t>et al.</w:t>
      </w:r>
      <w:r>
        <w:t xml:space="preserve"> (1984). Amino-terminal amino acid sequence of the silkworm prothoracicotropic hormone: Homology with insulin. </w:t>
      </w:r>
      <w:r w:rsidRPr="00AB0CFF">
        <w:rPr>
          <w:rStyle w:val="Emphasis"/>
          <w:i w:val="0"/>
        </w:rPr>
        <w:t>Science, 226</w:t>
      </w:r>
      <w:r>
        <w:t xml:space="preserve">(4680), 1344–1345. </w:t>
      </w:r>
      <w:hyperlink r:id="rId61" w:history="1">
        <w:r w:rsidRPr="00311702">
          <w:rPr>
            <w:rStyle w:val="Hyperlink"/>
          </w:rPr>
          <w:t>https://doi.org/10.1126/science.226.4680.1344</w:t>
        </w:r>
      </w:hyperlink>
    </w:p>
    <w:p w14:paraId="48A30C5C" w14:textId="77777777" w:rsidR="00AB0CFF" w:rsidRPr="00AB0CFF" w:rsidRDefault="00AB0CFF" w:rsidP="00722944">
      <w:pPr>
        <w:pStyle w:val="Body"/>
        <w:numPr>
          <w:ilvl w:val="0"/>
          <w:numId w:val="31"/>
        </w:numPr>
        <w:rPr>
          <w:rFonts w:ascii="Arial" w:hAnsi="Arial" w:cs="Arial"/>
        </w:rPr>
      </w:pPr>
      <w:r>
        <w:t xml:space="preserve">Iwami, M., Kawakami, A., Ishizaki, H., Takahashi, S. Y., Adachi, T., Suzuki, Y., </w:t>
      </w:r>
      <w:r w:rsidRPr="00B123D7">
        <w:rPr>
          <w:i/>
        </w:rPr>
        <w:t>et al.</w:t>
      </w:r>
      <w:r>
        <w:t xml:space="preserve"> (1989). Cloning of a gene encoding bombyxin, an insulin-like brain secretory peptide of the silkmoth </w:t>
      </w:r>
      <w:r>
        <w:rPr>
          <w:rStyle w:val="Emphasis"/>
        </w:rPr>
        <w:t>Bombyx mori</w:t>
      </w:r>
      <w:r>
        <w:t xml:space="preserve"> with prothoracicotropic activity. </w:t>
      </w:r>
      <w:r w:rsidRPr="00AB0CFF">
        <w:rPr>
          <w:rStyle w:val="Emphasis"/>
          <w:i w:val="0"/>
        </w:rPr>
        <w:t>Development, Growth &amp; Differentiation, 31</w:t>
      </w:r>
      <w:r>
        <w:t xml:space="preserve">(1), 31–37. </w:t>
      </w:r>
      <w:hyperlink r:id="rId62" w:history="1">
        <w:r w:rsidRPr="00311702">
          <w:rPr>
            <w:rStyle w:val="Hyperlink"/>
          </w:rPr>
          <w:t>https://doi.org/10.1111/j.1440-169X.1989.00031.x</w:t>
        </w:r>
      </w:hyperlink>
    </w:p>
    <w:p w14:paraId="321DF526" w14:textId="77777777" w:rsidR="00AB0CFF" w:rsidRPr="00B123D7" w:rsidRDefault="00B123D7" w:rsidP="00722944">
      <w:pPr>
        <w:pStyle w:val="Body"/>
        <w:numPr>
          <w:ilvl w:val="0"/>
          <w:numId w:val="31"/>
        </w:numPr>
        <w:rPr>
          <w:rFonts w:ascii="Arial" w:hAnsi="Arial" w:cs="Arial"/>
        </w:rPr>
      </w:pPr>
      <w:r>
        <w:lastRenderedPageBreak/>
        <w:t xml:space="preserve">Matsumoto, Y., Sumiya, E., Sugita, T., &amp; Sekimizu, K. (2011). An invertebrate hyperglycemic model for the identification of anti-diabetic drugs. </w:t>
      </w:r>
      <w:r w:rsidRPr="00B123D7">
        <w:rPr>
          <w:rStyle w:val="Emphasis"/>
          <w:i w:val="0"/>
        </w:rPr>
        <w:t>PLOS ONE, 6</w:t>
      </w:r>
      <w:r>
        <w:t xml:space="preserve">(3), e18292. </w:t>
      </w:r>
      <w:hyperlink r:id="rId63" w:history="1">
        <w:r w:rsidRPr="00311702">
          <w:rPr>
            <w:rStyle w:val="Hyperlink"/>
          </w:rPr>
          <w:t>https://doi.org/10.1371/journal.pone.0018292</w:t>
        </w:r>
      </w:hyperlink>
    </w:p>
    <w:p w14:paraId="42527079" w14:textId="77777777" w:rsidR="00B123D7" w:rsidRPr="00615539" w:rsidRDefault="00615539" w:rsidP="00722944">
      <w:pPr>
        <w:pStyle w:val="Body"/>
        <w:numPr>
          <w:ilvl w:val="0"/>
          <w:numId w:val="31"/>
        </w:numPr>
        <w:rPr>
          <w:rFonts w:ascii="Arial" w:hAnsi="Arial" w:cs="Arial"/>
        </w:rPr>
      </w:pPr>
      <w:r>
        <w:t xml:space="preserve">Matsumoto, Y., &amp; Sekimizu, K. (2016). Evaluation of anti-diabetic drugs by using silkworm, </w:t>
      </w:r>
      <w:r>
        <w:rPr>
          <w:rStyle w:val="Emphasis"/>
        </w:rPr>
        <w:t>Bombyx mori</w:t>
      </w:r>
      <w:r>
        <w:t xml:space="preserve">. </w:t>
      </w:r>
      <w:r w:rsidRPr="00615539">
        <w:rPr>
          <w:rStyle w:val="Emphasis"/>
          <w:i w:val="0"/>
        </w:rPr>
        <w:t>Drug Discoveries &amp; Therapeutics, 10</w:t>
      </w:r>
      <w:r>
        <w:t xml:space="preserve">(1), 19–23. </w:t>
      </w:r>
      <w:hyperlink r:id="rId64" w:history="1">
        <w:r w:rsidRPr="00045985">
          <w:rPr>
            <w:rStyle w:val="Hyperlink"/>
          </w:rPr>
          <w:t>https://doi.org/10.5582/ddt.2016.01017</w:t>
        </w:r>
      </w:hyperlink>
    </w:p>
    <w:p w14:paraId="6FB1983D" w14:textId="77777777" w:rsidR="00615539" w:rsidRPr="00963B23" w:rsidRDefault="00963B23" w:rsidP="00722944">
      <w:pPr>
        <w:pStyle w:val="Body"/>
        <w:numPr>
          <w:ilvl w:val="0"/>
          <w:numId w:val="31"/>
        </w:numPr>
        <w:rPr>
          <w:rFonts w:ascii="Arial" w:hAnsi="Arial" w:cs="Arial"/>
        </w:rPr>
      </w:pPr>
      <w:r>
        <w:t xml:space="preserve">Matsumoto, Y., Ishii, M., Hasegawa, S., &amp; Sekimizu, K. (2019). </w:t>
      </w:r>
      <w:r w:rsidRPr="00963B23">
        <w:rPr>
          <w:i/>
        </w:rPr>
        <w:t>Enterococcus faecalis</w:t>
      </w:r>
      <w:r>
        <w:t xml:space="preserve"> YM0831 suppresses sucrose-induced hyperglycemia in a silkworm model and in humans. </w:t>
      </w:r>
      <w:r w:rsidRPr="00963B23">
        <w:rPr>
          <w:rStyle w:val="Emphasis"/>
          <w:i w:val="0"/>
        </w:rPr>
        <w:t>Communications Biology, 2</w:t>
      </w:r>
      <w:r>
        <w:t xml:space="preserve">(1), 157. </w:t>
      </w:r>
      <w:hyperlink r:id="rId65" w:history="1">
        <w:r w:rsidRPr="00045985">
          <w:rPr>
            <w:rStyle w:val="Hyperlink"/>
          </w:rPr>
          <w:t>https://doi.org/10.1038/s42003-019-0407-5</w:t>
        </w:r>
      </w:hyperlink>
    </w:p>
    <w:p w14:paraId="0B2A448A" w14:textId="77777777" w:rsidR="00963B23" w:rsidRPr="00963B23" w:rsidRDefault="00963B23" w:rsidP="00722944">
      <w:pPr>
        <w:pStyle w:val="Body"/>
        <w:numPr>
          <w:ilvl w:val="0"/>
          <w:numId w:val="31"/>
        </w:numPr>
        <w:rPr>
          <w:rFonts w:ascii="Arial" w:hAnsi="Arial" w:cs="Arial"/>
        </w:rPr>
      </w:pPr>
      <w:r>
        <w:t>Ishii, M., Matsumoto, Y., Katada, T., &amp; Sekimizu, K. (2019). Additive effects of Kothala himbutu (</w:t>
      </w:r>
      <w:r>
        <w:rPr>
          <w:rStyle w:val="Emphasis"/>
        </w:rPr>
        <w:t>Salacia reticulata</w:t>
      </w:r>
      <w:r>
        <w:t>) extract and a lactic acid bacterium (</w:t>
      </w:r>
      <w:r>
        <w:rPr>
          <w:rStyle w:val="Emphasis"/>
        </w:rPr>
        <w:t>Enterococcus faecalis</w:t>
      </w:r>
      <w:r>
        <w:t xml:space="preserve"> YM0831) for suppression of sucrose-induced hyperglycemia in an in vivo silkworm evaluation system. </w:t>
      </w:r>
      <w:r w:rsidRPr="00963B23">
        <w:rPr>
          <w:rStyle w:val="Emphasis"/>
          <w:i w:val="0"/>
        </w:rPr>
        <w:t>Drug Discoveries &amp; Therapeutics, 13</w:t>
      </w:r>
      <w:r>
        <w:t xml:space="preserve">(3), 133–136. </w:t>
      </w:r>
      <w:hyperlink r:id="rId66" w:history="1">
        <w:r w:rsidRPr="00045985">
          <w:rPr>
            <w:rStyle w:val="Hyperlink"/>
          </w:rPr>
          <w:t>https://doi.org/10.5582/ddt.2019.01025</w:t>
        </w:r>
      </w:hyperlink>
    </w:p>
    <w:p w14:paraId="6F9416A8" w14:textId="77777777" w:rsidR="00963B23" w:rsidRPr="00963B23" w:rsidRDefault="00963B23" w:rsidP="00722944">
      <w:pPr>
        <w:pStyle w:val="Body"/>
        <w:numPr>
          <w:ilvl w:val="0"/>
          <w:numId w:val="31"/>
        </w:numPr>
        <w:rPr>
          <w:rFonts w:ascii="Arial" w:hAnsi="Arial" w:cs="Arial"/>
        </w:rPr>
      </w:pPr>
      <w:r>
        <w:t>Tan, C., Chen, H., Li, R., Hou, J., Chen, N., &amp; Qian, L. (2025). Evaluation of hypoglycemic effects of a variety of Chinese herbal medicines based on silkworm (</w:t>
      </w:r>
      <w:r>
        <w:rPr>
          <w:rStyle w:val="Emphasis"/>
        </w:rPr>
        <w:t>Bombyx mori</w:t>
      </w:r>
      <w:r>
        <w:t xml:space="preserve">) model. </w:t>
      </w:r>
      <w:r w:rsidRPr="00963B23">
        <w:rPr>
          <w:rStyle w:val="Emphasis"/>
          <w:i w:val="0"/>
        </w:rPr>
        <w:t>Journal of Biosciences and Medicines, 13</w:t>
      </w:r>
      <w:r>
        <w:t xml:space="preserve">(4), 115–127. </w:t>
      </w:r>
      <w:hyperlink r:id="rId67" w:history="1">
        <w:r w:rsidRPr="00045985">
          <w:rPr>
            <w:rStyle w:val="Hyperlink"/>
          </w:rPr>
          <w:t>https://doi.org/10.4236/jbm.2025.134011</w:t>
        </w:r>
      </w:hyperlink>
    </w:p>
    <w:p w14:paraId="1F361189" w14:textId="77777777" w:rsidR="00963B23" w:rsidRPr="00037055" w:rsidRDefault="00037055" w:rsidP="00722944">
      <w:pPr>
        <w:pStyle w:val="Body"/>
        <w:numPr>
          <w:ilvl w:val="0"/>
          <w:numId w:val="31"/>
        </w:numPr>
        <w:rPr>
          <w:rFonts w:ascii="Arial" w:hAnsi="Arial" w:cs="Arial"/>
        </w:rPr>
      </w:pPr>
      <w:r>
        <w:t xml:space="preserve">Matsumoto, Y., Ishii, M., Hayashi, Y., Miyazaki, S., Sugita, T., Sumiya, E., </w:t>
      </w:r>
      <w:r w:rsidRPr="00B56512">
        <w:rPr>
          <w:i/>
        </w:rPr>
        <w:t>et al.</w:t>
      </w:r>
      <w:r>
        <w:t xml:space="preserve"> (2015). Diabetic silkworms for evaluation of therapeutically effective drugs against type II diabetes. </w:t>
      </w:r>
      <w:r w:rsidRPr="00037055">
        <w:rPr>
          <w:rStyle w:val="Emphasis"/>
          <w:i w:val="0"/>
        </w:rPr>
        <w:t>Scientific Reports, 5</w:t>
      </w:r>
      <w:r w:rsidRPr="00037055">
        <w:rPr>
          <w:i/>
        </w:rPr>
        <w:t>,</w:t>
      </w:r>
      <w:r>
        <w:t xml:space="preserve"> Article 10722. </w:t>
      </w:r>
      <w:hyperlink r:id="rId68" w:history="1">
        <w:r w:rsidRPr="00045985">
          <w:rPr>
            <w:rStyle w:val="Hyperlink"/>
          </w:rPr>
          <w:t>https://doi.org/10.1038/srep10722</w:t>
        </w:r>
      </w:hyperlink>
    </w:p>
    <w:p w14:paraId="784B7AD3" w14:textId="77777777" w:rsidR="00037055" w:rsidRPr="00037055" w:rsidRDefault="00037055" w:rsidP="00722944">
      <w:pPr>
        <w:pStyle w:val="Body"/>
        <w:numPr>
          <w:ilvl w:val="0"/>
          <w:numId w:val="31"/>
        </w:numPr>
        <w:rPr>
          <w:rFonts w:ascii="Arial" w:hAnsi="Arial" w:cs="Arial"/>
        </w:rPr>
      </w:pPr>
      <w:r>
        <w:t xml:space="preserve">Ota, M., Nakazaki, J., Tabuchi, Y., Ono, T., &amp; Makino, T. (2019). Historical and pharmacological studies on rehmannia root processing—Trends in usage and comparison of the immunostimulatory effects of its products with or without steam processing and pretreatment with liquor. </w:t>
      </w:r>
      <w:r w:rsidRPr="00037055">
        <w:rPr>
          <w:rStyle w:val="Emphasis"/>
          <w:i w:val="0"/>
        </w:rPr>
        <w:t>Journal of Ethnopharmacology, 242</w:t>
      </w:r>
      <w:r w:rsidRPr="00037055">
        <w:rPr>
          <w:i/>
        </w:rPr>
        <w:t>,</w:t>
      </w:r>
      <w:r>
        <w:t xml:space="preserve"> 112059. </w:t>
      </w:r>
      <w:hyperlink r:id="rId69" w:history="1">
        <w:r w:rsidRPr="00045985">
          <w:rPr>
            <w:rStyle w:val="Hyperlink"/>
          </w:rPr>
          <w:t>https://doi.org/10.1016/j.jep.2019.112059</w:t>
        </w:r>
      </w:hyperlink>
    </w:p>
    <w:p w14:paraId="02B3EA7D" w14:textId="77777777" w:rsidR="00037055" w:rsidRPr="00037055" w:rsidRDefault="00037055" w:rsidP="00722944">
      <w:pPr>
        <w:pStyle w:val="Body"/>
        <w:numPr>
          <w:ilvl w:val="0"/>
          <w:numId w:val="31"/>
        </w:numPr>
        <w:rPr>
          <w:rFonts w:ascii="Arial" w:hAnsi="Arial" w:cs="Arial"/>
        </w:rPr>
      </w:pPr>
      <w:r>
        <w:t xml:space="preserve">Ishii, M., Matsumoto, Y., &amp; Sekimizu, K. (2018). Bacterial polysaccharides inhibit sucrose-induced hyperglycemia in silkworms. </w:t>
      </w:r>
      <w:r w:rsidRPr="00037055">
        <w:rPr>
          <w:rStyle w:val="Emphasis"/>
          <w:i w:val="0"/>
        </w:rPr>
        <w:t>Drug Discoveries &amp; Therapeutics, 12</w:t>
      </w:r>
      <w:r>
        <w:t xml:space="preserve">(4), 185–188. </w:t>
      </w:r>
      <w:hyperlink r:id="rId70" w:history="1">
        <w:r w:rsidRPr="00045985">
          <w:rPr>
            <w:rStyle w:val="Hyperlink"/>
          </w:rPr>
          <w:t>https://doi.org/10.5582/ddt.2018.01040</w:t>
        </w:r>
      </w:hyperlink>
    </w:p>
    <w:p w14:paraId="4B377E5F" w14:textId="77777777" w:rsidR="00037055" w:rsidRPr="00037055" w:rsidRDefault="00037055" w:rsidP="00722944">
      <w:pPr>
        <w:pStyle w:val="Body"/>
        <w:numPr>
          <w:ilvl w:val="0"/>
          <w:numId w:val="31"/>
        </w:numPr>
        <w:rPr>
          <w:rFonts w:ascii="Arial" w:hAnsi="Arial" w:cs="Arial"/>
        </w:rPr>
      </w:pPr>
      <w:r>
        <w:t xml:space="preserve">Edwards, N. L. (2008). The role of hyperuricemia and gout in kidney and cardiovascular disease. </w:t>
      </w:r>
      <w:r w:rsidRPr="00037055">
        <w:rPr>
          <w:rStyle w:val="Emphasis"/>
          <w:i w:val="0"/>
        </w:rPr>
        <w:t>Cleveland Clinic Journal of Medicine, 75</w:t>
      </w:r>
      <w:r>
        <w:t xml:space="preserve">(5), S13. </w:t>
      </w:r>
    </w:p>
    <w:p w14:paraId="2AF7EEDD" w14:textId="77777777" w:rsidR="00037055" w:rsidRPr="00037055" w:rsidRDefault="00037055" w:rsidP="00722944">
      <w:pPr>
        <w:pStyle w:val="Body"/>
        <w:numPr>
          <w:ilvl w:val="0"/>
          <w:numId w:val="31"/>
        </w:numPr>
        <w:rPr>
          <w:rFonts w:ascii="Arial" w:hAnsi="Arial" w:cs="Arial"/>
        </w:rPr>
      </w:pPr>
      <w:r>
        <w:t xml:space="preserve">Choi, H. K., Mount, D. B., &amp; Reginato, A. M. (2005). Pathogenesis of gout. </w:t>
      </w:r>
      <w:r w:rsidRPr="00037055">
        <w:rPr>
          <w:rStyle w:val="Emphasis"/>
          <w:i w:val="0"/>
        </w:rPr>
        <w:t>Annals of Internal Medicine, 143</w:t>
      </w:r>
      <w:r>
        <w:t xml:space="preserve">(7), 499–516. </w:t>
      </w:r>
      <w:hyperlink r:id="rId71" w:history="1">
        <w:r w:rsidRPr="00045985">
          <w:rPr>
            <w:rStyle w:val="Hyperlink"/>
          </w:rPr>
          <w:t>https://doi.org/10.7326/0003-4819-143-7-200510040-00009</w:t>
        </w:r>
      </w:hyperlink>
    </w:p>
    <w:p w14:paraId="0493516E" w14:textId="77777777" w:rsidR="00037055" w:rsidRPr="00037055" w:rsidRDefault="00037055" w:rsidP="00722944">
      <w:pPr>
        <w:pStyle w:val="Body"/>
        <w:numPr>
          <w:ilvl w:val="0"/>
          <w:numId w:val="31"/>
        </w:numPr>
        <w:rPr>
          <w:rFonts w:ascii="Arial" w:hAnsi="Arial" w:cs="Arial"/>
        </w:rPr>
      </w:pPr>
      <w:r>
        <w:t xml:space="preserve">Zhang, X., Xue, R., Cao, G., Pan, Z., Zheng, X., &amp; Gong, C. (2012). Silkworms can be used as an animal model to screen and evaluate gouty therapeutic drugs. </w:t>
      </w:r>
      <w:r w:rsidRPr="00037055">
        <w:rPr>
          <w:rStyle w:val="Emphasis"/>
          <w:i w:val="0"/>
        </w:rPr>
        <w:t>Journal of Insect Science, 12</w:t>
      </w:r>
      <w:r>
        <w:t xml:space="preserve">(4), 4. </w:t>
      </w:r>
      <w:hyperlink r:id="rId72" w:history="1">
        <w:r w:rsidRPr="00045985">
          <w:rPr>
            <w:rStyle w:val="Hyperlink"/>
          </w:rPr>
          <w:t>https://doi.org/10.1673/031.012.0401</w:t>
        </w:r>
      </w:hyperlink>
    </w:p>
    <w:p w14:paraId="22A7A4D5" w14:textId="77777777" w:rsidR="00037055" w:rsidRPr="00037055" w:rsidRDefault="00037055" w:rsidP="00722944">
      <w:pPr>
        <w:pStyle w:val="Body"/>
        <w:numPr>
          <w:ilvl w:val="0"/>
          <w:numId w:val="31"/>
        </w:numPr>
        <w:rPr>
          <w:rFonts w:ascii="Arial" w:hAnsi="Arial" w:cs="Arial"/>
        </w:rPr>
      </w:pPr>
      <w:r>
        <w:t xml:space="preserve">Lang, S., Hilsabeck, T. A., Wilson, K. A., Sharma, A., Bose, N., Brackman, D. J., </w:t>
      </w:r>
      <w:r w:rsidRPr="00B56512">
        <w:rPr>
          <w:i/>
        </w:rPr>
        <w:t>et al.</w:t>
      </w:r>
      <w:r>
        <w:t xml:space="preserve"> (2019). A conserved role of the insulin-like signaling pathway in diet-dependent uric </w:t>
      </w:r>
      <w:r>
        <w:lastRenderedPageBreak/>
        <w:t xml:space="preserve">acid pathologies in </w:t>
      </w:r>
      <w:r>
        <w:rPr>
          <w:rStyle w:val="Emphasis"/>
        </w:rPr>
        <w:t>Drosophila melanogaster</w:t>
      </w:r>
      <w:r>
        <w:t xml:space="preserve">. </w:t>
      </w:r>
      <w:r w:rsidRPr="00037055">
        <w:rPr>
          <w:rStyle w:val="Emphasis"/>
          <w:i w:val="0"/>
        </w:rPr>
        <w:t>PLoS Genetics, 15</w:t>
      </w:r>
      <w:r>
        <w:t xml:space="preserve">(8), e1008318. </w:t>
      </w:r>
      <w:hyperlink r:id="rId73" w:history="1">
        <w:r w:rsidRPr="00045985">
          <w:rPr>
            <w:rStyle w:val="Hyperlink"/>
          </w:rPr>
          <w:t>https://doi.org/10.1371/journal.pgen.1008318</w:t>
        </w:r>
      </w:hyperlink>
    </w:p>
    <w:p w14:paraId="146B37E1" w14:textId="77777777" w:rsidR="00037055" w:rsidRPr="00037055" w:rsidRDefault="00037055" w:rsidP="00722944">
      <w:pPr>
        <w:pStyle w:val="Body"/>
        <w:numPr>
          <w:ilvl w:val="0"/>
          <w:numId w:val="31"/>
        </w:numPr>
        <w:rPr>
          <w:rFonts w:ascii="Arial" w:hAnsi="Arial" w:cs="Arial"/>
        </w:rPr>
      </w:pPr>
      <w:r>
        <w:t xml:space="preserve">Tang, L., Yang, D., Wang, Y., Yang, X., Chen, K., Luo, X., </w:t>
      </w:r>
      <w:r w:rsidRPr="00B56512">
        <w:rPr>
          <w:i/>
        </w:rPr>
        <w:t>et al.</w:t>
      </w:r>
      <w:r>
        <w:t xml:space="preserve"> (2021). 5′-Nucleotidase plays a key role in uric acid metabolism of </w:t>
      </w:r>
      <w:r>
        <w:rPr>
          <w:rStyle w:val="Emphasis"/>
        </w:rPr>
        <w:t>Bombyx mori</w:t>
      </w:r>
      <w:r>
        <w:t xml:space="preserve">. </w:t>
      </w:r>
      <w:r w:rsidRPr="00037055">
        <w:rPr>
          <w:rStyle w:val="Emphasis"/>
          <w:i w:val="0"/>
        </w:rPr>
        <w:t>Cells, 10</w:t>
      </w:r>
      <w:r>
        <w:t xml:space="preserve">(9), 2243. </w:t>
      </w:r>
      <w:hyperlink r:id="rId74" w:history="1">
        <w:r w:rsidRPr="00045985">
          <w:rPr>
            <w:rStyle w:val="Hyperlink"/>
          </w:rPr>
          <w:t>https://doi.org/10.3390/cells10092243</w:t>
        </w:r>
      </w:hyperlink>
    </w:p>
    <w:p w14:paraId="704B6490" w14:textId="77777777" w:rsidR="00037055" w:rsidRPr="00037055" w:rsidRDefault="00037055" w:rsidP="00037055">
      <w:pPr>
        <w:pStyle w:val="Body"/>
        <w:numPr>
          <w:ilvl w:val="0"/>
          <w:numId w:val="31"/>
        </w:numPr>
        <w:rPr>
          <w:rFonts w:ascii="Arial" w:hAnsi="Arial" w:cs="Arial"/>
        </w:rPr>
      </w:pPr>
      <w:r>
        <w:t xml:space="preserve">Al Hafid, N., &amp; Christodoulou, J. (2015). Phenylketonuria: A review of current and future treatments. </w:t>
      </w:r>
      <w:r w:rsidRPr="00037055">
        <w:rPr>
          <w:rStyle w:val="Emphasis"/>
          <w:i w:val="0"/>
        </w:rPr>
        <w:t>Translational Pediatrics, 4</w:t>
      </w:r>
      <w:r>
        <w:t xml:space="preserve">(4), 304–314. </w:t>
      </w:r>
      <w:hyperlink r:id="rId75" w:history="1">
        <w:r w:rsidRPr="00045985">
          <w:rPr>
            <w:rStyle w:val="Hyperlink"/>
          </w:rPr>
          <w:t>https://doi.org/10.3978/j.issn.2224-4336.2015.10.07</w:t>
        </w:r>
      </w:hyperlink>
    </w:p>
    <w:p w14:paraId="175DE080" w14:textId="77777777" w:rsidR="00037055" w:rsidRPr="00B56512" w:rsidRDefault="00B56512" w:rsidP="00B56512">
      <w:pPr>
        <w:pStyle w:val="Body"/>
        <w:numPr>
          <w:ilvl w:val="0"/>
          <w:numId w:val="31"/>
        </w:numPr>
        <w:rPr>
          <w:rFonts w:ascii="Arial" w:hAnsi="Arial" w:cs="Arial"/>
        </w:rPr>
      </w:pPr>
      <w:r>
        <w:t xml:space="preserve">Blau, N., Bonafé, L., &amp; Thöny, B. (2001). Tetrahydrobiopterin deficiencies without hyperphenylalaninemia: Diagnosis and genetics of dopa-responsive dystonia and sepiapterin reductase deficiency. </w:t>
      </w:r>
      <w:r w:rsidRPr="00B56512">
        <w:rPr>
          <w:rStyle w:val="Emphasis"/>
          <w:i w:val="0"/>
        </w:rPr>
        <w:t>Molecular Genetics and Metabolism, 74</w:t>
      </w:r>
      <w:r>
        <w:t xml:space="preserve">(1-2), 172–185. </w:t>
      </w:r>
      <w:hyperlink r:id="rId76" w:history="1">
        <w:r w:rsidRPr="00045985">
          <w:rPr>
            <w:rStyle w:val="Hyperlink"/>
          </w:rPr>
          <w:t>https://doi.org/10.1006/mgme.2001.3213</w:t>
        </w:r>
      </w:hyperlink>
    </w:p>
    <w:p w14:paraId="077A4F77" w14:textId="77777777" w:rsidR="00B56512" w:rsidRPr="00B56512" w:rsidRDefault="00B56512" w:rsidP="00B56512">
      <w:pPr>
        <w:pStyle w:val="Body"/>
        <w:numPr>
          <w:ilvl w:val="0"/>
          <w:numId w:val="31"/>
        </w:numPr>
        <w:rPr>
          <w:rFonts w:ascii="Arial" w:hAnsi="Arial" w:cs="Arial"/>
        </w:rPr>
      </w:pPr>
      <w:r>
        <w:t xml:space="preserve">Bonafé, L., Thöny, B., Penzien, J. M., Czarnecki, B., &amp; Blau, N. (2001). Mutations in the sepiapterin reductase gene cause a novel tetrahydrobiopterin-dependent monoamine-neurotransmitter deficiency without hyperphenylalaninemia. </w:t>
      </w:r>
      <w:r w:rsidRPr="00B56512">
        <w:rPr>
          <w:rStyle w:val="Emphasis"/>
          <w:i w:val="0"/>
        </w:rPr>
        <w:t>The American Journal of Human Genetics, 69</w:t>
      </w:r>
      <w:r>
        <w:t xml:space="preserve">(2), 269–277. </w:t>
      </w:r>
    </w:p>
    <w:p w14:paraId="7A474E36" w14:textId="77777777" w:rsidR="00B56512" w:rsidRPr="00F35CD1" w:rsidRDefault="00F35CD1" w:rsidP="00B56512">
      <w:pPr>
        <w:pStyle w:val="Body"/>
        <w:numPr>
          <w:ilvl w:val="0"/>
          <w:numId w:val="31"/>
        </w:numPr>
        <w:rPr>
          <w:rFonts w:ascii="Arial" w:hAnsi="Arial" w:cs="Arial"/>
        </w:rPr>
      </w:pPr>
      <w:r>
        <w:t xml:space="preserve">Arrabal, L., Teresa, L., Sánchez-Alcudia, R., Castro, M., Medrano, C., Gutiérrez-Solana, L., </w:t>
      </w:r>
      <w:r w:rsidRPr="00F35CD1">
        <w:rPr>
          <w:i/>
        </w:rPr>
        <w:t>et al.</w:t>
      </w:r>
      <w:r>
        <w:t xml:space="preserve"> (2011). Genotype–phenotype correlations in sepiapterin reductase deficiency: A splicing defect accounts for a new phenotypic variant. </w:t>
      </w:r>
      <w:r w:rsidRPr="00F35CD1">
        <w:rPr>
          <w:rStyle w:val="Emphasis"/>
          <w:i w:val="0"/>
        </w:rPr>
        <w:t>Neurogenetics, 12</w:t>
      </w:r>
      <w:r>
        <w:t xml:space="preserve">(3), 183–191. </w:t>
      </w:r>
      <w:hyperlink r:id="rId77" w:history="1">
        <w:r w:rsidRPr="00045985">
          <w:rPr>
            <w:rStyle w:val="Hyperlink"/>
            <w:rFonts w:cs="Helvetica"/>
            <w:shd w:val="clear" w:color="auto" w:fill="FFFFFF"/>
          </w:rPr>
          <w:t>https://doi.org/10.1007/s10048-011-0279-4</w:t>
        </w:r>
      </w:hyperlink>
    </w:p>
    <w:p w14:paraId="1C90607C" w14:textId="77777777" w:rsidR="00F35CD1" w:rsidRPr="00F35CD1" w:rsidRDefault="00F35CD1" w:rsidP="00B56512">
      <w:pPr>
        <w:pStyle w:val="Body"/>
        <w:numPr>
          <w:ilvl w:val="0"/>
          <w:numId w:val="31"/>
        </w:numPr>
        <w:rPr>
          <w:rFonts w:ascii="Arial" w:hAnsi="Arial" w:cs="Arial"/>
        </w:rPr>
      </w:pPr>
      <w:r>
        <w:t xml:space="preserve">Neville, B. G. R., Parascandalo, R., Farrugia, R., &amp; Felice, A. (2005). Sepiapterin reductase deficiency: A congenital dopa-responsive motor and cognitive disorder. </w:t>
      </w:r>
      <w:r>
        <w:rPr>
          <w:rStyle w:val="Emphasis"/>
        </w:rPr>
        <w:t>Brain, 128</w:t>
      </w:r>
      <w:r>
        <w:t xml:space="preserve">(10), 2291–2296. </w:t>
      </w:r>
      <w:hyperlink r:id="rId78" w:history="1">
        <w:r w:rsidRPr="00045985">
          <w:rPr>
            <w:rStyle w:val="Hyperlink"/>
          </w:rPr>
          <w:t>https://doi.org/10.1093/brain/awh603</w:t>
        </w:r>
      </w:hyperlink>
    </w:p>
    <w:p w14:paraId="69D23A0E" w14:textId="77777777" w:rsidR="00F35CD1" w:rsidRPr="00F35CD1" w:rsidRDefault="00F35CD1" w:rsidP="00B56512">
      <w:pPr>
        <w:pStyle w:val="Body"/>
        <w:numPr>
          <w:ilvl w:val="0"/>
          <w:numId w:val="31"/>
        </w:numPr>
        <w:rPr>
          <w:rFonts w:ascii="Arial" w:hAnsi="Arial" w:cs="Arial"/>
        </w:rPr>
      </w:pPr>
      <w:r>
        <w:t xml:space="preserve">Khan, S. R., Pearle, M. S., Robertson, W. G., Gambaro, G., Canales, B. K., </w:t>
      </w:r>
      <w:proofErr w:type="spellStart"/>
      <w:r>
        <w:t>Doizi</w:t>
      </w:r>
      <w:proofErr w:type="spellEnd"/>
      <w:r>
        <w:t xml:space="preserve">, S., </w:t>
      </w:r>
      <w:r w:rsidRPr="00F35CD1">
        <w:rPr>
          <w:i/>
        </w:rPr>
        <w:t>et al.</w:t>
      </w:r>
      <w:r>
        <w:t xml:space="preserve"> (2016). Kidney stones. </w:t>
      </w:r>
      <w:r w:rsidRPr="00F35CD1">
        <w:rPr>
          <w:rStyle w:val="Emphasis"/>
          <w:i w:val="0"/>
        </w:rPr>
        <w:t>Nature Reviews Disease Primers, 2</w:t>
      </w:r>
      <w:r>
        <w:t xml:space="preserve">(1), 1–23. </w:t>
      </w:r>
      <w:hyperlink r:id="rId79" w:history="1">
        <w:r w:rsidRPr="00045985">
          <w:rPr>
            <w:rStyle w:val="Hyperlink"/>
            <w:rFonts w:ascii="Arial" w:hAnsi="Arial" w:cs="Arial"/>
            <w:shd w:val="clear" w:color="auto" w:fill="FFFFFF"/>
          </w:rPr>
          <w:t>https://doi.org/10.1038/nrdp.2016.8</w:t>
        </w:r>
      </w:hyperlink>
    </w:p>
    <w:p w14:paraId="410A1017" w14:textId="77777777" w:rsidR="00F35CD1" w:rsidRPr="00F35CD1" w:rsidRDefault="00F35CD1" w:rsidP="00F35CD1">
      <w:pPr>
        <w:pStyle w:val="Body"/>
        <w:numPr>
          <w:ilvl w:val="0"/>
          <w:numId w:val="31"/>
        </w:numPr>
        <w:rPr>
          <w:rFonts w:ascii="Arial" w:hAnsi="Arial" w:cs="Arial"/>
        </w:rPr>
      </w:pPr>
      <w:r>
        <w:t xml:space="preserve">Wong, Y., Cook, P., Roderick, P., &amp; Somani, B. K. (2016). Metabolic syndrome and kidney stone disease: A systematic review of literature. </w:t>
      </w:r>
      <w:r w:rsidRPr="00F35CD1">
        <w:rPr>
          <w:rStyle w:val="Emphasis"/>
          <w:i w:val="0"/>
        </w:rPr>
        <w:t>Journal of Endourology, 30</w:t>
      </w:r>
      <w:r>
        <w:t xml:space="preserve">(3), 246–253. </w:t>
      </w:r>
      <w:hyperlink r:id="rId80" w:history="1">
        <w:r w:rsidRPr="00045985">
          <w:rPr>
            <w:rStyle w:val="Hyperlink"/>
          </w:rPr>
          <w:t>https://doi.org/10.1089/end.2015.0567</w:t>
        </w:r>
      </w:hyperlink>
    </w:p>
    <w:p w14:paraId="3A181680" w14:textId="77777777" w:rsidR="00F35CD1" w:rsidRPr="00F35CD1" w:rsidRDefault="00F35CD1" w:rsidP="00F35CD1">
      <w:pPr>
        <w:pStyle w:val="Body"/>
        <w:numPr>
          <w:ilvl w:val="0"/>
          <w:numId w:val="31"/>
        </w:numPr>
        <w:rPr>
          <w:rFonts w:ascii="Arial" w:hAnsi="Arial" w:cs="Arial"/>
        </w:rPr>
      </w:pPr>
      <w:r>
        <w:t xml:space="preserve">Stamatelou, K., &amp; Goldfarb, D. S. (2023). Epidemiology of kidney stones. </w:t>
      </w:r>
      <w:r w:rsidRPr="00F35CD1">
        <w:rPr>
          <w:rStyle w:val="Emphasis"/>
          <w:i w:val="0"/>
        </w:rPr>
        <w:t>Healthcare, 11</w:t>
      </w:r>
      <w:r>
        <w:t xml:space="preserve">(3), 424. </w:t>
      </w:r>
      <w:hyperlink r:id="rId81" w:history="1">
        <w:r w:rsidRPr="00045985">
          <w:rPr>
            <w:rStyle w:val="Hyperlink"/>
          </w:rPr>
          <w:t>https://doi.org/10.3390/healthcare11030424</w:t>
        </w:r>
      </w:hyperlink>
    </w:p>
    <w:p w14:paraId="492405AA" w14:textId="77777777" w:rsidR="00F35CD1" w:rsidRPr="003A14E6" w:rsidRDefault="003A14E6" w:rsidP="00F35CD1">
      <w:pPr>
        <w:pStyle w:val="Body"/>
        <w:numPr>
          <w:ilvl w:val="0"/>
          <w:numId w:val="31"/>
        </w:numPr>
        <w:rPr>
          <w:rFonts w:ascii="Arial" w:hAnsi="Arial" w:cs="Arial"/>
        </w:rPr>
      </w:pPr>
      <w:r>
        <w:t xml:space="preserve">Ashraf, H., &amp; Qamar, A. (2023). </w:t>
      </w:r>
      <w:r>
        <w:rPr>
          <w:rStyle w:val="Emphasis"/>
        </w:rPr>
        <w:t>Silkworm Bombyx mori</w:t>
      </w:r>
      <w:r>
        <w:t xml:space="preserve"> as a model organism: A review. </w:t>
      </w:r>
      <w:r w:rsidRPr="003A14E6">
        <w:rPr>
          <w:rStyle w:val="Emphasis"/>
          <w:i w:val="0"/>
        </w:rPr>
        <w:t>Physiological Entomology, 48</w:t>
      </w:r>
      <w:r w:rsidRPr="003A14E6">
        <w:t>(</w:t>
      </w:r>
      <w:r>
        <w:t xml:space="preserve">4), 107–121. </w:t>
      </w:r>
      <w:hyperlink r:id="rId82" w:history="1">
        <w:r w:rsidRPr="00045985">
          <w:rPr>
            <w:rStyle w:val="Hyperlink"/>
          </w:rPr>
          <w:t>https://doi.org/10.1111/phen.12421</w:t>
        </w:r>
      </w:hyperlink>
    </w:p>
    <w:p w14:paraId="05FA2A72" w14:textId="77777777" w:rsidR="003A14E6" w:rsidRPr="00F20853" w:rsidRDefault="00F20853" w:rsidP="00F20853">
      <w:pPr>
        <w:pStyle w:val="Body"/>
        <w:numPr>
          <w:ilvl w:val="0"/>
          <w:numId w:val="31"/>
        </w:numPr>
        <w:rPr>
          <w:rFonts w:ascii="Arial" w:hAnsi="Arial" w:cs="Arial"/>
        </w:rPr>
      </w:pPr>
      <w:r>
        <w:t xml:space="preserve">Chinta, S., &amp; Vootla, S. K. (2018b). Pharmacokinetic evaluation of ofloxacin in an invertebrate animal model silkworm, </w:t>
      </w:r>
      <w:r>
        <w:rPr>
          <w:rStyle w:val="Emphasis"/>
        </w:rPr>
        <w:t>Bombyx mori</w:t>
      </w:r>
      <w:r>
        <w:t xml:space="preserve">. </w:t>
      </w:r>
      <w:r w:rsidRPr="00F20853">
        <w:rPr>
          <w:rStyle w:val="Emphasis"/>
          <w:i w:val="0"/>
        </w:rPr>
        <w:t>Applied In Vitro Toxicology, 4</w:t>
      </w:r>
      <w:r>
        <w:t xml:space="preserve">(1), 61–68. </w:t>
      </w:r>
      <w:hyperlink r:id="rId83" w:history="1">
        <w:r w:rsidRPr="00045985">
          <w:rPr>
            <w:rStyle w:val="Hyperlink"/>
          </w:rPr>
          <w:t>https://doi.org/10.1089/aivt.2017.0016</w:t>
        </w:r>
      </w:hyperlink>
    </w:p>
    <w:p w14:paraId="693B092A" w14:textId="77777777" w:rsidR="00F20853" w:rsidRPr="0014506A" w:rsidRDefault="00E15E73" w:rsidP="0014506A">
      <w:pPr>
        <w:pStyle w:val="Body"/>
        <w:numPr>
          <w:ilvl w:val="0"/>
          <w:numId w:val="31"/>
        </w:numPr>
        <w:rPr>
          <w:rFonts w:ascii="Arial" w:hAnsi="Arial" w:cs="Arial"/>
        </w:rPr>
      </w:pPr>
      <w:r>
        <w:t xml:space="preserve">Fujiyuki, T., Imamura, K., Hamamoto, H., &amp; Sekimizu, K. (2010). Evaluation of therapeutic effects and pharmacokinetics of antibacterial chromogenic agents in a silkworm model of </w:t>
      </w:r>
      <w:r>
        <w:rPr>
          <w:rStyle w:val="Emphasis"/>
        </w:rPr>
        <w:t>Staphylococcus aureus</w:t>
      </w:r>
      <w:r>
        <w:t xml:space="preserve"> infection</w:t>
      </w:r>
      <w:r w:rsidRPr="00E15E73">
        <w:rPr>
          <w:i/>
        </w:rPr>
        <w:t xml:space="preserve">. </w:t>
      </w:r>
      <w:r w:rsidRPr="00E15E73">
        <w:rPr>
          <w:rStyle w:val="Emphasis"/>
          <w:i w:val="0"/>
        </w:rPr>
        <w:t>Drug Discoveries &amp; Therapeutics, 4</w:t>
      </w:r>
      <w:r w:rsidRPr="00E15E73">
        <w:rPr>
          <w:i/>
        </w:rPr>
        <w:t>(</w:t>
      </w:r>
      <w:r>
        <w:t>5), 349–354.</w:t>
      </w:r>
    </w:p>
    <w:p w14:paraId="18DB817A" w14:textId="77777777" w:rsidR="004D4277" w:rsidRPr="00FB3A86" w:rsidRDefault="004D4277" w:rsidP="00441B6F">
      <w:pPr>
        <w:pStyle w:val="Appendix"/>
        <w:spacing w:after="0"/>
        <w:jc w:val="both"/>
        <w:rPr>
          <w:rFonts w:ascii="Arial" w:hAnsi="Arial" w:cs="Arial"/>
          <w:b w:val="0"/>
        </w:rPr>
        <w:sectPr w:rsidR="004D4277" w:rsidRPr="00FB3A86" w:rsidSect="00517E43">
          <w:type w:val="continuous"/>
          <w:pgSz w:w="12240" w:h="15840"/>
          <w:pgMar w:top="1440" w:right="2016" w:bottom="2016" w:left="2016" w:header="720" w:footer="1123" w:gutter="0"/>
          <w:cols w:space="720"/>
          <w:docGrid w:linePitch="272"/>
        </w:sectPr>
      </w:pPr>
    </w:p>
    <w:p w14:paraId="3802EA68" w14:textId="77777777" w:rsidR="00B01FCD" w:rsidRPr="00FB3A86" w:rsidRDefault="00B01FCD" w:rsidP="00441B6F">
      <w:pPr>
        <w:pStyle w:val="Appendix"/>
        <w:spacing w:after="0"/>
        <w:jc w:val="both"/>
        <w:rPr>
          <w:rFonts w:ascii="Arial" w:hAnsi="Arial" w:cs="Arial"/>
          <w:b w:val="0"/>
        </w:rPr>
      </w:pPr>
    </w:p>
    <w:sectPr w:rsidR="00B01FCD" w:rsidRPr="00FB3A86" w:rsidSect="00517E43">
      <w:type w:val="continuous"/>
      <w:pgSz w:w="12240" w:h="15840"/>
      <w:pgMar w:top="1440" w:right="2016" w:bottom="2016" w:left="2016"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B59E78E" w14:textId="77777777" w:rsidR="00A1702B" w:rsidRDefault="00A1702B" w:rsidP="00C37E61">
      <w:r>
        <w:separator/>
      </w:r>
    </w:p>
  </w:endnote>
  <w:endnote w:type="continuationSeparator" w:id="0">
    <w:p w14:paraId="48EF4A41" w14:textId="77777777" w:rsidR="00A1702B" w:rsidRDefault="00A1702B"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64D222" w14:textId="77777777" w:rsidR="00517E43" w:rsidRDefault="00517E4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A738C6" w14:textId="77777777" w:rsidR="00517E43" w:rsidRDefault="00517E4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6E5FD3" w14:textId="6377F80C" w:rsidR="00615539" w:rsidRPr="00D613CD" w:rsidRDefault="00615539" w:rsidP="00D613C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DD79B9" w14:textId="77777777" w:rsidR="00615539" w:rsidRPr="00C37E61" w:rsidRDefault="00615539"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D187398" w14:textId="77777777" w:rsidR="00A1702B" w:rsidRDefault="00A1702B" w:rsidP="00C37E61">
      <w:r>
        <w:separator/>
      </w:r>
    </w:p>
  </w:footnote>
  <w:footnote w:type="continuationSeparator" w:id="0">
    <w:p w14:paraId="5A2F866D" w14:textId="77777777" w:rsidR="00A1702B" w:rsidRDefault="00A1702B"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DFB54B" w14:textId="0EFE3391" w:rsidR="00517E43" w:rsidRDefault="00A1702B">
    <w:pPr>
      <w:pStyle w:val="Header"/>
    </w:pPr>
    <w:r>
      <w:rPr>
        <w:noProof/>
      </w:rPr>
      <w:pict w14:anchorId="605744F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130860"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DA5FB1" w14:textId="58A53826" w:rsidR="00517E43" w:rsidRDefault="00A1702B">
    <w:pPr>
      <w:pStyle w:val="Header"/>
    </w:pPr>
    <w:r>
      <w:rPr>
        <w:noProof/>
      </w:rPr>
      <w:pict w14:anchorId="6A0B902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130861"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1061F9" w14:textId="4ED7A2C2" w:rsidR="00615539" w:rsidRPr="00296529" w:rsidRDefault="00A1702B" w:rsidP="00296529">
    <w:pPr>
      <w:ind w:left="2160"/>
      <w:jc w:val="center"/>
      <w:rPr>
        <w:rFonts w:ascii="Times New Roman" w:eastAsia="Calibri" w:hAnsi="Times New Roman"/>
        <w:i/>
        <w:sz w:val="18"/>
        <w:szCs w:val="22"/>
      </w:rPr>
    </w:pPr>
    <w:r>
      <w:rPr>
        <w:noProof/>
      </w:rPr>
      <w:pict w14:anchorId="7F8FE88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130859"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638B692B" w14:textId="77777777" w:rsidR="00615539" w:rsidRPr="00296529" w:rsidRDefault="00615539" w:rsidP="00296529">
    <w:pPr>
      <w:ind w:left="4320"/>
      <w:rPr>
        <w:rFonts w:ascii="Times New Roman" w:eastAsia="Calibri" w:hAnsi="Times New Roman"/>
        <w:i/>
        <w:sz w:val="18"/>
        <w:szCs w:val="22"/>
      </w:rPr>
    </w:pPr>
    <w:r>
      <w:rPr>
        <w:rFonts w:ascii="Times New Roman" w:eastAsia="Calibri" w:hAnsi="Times New Roman"/>
        <w:i/>
        <w:sz w:val="18"/>
        <w:szCs w:val="22"/>
      </w:rPr>
      <w:t>.</w:t>
    </w:r>
    <w:r w:rsidRPr="00296529">
      <w:rPr>
        <w:rFonts w:ascii="Times New Roman" w:eastAsia="Calibri" w:hAnsi="Times New Roman"/>
        <w:i/>
        <w:sz w:val="18"/>
        <w:szCs w:val="22"/>
      </w:rPr>
      <w:t xml:space="preserve">     </w:t>
    </w:r>
  </w:p>
  <w:p w14:paraId="764E8882" w14:textId="77777777" w:rsidR="00615539" w:rsidRPr="00296529" w:rsidRDefault="00615539" w:rsidP="00296529">
    <w:pPr>
      <w:jc w:val="center"/>
      <w:rPr>
        <w:rFonts w:ascii="Times New Roman" w:eastAsia="Calibri" w:hAnsi="Times New Roman"/>
        <w:i/>
        <w:sz w:val="18"/>
        <w:szCs w:val="22"/>
      </w:rPr>
    </w:pPr>
    <w:r>
      <w:rPr>
        <w:rFonts w:ascii="Times New Roman" w:eastAsia="Calibri" w:hAnsi="Times New Roman"/>
        <w:i/>
        <w:sz w:val="18"/>
        <w:szCs w:val="22"/>
      </w:rPr>
      <w:t>.</w:t>
    </w:r>
  </w:p>
  <w:p w14:paraId="3DD7E707" w14:textId="77777777" w:rsidR="00615539" w:rsidRPr="00296529" w:rsidRDefault="0061553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1EC6BE81" w14:textId="77777777" w:rsidR="00615539" w:rsidRDefault="0061553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49870EDD" w14:textId="77777777" w:rsidR="00615539" w:rsidRDefault="0061553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14:paraId="5D52105F" w14:textId="77777777" w:rsidR="00615539" w:rsidRDefault="00615539">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16A6DB" w14:textId="536404C3" w:rsidR="00517E43" w:rsidRDefault="00A1702B">
    <w:pPr>
      <w:pStyle w:val="Header"/>
    </w:pPr>
    <w:r>
      <w:rPr>
        <w:noProof/>
      </w:rPr>
      <w:pict w14:anchorId="482BCCF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130863" o:spid="_x0000_s2053"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90509D" w14:textId="20652191" w:rsidR="00517E43" w:rsidRDefault="00A1702B">
    <w:pPr>
      <w:pStyle w:val="Header"/>
    </w:pPr>
    <w:r>
      <w:rPr>
        <w:noProof/>
      </w:rPr>
      <w:pict w14:anchorId="0067925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130864" o:spid="_x0000_s2054"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274500" w14:textId="65775D1C" w:rsidR="00517E43" w:rsidRDefault="00A1702B">
    <w:pPr>
      <w:pStyle w:val="Header"/>
    </w:pPr>
    <w:r>
      <w:rPr>
        <w:noProof/>
      </w:rPr>
      <w:pict w14:anchorId="36EAB6E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130862" o:spid="_x0000_s2052"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39390D79"/>
    <w:multiLevelType w:val="hybridMultilevel"/>
    <w:tmpl w:val="5ECA00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7"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64741278"/>
    <w:multiLevelType w:val="hybridMultilevel"/>
    <w:tmpl w:val="9CD299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1"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2"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4"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5"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6"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8"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6"/>
  </w:num>
  <w:num w:numId="3">
    <w:abstractNumId w:val="25"/>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7"/>
  </w:num>
  <w:num w:numId="10">
    <w:abstractNumId w:val="2"/>
  </w:num>
  <w:num w:numId="11">
    <w:abstractNumId w:val="20"/>
  </w:num>
  <w:num w:numId="12">
    <w:abstractNumId w:val="3"/>
  </w:num>
  <w:num w:numId="13">
    <w:abstractNumId w:val="18"/>
  </w:num>
  <w:num w:numId="14">
    <w:abstractNumId w:val="8"/>
  </w:num>
  <w:num w:numId="15">
    <w:abstractNumId w:val="23"/>
  </w:num>
  <w:num w:numId="16">
    <w:abstractNumId w:val="5"/>
  </w:num>
  <w:num w:numId="17">
    <w:abstractNumId w:val="24"/>
  </w:num>
  <w:num w:numId="18">
    <w:abstractNumId w:val="14"/>
  </w:num>
  <w:num w:numId="19">
    <w:abstractNumId w:val="30"/>
  </w:num>
  <w:num w:numId="20">
    <w:abstractNumId w:val="11"/>
  </w:num>
  <w:num w:numId="21">
    <w:abstractNumId w:val="9"/>
  </w:num>
  <w:num w:numId="22">
    <w:abstractNumId w:val="13"/>
  </w:num>
  <w:num w:numId="23">
    <w:abstractNumId w:val="21"/>
  </w:num>
  <w:num w:numId="24">
    <w:abstractNumId w:val="28"/>
  </w:num>
  <w:num w:numId="25">
    <w:abstractNumId w:val="4"/>
  </w:num>
  <w:num w:numId="26">
    <w:abstractNumId w:val="17"/>
  </w:num>
  <w:num w:numId="27">
    <w:abstractNumId w:val="22"/>
  </w:num>
  <w:num w:numId="28">
    <w:abstractNumId w:val="29"/>
  </w:num>
  <w:num w:numId="29">
    <w:abstractNumId w:val="26"/>
  </w:num>
  <w:num w:numId="30">
    <w:abstractNumId w:val="10"/>
  </w:num>
  <w:num w:numId="31">
    <w:abstractNumId w:val="15"/>
  </w:num>
  <w:num w:numId="32">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6219"/>
    <w:rsid w:val="00000F8F"/>
    <w:rsid w:val="00030174"/>
    <w:rsid w:val="00037055"/>
    <w:rsid w:val="0004579C"/>
    <w:rsid w:val="000A47FA"/>
    <w:rsid w:val="000A65D3"/>
    <w:rsid w:val="000B1E33"/>
    <w:rsid w:val="000D278B"/>
    <w:rsid w:val="000D689F"/>
    <w:rsid w:val="000D77C7"/>
    <w:rsid w:val="000E7B7B"/>
    <w:rsid w:val="000E7D62"/>
    <w:rsid w:val="00103357"/>
    <w:rsid w:val="00105EB5"/>
    <w:rsid w:val="00110E71"/>
    <w:rsid w:val="00123C9F"/>
    <w:rsid w:val="00126190"/>
    <w:rsid w:val="00130F17"/>
    <w:rsid w:val="001320BF"/>
    <w:rsid w:val="0014506A"/>
    <w:rsid w:val="00163BC4"/>
    <w:rsid w:val="00191062"/>
    <w:rsid w:val="00192B72"/>
    <w:rsid w:val="001A29D8"/>
    <w:rsid w:val="001A5CAA"/>
    <w:rsid w:val="001B0427"/>
    <w:rsid w:val="001D3A51"/>
    <w:rsid w:val="001E10D2"/>
    <w:rsid w:val="001E25B4"/>
    <w:rsid w:val="001E44FE"/>
    <w:rsid w:val="00200595"/>
    <w:rsid w:val="00204835"/>
    <w:rsid w:val="00231920"/>
    <w:rsid w:val="0023195C"/>
    <w:rsid w:val="002319C0"/>
    <w:rsid w:val="0024282C"/>
    <w:rsid w:val="002460DC"/>
    <w:rsid w:val="00250985"/>
    <w:rsid w:val="002556F6"/>
    <w:rsid w:val="00283105"/>
    <w:rsid w:val="00284C4C"/>
    <w:rsid w:val="00287E68"/>
    <w:rsid w:val="00296529"/>
    <w:rsid w:val="002B27FB"/>
    <w:rsid w:val="002B685A"/>
    <w:rsid w:val="002C57D2"/>
    <w:rsid w:val="002E0D56"/>
    <w:rsid w:val="00311AA9"/>
    <w:rsid w:val="00313F85"/>
    <w:rsid w:val="00315186"/>
    <w:rsid w:val="0033343E"/>
    <w:rsid w:val="00341293"/>
    <w:rsid w:val="003506AC"/>
    <w:rsid w:val="003512C2"/>
    <w:rsid w:val="00371FB6"/>
    <w:rsid w:val="003763C1"/>
    <w:rsid w:val="00376BBE"/>
    <w:rsid w:val="00386758"/>
    <w:rsid w:val="0039224F"/>
    <w:rsid w:val="003A14E6"/>
    <w:rsid w:val="003A43A4"/>
    <w:rsid w:val="003A53A9"/>
    <w:rsid w:val="003A7E18"/>
    <w:rsid w:val="003C04F4"/>
    <w:rsid w:val="003C4C86"/>
    <w:rsid w:val="003C6258"/>
    <w:rsid w:val="003D6394"/>
    <w:rsid w:val="003E2904"/>
    <w:rsid w:val="00401927"/>
    <w:rsid w:val="0041027F"/>
    <w:rsid w:val="00412475"/>
    <w:rsid w:val="00423789"/>
    <w:rsid w:val="00440F43"/>
    <w:rsid w:val="00441B6F"/>
    <w:rsid w:val="00446221"/>
    <w:rsid w:val="00450E62"/>
    <w:rsid w:val="004539DB"/>
    <w:rsid w:val="00471A80"/>
    <w:rsid w:val="004C23FD"/>
    <w:rsid w:val="004D305E"/>
    <w:rsid w:val="004D4277"/>
    <w:rsid w:val="00502516"/>
    <w:rsid w:val="00505F06"/>
    <w:rsid w:val="00506828"/>
    <w:rsid w:val="00517E43"/>
    <w:rsid w:val="0053056E"/>
    <w:rsid w:val="00530E19"/>
    <w:rsid w:val="00554FDA"/>
    <w:rsid w:val="005C784C"/>
    <w:rsid w:val="005D17F6"/>
    <w:rsid w:val="005E5539"/>
    <w:rsid w:val="00602BF5"/>
    <w:rsid w:val="00615539"/>
    <w:rsid w:val="006155FC"/>
    <w:rsid w:val="00617FDD"/>
    <w:rsid w:val="00633614"/>
    <w:rsid w:val="00633F68"/>
    <w:rsid w:val="00636EB2"/>
    <w:rsid w:val="006375B8"/>
    <w:rsid w:val="0066510A"/>
    <w:rsid w:val="00673F9F"/>
    <w:rsid w:val="00686953"/>
    <w:rsid w:val="00687DEA"/>
    <w:rsid w:val="00687E67"/>
    <w:rsid w:val="00694746"/>
    <w:rsid w:val="006967F7"/>
    <w:rsid w:val="006A250C"/>
    <w:rsid w:val="006B14F7"/>
    <w:rsid w:val="006B21D3"/>
    <w:rsid w:val="006B57D0"/>
    <w:rsid w:val="006D30FF"/>
    <w:rsid w:val="006D6940"/>
    <w:rsid w:val="006F11EC"/>
    <w:rsid w:val="0070082C"/>
    <w:rsid w:val="0070084C"/>
    <w:rsid w:val="00722944"/>
    <w:rsid w:val="007279AF"/>
    <w:rsid w:val="007369E6"/>
    <w:rsid w:val="00746E59"/>
    <w:rsid w:val="00754C9A"/>
    <w:rsid w:val="0075599A"/>
    <w:rsid w:val="00761D52"/>
    <w:rsid w:val="0077749E"/>
    <w:rsid w:val="00790ADA"/>
    <w:rsid w:val="007A7B66"/>
    <w:rsid w:val="007D2288"/>
    <w:rsid w:val="007E088F"/>
    <w:rsid w:val="007F7B32"/>
    <w:rsid w:val="00804BC2"/>
    <w:rsid w:val="0081431A"/>
    <w:rsid w:val="0083216F"/>
    <w:rsid w:val="00860000"/>
    <w:rsid w:val="00863BD3"/>
    <w:rsid w:val="008641ED"/>
    <w:rsid w:val="00866D66"/>
    <w:rsid w:val="008671C6"/>
    <w:rsid w:val="00875803"/>
    <w:rsid w:val="008B231F"/>
    <w:rsid w:val="008B459E"/>
    <w:rsid w:val="008E13AE"/>
    <w:rsid w:val="008E1506"/>
    <w:rsid w:val="008E710C"/>
    <w:rsid w:val="008F69D6"/>
    <w:rsid w:val="00902823"/>
    <w:rsid w:val="00915CA6"/>
    <w:rsid w:val="0092145F"/>
    <w:rsid w:val="00927834"/>
    <w:rsid w:val="009500A6"/>
    <w:rsid w:val="00957C18"/>
    <w:rsid w:val="00963B23"/>
    <w:rsid w:val="009659BA"/>
    <w:rsid w:val="00983040"/>
    <w:rsid w:val="009B3FB9"/>
    <w:rsid w:val="009C2465"/>
    <w:rsid w:val="009D35A0"/>
    <w:rsid w:val="009D7EB7"/>
    <w:rsid w:val="009E048A"/>
    <w:rsid w:val="009E08E9"/>
    <w:rsid w:val="009E3DB9"/>
    <w:rsid w:val="009E6E35"/>
    <w:rsid w:val="009F0EDA"/>
    <w:rsid w:val="009F5804"/>
    <w:rsid w:val="00A03B96"/>
    <w:rsid w:val="00A05B19"/>
    <w:rsid w:val="00A1134E"/>
    <w:rsid w:val="00A1702B"/>
    <w:rsid w:val="00A24E7E"/>
    <w:rsid w:val="00A258C3"/>
    <w:rsid w:val="00A347C0"/>
    <w:rsid w:val="00A51431"/>
    <w:rsid w:val="00A539AD"/>
    <w:rsid w:val="00A94063"/>
    <w:rsid w:val="00AA6219"/>
    <w:rsid w:val="00AA74E0"/>
    <w:rsid w:val="00AB0CFF"/>
    <w:rsid w:val="00AB703F"/>
    <w:rsid w:val="00AC6BB8"/>
    <w:rsid w:val="00AD05BA"/>
    <w:rsid w:val="00AD6C54"/>
    <w:rsid w:val="00AE008F"/>
    <w:rsid w:val="00B01FCD"/>
    <w:rsid w:val="00B123D7"/>
    <w:rsid w:val="00B1776C"/>
    <w:rsid w:val="00B52583"/>
    <w:rsid w:val="00B52896"/>
    <w:rsid w:val="00B56512"/>
    <w:rsid w:val="00B67A05"/>
    <w:rsid w:val="00B95236"/>
    <w:rsid w:val="00B96BD9"/>
    <w:rsid w:val="00BA1B01"/>
    <w:rsid w:val="00BA2641"/>
    <w:rsid w:val="00BB37AA"/>
    <w:rsid w:val="00BC53A0"/>
    <w:rsid w:val="00BD6ACF"/>
    <w:rsid w:val="00BE62AD"/>
    <w:rsid w:val="00BF121F"/>
    <w:rsid w:val="00BF1F80"/>
    <w:rsid w:val="00C166EF"/>
    <w:rsid w:val="00C17EB0"/>
    <w:rsid w:val="00C27F5F"/>
    <w:rsid w:val="00C30A0F"/>
    <w:rsid w:val="00C3790E"/>
    <w:rsid w:val="00C37E61"/>
    <w:rsid w:val="00C70F1B"/>
    <w:rsid w:val="00C71A47"/>
    <w:rsid w:val="00C7464C"/>
    <w:rsid w:val="00C85588"/>
    <w:rsid w:val="00CD6755"/>
    <w:rsid w:val="00CD6856"/>
    <w:rsid w:val="00CE0089"/>
    <w:rsid w:val="00CE793C"/>
    <w:rsid w:val="00CE7A63"/>
    <w:rsid w:val="00CF193C"/>
    <w:rsid w:val="00D04548"/>
    <w:rsid w:val="00D173F1"/>
    <w:rsid w:val="00D35D91"/>
    <w:rsid w:val="00D52F99"/>
    <w:rsid w:val="00D613CD"/>
    <w:rsid w:val="00D74CB0"/>
    <w:rsid w:val="00D8295D"/>
    <w:rsid w:val="00D96DE9"/>
    <w:rsid w:val="00DB71D4"/>
    <w:rsid w:val="00DC2A65"/>
    <w:rsid w:val="00DE15F0"/>
    <w:rsid w:val="00DE5663"/>
    <w:rsid w:val="00DE78AA"/>
    <w:rsid w:val="00E053D0"/>
    <w:rsid w:val="00E154DF"/>
    <w:rsid w:val="00E15994"/>
    <w:rsid w:val="00E15E73"/>
    <w:rsid w:val="00E3114E"/>
    <w:rsid w:val="00E31A70"/>
    <w:rsid w:val="00E33DA3"/>
    <w:rsid w:val="00E35B02"/>
    <w:rsid w:val="00E66496"/>
    <w:rsid w:val="00E66B35"/>
    <w:rsid w:val="00E66E10"/>
    <w:rsid w:val="00E769F6"/>
    <w:rsid w:val="00E76FFA"/>
    <w:rsid w:val="00E8407C"/>
    <w:rsid w:val="00E84F3C"/>
    <w:rsid w:val="00EA012C"/>
    <w:rsid w:val="00EC6A55"/>
    <w:rsid w:val="00ED0288"/>
    <w:rsid w:val="00EE52CB"/>
    <w:rsid w:val="00EE61D4"/>
    <w:rsid w:val="00EF581D"/>
    <w:rsid w:val="00EF7FD8"/>
    <w:rsid w:val="00F06F59"/>
    <w:rsid w:val="00F17988"/>
    <w:rsid w:val="00F20853"/>
    <w:rsid w:val="00F35CD1"/>
    <w:rsid w:val="00F469F0"/>
    <w:rsid w:val="00F53273"/>
    <w:rsid w:val="00F755E4"/>
    <w:rsid w:val="00F77D02"/>
    <w:rsid w:val="00FA1392"/>
    <w:rsid w:val="00FB2144"/>
    <w:rsid w:val="00FB3A86"/>
    <w:rsid w:val="00FD36C8"/>
    <w:rsid w:val="00FF048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66B84591"/>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3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table" w:customStyle="1" w:styleId="TableGrid1">
    <w:name w:val="Table Grid1"/>
    <w:basedOn w:val="TableNormal"/>
    <w:next w:val="TableGrid"/>
    <w:uiPriority w:val="39"/>
    <w:rsid w:val="006B14F7"/>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semiHidden/>
    <w:unhideWhenUsed/>
    <w:rsid w:val="00FA139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oi.org/10.1016/S0092-8674(00)80958-7" TargetMode="External"/><Relationship Id="rId21" Type="http://schemas.openxmlformats.org/officeDocument/2006/relationships/hyperlink" Target="https://doi.org/10.24327/ijrsr.2018.0901.1374" TargetMode="External"/><Relationship Id="rId42" Type="http://schemas.openxmlformats.org/officeDocument/2006/relationships/hyperlink" Target="https://doi.org/10.5582/ddt.2012.v6.4.226" TargetMode="External"/><Relationship Id="rId47" Type="http://schemas.openxmlformats.org/officeDocument/2006/relationships/hyperlink" Target="https://doi.org/10.1016/j.ibmb.2008.11.004" TargetMode="External"/><Relationship Id="rId63" Type="http://schemas.openxmlformats.org/officeDocument/2006/relationships/hyperlink" Target="https://doi.org/10.1371/journal.pone.0018292" TargetMode="External"/><Relationship Id="rId68" Type="http://schemas.openxmlformats.org/officeDocument/2006/relationships/hyperlink" Target="https://doi.org/10.1038/srep10722" TargetMode="External"/><Relationship Id="rId84" Type="http://schemas.openxmlformats.org/officeDocument/2006/relationships/fontTable" Target="fontTable.xml"/><Relationship Id="rId16" Type="http://schemas.openxmlformats.org/officeDocument/2006/relationships/header" Target="header5.xml"/><Relationship Id="rId11" Type="http://schemas.openxmlformats.org/officeDocument/2006/relationships/footer" Target="footer2.xml"/><Relationship Id="rId32" Type="http://schemas.openxmlformats.org/officeDocument/2006/relationships/hyperlink" Target="https://doi.org/10.1099/mic.0.27116-0" TargetMode="External"/><Relationship Id="rId37" Type="http://schemas.openxmlformats.org/officeDocument/2006/relationships/hyperlink" Target="https://doi.org/10.5582/ddt.2015.01026" TargetMode="External"/><Relationship Id="rId53" Type="http://schemas.openxmlformats.org/officeDocument/2006/relationships/hyperlink" Target="https://doi.org/10.1186/2050-6511-13-13" TargetMode="External"/><Relationship Id="rId58" Type="http://schemas.openxmlformats.org/officeDocument/2006/relationships/hyperlink" Target="https://doi.org/10.1038/s41598-020-67841-6" TargetMode="External"/><Relationship Id="rId74" Type="http://schemas.openxmlformats.org/officeDocument/2006/relationships/hyperlink" Target="https://doi.org/10.3390/cells10092243" TargetMode="External"/><Relationship Id="rId79" Type="http://schemas.openxmlformats.org/officeDocument/2006/relationships/hyperlink" Target="https://doi.org/10.1038/nrdp.2016.8" TargetMode="External"/><Relationship Id="rId5" Type="http://schemas.openxmlformats.org/officeDocument/2006/relationships/webSettings" Target="webSettings.xml"/><Relationship Id="rId19" Type="http://schemas.openxmlformats.org/officeDocument/2006/relationships/image" Target="media/image2.png"/><Relationship Id="rId14" Type="http://schemas.openxmlformats.org/officeDocument/2006/relationships/image" Target="media/image1.png"/><Relationship Id="rId22" Type="http://schemas.openxmlformats.org/officeDocument/2006/relationships/hyperlink" Target="https://doi.org/10.1186/1471-2210-10-7" TargetMode="External"/><Relationship Id="rId27" Type="http://schemas.openxmlformats.org/officeDocument/2006/relationships/hyperlink" Target="https://doi.org/10.1016/S0092-8674(00)80172-5" TargetMode="External"/><Relationship Id="rId30" Type="http://schemas.openxmlformats.org/officeDocument/2006/relationships/hyperlink" Target="https://doi.org/10.1099/mic.0.026823-0" TargetMode="External"/><Relationship Id="rId35" Type="http://schemas.openxmlformats.org/officeDocument/2006/relationships/hyperlink" Target="https://doi.org/10.1006/mpat.2002.0494" TargetMode="External"/><Relationship Id="rId43" Type="http://schemas.openxmlformats.org/officeDocument/2006/relationships/hyperlink" Target="https://doi.org/10.1007/s11948-006-0011-1" TargetMode="External"/><Relationship Id="rId48" Type="http://schemas.openxmlformats.org/officeDocument/2006/relationships/hyperlink" Target="https://doi.org/10.1098/rspb.2015.0487" TargetMode="External"/><Relationship Id="rId56" Type="http://schemas.openxmlformats.org/officeDocument/2006/relationships/hyperlink" Target="https://doi.org/10.3314/mmj.17.016" TargetMode="External"/><Relationship Id="rId64" Type="http://schemas.openxmlformats.org/officeDocument/2006/relationships/hyperlink" Target="https://doi.org/10.5582/ddt.2016.01017" TargetMode="External"/><Relationship Id="rId69" Type="http://schemas.openxmlformats.org/officeDocument/2006/relationships/hyperlink" Target="https://doi.org/10.1016/j.jep.2019.112059" TargetMode="External"/><Relationship Id="rId77" Type="http://schemas.openxmlformats.org/officeDocument/2006/relationships/hyperlink" Target="https://doi.org/10.1007/s10048-011-0279-4" TargetMode="External"/><Relationship Id="rId8" Type="http://schemas.openxmlformats.org/officeDocument/2006/relationships/header" Target="header1.xml"/><Relationship Id="rId51" Type="http://schemas.openxmlformats.org/officeDocument/2006/relationships/hyperlink" Target="https://doi.org/10.1016/j.ibmb.2016.08.006" TargetMode="External"/><Relationship Id="rId72" Type="http://schemas.openxmlformats.org/officeDocument/2006/relationships/hyperlink" Target="https://doi.org/10.1673/031.012.0401" TargetMode="External"/><Relationship Id="rId80" Type="http://schemas.openxmlformats.org/officeDocument/2006/relationships/hyperlink" Target="https://doi.org/10.1089/end.2015.0567" TargetMode="External"/><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footer" Target="footer4.xml"/><Relationship Id="rId25" Type="http://schemas.openxmlformats.org/officeDocument/2006/relationships/hyperlink" Target="https://doi.org/10.1258/la.2008.007162" TargetMode="External"/><Relationship Id="rId33" Type="http://schemas.openxmlformats.org/officeDocument/2006/relationships/hyperlink" Target="https://doi.org/10.1371/journal.ppat.0030018" TargetMode="External"/><Relationship Id="rId38" Type="http://schemas.openxmlformats.org/officeDocument/2006/relationships/hyperlink" Target="https://doi.org/10.21276/AATCCReview.2025.13.02.231" TargetMode="External"/><Relationship Id="rId46" Type="http://schemas.openxmlformats.org/officeDocument/2006/relationships/hyperlink" Target="https://doi.org/10.1126/science.1102210" TargetMode="External"/><Relationship Id="rId59" Type="http://schemas.openxmlformats.org/officeDocument/2006/relationships/hyperlink" Target="https://doi.org/10.1016/j.diabres.2021.109119" TargetMode="External"/><Relationship Id="rId67" Type="http://schemas.openxmlformats.org/officeDocument/2006/relationships/hyperlink" Target="https://doi.org/10.4236/jbm.2025.134011" TargetMode="External"/><Relationship Id="rId20" Type="http://schemas.openxmlformats.org/officeDocument/2006/relationships/hyperlink" Target="https://doi.org/10.4103/0974-8520.100295" TargetMode="External"/><Relationship Id="rId41" Type="http://schemas.openxmlformats.org/officeDocument/2006/relationships/hyperlink" Target="https://doi.org/10.3389/fmicb.2017.00373" TargetMode="External"/><Relationship Id="rId54" Type="http://schemas.openxmlformats.org/officeDocument/2006/relationships/hyperlink" Target="https://doi.org/10.1111/j.1574-6968.2011.02439.x" TargetMode="External"/><Relationship Id="rId62" Type="http://schemas.openxmlformats.org/officeDocument/2006/relationships/hyperlink" Target="https://doi.org/10.1111/j.1440-169X.1989.00031.x" TargetMode="External"/><Relationship Id="rId70" Type="http://schemas.openxmlformats.org/officeDocument/2006/relationships/hyperlink" Target="https://doi.org/10.5582/ddt.2018.01040" TargetMode="External"/><Relationship Id="rId75" Type="http://schemas.openxmlformats.org/officeDocument/2006/relationships/hyperlink" Target="https://doi.org/10.3978/j.issn.2224-4336.2015.10.07" TargetMode="External"/><Relationship Id="rId83" Type="http://schemas.openxmlformats.org/officeDocument/2006/relationships/hyperlink" Target="https://doi.org/10.1089/aivt.2017.0016"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hyperlink" Target="https://doi.org/10.1254/fpj.138.99" TargetMode="External"/><Relationship Id="rId28" Type="http://schemas.openxmlformats.org/officeDocument/2006/relationships/hyperlink" Target="https://doi.org/10.1073/pnas.100391597" TargetMode="External"/><Relationship Id="rId36" Type="http://schemas.openxmlformats.org/officeDocument/2006/relationships/hyperlink" Target="https://doi.org/10.1128/AAC.48.3.774-779.2004" TargetMode="External"/><Relationship Id="rId49" Type="http://schemas.openxmlformats.org/officeDocument/2006/relationships/hyperlink" Target="https://doi.org/10.1038/srep11180" TargetMode="External"/><Relationship Id="rId57" Type="http://schemas.openxmlformats.org/officeDocument/2006/relationships/hyperlink" Target="https://doi.org/10.3390/insects13080748" TargetMode="External"/><Relationship Id="rId10" Type="http://schemas.openxmlformats.org/officeDocument/2006/relationships/footer" Target="footer1.xml"/><Relationship Id="rId31" Type="http://schemas.openxmlformats.org/officeDocument/2006/relationships/hyperlink" Target="https://doi.org/10.1371/journal.pone.0037017" TargetMode="External"/><Relationship Id="rId44" Type="http://schemas.openxmlformats.org/officeDocument/2006/relationships/hyperlink" Target="https://doi.org/10.35772/ghm.2025.01067" TargetMode="External"/><Relationship Id="rId52" Type="http://schemas.openxmlformats.org/officeDocument/2006/relationships/hyperlink" Target="https://doi.org/10.1016/j.cbpc.2008.08.008" TargetMode="External"/><Relationship Id="rId60" Type="http://schemas.openxmlformats.org/officeDocument/2006/relationships/hyperlink" Target="https://doi.org/10.1177/20420986231181334" TargetMode="External"/><Relationship Id="rId65" Type="http://schemas.openxmlformats.org/officeDocument/2006/relationships/hyperlink" Target="https://doi.org/10.1038/s42003-019-0407-5" TargetMode="External"/><Relationship Id="rId73" Type="http://schemas.openxmlformats.org/officeDocument/2006/relationships/hyperlink" Target="https://doi.org/10.1371/journal.pgen.1008318" TargetMode="External"/><Relationship Id="rId78" Type="http://schemas.openxmlformats.org/officeDocument/2006/relationships/hyperlink" Target="https://doi.org/10.1093/brain/awh603" TargetMode="External"/><Relationship Id="rId81" Type="http://schemas.openxmlformats.org/officeDocument/2006/relationships/hyperlink" Target="https://doi.org/10.3390/healthcare11030424" TargetMode="Externa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header" Target="header6.xml"/><Relationship Id="rId39" Type="http://schemas.openxmlformats.org/officeDocument/2006/relationships/hyperlink" Target="https://doi.org/10.1016/S0142-9612(02)00353-8" TargetMode="External"/><Relationship Id="rId34" Type="http://schemas.openxmlformats.org/officeDocument/2006/relationships/hyperlink" Target="https://doi.org/10.1038/71978" TargetMode="External"/><Relationship Id="rId50" Type="http://schemas.openxmlformats.org/officeDocument/2006/relationships/hyperlink" Target="https://doi.org/10.1038/srep11001" TargetMode="External"/><Relationship Id="rId55" Type="http://schemas.openxmlformats.org/officeDocument/2006/relationships/hyperlink" Target="https://doi.org/10.5582/ddt.2016.01025" TargetMode="External"/><Relationship Id="rId76" Type="http://schemas.openxmlformats.org/officeDocument/2006/relationships/hyperlink" Target="https://doi.org/10.1006/mgme.2001.3213" TargetMode="External"/><Relationship Id="rId7" Type="http://schemas.openxmlformats.org/officeDocument/2006/relationships/endnotes" Target="endnotes.xml"/><Relationship Id="rId71" Type="http://schemas.openxmlformats.org/officeDocument/2006/relationships/hyperlink" Target="https://doi.org/10.7326/0003-4819-143-7-200510040-00009" TargetMode="External"/><Relationship Id="rId2" Type="http://schemas.openxmlformats.org/officeDocument/2006/relationships/numbering" Target="numbering.xml"/><Relationship Id="rId29" Type="http://schemas.openxmlformats.org/officeDocument/2006/relationships/hyperlink" Target="https://doi.org/10.1645/GE-1213.1" TargetMode="External"/><Relationship Id="rId24" Type="http://schemas.openxmlformats.org/officeDocument/2006/relationships/hyperlink" Target="https://doi.org/10.1111/j.1747-4949.2012.00772.x" TargetMode="External"/><Relationship Id="rId40" Type="http://schemas.openxmlformats.org/officeDocument/2006/relationships/hyperlink" Target="https://doi.org/10.1007/s00253-009-2267-2" TargetMode="External"/><Relationship Id="rId45" Type="http://schemas.openxmlformats.org/officeDocument/2006/relationships/hyperlink" Target="https://doi.org/10.1093/jisesa/iex064" TargetMode="External"/><Relationship Id="rId66" Type="http://schemas.openxmlformats.org/officeDocument/2006/relationships/hyperlink" Target="https://doi.org/10.5582/ddt.2019.01025" TargetMode="External"/><Relationship Id="rId61" Type="http://schemas.openxmlformats.org/officeDocument/2006/relationships/hyperlink" Target="https://doi.org/10.1126/science.226.4680.1344" TargetMode="External"/><Relationship Id="rId82" Type="http://schemas.openxmlformats.org/officeDocument/2006/relationships/hyperlink" Target="https://doi.org/10.1111/phen.12421"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46D2AC-D1E8-45D3-8DC3-BBE086567E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33</TotalTime>
  <Pages>24</Pages>
  <Words>9928</Words>
  <Characters>56590</Characters>
  <Application>Microsoft Office Word</Application>
  <DocSecurity>0</DocSecurity>
  <Lines>471</Lines>
  <Paragraphs>132</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66386</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1089</cp:lastModifiedBy>
  <cp:revision>16</cp:revision>
  <cp:lastPrinted>1999-07-06T11:00:00Z</cp:lastPrinted>
  <dcterms:created xsi:type="dcterms:W3CDTF">2025-08-15T14:22:00Z</dcterms:created>
  <dcterms:modified xsi:type="dcterms:W3CDTF">2025-08-27T07:47:00Z</dcterms:modified>
</cp:coreProperties>
</file>