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BBD5A" w14:textId="77777777" w:rsidR="00744457" w:rsidRPr="005732CD" w:rsidRDefault="00744457" w:rsidP="00744457">
      <w:pPr>
        <w:spacing w:line="240" w:lineRule="auto"/>
        <w:jc w:val="right"/>
        <w:rPr>
          <w:rFonts w:ascii="Arial" w:hAnsi="Arial" w:cs="Arial"/>
          <w:b/>
          <w:i/>
          <w:sz w:val="32"/>
          <w:szCs w:val="32"/>
          <w:highlight w:val="yellow"/>
          <w:u w:val="single"/>
        </w:rPr>
      </w:pPr>
      <w:r w:rsidRPr="005732CD">
        <w:rPr>
          <w:rFonts w:ascii="Arial" w:hAnsi="Arial" w:cs="Arial"/>
          <w:b/>
          <w:i/>
          <w:sz w:val="32"/>
          <w:szCs w:val="32"/>
          <w:highlight w:val="yellow"/>
          <w:u w:val="single"/>
        </w:rPr>
        <w:t>Review Article</w:t>
      </w:r>
    </w:p>
    <w:p w14:paraId="0FCBD5E1" w14:textId="2C4B7851" w:rsidR="003C343F" w:rsidRPr="00744457" w:rsidRDefault="00D35668" w:rsidP="00744457">
      <w:pPr>
        <w:spacing w:line="240" w:lineRule="auto"/>
        <w:jc w:val="right"/>
        <w:rPr>
          <w:rFonts w:ascii="Arial" w:hAnsi="Arial" w:cs="Arial"/>
          <w:b/>
          <w:sz w:val="32"/>
          <w:szCs w:val="32"/>
        </w:rPr>
      </w:pPr>
      <w:r w:rsidRPr="005732CD">
        <w:rPr>
          <w:rFonts w:ascii="Arial" w:hAnsi="Arial" w:cs="Arial"/>
          <w:b/>
          <w:sz w:val="32"/>
          <w:szCs w:val="32"/>
          <w:highlight w:val="yellow"/>
        </w:rPr>
        <w:t>The Farm-to-Table Movement: Nourishing the Linkages between Agriculture, Food Systems and Nutrition</w:t>
      </w:r>
      <w:r w:rsidRPr="00744457">
        <w:rPr>
          <w:rFonts w:ascii="Arial" w:hAnsi="Arial" w:cs="Arial"/>
          <w:b/>
          <w:sz w:val="32"/>
          <w:szCs w:val="32"/>
        </w:rPr>
        <w:t xml:space="preserve"> </w:t>
      </w:r>
    </w:p>
    <w:p w14:paraId="48FBD966" w14:textId="292FAB89" w:rsidR="00744457" w:rsidRDefault="00744457" w:rsidP="00563CD1">
      <w:pPr>
        <w:pStyle w:val="AralkYok"/>
      </w:pPr>
    </w:p>
    <w:p w14:paraId="00CFF9FF" w14:textId="3D7CE031" w:rsidR="00D35668" w:rsidRPr="00744457" w:rsidRDefault="00E11488" w:rsidP="00744457">
      <w:pPr>
        <w:spacing w:after="0" w:line="240" w:lineRule="auto"/>
        <w:ind w:right="144"/>
        <w:jc w:val="center"/>
        <w:rPr>
          <w:rFonts w:ascii="Arial" w:hAnsi="Arial" w:cs="Arial"/>
          <w:b/>
          <w:color w:val="000000" w:themeColor="text1"/>
          <w:sz w:val="24"/>
          <w:szCs w:val="20"/>
        </w:rPr>
      </w:pPr>
      <w:r w:rsidRPr="00744457">
        <w:rPr>
          <w:rFonts w:ascii="Arial" w:hAnsi="Arial" w:cs="Arial"/>
          <w:b/>
          <w:color w:val="000000" w:themeColor="text1"/>
          <w:sz w:val="24"/>
          <w:szCs w:val="20"/>
        </w:rPr>
        <w:t>ABSTRACT</w:t>
      </w:r>
    </w:p>
    <w:p w14:paraId="45B65A3E" w14:textId="46DC5926" w:rsidR="00307FE4" w:rsidRPr="00744457" w:rsidRDefault="00831110" w:rsidP="00744457">
      <w:pPr>
        <w:spacing w:line="240" w:lineRule="auto"/>
        <w:jc w:val="both"/>
        <w:rPr>
          <w:rFonts w:ascii="Arial" w:hAnsi="Arial" w:cs="Arial"/>
          <w:sz w:val="20"/>
          <w:szCs w:val="20"/>
        </w:rPr>
      </w:pPr>
      <w:r w:rsidRPr="00744457">
        <w:rPr>
          <w:rFonts w:ascii="Arial" w:hAnsi="Arial" w:cs="Arial"/>
          <w:sz w:val="20"/>
          <w:szCs w:val="20"/>
        </w:rPr>
        <w:t xml:space="preserve">The Farm-to-Table Movement has emerged as a powerful and transformative approach to enhance the interconnections between agriculture, food </w:t>
      </w:r>
      <w:r w:rsidRPr="00443A6C">
        <w:rPr>
          <w:rFonts w:ascii="Arial" w:hAnsi="Arial" w:cs="Arial"/>
          <w:color w:val="FF0000"/>
          <w:sz w:val="20"/>
          <w:szCs w:val="20"/>
        </w:rPr>
        <w:t>systems</w:t>
      </w:r>
      <w:r w:rsidR="00443A6C" w:rsidRPr="00443A6C">
        <w:rPr>
          <w:rFonts w:ascii="Arial" w:hAnsi="Arial" w:cs="Arial"/>
          <w:color w:val="FF0000"/>
          <w:sz w:val="20"/>
          <w:szCs w:val="20"/>
        </w:rPr>
        <w:t>,</w:t>
      </w:r>
      <w:r w:rsidRPr="00744457">
        <w:rPr>
          <w:rFonts w:ascii="Arial" w:hAnsi="Arial" w:cs="Arial"/>
          <w:sz w:val="20"/>
          <w:szCs w:val="20"/>
        </w:rPr>
        <w:t xml:space="preserve"> and nutrition. This review paper explores the multifaceted implications of this movement and its impact on global nutrition. Malnutrition, a pervasive global challenge, encompasses issues ranging from undernutrition to the escalating crisis of overweight and obesity, alongside widespread micronutrient deficiencies. These challenges stem from a complex interplay of factors, involving household and individual decision-making, </w:t>
      </w:r>
      <w:proofErr w:type="spellStart"/>
      <w:r w:rsidRPr="00B92F2C">
        <w:rPr>
          <w:rFonts w:ascii="Arial" w:hAnsi="Arial" w:cs="Arial"/>
          <w:color w:val="FF0000"/>
          <w:sz w:val="20"/>
          <w:szCs w:val="20"/>
        </w:rPr>
        <w:t>agrifood</w:t>
      </w:r>
      <w:proofErr w:type="spellEnd"/>
      <w:r w:rsidRPr="00B92F2C">
        <w:rPr>
          <w:rFonts w:ascii="Arial" w:hAnsi="Arial" w:cs="Arial"/>
          <w:color w:val="FF0000"/>
          <w:sz w:val="20"/>
          <w:szCs w:val="20"/>
        </w:rPr>
        <w:t xml:space="preserve"> </w:t>
      </w:r>
      <w:r w:rsidRPr="00744457">
        <w:rPr>
          <w:rFonts w:ascii="Arial" w:hAnsi="Arial" w:cs="Arial"/>
          <w:sz w:val="20"/>
          <w:szCs w:val="20"/>
        </w:rPr>
        <w:t xml:space="preserve">practices, healthcare systems, environmental dynamics and policy processes. </w:t>
      </w:r>
      <w:r w:rsidR="00307FE4" w:rsidRPr="00744457">
        <w:rPr>
          <w:rFonts w:ascii="Arial" w:hAnsi="Arial" w:cs="Arial"/>
          <w:sz w:val="20"/>
          <w:szCs w:val="20"/>
        </w:rPr>
        <w:t>In this review paper, we examine the theoretical foundations and recent qualitative evidence found within the public health and nutrition literature to explore the pivotal role of agriculture in enhancing global nutrition. We also delve into the rapid transformations occurring in food systems, driven by forces such as globa</w:t>
      </w:r>
      <w:r w:rsidRPr="00744457">
        <w:rPr>
          <w:rFonts w:ascii="Arial" w:hAnsi="Arial" w:cs="Arial"/>
          <w:sz w:val="20"/>
          <w:szCs w:val="20"/>
        </w:rPr>
        <w:t xml:space="preserve">lization, trade liberalization </w:t>
      </w:r>
      <w:r w:rsidR="00307FE4" w:rsidRPr="00744457">
        <w:rPr>
          <w:rFonts w:ascii="Arial" w:hAnsi="Arial" w:cs="Arial"/>
          <w:sz w:val="20"/>
          <w:szCs w:val="20"/>
        </w:rPr>
        <w:t xml:space="preserve">and urbanization, </w:t>
      </w:r>
      <w:r w:rsidRPr="00744457">
        <w:rPr>
          <w:rFonts w:ascii="Arial" w:hAnsi="Arial" w:cs="Arial"/>
          <w:sz w:val="20"/>
          <w:szCs w:val="20"/>
        </w:rPr>
        <w:t>analysing</w:t>
      </w:r>
      <w:r w:rsidR="00307FE4" w:rsidRPr="00744457">
        <w:rPr>
          <w:rFonts w:ascii="Arial" w:hAnsi="Arial" w:cs="Arial"/>
          <w:sz w:val="20"/>
          <w:szCs w:val="20"/>
        </w:rPr>
        <w:t xml:space="preserve"> their profound implications on nutrition at a global scale. Notably, malnutrition represents the most significant risk factor for the global burden of disease, affecting one in three individuals worldwide. Many nations grapple with a "triple burden" that includes energy and micronutrient deficiencies, in addition to escalating rates of overweight and obesity. This paper sheds light on this multifaceted challenge and the evolving dynamics of agriculture and food systems, advocating for a comprehensive approach that extends beyond traditional agriculture. To harness agri-food systems effectively for improved nutrition, we propose a multifaceted framework that encompasses the creation of supportive institutional and policy environments, the development of more nutrition-sensitive agricultural programs and food system interventions, and the cultivation of capacity and leadership to demand and utilize relevant evidence for improved decision-making. This review underscores the urgency of bridging the gap between agriculture and nutrition, particularly in a rapidly evolving landscape shaped by glob</w:t>
      </w:r>
      <w:r w:rsidRPr="00744457">
        <w:rPr>
          <w:rFonts w:ascii="Arial" w:hAnsi="Arial" w:cs="Arial"/>
          <w:sz w:val="20"/>
          <w:szCs w:val="20"/>
        </w:rPr>
        <w:t>alization, trade liberalization</w:t>
      </w:r>
      <w:r w:rsidR="00307FE4" w:rsidRPr="00744457">
        <w:rPr>
          <w:rFonts w:ascii="Arial" w:hAnsi="Arial" w:cs="Arial"/>
          <w:sz w:val="20"/>
          <w:szCs w:val="20"/>
        </w:rPr>
        <w:t xml:space="preserve"> and urbanization.</w:t>
      </w:r>
    </w:p>
    <w:p w14:paraId="7FB0D59C" w14:textId="77777777" w:rsidR="00831110" w:rsidRPr="00744457" w:rsidRDefault="00831110" w:rsidP="00744457">
      <w:pPr>
        <w:spacing w:line="240" w:lineRule="auto"/>
        <w:rPr>
          <w:rFonts w:ascii="Arial" w:hAnsi="Arial" w:cs="Arial"/>
          <w:b/>
          <w:sz w:val="20"/>
          <w:szCs w:val="20"/>
        </w:rPr>
      </w:pPr>
      <w:r w:rsidRPr="00935C2E">
        <w:rPr>
          <w:rFonts w:ascii="Arial" w:hAnsi="Arial" w:cs="Arial"/>
          <w:i/>
          <w:color w:val="FF0000"/>
          <w:sz w:val="20"/>
          <w:szCs w:val="20"/>
        </w:rPr>
        <w:t>Keywords:</w:t>
      </w:r>
      <w:r w:rsidRPr="00935C2E">
        <w:rPr>
          <w:rFonts w:ascii="Arial" w:hAnsi="Arial" w:cs="Arial"/>
          <w:b/>
          <w:color w:val="FF0000"/>
          <w:sz w:val="20"/>
          <w:szCs w:val="20"/>
        </w:rPr>
        <w:t xml:space="preserve"> </w:t>
      </w:r>
      <w:r w:rsidRPr="00744457">
        <w:rPr>
          <w:rFonts w:ascii="Arial" w:hAnsi="Arial" w:cs="Arial"/>
          <w:i/>
          <w:sz w:val="20"/>
          <w:szCs w:val="20"/>
        </w:rPr>
        <w:t>Malnutrition</w:t>
      </w:r>
      <w:r w:rsidR="006932D1" w:rsidRPr="00744457">
        <w:rPr>
          <w:rFonts w:ascii="Arial" w:hAnsi="Arial" w:cs="Arial"/>
          <w:i/>
          <w:sz w:val="20"/>
          <w:szCs w:val="20"/>
        </w:rPr>
        <w:t>, Agriculture, Triple Burden, Food Systems and Nutrition.</w:t>
      </w:r>
    </w:p>
    <w:p w14:paraId="3DFFCC37" w14:textId="77777777" w:rsidR="00744457" w:rsidRDefault="00744457" w:rsidP="00744457">
      <w:pPr>
        <w:spacing w:line="240" w:lineRule="auto"/>
        <w:jc w:val="both"/>
        <w:rPr>
          <w:rFonts w:ascii="Arial" w:hAnsi="Arial" w:cs="Arial"/>
          <w:b/>
          <w:noProof/>
          <w:sz w:val="20"/>
          <w:szCs w:val="20"/>
          <w:lang w:eastAsia="en-IN"/>
        </w:rPr>
      </w:pPr>
    </w:p>
    <w:p w14:paraId="194A2E47" w14:textId="77777777" w:rsidR="00172A21" w:rsidRPr="00443A6C" w:rsidRDefault="004E4E5C" w:rsidP="00443A6C">
      <w:pPr>
        <w:pStyle w:val="ListeParagraf"/>
        <w:numPr>
          <w:ilvl w:val="0"/>
          <w:numId w:val="1"/>
        </w:numPr>
        <w:spacing w:line="240" w:lineRule="auto"/>
        <w:ind w:left="284" w:hanging="284"/>
        <w:jc w:val="both"/>
        <w:rPr>
          <w:rFonts w:ascii="Arial" w:hAnsi="Arial" w:cs="Arial"/>
          <w:b/>
          <w:noProof/>
          <w:color w:val="FF0000"/>
          <w:sz w:val="24"/>
          <w:szCs w:val="20"/>
          <w:lang w:eastAsia="en-IN"/>
        </w:rPr>
      </w:pPr>
      <w:r w:rsidRPr="00443A6C">
        <w:rPr>
          <w:rFonts w:ascii="Arial" w:hAnsi="Arial" w:cs="Arial"/>
          <w:b/>
          <w:noProof/>
          <w:color w:val="FF0000"/>
          <w:sz w:val="24"/>
          <w:szCs w:val="20"/>
          <w:lang w:eastAsia="en-IN"/>
        </w:rPr>
        <w:t>INTRODUCTION</w:t>
      </w:r>
    </w:p>
    <w:p w14:paraId="4DDE1A88" w14:textId="0D904E78" w:rsidR="00033E31" w:rsidRPr="00744457" w:rsidRDefault="00033E31"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 xml:space="preserve">In a world marked by rapid urbanization, globalization, and a growing disconnection between consumers and </w:t>
      </w:r>
      <w:r w:rsidR="00935C2E" w:rsidRPr="00935C2E">
        <w:rPr>
          <w:rStyle w:val="Gl"/>
          <w:rFonts w:ascii="Arial" w:hAnsi="Arial" w:cs="Arial"/>
          <w:color w:val="FF0000"/>
          <w:sz w:val="18"/>
          <w:szCs w:val="18"/>
          <w:shd w:val="clear" w:color="auto" w:fill="FFFFFF"/>
        </w:rPr>
        <w:t>their food sources</w:t>
      </w:r>
      <w:r w:rsidR="00935C2E" w:rsidRPr="00935C2E">
        <w:rPr>
          <w:rStyle w:val="fc6omth"/>
          <w:rFonts w:ascii="Arial" w:hAnsi="Arial" w:cs="Arial"/>
          <w:color w:val="FF0000"/>
          <w:sz w:val="18"/>
          <w:szCs w:val="18"/>
          <w:shd w:val="clear" w:color="auto" w:fill="FFFFFF"/>
        </w:rPr>
        <w:t>,</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the farm-to-table movement has emerged as a powerful and transformative force</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w:t>
      </w:r>
      <w:r w:rsidR="00CA1C5A" w:rsidRPr="00744457">
        <w:rPr>
          <w:rFonts w:ascii="Arial" w:hAnsi="Arial" w:cs="Arial"/>
          <w:b/>
          <w:color w:val="222222"/>
          <w:sz w:val="20"/>
          <w:szCs w:val="20"/>
          <w:shd w:val="clear" w:color="auto" w:fill="FFFFFF"/>
        </w:rPr>
        <w:t xml:space="preserve">Benjamin </w:t>
      </w:r>
      <w:r w:rsidR="00935C2E" w:rsidRPr="00935C2E">
        <w:rPr>
          <w:rFonts w:ascii="Arial" w:hAnsi="Arial" w:cs="Arial"/>
          <w:b/>
          <w:color w:val="FF0000"/>
          <w:sz w:val="20"/>
          <w:szCs w:val="20"/>
          <w:shd w:val="clear" w:color="auto" w:fill="FFFFFF"/>
        </w:rPr>
        <w:t xml:space="preserve">and </w:t>
      </w:r>
      <w:proofErr w:type="spellStart"/>
      <w:r w:rsidR="00CA1C5A" w:rsidRPr="00744457">
        <w:rPr>
          <w:rFonts w:ascii="Arial" w:hAnsi="Arial" w:cs="Arial"/>
          <w:b/>
          <w:color w:val="222222"/>
          <w:sz w:val="20"/>
          <w:szCs w:val="20"/>
          <w:shd w:val="clear" w:color="auto" w:fill="FFFFFF"/>
        </w:rPr>
        <w:t>Virkler</w:t>
      </w:r>
      <w:proofErr w:type="spellEnd"/>
      <w:r w:rsidR="00CA1C5A" w:rsidRPr="00744457">
        <w:rPr>
          <w:rFonts w:ascii="Arial" w:hAnsi="Arial" w:cs="Arial"/>
          <w:b/>
          <w:color w:val="222222"/>
          <w:sz w:val="20"/>
          <w:szCs w:val="20"/>
          <w:shd w:val="clear" w:color="auto" w:fill="FFFFFF"/>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movement embodies a fundamental shift in our approach to food, one that transcends mere culinary trends. It is a paradigm that renews our relationship with the land, reinvigorates local agriculture, and redefines how we perceive the sustenance we put on our plates. The concept is elegantly simple: to bring food directly from the farm to the table, minimizing intermediaries and embracing a holistic understanding of the journey that food takes from its cultivation to its consumption. The farm-to-table philosophy underscores the intrinsic connections between agriculture, food systems, and nutrition. It recognizes that the choices we make about what we grow, how we cultivate it, and what we put on our plates have profound implications not only for our personal health but also for the vitality of the planet. In this era of climate change, escalating health concerns, and widespread disparities in access to nourishing food, the farm-to-table movement has risen to the occasion</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 xml:space="preserve">(Cole </w:t>
      </w:r>
      <w:r w:rsidR="00C14C0A" w:rsidRPr="00935C2E">
        <w:rPr>
          <w:rFonts w:ascii="Arial" w:hAnsi="Arial" w:cs="Arial"/>
          <w:b/>
          <w:noProof/>
          <w:color w:val="FF0000"/>
          <w:sz w:val="20"/>
          <w:szCs w:val="20"/>
          <w:lang w:eastAsia="en-IN"/>
        </w:rPr>
        <w:t>et al</w:t>
      </w:r>
      <w:r w:rsidR="00CA1C5A" w:rsidRPr="00935C2E">
        <w:rPr>
          <w:rFonts w:ascii="Arial" w:hAnsi="Arial" w:cs="Arial"/>
          <w:b/>
          <w:noProof/>
          <w:color w:val="FF0000"/>
          <w:sz w:val="20"/>
          <w:szCs w:val="20"/>
          <w:lang w:eastAsia="en-IN"/>
        </w:rPr>
        <w:t xml:space="preserve">., </w:t>
      </w:r>
      <w:r w:rsidR="00CA1C5A" w:rsidRPr="00744457">
        <w:rPr>
          <w:rFonts w:ascii="Arial" w:hAnsi="Arial" w:cs="Arial"/>
          <w:b/>
          <w:noProof/>
          <w:sz w:val="20"/>
          <w:szCs w:val="20"/>
          <w:lang w:eastAsia="en-IN"/>
        </w:rPr>
        <w:t>2023)</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It serves as a beacon of hope and a catalyst for change, offering solutions that resonate from local communities to global policymakers. This movement champions sustainable and regenerative agriculture practices that prioritize the well-being of ecosystems, promote equitable access to nutritious food, and celebrate the cultural richness of diverse culinary traditions.</w:t>
      </w:r>
    </w:p>
    <w:p w14:paraId="5CACAAD9" w14:textId="77777777" w:rsidR="00172A21" w:rsidRPr="00744457" w:rsidRDefault="00033E3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This review paper delves into the multifaceted dimensions of the farm-to-table movement, exploring its origins, principles, and the remarkable impact it has had on agriculture, food systems, and nutrition. We examine the ways in which this movement fosters community engagement, supports local economies, and bolsters the health and resilience of individuals and societies. Through a comprehensive analysis of current research, innovative case studies, and thought-provoking discussions, we navigate the intricate web of relationships that the farm-to-table movement nourishes. </w:t>
      </w:r>
      <w:r w:rsidRPr="00744457">
        <w:rPr>
          <w:rFonts w:ascii="Arial" w:hAnsi="Arial" w:cs="Arial"/>
          <w:noProof/>
          <w:sz w:val="20"/>
          <w:szCs w:val="20"/>
          <w:lang w:eastAsia="en-IN"/>
        </w:rPr>
        <w:lastRenderedPageBreak/>
        <w:t xml:space="preserve">As we embark on this journey of exploration, we recognize the pivotal role that the farm-to-table movement plays in shaping our collective future. By fostering a deeper connection between the earth, the farmer, and the diner, it holds the promise of a more sustainable, equitable, and nutritious world for us </w:t>
      </w:r>
      <w:r w:rsidRPr="00935C2E">
        <w:rPr>
          <w:rFonts w:ascii="Arial" w:hAnsi="Arial" w:cs="Arial"/>
          <w:noProof/>
          <w:color w:val="FF0000"/>
          <w:sz w:val="20"/>
          <w:szCs w:val="20"/>
          <w:lang w:eastAsia="en-IN"/>
        </w:rPr>
        <w:t>all</w:t>
      </w:r>
      <w:r w:rsidR="00CA1C5A" w:rsidRPr="00935C2E">
        <w:rPr>
          <w:rFonts w:ascii="Arial" w:hAnsi="Arial" w:cs="Arial"/>
          <w:noProof/>
          <w:color w:val="FF0000"/>
          <w:sz w:val="20"/>
          <w:szCs w:val="20"/>
          <w:lang w:eastAsia="en-IN"/>
        </w:rPr>
        <w:t xml:space="preserve"> (</w:t>
      </w:r>
      <w:r w:rsidR="00CA1C5A" w:rsidRPr="00935C2E">
        <w:rPr>
          <w:rFonts w:ascii="Arial" w:hAnsi="Arial" w:cs="Arial"/>
          <w:color w:val="FF0000"/>
          <w:sz w:val="20"/>
          <w:szCs w:val="20"/>
          <w:shd w:val="clear" w:color="auto" w:fill="FFFFFF"/>
        </w:rPr>
        <w:t xml:space="preserve">Horrigan </w:t>
      </w:r>
      <w:r w:rsidR="00C14C0A" w:rsidRPr="00935C2E">
        <w:rPr>
          <w:rFonts w:ascii="Arial" w:hAnsi="Arial" w:cs="Arial"/>
          <w:color w:val="FF0000"/>
          <w:sz w:val="20"/>
          <w:szCs w:val="20"/>
          <w:shd w:val="clear" w:color="auto" w:fill="FFFFFF"/>
        </w:rPr>
        <w:t>et al</w:t>
      </w:r>
      <w:r w:rsidR="00CA1C5A" w:rsidRPr="00935C2E">
        <w:rPr>
          <w:rFonts w:ascii="Arial" w:hAnsi="Arial" w:cs="Arial"/>
          <w:color w:val="FF0000"/>
          <w:sz w:val="20"/>
          <w:szCs w:val="20"/>
          <w:shd w:val="clear" w:color="auto" w:fill="FFFFFF"/>
        </w:rPr>
        <w:t>., 2002)</w:t>
      </w:r>
      <w:r w:rsidRPr="00935C2E">
        <w:rPr>
          <w:rFonts w:ascii="Arial" w:hAnsi="Arial" w:cs="Arial"/>
          <w:noProof/>
          <w:color w:val="FF0000"/>
          <w:sz w:val="20"/>
          <w:szCs w:val="20"/>
          <w:lang w:eastAsia="en-IN"/>
        </w:rPr>
        <w:t>.</w:t>
      </w:r>
      <w:r w:rsidRPr="00935C2E">
        <w:rPr>
          <w:rFonts w:ascii="Arial" w:hAnsi="Arial" w:cs="Arial"/>
          <w:b/>
          <w:noProof/>
          <w:color w:val="FF0000"/>
          <w:sz w:val="20"/>
          <w:szCs w:val="20"/>
          <w:lang w:eastAsia="en-IN"/>
        </w:rPr>
        <w:t xml:space="preserve"> </w:t>
      </w:r>
      <w:r w:rsidRPr="00744457">
        <w:rPr>
          <w:rFonts w:ascii="Arial" w:hAnsi="Arial" w:cs="Arial"/>
          <w:noProof/>
          <w:sz w:val="20"/>
          <w:szCs w:val="20"/>
          <w:lang w:eastAsia="en-IN"/>
        </w:rPr>
        <w:t>This review paper is an invitation to join in the discourse, to understand the transformative power of farm-to-table practices, and to celebrate the nourishing linkages between agriculture, food systems, and nutrition.</w:t>
      </w:r>
    </w:p>
    <w:p w14:paraId="67231FB2" w14:textId="78AF3580"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Agriculture and food systems stand at a critical crossroads, facing the formidable challenge of not only meeting the ever-growing demand for food but doing so in a manner that aligns with sustainability, equity, and the nutritional preferences of consumers</w:t>
      </w:r>
      <w:r w:rsidR="00CA1C5A" w:rsidRPr="00744457">
        <w:rPr>
          <w:rFonts w:ascii="Arial" w:hAnsi="Arial" w:cs="Arial"/>
          <w:noProof/>
          <w:sz w:val="20"/>
          <w:szCs w:val="20"/>
          <w:lang w:eastAsia="en-IN"/>
        </w:rPr>
        <w:t xml:space="preserve"> </w:t>
      </w:r>
      <w:r w:rsidR="00CA1C5A" w:rsidRPr="00935C2E">
        <w:rPr>
          <w:rFonts w:ascii="Arial" w:hAnsi="Arial" w:cs="Arial"/>
          <w:noProof/>
          <w:color w:val="FF0000"/>
          <w:sz w:val="20"/>
          <w:szCs w:val="20"/>
          <w:lang w:eastAsia="en-IN"/>
        </w:rPr>
        <w:t>(Wilson, 2011)</w:t>
      </w:r>
      <w:r w:rsidRPr="00935C2E">
        <w:rPr>
          <w:rFonts w:ascii="Arial" w:hAnsi="Arial" w:cs="Arial"/>
          <w:noProof/>
          <w:color w:val="FF0000"/>
          <w:sz w:val="20"/>
          <w:szCs w:val="20"/>
          <w:lang w:eastAsia="en-IN"/>
        </w:rPr>
        <w:t>.</w:t>
      </w:r>
      <w:r w:rsidRPr="00935C2E">
        <w:rPr>
          <w:rFonts w:ascii="Arial" w:hAnsi="Arial" w:cs="Arial"/>
          <w:b/>
          <w:noProof/>
          <w:color w:val="FF0000"/>
          <w:sz w:val="20"/>
          <w:szCs w:val="20"/>
          <w:lang w:eastAsia="en-IN"/>
        </w:rPr>
        <w:t xml:space="preserve"> </w:t>
      </w:r>
      <w:r w:rsidRPr="00744457">
        <w:rPr>
          <w:rFonts w:ascii="Arial" w:hAnsi="Arial" w:cs="Arial"/>
          <w:noProof/>
          <w:sz w:val="20"/>
          <w:szCs w:val="20"/>
          <w:lang w:eastAsia="en-IN"/>
        </w:rPr>
        <w:t>The significance of agricultural production extends far beyond mere food availability; it also serves as a primary source of livelihood for millions of individuals across the globe</w:t>
      </w:r>
      <w:r w:rsidR="00B735B4">
        <w:rPr>
          <w:rFonts w:ascii="Arial" w:hAnsi="Arial" w:cs="Arial"/>
          <w:noProof/>
          <w:sz w:val="20"/>
          <w:szCs w:val="20"/>
          <w:lang w:eastAsia="en-IN"/>
        </w:rPr>
        <w:t>.</w:t>
      </w:r>
      <w:r w:rsidRPr="00744457">
        <w:rPr>
          <w:rFonts w:ascii="Arial" w:hAnsi="Arial" w:cs="Arial"/>
          <w:noProof/>
          <w:sz w:val="20"/>
          <w:szCs w:val="20"/>
          <w:lang w:eastAsia="en-IN"/>
        </w:rPr>
        <w:t xml:space="preserve"> In the face of persistent nutritional issues and the simultaneous presence of both undernutrition and overnutrition problems, there arises a pressing need to reevaluate our food systems with a nutrition-focused lens. It becomes imperative to dissect how the current food systems address the nutritional needs and desires of consumers, considering all the key actors along this complex journey. Beginning with consumers, encompassing both the marginalized and the affluent, and tracing the pathway back through the food marketing and distribution networks, processing and storage facilities, agricultural production, and natural resource management, the entire landscape warrants examination</w:t>
      </w:r>
      <w:r w:rsidR="00E831FF" w:rsidRPr="00744457">
        <w:rPr>
          <w:rFonts w:ascii="Arial" w:hAnsi="Arial" w:cs="Arial"/>
          <w:noProof/>
          <w:sz w:val="20"/>
          <w:szCs w:val="20"/>
          <w:lang w:eastAsia="en-IN"/>
        </w:rPr>
        <w:t xml:space="preserve"> </w:t>
      </w:r>
      <w:r w:rsidR="00E831FF" w:rsidRPr="00935C2E">
        <w:rPr>
          <w:rFonts w:ascii="Arial" w:hAnsi="Arial" w:cs="Arial"/>
          <w:noProof/>
          <w:color w:val="FF0000"/>
          <w:sz w:val="20"/>
          <w:szCs w:val="20"/>
          <w:lang w:eastAsia="en-IN"/>
        </w:rPr>
        <w:t>(</w:t>
      </w:r>
      <w:proofErr w:type="spellStart"/>
      <w:r w:rsidR="00E831FF" w:rsidRPr="00935C2E">
        <w:rPr>
          <w:rFonts w:ascii="Arial" w:hAnsi="Arial" w:cs="Arial"/>
          <w:color w:val="FF0000"/>
          <w:sz w:val="20"/>
          <w:szCs w:val="20"/>
          <w:shd w:val="clear" w:color="auto" w:fill="FFFFFF"/>
        </w:rPr>
        <w:t>Achrol</w:t>
      </w:r>
      <w:proofErr w:type="spellEnd"/>
      <w:r w:rsidR="00E831FF" w:rsidRPr="00935C2E">
        <w:rPr>
          <w:rFonts w:ascii="Arial" w:hAnsi="Arial" w:cs="Arial"/>
          <w:color w:val="FF0000"/>
          <w:sz w:val="20"/>
          <w:szCs w:val="20"/>
          <w:shd w:val="clear" w:color="auto" w:fill="FFFFFF"/>
        </w:rPr>
        <w:t xml:space="preserve"> </w:t>
      </w:r>
      <w:r w:rsidR="00935C2E" w:rsidRPr="00935C2E">
        <w:rPr>
          <w:rFonts w:ascii="Arial" w:hAnsi="Arial" w:cs="Arial"/>
          <w:color w:val="FF0000"/>
          <w:sz w:val="20"/>
          <w:szCs w:val="20"/>
          <w:shd w:val="clear" w:color="auto" w:fill="FFFFFF"/>
        </w:rPr>
        <w:t>and</w:t>
      </w:r>
      <w:r w:rsidR="00E831FF" w:rsidRPr="00935C2E">
        <w:rPr>
          <w:rFonts w:ascii="Arial" w:hAnsi="Arial" w:cs="Arial"/>
          <w:color w:val="FF0000"/>
          <w:sz w:val="20"/>
          <w:szCs w:val="20"/>
          <w:shd w:val="clear" w:color="auto" w:fill="FFFFFF"/>
        </w:rPr>
        <w:t xml:space="preserve"> Kotler, 2012)</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Simultaneously, it is essential to scrutinize the roles played by critical players within the institutional framework, such as civil society, the private sector, policy makers, legislators, and investors.</w:t>
      </w:r>
    </w:p>
    <w:p w14:paraId="4983D9D6" w14:textId="6158D39E"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topic of nutrition-sensitive food systems has ascended to a position of paramount importance, drawing international attention through initiatives like the Scaling-Up Nutrition movement (SUN), Renewed Efforts Against Child Hunger (REACH), the UN Standing Committee on Nutrition, and the comprehensive framework for action developed by the High-Level Task Force on the Global Food Security Crisis</w:t>
      </w:r>
      <w:r w:rsidR="00E831FF" w:rsidRPr="00744457">
        <w:rPr>
          <w:rFonts w:ascii="Arial" w:hAnsi="Arial" w:cs="Arial"/>
          <w:noProof/>
          <w:sz w:val="20"/>
          <w:szCs w:val="20"/>
          <w:lang w:eastAsia="en-IN"/>
        </w:rPr>
        <w:t xml:space="preserve"> </w:t>
      </w:r>
      <w:r w:rsidR="00E831FF" w:rsidRPr="00935C2E">
        <w:rPr>
          <w:rFonts w:ascii="Arial" w:hAnsi="Arial" w:cs="Arial"/>
          <w:noProof/>
          <w:color w:val="FF0000"/>
          <w:sz w:val="20"/>
          <w:szCs w:val="20"/>
          <w:lang w:eastAsia="en-IN"/>
        </w:rPr>
        <w:t>(</w:t>
      </w:r>
      <w:r w:rsidR="00E831FF" w:rsidRPr="00935C2E">
        <w:rPr>
          <w:rFonts w:ascii="Arial" w:hAnsi="Arial" w:cs="Arial"/>
          <w:color w:val="FF0000"/>
          <w:sz w:val="20"/>
          <w:szCs w:val="20"/>
          <w:shd w:val="clear" w:color="auto" w:fill="FFFFFF"/>
        </w:rPr>
        <w:t>Lie, 2023)</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As we embark on this crucial journey, it is clear that the convergence of agriculture, food systems, and nutrition is not only a matter of global concern but also a collective responsibility. By engaging in constructive dialogue and collaborative efforts, we can begin to unlock the vast potential of our food systems to improve the nutritional well-being of individuals and communities around the world.</w:t>
      </w:r>
    </w:p>
    <w:p w14:paraId="1E472C53" w14:textId="77777777" w:rsidR="00220201" w:rsidRPr="00935C2E" w:rsidRDefault="004E4E5C" w:rsidP="00935C2E">
      <w:pPr>
        <w:pStyle w:val="ListeParagraf"/>
        <w:numPr>
          <w:ilvl w:val="0"/>
          <w:numId w:val="1"/>
        </w:numPr>
        <w:spacing w:line="240" w:lineRule="auto"/>
        <w:ind w:left="426"/>
        <w:jc w:val="both"/>
        <w:rPr>
          <w:rFonts w:ascii="Arial" w:hAnsi="Arial" w:cs="Arial"/>
          <w:b/>
          <w:noProof/>
          <w:color w:val="FF0000"/>
          <w:sz w:val="24"/>
          <w:szCs w:val="20"/>
          <w:lang w:eastAsia="en-IN"/>
        </w:rPr>
      </w:pPr>
      <w:r w:rsidRPr="00935C2E">
        <w:rPr>
          <w:rFonts w:ascii="Arial" w:hAnsi="Arial" w:cs="Arial"/>
          <w:b/>
          <w:noProof/>
          <w:color w:val="FF0000"/>
          <w:sz w:val="24"/>
          <w:szCs w:val="20"/>
          <w:lang w:eastAsia="en-IN"/>
        </w:rPr>
        <w:t>UNDERSTANDING MALNUTRITION: ORIGINS, IMPACTS AND ASSESSMENT</w:t>
      </w:r>
    </w:p>
    <w:p w14:paraId="2B7C3F53" w14:textId="77777777" w:rsidR="00787809" w:rsidRPr="00744457" w:rsidRDefault="00787809"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fundamental physiological requirement for proper nutrition involves the body's ability to intake and metabolize macronutrients (comprising fats, proteins and carbohydrates) in balanced proportions, necessary for healthy growth. Additionally, it requires micronutrients (inclusive of both water- and fat-soluble vitamins, essential minerals, and trace elements) in smaller quantities to support growth and regulate bodily processes, along with an adequate supply of water</w:t>
      </w:r>
      <w:r w:rsidR="004A0591" w:rsidRPr="00744457">
        <w:rPr>
          <w:rFonts w:ascii="Arial" w:hAnsi="Arial" w:cs="Arial"/>
          <w:noProof/>
          <w:sz w:val="20"/>
          <w:szCs w:val="20"/>
          <w:lang w:eastAsia="en-IN"/>
        </w:rPr>
        <w:t xml:space="preserve"> </w:t>
      </w:r>
      <w:r w:rsidR="004A0591" w:rsidRPr="00935C2E">
        <w:rPr>
          <w:rFonts w:ascii="Arial" w:hAnsi="Arial" w:cs="Arial"/>
          <w:noProof/>
          <w:color w:val="FF0000"/>
          <w:sz w:val="20"/>
          <w:szCs w:val="20"/>
          <w:lang w:eastAsia="en-IN"/>
        </w:rPr>
        <w:t>(</w:t>
      </w:r>
      <w:r w:rsidR="004A0591" w:rsidRPr="00935C2E">
        <w:rPr>
          <w:rFonts w:ascii="Arial" w:hAnsi="Arial" w:cs="Arial"/>
          <w:color w:val="FF0000"/>
          <w:sz w:val="20"/>
          <w:szCs w:val="20"/>
          <w:shd w:val="clear" w:color="auto" w:fill="FFFFFF"/>
        </w:rPr>
        <w:t>Shergill-Bonner, 2017)</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Malnutrition can be categorized into three primary issues. The first issue pertains to growth failure, which can manifest in two main forms: acute malnutrition, which includes wasting and nutritional edema, and chronic malnutrition, commonly known as stunting</w:t>
      </w:r>
      <w:r w:rsidR="00E831FF" w:rsidRPr="00744457">
        <w:rPr>
          <w:rFonts w:ascii="Arial" w:hAnsi="Arial" w:cs="Arial"/>
          <w:noProof/>
          <w:sz w:val="20"/>
          <w:szCs w:val="20"/>
          <w:lang w:eastAsia="en-IN"/>
        </w:rPr>
        <w:t xml:space="preserve"> </w:t>
      </w:r>
      <w:r w:rsidR="00E831FF" w:rsidRPr="00935C2E">
        <w:rPr>
          <w:rFonts w:ascii="Arial" w:hAnsi="Arial" w:cs="Arial"/>
          <w:noProof/>
          <w:color w:val="FF0000"/>
          <w:sz w:val="20"/>
          <w:szCs w:val="20"/>
          <w:lang w:eastAsia="en-IN"/>
        </w:rPr>
        <w:t>(</w:t>
      </w:r>
      <w:proofErr w:type="spellStart"/>
      <w:r w:rsidR="00E831FF" w:rsidRPr="00935C2E">
        <w:rPr>
          <w:rFonts w:ascii="Arial" w:hAnsi="Arial" w:cs="Arial"/>
          <w:color w:val="FF0000"/>
          <w:sz w:val="20"/>
          <w:szCs w:val="20"/>
          <w:shd w:val="clear" w:color="auto" w:fill="FFFFFF"/>
        </w:rPr>
        <w:t>Dipasquale</w:t>
      </w:r>
      <w:proofErr w:type="spellEnd"/>
      <w:r w:rsidR="00E831FF" w:rsidRPr="00935C2E">
        <w:rPr>
          <w:rFonts w:ascii="Arial" w:hAnsi="Arial" w:cs="Arial"/>
          <w:color w:val="FF0000"/>
          <w:sz w:val="20"/>
          <w:szCs w:val="20"/>
          <w:shd w:val="clear" w:color="auto" w:fill="FFFFFF"/>
        </w:rPr>
        <w:t xml:space="preserve"> </w:t>
      </w:r>
      <w:r w:rsidR="00C14C0A" w:rsidRPr="00935C2E">
        <w:rPr>
          <w:rFonts w:ascii="Arial" w:hAnsi="Arial" w:cs="Arial"/>
          <w:color w:val="FF0000"/>
          <w:sz w:val="20"/>
          <w:szCs w:val="20"/>
          <w:shd w:val="clear" w:color="auto" w:fill="FFFFFF"/>
        </w:rPr>
        <w:t>et al</w:t>
      </w:r>
      <w:r w:rsidR="00E831FF" w:rsidRPr="00935C2E">
        <w:rPr>
          <w:rFonts w:ascii="Arial" w:hAnsi="Arial" w:cs="Arial"/>
          <w:color w:val="FF0000"/>
          <w:sz w:val="20"/>
          <w:szCs w:val="20"/>
          <w:shd w:val="clear" w:color="auto" w:fill="FFFFFF"/>
        </w:rPr>
        <w:t>., 2020)</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 xml:space="preserve">To assess these conditions in children, weight-for-height and height-for-age are among the key measurement criteria for wasting and stunting, respectively. In practice, acute malnutrition is further divided into moderate and severe categories. Research by </w:t>
      </w:r>
      <w:r w:rsidRPr="00935C2E">
        <w:rPr>
          <w:rFonts w:ascii="Arial" w:hAnsi="Arial" w:cs="Arial"/>
          <w:noProof/>
          <w:color w:val="FF0000"/>
          <w:sz w:val="20"/>
          <w:szCs w:val="20"/>
          <w:lang w:eastAsia="en-IN"/>
        </w:rPr>
        <w:t xml:space="preserve">(Black </w:t>
      </w:r>
      <w:r w:rsidR="00C14C0A" w:rsidRPr="00935C2E">
        <w:rPr>
          <w:rFonts w:ascii="Arial" w:hAnsi="Arial" w:cs="Arial"/>
          <w:noProof/>
          <w:color w:val="FF0000"/>
          <w:sz w:val="20"/>
          <w:szCs w:val="20"/>
          <w:lang w:eastAsia="en-IN"/>
        </w:rPr>
        <w:t>et al</w:t>
      </w:r>
      <w:r w:rsidRPr="00935C2E">
        <w:rPr>
          <w:rFonts w:ascii="Arial" w:hAnsi="Arial" w:cs="Arial"/>
          <w:noProof/>
          <w:color w:val="FF0000"/>
          <w:sz w:val="20"/>
          <w:szCs w:val="20"/>
          <w:lang w:eastAsia="en-IN"/>
        </w:rPr>
        <w:t>., 2013)</w:t>
      </w:r>
      <w:r w:rsidRPr="00744457">
        <w:rPr>
          <w:rFonts w:ascii="Arial" w:hAnsi="Arial" w:cs="Arial"/>
          <w:noProof/>
          <w:sz w:val="20"/>
          <w:szCs w:val="20"/>
          <w:lang w:eastAsia="en-IN"/>
        </w:rPr>
        <w:t xml:space="preserve"> has revealed an increase in the prevalence of maternal and child undernutrition over the past two decades. </w:t>
      </w:r>
    </w:p>
    <w:p w14:paraId="58961E74"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UNICEF also identifies underweight (determined by weight-for-age) as a form of growth failure. However, it remains somewhat unclear whether this is a distinct, separate category of growth failure, a broader concept encompassing both wasting and stunting, or whether it includes these two conditions along with additional related problems. (</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xml:space="preserve">., 2008) </w:t>
      </w:r>
      <w:r w:rsidRPr="00744457">
        <w:rPr>
          <w:rFonts w:ascii="Arial" w:hAnsi="Arial" w:cs="Arial"/>
          <w:noProof/>
          <w:sz w:val="20"/>
          <w:szCs w:val="20"/>
          <w:lang w:eastAsia="en-IN"/>
        </w:rPr>
        <w:t xml:space="preserve">advocate for considering stunting and wasting as distinct categories due to the differences in determinants and interventions associated with each. Furthermore, </w:t>
      </w:r>
      <w:r w:rsidRPr="00935C2E">
        <w:rPr>
          <w:rFonts w:ascii="Arial" w:hAnsi="Arial" w:cs="Arial"/>
          <w:noProof/>
          <w:color w:val="FF0000"/>
          <w:sz w:val="20"/>
          <w:szCs w:val="20"/>
          <w:lang w:eastAsia="en-IN"/>
        </w:rPr>
        <w:t xml:space="preserve">(Bhutta </w:t>
      </w:r>
      <w:r w:rsidR="00C14C0A" w:rsidRPr="00935C2E">
        <w:rPr>
          <w:rFonts w:ascii="Arial" w:hAnsi="Arial" w:cs="Arial"/>
          <w:noProof/>
          <w:color w:val="FF0000"/>
          <w:sz w:val="20"/>
          <w:szCs w:val="20"/>
          <w:lang w:eastAsia="en-IN"/>
        </w:rPr>
        <w:t>et al</w:t>
      </w:r>
      <w:r w:rsidRPr="00935C2E">
        <w:rPr>
          <w:rFonts w:ascii="Arial" w:hAnsi="Arial" w:cs="Arial"/>
          <w:noProof/>
          <w:color w:val="FF0000"/>
          <w:sz w:val="20"/>
          <w:szCs w:val="20"/>
          <w:lang w:eastAsia="en-IN"/>
        </w:rPr>
        <w:t xml:space="preserve">., 2013) </w:t>
      </w:r>
      <w:r w:rsidRPr="00744457">
        <w:rPr>
          <w:rFonts w:ascii="Arial" w:hAnsi="Arial" w:cs="Arial"/>
          <w:noProof/>
          <w:sz w:val="20"/>
          <w:szCs w:val="20"/>
          <w:lang w:eastAsia="en-IN"/>
        </w:rPr>
        <w:t>underscore the importance of addressing fetal growth restriction as another facet of growth failure. This condition appears to result directly from the mother's nutritional status and significantly heightens the risks of neonatal deaths and stunting.</w:t>
      </w:r>
    </w:p>
    <w:p w14:paraId="121B370A"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second issue pertains to micronutrient deficiencies, which arise from the body's inability to adequately intake and absorb essential micronutrients. Type I deficiencies are characterized by distinct symptoms, depending on the specific nutrient that is lacking, while Type II deficiencies lead to overall growth failure similar to what is associated with protein-energy malnutrition</w:t>
      </w:r>
      <w:r w:rsidR="00E831FF" w:rsidRPr="00744457">
        <w:rPr>
          <w:rFonts w:ascii="Arial" w:hAnsi="Arial" w:cs="Arial"/>
          <w:noProof/>
          <w:sz w:val="20"/>
          <w:szCs w:val="20"/>
          <w:lang w:eastAsia="en-IN"/>
        </w:rPr>
        <w:t xml:space="preserve"> </w:t>
      </w:r>
      <w:r w:rsidR="00E831FF" w:rsidRPr="00935C2E">
        <w:rPr>
          <w:rFonts w:ascii="Arial" w:hAnsi="Arial" w:cs="Arial"/>
          <w:noProof/>
          <w:color w:val="FF0000"/>
          <w:sz w:val="20"/>
          <w:szCs w:val="20"/>
          <w:lang w:eastAsia="en-IN"/>
        </w:rPr>
        <w:t>(</w:t>
      </w:r>
      <w:r w:rsidR="00E831FF" w:rsidRPr="00935C2E">
        <w:rPr>
          <w:rFonts w:ascii="Arial" w:hAnsi="Arial" w:cs="Arial"/>
          <w:color w:val="FF0000"/>
          <w:sz w:val="20"/>
          <w:szCs w:val="20"/>
          <w:shd w:val="clear" w:color="auto" w:fill="FFFFFF"/>
        </w:rPr>
        <w:t>Millward, 2017)</w:t>
      </w:r>
      <w:r w:rsidRPr="00935C2E">
        <w:rPr>
          <w:rFonts w:ascii="Arial" w:hAnsi="Arial" w:cs="Arial"/>
          <w:noProof/>
          <w:color w:val="FF0000"/>
          <w:sz w:val="20"/>
          <w:szCs w:val="20"/>
          <w:lang w:eastAsia="en-IN"/>
        </w:rPr>
        <w:t xml:space="preserve">. </w:t>
      </w:r>
      <w:r w:rsidRPr="00744457">
        <w:rPr>
          <w:rFonts w:ascii="Arial" w:hAnsi="Arial" w:cs="Arial"/>
          <w:noProof/>
          <w:sz w:val="20"/>
          <w:szCs w:val="20"/>
          <w:lang w:eastAsia="en-IN"/>
        </w:rPr>
        <w:t xml:space="preserve">Notable Type I deficiencies highlighted in training materials and research papers include vitamin A, zinc, calcium, iron, iodine, and zinc, as emphasized by </w:t>
      </w:r>
      <w:r w:rsidR="00E831FF" w:rsidRPr="00935C2E">
        <w:rPr>
          <w:rFonts w:ascii="Arial" w:hAnsi="Arial" w:cs="Arial"/>
          <w:noProof/>
          <w:color w:val="FF0000"/>
          <w:sz w:val="20"/>
          <w:szCs w:val="20"/>
          <w:lang w:eastAsia="en-IN"/>
        </w:rPr>
        <w:t>(</w:t>
      </w:r>
      <w:r w:rsidRPr="00935C2E">
        <w:rPr>
          <w:rFonts w:ascii="Arial" w:hAnsi="Arial" w:cs="Arial"/>
          <w:noProof/>
          <w:color w:val="FF0000"/>
          <w:sz w:val="20"/>
          <w:szCs w:val="20"/>
          <w:lang w:eastAsia="en-IN"/>
        </w:rPr>
        <w:t xml:space="preserve">Black </w:t>
      </w:r>
      <w:r w:rsidR="00C14C0A" w:rsidRPr="00935C2E">
        <w:rPr>
          <w:rFonts w:ascii="Arial" w:hAnsi="Arial" w:cs="Arial"/>
          <w:noProof/>
          <w:color w:val="FF0000"/>
          <w:sz w:val="20"/>
          <w:szCs w:val="20"/>
          <w:lang w:eastAsia="en-IN"/>
        </w:rPr>
        <w:t>et al</w:t>
      </w:r>
      <w:r w:rsidRPr="00935C2E">
        <w:rPr>
          <w:rFonts w:ascii="Arial" w:hAnsi="Arial" w:cs="Arial"/>
          <w:noProof/>
          <w:color w:val="FF0000"/>
          <w:sz w:val="20"/>
          <w:szCs w:val="20"/>
          <w:lang w:eastAsia="en-IN"/>
        </w:rPr>
        <w:t>.</w:t>
      </w:r>
      <w:r w:rsidR="00E831FF" w:rsidRPr="00935C2E">
        <w:rPr>
          <w:rFonts w:ascii="Arial" w:hAnsi="Arial" w:cs="Arial"/>
          <w:noProof/>
          <w:color w:val="FF0000"/>
          <w:sz w:val="20"/>
          <w:szCs w:val="20"/>
          <w:lang w:eastAsia="en-IN"/>
        </w:rPr>
        <w:t xml:space="preserve">, </w:t>
      </w:r>
      <w:r w:rsidRPr="00935C2E">
        <w:rPr>
          <w:rFonts w:ascii="Arial" w:hAnsi="Arial" w:cs="Arial"/>
          <w:noProof/>
          <w:color w:val="FF0000"/>
          <w:sz w:val="20"/>
          <w:szCs w:val="20"/>
          <w:lang w:eastAsia="en-IN"/>
        </w:rPr>
        <w:t xml:space="preserve">2013). </w:t>
      </w:r>
      <w:r w:rsidRPr="00744457">
        <w:rPr>
          <w:rFonts w:ascii="Arial" w:hAnsi="Arial" w:cs="Arial"/>
          <w:noProof/>
          <w:sz w:val="20"/>
          <w:szCs w:val="20"/>
          <w:lang w:eastAsia="en-IN"/>
        </w:rPr>
        <w:t xml:space="preserve">In emergency settings, </w:t>
      </w:r>
      <w:r w:rsidRPr="00744457">
        <w:rPr>
          <w:rFonts w:ascii="Arial" w:hAnsi="Arial" w:cs="Arial"/>
          <w:noProof/>
          <w:sz w:val="20"/>
          <w:szCs w:val="20"/>
          <w:lang w:eastAsia="en-IN"/>
        </w:rPr>
        <w:lastRenderedPageBreak/>
        <w:t>deficiencies in three other Type I micronutrients, namely Thiamin, Niacin, and Vitamin C, are also common, although they are not as prevalent in stable situations.</w:t>
      </w:r>
    </w:p>
    <w:p w14:paraId="391B2784" w14:textId="77777777" w:rsidR="00787809" w:rsidRPr="00935C2E" w:rsidRDefault="00787809" w:rsidP="00744457">
      <w:pPr>
        <w:spacing w:line="240" w:lineRule="auto"/>
        <w:ind w:firstLine="720"/>
        <w:jc w:val="both"/>
        <w:rPr>
          <w:rFonts w:ascii="Arial" w:hAnsi="Arial" w:cs="Arial"/>
          <w:noProof/>
          <w:color w:val="FF0000"/>
          <w:sz w:val="20"/>
          <w:szCs w:val="20"/>
          <w:lang w:eastAsia="en-IN"/>
        </w:rPr>
      </w:pPr>
      <w:r w:rsidRPr="00744457">
        <w:rPr>
          <w:rFonts w:ascii="Arial" w:hAnsi="Arial" w:cs="Arial"/>
          <w:noProof/>
          <w:sz w:val="20"/>
          <w:szCs w:val="20"/>
          <w:lang w:eastAsia="en-IN"/>
        </w:rPr>
        <w:t xml:space="preserve">A third form of malnutrition is related to overweight and obesity, typically assessed in terms of weight relative to age. According to </w:t>
      </w:r>
      <w:r w:rsidR="00E831FF" w:rsidRPr="00935C2E">
        <w:rPr>
          <w:rFonts w:ascii="Arial" w:hAnsi="Arial" w:cs="Arial"/>
          <w:noProof/>
          <w:color w:val="FF0000"/>
          <w:sz w:val="20"/>
          <w:szCs w:val="20"/>
          <w:lang w:eastAsia="en-IN"/>
        </w:rPr>
        <w:t xml:space="preserve">(Black </w:t>
      </w:r>
      <w:r w:rsidR="00C14C0A" w:rsidRPr="00935C2E">
        <w:rPr>
          <w:rFonts w:ascii="Arial" w:hAnsi="Arial" w:cs="Arial"/>
          <w:noProof/>
          <w:color w:val="FF0000"/>
          <w:sz w:val="20"/>
          <w:szCs w:val="20"/>
          <w:lang w:eastAsia="en-IN"/>
        </w:rPr>
        <w:t>et al</w:t>
      </w:r>
      <w:r w:rsidR="00E831FF" w:rsidRPr="00935C2E">
        <w:rPr>
          <w:rFonts w:ascii="Arial" w:hAnsi="Arial" w:cs="Arial"/>
          <w:noProof/>
          <w:color w:val="FF0000"/>
          <w:sz w:val="20"/>
          <w:szCs w:val="20"/>
          <w:lang w:eastAsia="en-IN"/>
        </w:rPr>
        <w:t xml:space="preserve">., </w:t>
      </w:r>
      <w:r w:rsidRPr="00935C2E">
        <w:rPr>
          <w:rFonts w:ascii="Arial" w:hAnsi="Arial" w:cs="Arial"/>
          <w:noProof/>
          <w:color w:val="FF0000"/>
          <w:sz w:val="20"/>
          <w:szCs w:val="20"/>
          <w:lang w:eastAsia="en-IN"/>
        </w:rPr>
        <w:t xml:space="preserve">2013), </w:t>
      </w:r>
      <w:r w:rsidRPr="00744457">
        <w:rPr>
          <w:rFonts w:ascii="Arial" w:hAnsi="Arial" w:cs="Arial"/>
          <w:noProof/>
          <w:sz w:val="20"/>
          <w:szCs w:val="20"/>
          <w:lang w:eastAsia="en-IN"/>
        </w:rPr>
        <w:t xml:space="preserve">the prevalence of obesity has exhibited a continuous increase since 1980 and now surpasses that of undernutrition across all regions worldwide. One determinant of adult obesity is a history of undernutrition during the initial 1,000 days of life, followed by rapid weight gain starting at the age of two. Consequently, there is a concern for populations born during periods of high undernutrition who subsequently had to adapt to swiftly changing postnatal diets and environments, as noted by </w:t>
      </w:r>
      <w:r w:rsidRPr="00935C2E">
        <w:rPr>
          <w:rFonts w:ascii="Arial" w:hAnsi="Arial" w:cs="Arial"/>
          <w:noProof/>
          <w:color w:val="FF0000"/>
          <w:sz w:val="20"/>
          <w:szCs w:val="20"/>
          <w:lang w:eastAsia="en-IN"/>
        </w:rPr>
        <w:t xml:space="preserve">Victora </w:t>
      </w:r>
      <w:r w:rsidR="00C14C0A" w:rsidRPr="00935C2E">
        <w:rPr>
          <w:rFonts w:ascii="Arial" w:hAnsi="Arial" w:cs="Arial"/>
          <w:i/>
          <w:noProof/>
          <w:color w:val="FF0000"/>
          <w:sz w:val="20"/>
          <w:szCs w:val="20"/>
          <w:lang w:eastAsia="en-IN"/>
        </w:rPr>
        <w:t>et al</w:t>
      </w:r>
      <w:r w:rsidRPr="00935C2E">
        <w:rPr>
          <w:rFonts w:ascii="Arial" w:hAnsi="Arial" w:cs="Arial"/>
          <w:noProof/>
          <w:color w:val="FF0000"/>
          <w:sz w:val="20"/>
          <w:szCs w:val="20"/>
          <w:lang w:eastAsia="en-IN"/>
        </w:rPr>
        <w:t>. (2008).</w:t>
      </w:r>
    </w:p>
    <w:p w14:paraId="47E6067B" w14:textId="77777777" w:rsidR="00172A21" w:rsidRPr="00935C2E" w:rsidRDefault="004E4E5C" w:rsidP="00935C2E">
      <w:pPr>
        <w:pStyle w:val="ListeParagraf"/>
        <w:numPr>
          <w:ilvl w:val="0"/>
          <w:numId w:val="1"/>
        </w:numPr>
        <w:spacing w:line="240" w:lineRule="auto"/>
        <w:ind w:left="284"/>
        <w:jc w:val="both"/>
        <w:rPr>
          <w:rFonts w:ascii="Arial" w:hAnsi="Arial" w:cs="Arial"/>
          <w:b/>
          <w:noProof/>
          <w:color w:val="FF0000"/>
          <w:sz w:val="24"/>
          <w:szCs w:val="20"/>
          <w:lang w:eastAsia="en-IN"/>
        </w:rPr>
      </w:pPr>
      <w:r w:rsidRPr="00935C2E">
        <w:rPr>
          <w:rFonts w:ascii="Arial" w:hAnsi="Arial" w:cs="Arial"/>
          <w:b/>
          <w:noProof/>
          <w:color w:val="FF0000"/>
          <w:sz w:val="24"/>
          <w:szCs w:val="20"/>
          <w:lang w:eastAsia="en-IN"/>
        </w:rPr>
        <w:t>PATHWAYS LINKING AGRICULTURE AND NUTRITION</w:t>
      </w:r>
    </w:p>
    <w:p w14:paraId="5E93704D" w14:textId="22CF8DD8" w:rsidR="00E64701" w:rsidRPr="00BE04FB" w:rsidRDefault="00E64701" w:rsidP="00744457">
      <w:pPr>
        <w:spacing w:line="240" w:lineRule="auto"/>
        <w:jc w:val="both"/>
        <w:rPr>
          <w:rFonts w:ascii="Arial" w:hAnsi="Arial" w:cs="Arial"/>
          <w:noProof/>
          <w:color w:val="FF0000"/>
          <w:sz w:val="20"/>
          <w:szCs w:val="20"/>
          <w:lang w:eastAsia="en-IN"/>
        </w:rPr>
      </w:pPr>
      <w:r w:rsidRPr="00744457">
        <w:rPr>
          <w:rFonts w:ascii="Arial" w:hAnsi="Arial" w:cs="Arial"/>
          <w:noProof/>
          <w:sz w:val="20"/>
          <w:szCs w:val="20"/>
          <w:lang w:eastAsia="en-IN"/>
        </w:rPr>
        <w:t>Numerous academic papers propose conceptual frameworks to delineate the presumed agriculture-nutrition connections. These frameworks also acknowledge the crucial feedback loops through which nutrition reciprocally influences agricultural outcomes, particularly labor productivity</w:t>
      </w:r>
      <w:r w:rsidR="00B735B4">
        <w:rPr>
          <w:rFonts w:ascii="Arial" w:hAnsi="Arial" w:cs="Arial"/>
          <w:noProof/>
          <w:sz w:val="20"/>
          <w:szCs w:val="20"/>
          <w:lang w:eastAsia="en-IN"/>
        </w:rPr>
        <w:t xml:space="preserve">. </w:t>
      </w:r>
      <w:r w:rsidRPr="00744457">
        <w:rPr>
          <w:rFonts w:ascii="Arial" w:hAnsi="Arial" w:cs="Arial"/>
          <w:noProof/>
          <w:sz w:val="20"/>
          <w:szCs w:val="20"/>
          <w:lang w:eastAsia="en-IN"/>
        </w:rPr>
        <w:t xml:space="preserve">These hypothetical pathways can be categorized in various ways, but for the purpose of aligning them with economic theory and value chain concepts, it is advantageous to categorize them based on whether they predominantly impact the supply side (i.e., agribusinesses) or the demand side (i.e., consumers) of a variety of nourishing foods. Additionally, gender dynamics and access to markets deserve special mention as pivotal overarching factors, given their significant role as mediators and modifiers in the interplay between agricultural and nutritional pathways, as discussed by </w:t>
      </w:r>
      <w:r w:rsidRPr="00BE04FB">
        <w:rPr>
          <w:rFonts w:ascii="Arial" w:hAnsi="Arial" w:cs="Arial"/>
          <w:noProof/>
          <w:color w:val="FF0000"/>
          <w:sz w:val="20"/>
          <w:szCs w:val="20"/>
          <w:lang w:eastAsia="en-IN"/>
        </w:rPr>
        <w:t xml:space="preserve">(Ruel and Alderman, 2017). </w:t>
      </w:r>
    </w:p>
    <w:p w14:paraId="59482F16" w14:textId="77777777" w:rsidR="00B43C8A" w:rsidRPr="00744457" w:rsidRDefault="00E647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Supply-side pathways for agriculture-nutrition linkages can be delineated as Homestead Agricultural Production where, this first pathway encompasses food production for personal and local consumption. It is particularly significant for rural communities that rely on subsistence farming and are somewhat isolated from the broader food system. Considerations within this pathway include the impact on household nutrition of productivity-enhancing technologies (such as irrigation), soil fertility and fertilization practices, farm diversification (including livestock rearing), crop biofortification (e.g., orange-flesh sweet potatoes), and commercial </w:t>
      </w:r>
      <w:r w:rsidRPr="00BE04FB">
        <w:rPr>
          <w:rFonts w:ascii="Arial" w:hAnsi="Arial" w:cs="Arial"/>
          <w:noProof/>
          <w:color w:val="FF0000"/>
          <w:sz w:val="20"/>
          <w:szCs w:val="20"/>
          <w:lang w:eastAsia="en-IN"/>
        </w:rPr>
        <w:t>farming</w:t>
      </w:r>
      <w:r w:rsidR="004A0591" w:rsidRPr="00BE04FB">
        <w:rPr>
          <w:rFonts w:ascii="Arial" w:hAnsi="Arial" w:cs="Arial"/>
          <w:noProof/>
          <w:color w:val="FF0000"/>
          <w:sz w:val="20"/>
          <w:szCs w:val="20"/>
          <w:lang w:eastAsia="en-IN"/>
        </w:rPr>
        <w:t xml:space="preserve"> (</w:t>
      </w:r>
      <w:r w:rsidR="004A0591" w:rsidRPr="00BE04FB">
        <w:rPr>
          <w:rFonts w:ascii="Arial" w:hAnsi="Arial" w:cs="Arial"/>
          <w:color w:val="FF0000"/>
          <w:sz w:val="20"/>
          <w:szCs w:val="20"/>
          <w:shd w:val="clear" w:color="auto" w:fill="FFFFFF"/>
        </w:rPr>
        <w:t>Vroegindewey, 2018)</w:t>
      </w:r>
      <w:r w:rsidRPr="00BE04FB">
        <w:rPr>
          <w:rFonts w:ascii="Arial" w:hAnsi="Arial" w:cs="Arial"/>
          <w:noProof/>
          <w:color w:val="FF0000"/>
          <w:sz w:val="20"/>
          <w:szCs w:val="20"/>
          <w:lang w:eastAsia="en-IN"/>
        </w:rPr>
        <w:t xml:space="preserve">. </w:t>
      </w:r>
      <w:r w:rsidRPr="00744457">
        <w:rPr>
          <w:rFonts w:ascii="Arial" w:hAnsi="Arial" w:cs="Arial"/>
          <w:noProof/>
          <w:sz w:val="20"/>
          <w:szCs w:val="20"/>
          <w:lang w:eastAsia="en-IN"/>
        </w:rPr>
        <w:t xml:space="preserve">Seasonal variations also play a role in this context. Secondly, Food Processing is the second pathway revolves around the processing of food items, rendering macronutrients and micronutrients more accessible to consumers. Within this pathway, micronutrient fortification can be seen as a complementary strategy to biofortification, enhancing micronutrient intake. However, it's essential to acknowledge that food processing can also lead to increased consumption of foods that are low in fiber and high in fat, sugar, and salt, as noted by </w:t>
      </w:r>
      <w:r w:rsidRPr="00BE04FB">
        <w:rPr>
          <w:rFonts w:ascii="Arial" w:hAnsi="Arial" w:cs="Arial"/>
          <w:noProof/>
          <w:color w:val="FF0000"/>
          <w:sz w:val="20"/>
          <w:szCs w:val="20"/>
          <w:lang w:eastAsia="en-IN"/>
        </w:rPr>
        <w:t xml:space="preserve">(Qaim, 2017). </w:t>
      </w:r>
      <w:r w:rsidRPr="00744457">
        <w:rPr>
          <w:rFonts w:ascii="Arial" w:hAnsi="Arial" w:cs="Arial"/>
          <w:noProof/>
          <w:sz w:val="20"/>
          <w:szCs w:val="20"/>
          <w:lang w:eastAsia="en-IN"/>
        </w:rPr>
        <w:t xml:space="preserve">Reducing food waste at the processing stage or as a result of processing is another facet that can positively impact nutrition, as emphasized </w:t>
      </w:r>
      <w:r w:rsidRPr="00BE04FB">
        <w:rPr>
          <w:rFonts w:ascii="Arial" w:hAnsi="Arial" w:cs="Arial"/>
          <w:noProof/>
          <w:color w:val="FF0000"/>
          <w:sz w:val="20"/>
          <w:szCs w:val="20"/>
          <w:lang w:eastAsia="en-IN"/>
        </w:rPr>
        <w:t xml:space="preserve">by (Miller and Welch, 2013). </w:t>
      </w:r>
    </w:p>
    <w:p w14:paraId="41433529" w14:textId="77777777" w:rsidR="00B43C8A" w:rsidRPr="00744457" w:rsidRDefault="00B43C8A"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Farm-to-table is a food movement that prioritizes the direct sourcing of ingredients from local farms and producers for restaurant menus or home cooking. This approach is gaining popularity for a variety of reasons, including its potential to enhance the nutritional value of the food we consume and promote a healthier diet. Here's an exploration of how the farm-to-table concept positively influences nutrient intake and diet.</w:t>
      </w:r>
    </w:p>
    <w:p w14:paraId="4A5B3B63"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Freshness and Nutrient Retention:</w:t>
      </w:r>
      <w:r w:rsidRPr="00744457">
        <w:rPr>
          <w:rFonts w:ascii="Arial" w:hAnsi="Arial" w:cs="Arial"/>
          <w:noProof/>
          <w:sz w:val="20"/>
          <w:szCs w:val="20"/>
          <w:lang w:eastAsia="en-IN"/>
        </w:rPr>
        <w:t xml:space="preserve"> Farm-to-table practices emphasize using fresh, locally sourced ingredients. The moment produce is harvested, it begins to lose nutrients. By reducing the time between harvest and consumption, farm-to-table ensures that fruits, vegetables, and other ingredients retain more of their essential vitamins and minerals</w:t>
      </w:r>
      <w:r w:rsidR="004A0591" w:rsidRPr="00744457">
        <w:rPr>
          <w:rFonts w:ascii="Arial" w:hAnsi="Arial" w:cs="Arial"/>
          <w:noProof/>
          <w:sz w:val="20"/>
          <w:szCs w:val="20"/>
          <w:lang w:eastAsia="en-IN"/>
        </w:rPr>
        <w:t xml:space="preserve"> </w:t>
      </w:r>
      <w:r w:rsidR="004A0591" w:rsidRPr="00BE04FB">
        <w:rPr>
          <w:rFonts w:ascii="Arial" w:hAnsi="Arial" w:cs="Arial"/>
          <w:noProof/>
          <w:color w:val="FF0000"/>
          <w:sz w:val="20"/>
          <w:szCs w:val="20"/>
          <w:lang w:eastAsia="en-IN"/>
        </w:rPr>
        <w:t>(</w:t>
      </w:r>
      <w:r w:rsidR="004A0591" w:rsidRPr="00BE04FB">
        <w:rPr>
          <w:rFonts w:ascii="Arial" w:hAnsi="Arial" w:cs="Arial"/>
          <w:color w:val="FF0000"/>
          <w:sz w:val="20"/>
          <w:szCs w:val="20"/>
          <w:shd w:val="clear" w:color="auto" w:fill="FFFFFF"/>
        </w:rPr>
        <w:t xml:space="preserve">Benjamin </w:t>
      </w:r>
      <w:r w:rsidR="00C14C0A" w:rsidRPr="00BE04FB">
        <w:rPr>
          <w:rFonts w:ascii="Arial" w:hAnsi="Arial" w:cs="Arial"/>
          <w:color w:val="FF0000"/>
          <w:sz w:val="20"/>
          <w:szCs w:val="20"/>
          <w:shd w:val="clear" w:color="auto" w:fill="FFFFFF"/>
        </w:rPr>
        <w:t>et al</w:t>
      </w:r>
      <w:r w:rsidR="004A0591" w:rsidRPr="00BE04FB">
        <w:rPr>
          <w:rFonts w:ascii="Arial" w:hAnsi="Arial" w:cs="Arial"/>
          <w:color w:val="FF0000"/>
          <w:sz w:val="20"/>
          <w:szCs w:val="20"/>
          <w:shd w:val="clear" w:color="auto" w:fill="FFFFFF"/>
        </w:rPr>
        <w:t>., 2016)</w:t>
      </w:r>
      <w:r w:rsidRPr="00BE04FB">
        <w:rPr>
          <w:rFonts w:ascii="Arial" w:hAnsi="Arial" w:cs="Arial"/>
          <w:noProof/>
          <w:color w:val="FF0000"/>
          <w:sz w:val="20"/>
          <w:szCs w:val="20"/>
          <w:lang w:eastAsia="en-IN"/>
        </w:rPr>
        <w:t xml:space="preserve">. </w:t>
      </w:r>
      <w:r w:rsidRPr="00744457">
        <w:rPr>
          <w:rFonts w:ascii="Arial" w:hAnsi="Arial" w:cs="Arial"/>
          <w:noProof/>
          <w:sz w:val="20"/>
          <w:szCs w:val="20"/>
          <w:lang w:eastAsia="en-IN"/>
        </w:rPr>
        <w:t>This translates into a diet richer in nutrients, which are essential for overall health.</w:t>
      </w:r>
    </w:p>
    <w:p w14:paraId="29022879"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2. Diverse and Seasonal Choices:</w:t>
      </w:r>
      <w:r w:rsidRPr="00744457">
        <w:rPr>
          <w:rFonts w:ascii="Arial" w:hAnsi="Arial" w:cs="Arial"/>
          <w:noProof/>
          <w:sz w:val="20"/>
          <w:szCs w:val="20"/>
          <w:lang w:eastAsia="en-IN"/>
        </w:rPr>
        <w:t xml:space="preserve"> Farm-to-table menus and practices encourage the consumption of a wide variety of fresh, seasonal produce. Eating seasonally not only supports local agriculture but also exposes individuals to a diverse array of fruits and vegetables. Different seasons offer different nutrients, allowing people to enjoy a varied and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Wilkins, 2002)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diversity can help address nutrient deficiencies and promote better overall health.</w:t>
      </w:r>
    </w:p>
    <w:p w14:paraId="52D765D3" w14:textId="77777777" w:rsidR="00B43C8A" w:rsidRPr="00744457" w:rsidRDefault="00B43C8A" w:rsidP="00744457">
      <w:pPr>
        <w:spacing w:line="240" w:lineRule="auto"/>
        <w:jc w:val="both"/>
        <w:rPr>
          <w:rFonts w:ascii="Arial" w:hAnsi="Arial" w:cs="Arial"/>
          <w:b/>
          <w:noProof/>
          <w:sz w:val="20"/>
          <w:szCs w:val="20"/>
          <w:lang w:eastAsia="en-IN"/>
        </w:rPr>
      </w:pPr>
      <w:r w:rsidRPr="00744457">
        <w:rPr>
          <w:rFonts w:ascii="Arial" w:hAnsi="Arial" w:cs="Arial"/>
          <w:b/>
          <w:i/>
          <w:noProof/>
          <w:sz w:val="20"/>
          <w:szCs w:val="20"/>
          <w:lang w:eastAsia="en-IN"/>
        </w:rPr>
        <w:t>3. Reduced Processing and Additives:</w:t>
      </w:r>
      <w:r w:rsidRPr="00744457">
        <w:rPr>
          <w:rFonts w:ascii="Arial" w:hAnsi="Arial" w:cs="Arial"/>
          <w:noProof/>
          <w:sz w:val="20"/>
          <w:szCs w:val="20"/>
          <w:lang w:eastAsia="en-IN"/>
        </w:rPr>
        <w:t xml:space="preserve"> Farm-to-table often focuses on minimal processing and additives. This means fewer chemicals, preservatives, and artificial ingredients in the food. Such practices contribute to a diet that is closer to nature, reducing the intake of potentially harmful substances and improving the overall nutritional quality of meals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Carvalho, F. P. (2017)</w:t>
      </w:r>
      <w:r w:rsidRPr="00744457">
        <w:rPr>
          <w:rFonts w:ascii="Arial" w:hAnsi="Arial" w:cs="Arial"/>
          <w:b/>
          <w:noProof/>
          <w:sz w:val="20"/>
          <w:szCs w:val="20"/>
          <w:lang w:eastAsia="en-IN"/>
        </w:rPr>
        <w:t>.</w:t>
      </w:r>
    </w:p>
    <w:p w14:paraId="2C6A2E83" w14:textId="6269AE46" w:rsidR="00B43C8A" w:rsidRDefault="00B43C8A" w:rsidP="00744457">
      <w:pPr>
        <w:spacing w:line="240" w:lineRule="auto"/>
        <w:jc w:val="both"/>
        <w:rPr>
          <w:rFonts w:ascii="Arial" w:hAnsi="Arial" w:cs="Arial"/>
          <w:b/>
          <w:noProof/>
          <w:sz w:val="20"/>
          <w:szCs w:val="20"/>
          <w:lang w:eastAsia="en-IN"/>
        </w:rPr>
      </w:pPr>
      <w:r w:rsidRPr="00744457">
        <w:rPr>
          <w:rFonts w:ascii="Arial" w:hAnsi="Arial" w:cs="Arial"/>
          <w:b/>
          <w:i/>
          <w:noProof/>
          <w:sz w:val="20"/>
          <w:szCs w:val="20"/>
          <w:lang w:eastAsia="en-IN"/>
        </w:rPr>
        <w:t>4. Increased Awareness and Education:</w:t>
      </w:r>
      <w:r w:rsidRPr="00744457">
        <w:rPr>
          <w:rFonts w:ascii="Arial" w:hAnsi="Arial" w:cs="Arial"/>
          <w:noProof/>
          <w:sz w:val="20"/>
          <w:szCs w:val="20"/>
          <w:lang w:eastAsia="en-IN"/>
        </w:rPr>
        <w:t xml:space="preserve"> Farm-to-table dining and cooking experiences provide opportunities for education about where food comes from, how it's grown, and its nutritional benefits. </w:t>
      </w:r>
      <w:r w:rsidRPr="00744457">
        <w:rPr>
          <w:rFonts w:ascii="Arial" w:hAnsi="Arial" w:cs="Arial"/>
          <w:noProof/>
          <w:sz w:val="20"/>
          <w:szCs w:val="20"/>
          <w:lang w:eastAsia="en-IN"/>
        </w:rPr>
        <w:lastRenderedPageBreak/>
        <w:t>This heightened awareness can lead to more informed food choices and dietary decisions. Consumers may become more discerning about their food, opting for nutrient-dense options and a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 xml:space="preserve">(Harris </w:t>
      </w:r>
      <w:r w:rsidR="00C14C0A" w:rsidRPr="00744457">
        <w:rPr>
          <w:rFonts w:ascii="Arial" w:hAnsi="Arial" w:cs="Arial"/>
          <w:b/>
          <w:i/>
          <w:noProof/>
          <w:sz w:val="20"/>
          <w:szCs w:val="20"/>
          <w:lang w:eastAsia="en-IN"/>
        </w:rPr>
        <w:t>et al</w:t>
      </w:r>
      <w:r w:rsidR="004A0591" w:rsidRPr="00744457">
        <w:rPr>
          <w:rFonts w:ascii="Arial" w:hAnsi="Arial" w:cs="Arial"/>
          <w:b/>
          <w:noProof/>
          <w:sz w:val="20"/>
          <w:szCs w:val="20"/>
          <w:lang w:eastAsia="en-IN"/>
        </w:rPr>
        <w:t>., 2012)</w:t>
      </w:r>
      <w:r w:rsidRPr="00744457">
        <w:rPr>
          <w:rFonts w:ascii="Arial" w:hAnsi="Arial" w:cs="Arial"/>
          <w:b/>
          <w:noProof/>
          <w:sz w:val="20"/>
          <w:szCs w:val="20"/>
          <w:lang w:eastAsia="en-IN"/>
        </w:rPr>
        <w:t>.</w:t>
      </w:r>
    </w:p>
    <w:p w14:paraId="7BBD48D9" w14:textId="0BFB8EF6" w:rsidR="00BE04FB" w:rsidRPr="00BE04FB" w:rsidRDefault="00BE04FB" w:rsidP="00744457">
      <w:pPr>
        <w:spacing w:line="240" w:lineRule="auto"/>
        <w:jc w:val="both"/>
        <w:rPr>
          <w:rFonts w:ascii="Arial" w:hAnsi="Arial" w:cs="Arial"/>
          <w:b/>
          <w:noProof/>
          <w:color w:val="FF0000"/>
          <w:sz w:val="20"/>
          <w:szCs w:val="20"/>
          <w:lang w:eastAsia="en-IN"/>
        </w:rPr>
      </w:pPr>
      <w:r w:rsidRPr="00BE04FB">
        <w:rPr>
          <w:rFonts w:ascii="Arial" w:hAnsi="Arial" w:cs="Arial"/>
          <w:noProof/>
          <w:color w:val="FF0000"/>
          <w:sz w:val="20"/>
          <w:szCs w:val="20"/>
          <w:lang w:eastAsia="en-IN"/>
        </w:rPr>
        <w:t>References should be written as</w:t>
      </w:r>
      <w:r w:rsidRPr="00BE04FB">
        <w:rPr>
          <w:rFonts w:ascii="Arial" w:hAnsi="Arial" w:cs="Arial"/>
          <w:b/>
          <w:noProof/>
          <w:color w:val="FF0000"/>
          <w:sz w:val="20"/>
          <w:szCs w:val="20"/>
          <w:lang w:eastAsia="en-IN"/>
        </w:rPr>
        <w:t xml:space="preserve"> (Montgomery &amp; Biklé 2021) </w:t>
      </w:r>
      <w:r w:rsidRPr="00BE04FB">
        <w:rPr>
          <w:rFonts w:ascii="Arial" w:hAnsi="Arial" w:cs="Arial"/>
          <w:noProof/>
          <w:color w:val="FF0000"/>
          <w:sz w:val="20"/>
          <w:szCs w:val="20"/>
          <w:lang w:eastAsia="en-IN"/>
        </w:rPr>
        <w:t>instead of (Montgomery and Biklé, 2021)</w:t>
      </w:r>
    </w:p>
    <w:p w14:paraId="00872FC9" w14:textId="7DCEA5D8"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Support for Sustainable Agriculture:</w:t>
      </w:r>
      <w:r w:rsidRPr="00744457">
        <w:rPr>
          <w:rFonts w:ascii="Arial" w:hAnsi="Arial" w:cs="Arial"/>
          <w:noProof/>
          <w:sz w:val="20"/>
          <w:szCs w:val="20"/>
          <w:lang w:eastAsia="en-IN"/>
        </w:rPr>
        <w:t xml:space="preserve"> Farm-to-table is closely linked to sustainable and environmentally friendly agricultural practices. Sustainable farming methods often result in healthier soil, which, in turn, produces more nutrient-rich crops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 xml:space="preserve">Montgomery &amp; </w:t>
      </w:r>
      <w:proofErr w:type="spellStart"/>
      <w:r w:rsidR="004A0591" w:rsidRPr="00744457">
        <w:rPr>
          <w:rFonts w:ascii="Arial" w:hAnsi="Arial" w:cs="Arial"/>
          <w:b/>
          <w:color w:val="222222"/>
          <w:sz w:val="20"/>
          <w:szCs w:val="20"/>
          <w:shd w:val="clear" w:color="auto" w:fill="FFFFFF"/>
        </w:rPr>
        <w:t>Biklé</w:t>
      </w:r>
      <w:proofErr w:type="spellEnd"/>
      <w:r w:rsidR="004A0591" w:rsidRPr="00744457">
        <w:rPr>
          <w:rFonts w:ascii="Arial" w:hAnsi="Arial" w:cs="Arial"/>
          <w:b/>
          <w:color w:val="222222"/>
          <w:sz w:val="20"/>
          <w:szCs w:val="20"/>
          <w:shd w:val="clear" w:color="auto" w:fill="FFFFFF"/>
        </w:rPr>
        <w:t xml:space="preserve"> 2021).</w:t>
      </w:r>
      <w:r w:rsidRPr="00744457">
        <w:rPr>
          <w:rFonts w:ascii="Arial" w:hAnsi="Arial" w:cs="Arial"/>
          <w:noProof/>
          <w:sz w:val="20"/>
          <w:szCs w:val="20"/>
          <w:lang w:eastAsia="en-IN"/>
        </w:rPr>
        <w:t xml:space="preserve"> By supporting such practices, the farm-to-table movement indirectly contributes to improved nutrient levels in the food supply.</w:t>
      </w:r>
    </w:p>
    <w:p w14:paraId="5D40DD7A"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6. Customization and Control:</w:t>
      </w:r>
      <w:r w:rsidRPr="00744457">
        <w:rPr>
          <w:rFonts w:ascii="Arial" w:hAnsi="Arial" w:cs="Arial"/>
          <w:noProof/>
          <w:sz w:val="20"/>
          <w:szCs w:val="20"/>
          <w:lang w:eastAsia="en-IN"/>
        </w:rPr>
        <w:t xml:space="preserve"> When individuals are involved in farm-to-table cooking at home, they have more control over their diets. They can tailor their meals to meet specific nutritional needs, preferences, and dietary restrictions. This control allows for a balanced and nutrient-rich diet customized to individual health goals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Higgins &amp; Barkley 2003)</w:t>
      </w:r>
      <w:r w:rsidRPr="00744457">
        <w:rPr>
          <w:rFonts w:ascii="Arial" w:hAnsi="Arial" w:cs="Arial"/>
          <w:b/>
          <w:noProof/>
          <w:sz w:val="20"/>
          <w:szCs w:val="20"/>
          <w:lang w:eastAsia="en-IN"/>
        </w:rPr>
        <w:t>.</w:t>
      </w:r>
    </w:p>
    <w:p w14:paraId="1C7D78A6"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farm-to-table movement can have a profound impact on nutrient intake and diet. By emphasizing freshness, diversity, reduced processing, awareness, sustainability, and customization, it promotes healthier eating habits and encourages individuals to make more nutritious food choices. Whether dining at farm-to-table restaurants or incorporating local, fresh ingredients into home-cooked meals, this approach to food can contribute to improved overall health and well-being.</w:t>
      </w:r>
    </w:p>
    <w:p w14:paraId="183C359A" w14:textId="77777777" w:rsidR="00B43C8A" w:rsidRPr="00BE04FB" w:rsidRDefault="004E4E5C" w:rsidP="00BE04FB">
      <w:pPr>
        <w:pStyle w:val="ListeParagraf"/>
        <w:numPr>
          <w:ilvl w:val="0"/>
          <w:numId w:val="1"/>
        </w:numPr>
        <w:spacing w:line="240" w:lineRule="auto"/>
        <w:ind w:left="426"/>
        <w:jc w:val="both"/>
        <w:rPr>
          <w:rFonts w:ascii="Arial" w:hAnsi="Arial" w:cs="Arial"/>
          <w:b/>
          <w:noProof/>
          <w:color w:val="FF0000"/>
          <w:sz w:val="24"/>
          <w:szCs w:val="20"/>
          <w:lang w:eastAsia="en-IN"/>
        </w:rPr>
      </w:pPr>
      <w:r w:rsidRPr="00BE04FB">
        <w:rPr>
          <w:rFonts w:ascii="Arial" w:hAnsi="Arial" w:cs="Arial"/>
          <w:b/>
          <w:noProof/>
          <w:color w:val="FF0000"/>
          <w:sz w:val="24"/>
          <w:szCs w:val="20"/>
          <w:lang w:eastAsia="en-IN"/>
        </w:rPr>
        <w:t>AGRICULTURE AND NUTRITION</w:t>
      </w:r>
    </w:p>
    <w:p w14:paraId="58E1092B"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Agriculture plays a pivotal role in providing the sustenance that people rely on and stands as the primary source of livelihood, encompassing employment and income, for a substantial portion of the world's impoverished population</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Osabohien</w:t>
      </w:r>
      <w:proofErr w:type="spellEnd"/>
      <w:r w:rsidR="00DF4E3A"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DF4E3A" w:rsidRPr="00744457">
        <w:rPr>
          <w:rFonts w:ascii="Arial" w:hAnsi="Arial" w:cs="Arial"/>
          <w:b/>
          <w:color w:val="222222"/>
          <w:sz w:val="20"/>
          <w:szCs w:val="20"/>
          <w:shd w:val="clear" w:color="auto" w:fill="FFFFFF"/>
        </w:rPr>
        <w:t>., 2019)</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Paradoxically, these impoverished individuals are often the most susceptible to health issues and malnutrition. The field of agricultural development holds the potential to exert substantial influence on mitigating malnutrition and the associated health challenges. Given its intricate connections with the immediate drivers of undernutrition, such as dietary choices, feeding practices, and overall health, as well as the deeper determinants of malnutrition including income, food security, education, access to water, sanitation, and hygiene (WASH), health services, and gender equity, the agriculture sector is poised to play a significantly more prominent role in enhancing nutrition outcomes than it has in the past</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Lokuruka</w:t>
      </w:r>
      <w:proofErr w:type="spellEnd"/>
      <w:r w:rsidR="00DF4E3A"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p>
    <w:p w14:paraId="4C29A79D"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framework underscores six essential pathways that elucidate the intricate relationship between agriculture and nutrition:</w:t>
      </w:r>
    </w:p>
    <w:p w14:paraId="75100893"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Agriculture as a Source of Household Consumption:</w:t>
      </w:r>
      <w:r w:rsidRPr="00744457">
        <w:rPr>
          <w:rFonts w:ascii="Arial" w:hAnsi="Arial" w:cs="Arial"/>
          <w:noProof/>
          <w:sz w:val="20"/>
          <w:szCs w:val="20"/>
          <w:lang w:eastAsia="en-IN"/>
        </w:rPr>
        <w:t xml:space="preserve"> This pathway stands as the most direct route, wherein agricultural production by the household translates into food for its own consumption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(Jones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2014)</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crops cultivated by the household form the foundation of its dietary intake.</w:t>
      </w:r>
    </w:p>
    <w:p w14:paraId="60380CB5"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2. Agriculture as a Source of Income for Food and Non-food Expenditures:</w:t>
      </w:r>
      <w:r w:rsidRPr="00744457">
        <w:rPr>
          <w:rFonts w:ascii="Arial" w:hAnsi="Arial" w:cs="Arial"/>
          <w:noProof/>
          <w:sz w:val="20"/>
          <w:szCs w:val="20"/>
          <w:lang w:eastAsia="en-IN"/>
        </w:rPr>
        <w:t xml:space="preserve"> Here, agriculture becomes a source of income for households, stemming from wages earned through labor or the sale of food produced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(Maxwell, 1995)</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income is then channeled into expenditure on a range of goods and services that enhance nutrition, encompassing health, education, and social services.</w:t>
      </w:r>
    </w:p>
    <w:p w14:paraId="614C6DCC"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3. Effects of Agriculture Policy and Food Prices on Food Consumption:</w:t>
      </w:r>
      <w:r w:rsidRPr="00744457">
        <w:rPr>
          <w:rFonts w:ascii="Arial" w:hAnsi="Arial" w:cs="Arial"/>
          <w:noProof/>
          <w:sz w:val="20"/>
          <w:szCs w:val="20"/>
          <w:lang w:eastAsia="en-IN"/>
        </w:rPr>
        <w:t xml:space="preserve"> This pathway revolves around the dynamic interplay between agricultural policy and food prices, a multitude of supply-and-demand factors that impact food prices, subsequently influencing the purchasing power of those who buy food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(Trollman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2023)</w:t>
      </w:r>
      <w:r w:rsidRPr="00744457">
        <w:rPr>
          <w:rFonts w:ascii="Arial" w:hAnsi="Arial" w:cs="Arial"/>
          <w:b/>
          <w:noProof/>
          <w:sz w:val="20"/>
          <w:szCs w:val="20"/>
          <w:lang w:eastAsia="en-IN"/>
        </w:rPr>
        <w:t>.</w:t>
      </w:r>
    </w:p>
    <w:p w14:paraId="4C1D071F"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4. Effects of Women's Employment in Agriculture on Intra-household Decision Making and Resource Allocation:</w:t>
      </w:r>
      <w:r w:rsidRPr="00744457">
        <w:rPr>
          <w:rFonts w:ascii="Arial" w:hAnsi="Arial" w:cs="Arial"/>
          <w:noProof/>
          <w:sz w:val="20"/>
          <w:szCs w:val="20"/>
          <w:lang w:eastAsia="en-IN"/>
        </w:rPr>
        <w:t xml:space="preserve"> The conditions and dynamics of women's employment in agriculture play a significant role in shaping their empowerment and control over resources relevant to nutrition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w:t>
      </w:r>
      <w:r w:rsidR="00EF4E5B" w:rsidRPr="00744457">
        <w:rPr>
          <w:rFonts w:ascii="Arial" w:hAnsi="Arial" w:cs="Arial"/>
          <w:b/>
          <w:color w:val="222222"/>
          <w:sz w:val="20"/>
          <w:szCs w:val="20"/>
          <w:shd w:val="clear" w:color="auto" w:fill="FFFFFF"/>
        </w:rPr>
        <w:t xml:space="preserve">Van den Bold </w:t>
      </w:r>
      <w:r w:rsidR="00C14C0A" w:rsidRPr="00744457">
        <w:rPr>
          <w:rFonts w:ascii="Arial" w:hAnsi="Arial" w:cs="Arial"/>
          <w:b/>
          <w:i/>
          <w:color w:val="222222"/>
          <w:sz w:val="20"/>
          <w:szCs w:val="20"/>
          <w:shd w:val="clear" w:color="auto" w:fill="FFFFFF"/>
        </w:rPr>
        <w:t>et al</w:t>
      </w:r>
      <w:r w:rsidR="00EF4E5B" w:rsidRPr="00744457">
        <w:rPr>
          <w:rFonts w:ascii="Arial" w:hAnsi="Arial" w:cs="Arial"/>
          <w:b/>
          <w:color w:val="222222"/>
          <w:sz w:val="20"/>
          <w:szCs w:val="20"/>
          <w:shd w:val="clear" w:color="auto" w:fill="FFFFFF"/>
        </w:rPr>
        <w:t>., 2013)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This pathway particularly pertains to women's influence on decisions regarding food and healthcare within the household.</w:t>
      </w:r>
    </w:p>
    <w:p w14:paraId="10A70C34"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Effects of Women's Employment in Agriculture on Childcare and Child Feeding:</w:t>
      </w:r>
      <w:r w:rsidRPr="00744457">
        <w:rPr>
          <w:rFonts w:ascii="Arial" w:hAnsi="Arial" w:cs="Arial"/>
          <w:noProof/>
          <w:sz w:val="20"/>
          <w:szCs w:val="20"/>
          <w:lang w:eastAsia="en-IN"/>
        </w:rPr>
        <w:t xml:space="preserve"> Heavy and extended workloads for women in agriculture can present challenges in ensuring adequate care for young children. This pathway delves into the consequences of women's agricultural labor on the well-being and nutrition of children, spotlighting the need for balancing their responsibilities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Gillespie &amp; van den Bold 2017)</w:t>
      </w:r>
      <w:r w:rsidRPr="00744457">
        <w:rPr>
          <w:rFonts w:ascii="Arial" w:hAnsi="Arial" w:cs="Arial"/>
          <w:b/>
          <w:noProof/>
          <w:sz w:val="20"/>
          <w:szCs w:val="20"/>
          <w:lang w:eastAsia="en-IN"/>
        </w:rPr>
        <w:t>.</w:t>
      </w:r>
    </w:p>
    <w:p w14:paraId="738BD57E"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lastRenderedPageBreak/>
        <w:t>Pathway 6: Effects of Women's Employment in Agriculture on Their Own Nutritional and Health Status:</w:t>
      </w:r>
      <w:r w:rsidRPr="00744457">
        <w:rPr>
          <w:rFonts w:ascii="Arial" w:hAnsi="Arial" w:cs="Arial"/>
          <w:noProof/>
          <w:sz w:val="20"/>
          <w:szCs w:val="20"/>
          <w:lang w:eastAsia="en-IN"/>
        </w:rPr>
        <w:t xml:space="preserve"> This pathway is dedicated to understanding the repercussions of women's employment in agriculture on their own nutritional and health well-being. The physically demanding and energy-intensive nature of agricultural labor can affect the nutritional and health status of women, particularly those who face challenges in maintaining a balanced diet and adequate healthcare</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 xml:space="preserve">Srinivasan </w:t>
      </w:r>
      <w:r w:rsidR="00C14C0A" w:rsidRPr="00744457">
        <w:rPr>
          <w:rFonts w:ascii="Arial" w:hAnsi="Arial" w:cs="Arial"/>
          <w:b/>
          <w:i/>
          <w:color w:val="222222"/>
          <w:sz w:val="20"/>
          <w:szCs w:val="20"/>
          <w:shd w:val="clear" w:color="auto" w:fill="FFFFFF"/>
        </w:rPr>
        <w:t>et al</w:t>
      </w:r>
      <w:r w:rsidR="00D3600F"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it examines the potential health hazards faced by women in agriculture, including exposure to pathogens through activities such as wastewater irrigation and interactions with livestock and poultry in the homestead.</w:t>
      </w:r>
    </w:p>
    <w:p w14:paraId="568A423A"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While these pathways are depicted individually, they often intersect and interact, revealing a complex web of relationships. For instance, Pathways 1 and 2 are intertwined through the "separability" hypothesis, indicating that agriculture generates income that can be invested in nutrition-enhancing goods and services. Agriculture, especially for the impoverished and undernourished, serves as a significant source of income directly and indirectly, thanks to its multiplier effects on other sectors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 xml:space="preserve">(Mellor </w:t>
      </w:r>
      <w:r w:rsidR="00C14C0A" w:rsidRPr="00744457">
        <w:rPr>
          <w:rFonts w:ascii="Arial" w:hAnsi="Arial" w:cs="Arial"/>
          <w:b/>
          <w:i/>
          <w:noProof/>
          <w:sz w:val="20"/>
          <w:szCs w:val="20"/>
          <w:lang w:eastAsia="en-IN"/>
        </w:rPr>
        <w:t>et al</w:t>
      </w:r>
      <w:r w:rsidR="00D3600F" w:rsidRPr="00744457">
        <w:rPr>
          <w:rFonts w:ascii="Arial" w:hAnsi="Arial" w:cs="Arial"/>
          <w:b/>
          <w:noProof/>
          <w:sz w:val="20"/>
          <w:szCs w:val="20"/>
          <w:lang w:eastAsia="en-IN"/>
        </w:rPr>
        <w:t>., 2001)</w:t>
      </w:r>
      <w:r w:rsidRPr="00744457">
        <w:rPr>
          <w:rFonts w:ascii="Arial" w:hAnsi="Arial" w:cs="Arial"/>
          <w:b/>
          <w:noProof/>
          <w:sz w:val="20"/>
          <w:szCs w:val="20"/>
          <w:lang w:eastAsia="en-IN"/>
        </w:rPr>
        <w:t>.</w:t>
      </w:r>
    </w:p>
    <w:p w14:paraId="111B83DD"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Pathway 3 highlights the macroeconomic connections between agricultural production conditions and food prices, which, in turn, can influence consumption decisions. This nexus underlines how market forces, supply, and demand affect the economics of food</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Bian &amp; Liu,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Pathways 4 to 6 delve deeper into the linkages between child undernutrition and the socioeconomic and nutritional status of mothers. These pathways emphasize how agricultural production conditions can impact women's decision-making authority, control over nutrition-relevant resources, and their ability to manage the care of young children, all of which are crucial determinants of nutrition</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Narayanan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 dynamic relationship among these pathways illuminates the intricate policy trade-offs in addressing the nutritional challenges faced by women and children.</w:t>
      </w:r>
    </w:p>
    <w:p w14:paraId="679E7220"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interwoven nature of these pathways underscores the necessity of comprehensive, interdisciplinary approaches when addressing the intricate relationship between agriculture, nutrition, and gender dynamics</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Zaremba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These pathways underscore the critical role that the agriculture sector plays in shaping the nutrition and health of individuals and households while highlighting the need for informed and multifaceted policy decisions to improve these outcomes.</w:t>
      </w:r>
    </w:p>
    <w:p w14:paraId="448D2259" w14:textId="77777777" w:rsidR="00FA5C03" w:rsidRPr="00744457" w:rsidRDefault="00FA5C03" w:rsidP="00744457">
      <w:pPr>
        <w:spacing w:line="240" w:lineRule="auto"/>
        <w:ind w:firstLine="720"/>
        <w:jc w:val="both"/>
        <w:rPr>
          <w:rFonts w:ascii="Arial" w:hAnsi="Arial" w:cs="Arial"/>
          <w:noProof/>
          <w:sz w:val="20"/>
          <w:szCs w:val="20"/>
          <w:lang w:eastAsia="en-IN"/>
        </w:rPr>
      </w:pPr>
    </w:p>
    <w:p w14:paraId="756B794F" w14:textId="77777777" w:rsidR="004E4E5C" w:rsidRPr="00BE04FB" w:rsidRDefault="004E4E5C" w:rsidP="00BE04FB">
      <w:pPr>
        <w:pStyle w:val="ListeParagraf"/>
        <w:numPr>
          <w:ilvl w:val="0"/>
          <w:numId w:val="1"/>
        </w:numPr>
        <w:spacing w:line="240" w:lineRule="auto"/>
        <w:ind w:left="284"/>
        <w:jc w:val="both"/>
        <w:rPr>
          <w:rFonts w:ascii="Arial" w:hAnsi="Arial" w:cs="Arial"/>
          <w:b/>
          <w:noProof/>
          <w:color w:val="FF0000"/>
          <w:sz w:val="24"/>
          <w:szCs w:val="20"/>
          <w:lang w:eastAsia="en-IN"/>
        </w:rPr>
      </w:pPr>
      <w:r w:rsidRPr="00BE04FB">
        <w:rPr>
          <w:rFonts w:ascii="Arial" w:hAnsi="Arial" w:cs="Arial"/>
          <w:b/>
          <w:noProof/>
          <w:color w:val="FF0000"/>
          <w:sz w:val="24"/>
          <w:szCs w:val="20"/>
          <w:lang w:eastAsia="en-IN"/>
        </w:rPr>
        <w:t xml:space="preserve">A FUNCTIONAL MODEL FOR DEPICTING THE INTERCONNECTION BETWEEN AGRICULTURE AND NUTRITION </w:t>
      </w:r>
    </w:p>
    <w:p w14:paraId="3719C8C1" w14:textId="1B0555EF" w:rsidR="004E4E5C" w:rsidRPr="00744457" w:rsidRDefault="004E4E5C" w:rsidP="00744457">
      <w:pPr>
        <w:spacing w:line="240" w:lineRule="auto"/>
        <w:jc w:val="both"/>
        <w:rPr>
          <w:rFonts w:ascii="Arial" w:hAnsi="Arial" w:cs="Arial"/>
          <w:noProof/>
          <w:sz w:val="20"/>
          <w:szCs w:val="20"/>
          <w:lang w:eastAsia="en-IN"/>
        </w:rPr>
      </w:pPr>
      <w:r w:rsidRPr="00563CD1">
        <w:rPr>
          <w:rFonts w:ascii="Arial" w:hAnsi="Arial" w:cs="Arial"/>
          <w:noProof/>
          <w:sz w:val="20"/>
          <w:szCs w:val="20"/>
          <w:highlight w:val="yellow"/>
          <w:lang w:eastAsia="en-IN"/>
        </w:rPr>
        <w:t>The concept of "nutrition-agriculture linkages" denotes the intricate web of connections that highlights the mutual reliance between nutrition, health, and agriculture</w:t>
      </w:r>
      <w:r w:rsidR="00563CD1" w:rsidRPr="00563CD1">
        <w:rPr>
          <w:rFonts w:ascii="Arial" w:hAnsi="Arial" w:cs="Arial"/>
          <w:noProof/>
          <w:sz w:val="20"/>
          <w:szCs w:val="20"/>
          <w:highlight w:val="yellow"/>
          <w:lang w:eastAsia="en-IN"/>
        </w:rPr>
        <w:t xml:space="preserve"> tabulatted in Table 1</w:t>
      </w:r>
      <w:r w:rsidRPr="00563CD1">
        <w:rPr>
          <w:rFonts w:ascii="Arial" w:hAnsi="Arial" w:cs="Arial"/>
          <w:noProof/>
          <w:sz w:val="20"/>
          <w:szCs w:val="20"/>
          <w:highlight w:val="yellow"/>
          <w:lang w:eastAsia="en-IN"/>
        </w:rPr>
        <w:t>.</w:t>
      </w:r>
      <w:r w:rsidRPr="00744457">
        <w:rPr>
          <w:rFonts w:ascii="Arial" w:hAnsi="Arial" w:cs="Arial"/>
          <w:noProof/>
          <w:sz w:val="20"/>
          <w:szCs w:val="20"/>
          <w:lang w:eastAsia="en-IN"/>
        </w:rPr>
        <w:t xml:space="preserve"> Typically, frameworks centered on nutrition-agriculture depict interrelated relationships, illustrating the reciprocal causality and mutual dependence among their core elements. It is anticipated that alterations in nutritional or health status can influence agricultural production, and conversely, changes in the agricultural sector can exert significant impacts on individual health and nutritional well-being</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Interventions in agriculture aimed at enhancing nutrition have also been termed "nutrition-focused agriculture" </w:t>
      </w:r>
      <w:r w:rsidRPr="00744457">
        <w:rPr>
          <w:rFonts w:ascii="Arial" w:hAnsi="Arial" w:cs="Arial"/>
          <w:b/>
          <w:noProof/>
          <w:sz w:val="20"/>
          <w:szCs w:val="20"/>
          <w:lang w:eastAsia="en-IN"/>
        </w:rPr>
        <w:t>(Haddad</w:t>
      </w:r>
      <w:r w:rsidR="00443A6C" w:rsidRPr="00443A6C">
        <w:rPr>
          <w:rFonts w:ascii="Arial" w:hAnsi="Arial" w:cs="Arial"/>
          <w:b/>
          <w:noProof/>
          <w:color w:val="FF0000"/>
          <w:sz w:val="20"/>
          <w:szCs w:val="20"/>
          <w:lang w:eastAsia="en-IN"/>
        </w:rPr>
        <w:t>,</w:t>
      </w:r>
      <w:r w:rsidRPr="00744457">
        <w:rPr>
          <w:rFonts w:ascii="Arial" w:hAnsi="Arial" w:cs="Arial"/>
          <w:b/>
          <w:noProof/>
          <w:sz w:val="20"/>
          <w:szCs w:val="20"/>
          <w:lang w:eastAsia="en-IN"/>
        </w:rPr>
        <w:t xml:space="preserve"> 2011).</w:t>
      </w:r>
    </w:p>
    <w:p w14:paraId="73377418" w14:textId="36BE799B"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The increased attention to nutrition-agriculture linkages within policy circles has led to the introduction of numerous frameworks that elucidate the nexus between health, nutrition, and agriculture </w:t>
      </w:r>
      <w:r w:rsidRPr="00744457">
        <w:rPr>
          <w:rFonts w:ascii="Arial" w:hAnsi="Arial" w:cs="Arial"/>
          <w:b/>
          <w:noProof/>
          <w:sz w:val="20"/>
          <w:szCs w:val="20"/>
          <w:lang w:eastAsia="en-IN"/>
        </w:rPr>
        <w:t>(</w:t>
      </w:r>
      <w:r w:rsidR="00DD1972" w:rsidRPr="00744457">
        <w:rPr>
          <w:rFonts w:ascii="Arial" w:hAnsi="Arial" w:cs="Arial"/>
          <w:b/>
          <w:noProof/>
          <w:sz w:val="20"/>
          <w:szCs w:val="20"/>
          <w:lang w:eastAsia="en-IN"/>
        </w:rPr>
        <w:t>Herforth</w:t>
      </w:r>
      <w:r w:rsidR="00443A6C" w:rsidRPr="00443A6C">
        <w:rPr>
          <w:rFonts w:ascii="Arial" w:hAnsi="Arial" w:cs="Arial"/>
          <w:b/>
          <w:noProof/>
          <w:color w:val="FF0000"/>
          <w:sz w:val="20"/>
          <w:szCs w:val="20"/>
          <w:lang w:eastAsia="en-IN"/>
        </w:rPr>
        <w:t>,</w:t>
      </w:r>
      <w:r w:rsidR="00DD1972" w:rsidRPr="00443A6C">
        <w:rPr>
          <w:rFonts w:ascii="Arial" w:hAnsi="Arial" w:cs="Arial"/>
          <w:b/>
          <w:noProof/>
          <w:color w:val="FF0000"/>
          <w:sz w:val="20"/>
          <w:szCs w:val="20"/>
          <w:lang w:eastAsia="en-IN"/>
        </w:rPr>
        <w:t xml:space="preserve"> </w:t>
      </w:r>
      <w:r w:rsidR="00DD1972" w:rsidRPr="00744457">
        <w:rPr>
          <w:rFonts w:ascii="Arial" w:hAnsi="Arial" w:cs="Arial"/>
          <w:b/>
          <w:noProof/>
          <w:sz w:val="20"/>
          <w:szCs w:val="20"/>
          <w:lang w:eastAsia="en-IN"/>
        </w:rPr>
        <w:t>2010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Perhaps the most comprehensive and conceptually robust framework is proposed by </w:t>
      </w:r>
      <w:r w:rsidRPr="00744457">
        <w:rPr>
          <w:rFonts w:ascii="Arial" w:hAnsi="Arial" w:cs="Arial"/>
          <w:b/>
          <w:noProof/>
          <w:sz w:val="20"/>
          <w:szCs w:val="20"/>
          <w:lang w:eastAsia="en-IN"/>
        </w:rPr>
        <w:t>Hoddinott (2011).</w:t>
      </w:r>
      <w:r w:rsidRPr="00744457">
        <w:rPr>
          <w:rFonts w:ascii="Arial" w:hAnsi="Arial" w:cs="Arial"/>
          <w:noProof/>
          <w:sz w:val="20"/>
          <w:szCs w:val="20"/>
          <w:lang w:eastAsia="en-IN"/>
        </w:rPr>
        <w:t xml:space="preserve"> Hoddinott's framework identifies three fundamental components of the agricultural sector, each of which can serve as a potential focus for policy and programming. He then delineates the pathways through which changes in agriculture (via policy) can impact nutrition and health, and vice versa. </w:t>
      </w:r>
      <w:r w:rsidRPr="00744457">
        <w:rPr>
          <w:rFonts w:ascii="Arial" w:hAnsi="Arial" w:cs="Arial"/>
          <w:b/>
          <w:noProof/>
          <w:sz w:val="20"/>
          <w:szCs w:val="20"/>
          <w:lang w:eastAsia="en-IN"/>
        </w:rPr>
        <w:t xml:space="preserve">Hoddinott (2011) </w:t>
      </w:r>
      <w:r w:rsidRPr="00744457">
        <w:rPr>
          <w:rFonts w:ascii="Arial" w:hAnsi="Arial" w:cs="Arial"/>
          <w:noProof/>
          <w:sz w:val="20"/>
          <w:szCs w:val="20"/>
          <w:lang w:eastAsia="en-IN"/>
        </w:rPr>
        <w:t>identifies three facets of the agricultural sector that policymakers may address: the resources available to households, the contextual factors influencing agricultural decision-making, and the processes employed in agricultural activities. In doing so, he encompasses almost all the ways in which agriculture can influence health and nutrition, and vice versa. While Hoddinott's framework is highly comprehensive, it may not be the most accessible starting point for contemplating nutrition-agriculture linkages.</w:t>
      </w:r>
    </w:p>
    <w:p w14:paraId="316DB0B5" w14:textId="77777777"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In this paper, we adopt a more simplified approach. We initiate by concentrating on rural households and intuitively understanding the connections that link nutrition, agriculture, and health at both the household and individual levels</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 xml:space="preserve">(Romeo </w:t>
      </w:r>
      <w:r w:rsidR="00C14C0A" w:rsidRPr="00744457">
        <w:rPr>
          <w:rFonts w:ascii="Arial" w:hAnsi="Arial" w:cs="Arial"/>
          <w:b/>
          <w:i/>
          <w:noProof/>
          <w:sz w:val="20"/>
          <w:szCs w:val="20"/>
          <w:lang w:eastAsia="en-IN"/>
        </w:rPr>
        <w:t>et al</w:t>
      </w:r>
      <w:r w:rsidR="001D3206" w:rsidRPr="00744457">
        <w:rPr>
          <w:rFonts w:ascii="Arial" w:hAnsi="Arial" w:cs="Arial"/>
          <w:b/>
          <w:noProof/>
          <w:sz w:val="20"/>
          <w:szCs w:val="20"/>
          <w:lang w:eastAsia="en-IN"/>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Subsequently, we utilize this framework </w:t>
      </w:r>
      <w:r w:rsidRPr="00744457">
        <w:rPr>
          <w:rFonts w:ascii="Arial" w:hAnsi="Arial" w:cs="Arial"/>
          <w:noProof/>
          <w:sz w:val="20"/>
          <w:szCs w:val="20"/>
          <w:lang w:eastAsia="en-IN"/>
        </w:rPr>
        <w:lastRenderedPageBreak/>
        <w:t xml:space="preserve">to present various approaches in which nutrition and agriculture objectives have been integrated into the context of Mozambique. Our primary emphasis is on nutritional outcomes, and consequently, we do not delve into the mechanisms through which agriculture affects health status and, indirectly, nutritional status. For a comprehensive exploration of this topic, we direct readers to </w:t>
      </w:r>
      <w:r w:rsidRPr="00744457">
        <w:rPr>
          <w:rFonts w:ascii="Arial" w:hAnsi="Arial" w:cs="Arial"/>
          <w:b/>
          <w:noProof/>
          <w:sz w:val="20"/>
          <w:szCs w:val="20"/>
          <w:lang w:eastAsia="en-IN"/>
        </w:rPr>
        <w:t>Hoddinott (2011).</w:t>
      </w:r>
    </w:p>
    <w:p w14:paraId="5820F07C" w14:textId="5D43BAB1" w:rsidR="004901AA" w:rsidRDefault="004E4E5C" w:rsidP="00744457">
      <w:pPr>
        <w:spacing w:line="240" w:lineRule="auto"/>
        <w:ind w:firstLine="720"/>
        <w:jc w:val="both"/>
        <w:rPr>
          <w:rFonts w:ascii="Arial" w:hAnsi="Arial" w:cs="Arial"/>
          <w:b/>
          <w:noProof/>
          <w:sz w:val="20"/>
          <w:szCs w:val="20"/>
          <w:lang w:eastAsia="en-IN"/>
        </w:rPr>
      </w:pPr>
      <w:r w:rsidRPr="00744457">
        <w:rPr>
          <w:rFonts w:ascii="Arial" w:hAnsi="Arial" w:cs="Arial"/>
          <w:noProof/>
          <w:sz w:val="20"/>
          <w:szCs w:val="20"/>
          <w:lang w:eastAsia="en-IN"/>
        </w:rPr>
        <w:t>It is anticipated that household food production will enhance individual food consumption by either increasing the intake of self-produced food or contributing to household income for purchasing food. This, in turn, leads to improved food intake, providing the necessary energy for bodily growth, maintenance, and activity. A high-quality di</w:t>
      </w:r>
      <w:r w:rsidR="00C14C0A" w:rsidRPr="00744457">
        <w:rPr>
          <w:rFonts w:ascii="Arial" w:hAnsi="Arial" w:cs="Arial"/>
          <w:i/>
          <w:noProof/>
          <w:sz w:val="20"/>
          <w:szCs w:val="20"/>
          <w:lang w:eastAsia="en-IN"/>
        </w:rPr>
        <w:t>et al</w:t>
      </w:r>
      <w:r w:rsidRPr="00744457">
        <w:rPr>
          <w:rFonts w:ascii="Arial" w:hAnsi="Arial" w:cs="Arial"/>
          <w:noProof/>
          <w:sz w:val="20"/>
          <w:szCs w:val="20"/>
          <w:lang w:eastAsia="en-IN"/>
        </w:rPr>
        <w:t>so supplies protein and various micronutrients (such as vitamins and minerals) essential for optimal growth and functioning (Task Force for Child Survival and Development 1991). Hence, the term "diet quality" encompasses the notion that a well-rounded diet offers not only energy but also other vital nutrients essential for the body's well-being. The connections between agriculture and consumption are expected to be robust and direct for households engaged in agricultural activities since agricultural endeavors dictate the quantity, variety, stability, control, and distribution of income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Danko,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agriculture influences the availability of food for household consumption, encompassing its diversity, quality, and price</w:t>
      </w:r>
      <w:r w:rsidRPr="00744457">
        <w:rPr>
          <w:rFonts w:ascii="Arial" w:hAnsi="Arial" w:cs="Arial"/>
          <w:b/>
          <w:noProof/>
          <w:sz w:val="20"/>
          <w:szCs w:val="20"/>
          <w:lang w:eastAsia="en-IN"/>
        </w:rPr>
        <w:t xml:space="preserve">. </w:t>
      </w:r>
    </w:p>
    <w:p w14:paraId="3A2EF4CB" w14:textId="36030348" w:rsidR="00563CD1" w:rsidRPr="00563CD1" w:rsidRDefault="00563CD1" w:rsidP="00563CD1">
      <w:pPr>
        <w:spacing w:after="0" w:line="240" w:lineRule="auto"/>
        <w:rPr>
          <w:rFonts w:ascii="Times New Roman" w:eastAsia="Times New Roman" w:hAnsi="Times New Roman" w:cs="Times New Roman"/>
          <w:sz w:val="24"/>
          <w:szCs w:val="24"/>
          <w:lang w:eastAsia="en-IN"/>
        </w:rPr>
      </w:pPr>
    </w:p>
    <w:p w14:paraId="3671E757" w14:textId="341907B4"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b/>
          <w:sz w:val="20"/>
          <w:highlight w:val="yellow"/>
        </w:rPr>
        <w:t xml:space="preserve">Table </w:t>
      </w:r>
      <w:r w:rsidRPr="00443A6C">
        <w:rPr>
          <w:rFonts w:ascii="Arial" w:eastAsia="Times New Roman" w:hAnsi="Arial" w:cs="Arial"/>
          <w:b/>
          <w:color w:val="FF0000"/>
          <w:sz w:val="20"/>
          <w:highlight w:val="yellow"/>
        </w:rPr>
        <w:t>1</w:t>
      </w:r>
      <w:r w:rsidR="00443A6C" w:rsidRPr="00443A6C">
        <w:rPr>
          <w:rFonts w:ascii="Arial" w:eastAsia="Times New Roman" w:hAnsi="Arial" w:cs="Arial"/>
          <w:b/>
          <w:color w:val="FF0000"/>
          <w:sz w:val="20"/>
          <w:highlight w:val="yellow"/>
        </w:rPr>
        <w:t>.</w:t>
      </w:r>
      <w:r w:rsidRPr="00443A6C">
        <w:rPr>
          <w:rFonts w:ascii="Arial" w:eastAsia="Times New Roman" w:hAnsi="Arial" w:cs="Arial"/>
          <w:b/>
          <w:color w:val="FF0000"/>
          <w:sz w:val="20"/>
          <w:highlight w:val="yellow"/>
        </w:rPr>
        <w:t xml:space="preserve"> </w:t>
      </w:r>
      <w:r w:rsidRPr="00563CD1">
        <w:rPr>
          <w:rFonts w:ascii="Arial" w:eastAsia="Times New Roman" w:hAnsi="Arial" w:cs="Arial"/>
          <w:b/>
          <w:sz w:val="20"/>
          <w:highlight w:val="yellow"/>
        </w:rPr>
        <w:t>Agriculture–Nutrition Linkages</w:t>
      </w:r>
    </w:p>
    <w:p w14:paraId="5FA97EF1" w14:textId="77777777" w:rsidR="00563CD1" w:rsidRPr="00563CD1" w:rsidRDefault="00563CD1" w:rsidP="00563CD1">
      <w:pPr>
        <w:pStyle w:val="AralkYok"/>
        <w:rPr>
          <w:highlight w:val="yellow"/>
        </w:rPr>
      </w:pPr>
    </w:p>
    <w:tbl>
      <w:tblPr>
        <w:tblStyle w:val="TabloKlavuzu"/>
        <w:tblW w:w="0" w:type="auto"/>
        <w:tblLook w:val="04A0" w:firstRow="1" w:lastRow="0" w:firstColumn="1" w:lastColumn="0" w:noHBand="0" w:noVBand="1"/>
      </w:tblPr>
      <w:tblGrid>
        <w:gridCol w:w="1838"/>
        <w:gridCol w:w="4961"/>
        <w:gridCol w:w="2217"/>
      </w:tblGrid>
      <w:tr w:rsidR="00563CD1" w:rsidRPr="00563CD1" w14:paraId="3CD8C6CA" w14:textId="77777777" w:rsidTr="00563CD1">
        <w:tc>
          <w:tcPr>
            <w:tcW w:w="1838" w:type="dxa"/>
            <w:vAlign w:val="center"/>
          </w:tcPr>
          <w:p w14:paraId="2F92391F" w14:textId="0C0018EC"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Concept</w:t>
            </w:r>
          </w:p>
        </w:tc>
        <w:tc>
          <w:tcPr>
            <w:tcW w:w="4961" w:type="dxa"/>
            <w:vAlign w:val="center"/>
          </w:tcPr>
          <w:p w14:paraId="17A61A67" w14:textId="7AC8DC2A"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Brief Description</w:t>
            </w:r>
          </w:p>
        </w:tc>
        <w:tc>
          <w:tcPr>
            <w:tcW w:w="2217" w:type="dxa"/>
            <w:vAlign w:val="center"/>
          </w:tcPr>
          <w:p w14:paraId="5A4FA77A" w14:textId="06B32D93"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Reference</w:t>
            </w:r>
          </w:p>
        </w:tc>
      </w:tr>
      <w:tr w:rsidR="00563CD1" w:rsidRPr="00563CD1" w14:paraId="6617C9E1" w14:textId="77777777" w:rsidTr="00563CD1">
        <w:tc>
          <w:tcPr>
            <w:tcW w:w="1838" w:type="dxa"/>
            <w:vAlign w:val="center"/>
          </w:tcPr>
          <w:p w14:paraId="634F1A8F" w14:textId="22E80CB0"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Nutrition-focused agriculture</w:t>
            </w:r>
          </w:p>
        </w:tc>
        <w:tc>
          <w:tcPr>
            <w:tcW w:w="4961" w:type="dxa"/>
            <w:vAlign w:val="center"/>
          </w:tcPr>
          <w:p w14:paraId="6CBABE5B" w14:textId="3B3B7CD3"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Agricultural interventions designed to improve nutrition.</w:t>
            </w:r>
          </w:p>
        </w:tc>
        <w:tc>
          <w:tcPr>
            <w:tcW w:w="2217" w:type="dxa"/>
            <w:vAlign w:val="center"/>
          </w:tcPr>
          <w:p w14:paraId="5325A42A" w14:textId="74309007"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Haddad, 2011</w:t>
            </w:r>
          </w:p>
        </w:tc>
      </w:tr>
      <w:tr w:rsidR="00563CD1" w:rsidRPr="00563CD1" w14:paraId="5987EDC3" w14:textId="77777777" w:rsidTr="00563CD1">
        <w:tc>
          <w:tcPr>
            <w:tcW w:w="1838" w:type="dxa"/>
            <w:vAlign w:val="center"/>
          </w:tcPr>
          <w:p w14:paraId="39A8A8C9" w14:textId="06125388"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Policy frameworks</w:t>
            </w:r>
          </w:p>
        </w:tc>
        <w:tc>
          <w:tcPr>
            <w:tcW w:w="4961" w:type="dxa"/>
            <w:vAlign w:val="center"/>
          </w:tcPr>
          <w:p w14:paraId="165FFE04" w14:textId="081B4CF8"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Models showing the nexus of agriculture, health, and nutrition.</w:t>
            </w:r>
          </w:p>
        </w:tc>
        <w:tc>
          <w:tcPr>
            <w:tcW w:w="2217" w:type="dxa"/>
            <w:vAlign w:val="center"/>
          </w:tcPr>
          <w:p w14:paraId="7BA08E81" w14:textId="1A64814A" w:rsidR="00563CD1" w:rsidRPr="00563CD1" w:rsidRDefault="00563CD1" w:rsidP="00563CD1">
            <w:pPr>
              <w:pStyle w:val="AralkYok"/>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Herforth</w:t>
            </w:r>
            <w:proofErr w:type="spellEnd"/>
            <w:r w:rsidRPr="00563CD1">
              <w:rPr>
                <w:rFonts w:ascii="Arial" w:eastAsia="Times New Roman" w:hAnsi="Arial" w:cs="Arial"/>
                <w:sz w:val="20"/>
                <w:szCs w:val="24"/>
                <w:highlight w:val="yellow"/>
              </w:rPr>
              <w:t>, 2010</w:t>
            </w:r>
          </w:p>
        </w:tc>
      </w:tr>
      <w:tr w:rsidR="00563CD1" w:rsidRPr="00563CD1" w14:paraId="5C69A810" w14:textId="77777777" w:rsidTr="00563CD1">
        <w:tc>
          <w:tcPr>
            <w:tcW w:w="1838" w:type="dxa"/>
            <w:vAlign w:val="center"/>
          </w:tcPr>
          <w:p w14:paraId="4EB93844" w14:textId="1CC0BA65" w:rsidR="00563CD1" w:rsidRPr="00563CD1" w:rsidRDefault="00563CD1" w:rsidP="00563CD1">
            <w:pPr>
              <w:pStyle w:val="AralkYok"/>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Hoddinott’s</w:t>
            </w:r>
            <w:proofErr w:type="spellEnd"/>
            <w:r w:rsidRPr="00563CD1">
              <w:rPr>
                <w:rFonts w:ascii="Arial" w:eastAsia="Times New Roman" w:hAnsi="Arial" w:cs="Arial"/>
                <w:sz w:val="20"/>
                <w:szCs w:val="24"/>
                <w:highlight w:val="yellow"/>
              </w:rPr>
              <w:t xml:space="preserve"> framework</w:t>
            </w:r>
          </w:p>
        </w:tc>
        <w:tc>
          <w:tcPr>
            <w:tcW w:w="4961" w:type="dxa"/>
            <w:vAlign w:val="center"/>
          </w:tcPr>
          <w:p w14:paraId="32B06E28" w14:textId="28BB653F"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Three focus areas: household resources, contextual factors, and agricultural processes.</w:t>
            </w:r>
          </w:p>
        </w:tc>
        <w:tc>
          <w:tcPr>
            <w:tcW w:w="2217" w:type="dxa"/>
            <w:vAlign w:val="center"/>
          </w:tcPr>
          <w:p w14:paraId="357ECC20" w14:textId="3827F056" w:rsidR="00563CD1" w:rsidRPr="00563CD1" w:rsidRDefault="00563CD1" w:rsidP="00563CD1">
            <w:pPr>
              <w:pStyle w:val="AralkYok"/>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Hoddinott</w:t>
            </w:r>
            <w:proofErr w:type="spellEnd"/>
            <w:r w:rsidRPr="00563CD1">
              <w:rPr>
                <w:rFonts w:ascii="Arial" w:eastAsia="Times New Roman" w:hAnsi="Arial" w:cs="Arial"/>
                <w:sz w:val="20"/>
                <w:szCs w:val="24"/>
                <w:highlight w:val="yellow"/>
              </w:rPr>
              <w:t>, 2011</w:t>
            </w:r>
          </w:p>
        </w:tc>
      </w:tr>
      <w:tr w:rsidR="00563CD1" w:rsidRPr="00563CD1" w14:paraId="6AE4EFC2" w14:textId="77777777" w:rsidTr="00563CD1">
        <w:tc>
          <w:tcPr>
            <w:tcW w:w="1838" w:type="dxa"/>
            <w:vAlign w:val="center"/>
          </w:tcPr>
          <w:p w14:paraId="5C614FBE" w14:textId="6F3BF3E6"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Household-level model</w:t>
            </w:r>
          </w:p>
        </w:tc>
        <w:tc>
          <w:tcPr>
            <w:tcW w:w="4961" w:type="dxa"/>
            <w:vAlign w:val="center"/>
          </w:tcPr>
          <w:p w14:paraId="1C3D1560" w14:textId="6A08A488"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Simplified approach focusing on rural households and Mozambique case.</w:t>
            </w:r>
          </w:p>
        </w:tc>
        <w:tc>
          <w:tcPr>
            <w:tcW w:w="2217" w:type="dxa"/>
            <w:vAlign w:val="center"/>
          </w:tcPr>
          <w:p w14:paraId="6E69C62F" w14:textId="689CD77C"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Romeo et al., 2016</w:t>
            </w:r>
          </w:p>
        </w:tc>
      </w:tr>
      <w:tr w:rsidR="00563CD1" w:rsidRPr="00563CD1" w14:paraId="1E6DD4A4" w14:textId="77777777" w:rsidTr="00563CD1">
        <w:tc>
          <w:tcPr>
            <w:tcW w:w="1838" w:type="dxa"/>
            <w:vAlign w:val="center"/>
          </w:tcPr>
          <w:p w14:paraId="6BCEDAE3" w14:textId="6403A755"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Diet quality</w:t>
            </w:r>
          </w:p>
        </w:tc>
        <w:tc>
          <w:tcPr>
            <w:tcW w:w="4961" w:type="dxa"/>
            <w:vAlign w:val="center"/>
          </w:tcPr>
          <w:p w14:paraId="79B02894" w14:textId="7B37484F"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Food production improves energy, protein, and micronutrient intake.</w:t>
            </w:r>
          </w:p>
        </w:tc>
        <w:tc>
          <w:tcPr>
            <w:tcW w:w="2217" w:type="dxa"/>
            <w:vAlign w:val="center"/>
          </w:tcPr>
          <w:p w14:paraId="7611A82E" w14:textId="2D7AEF25"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w:t>
            </w:r>
          </w:p>
        </w:tc>
      </w:tr>
      <w:tr w:rsidR="00563CD1" w14:paraId="54665C20" w14:textId="77777777" w:rsidTr="00563CD1">
        <w:tc>
          <w:tcPr>
            <w:tcW w:w="1838" w:type="dxa"/>
            <w:vAlign w:val="center"/>
          </w:tcPr>
          <w:p w14:paraId="768348A7" w14:textId="683864DE"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Agriculture–consumption link</w:t>
            </w:r>
          </w:p>
        </w:tc>
        <w:tc>
          <w:tcPr>
            <w:tcW w:w="4961" w:type="dxa"/>
            <w:vAlign w:val="center"/>
          </w:tcPr>
          <w:p w14:paraId="25872DE6" w14:textId="568295C7" w:rsidR="00563CD1" w:rsidRPr="00563CD1" w:rsidRDefault="00563CD1" w:rsidP="00563CD1">
            <w:pPr>
              <w:pStyle w:val="AralkYok"/>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Agriculture influences food availability, diversity, quality, and price.</w:t>
            </w:r>
          </w:p>
        </w:tc>
        <w:tc>
          <w:tcPr>
            <w:tcW w:w="2217" w:type="dxa"/>
            <w:vAlign w:val="center"/>
          </w:tcPr>
          <w:p w14:paraId="4DF89484" w14:textId="6AB8DA2B" w:rsidR="00563CD1" w:rsidRPr="00563CD1" w:rsidRDefault="00563CD1" w:rsidP="00563CD1">
            <w:pPr>
              <w:pStyle w:val="AralkYok"/>
              <w:jc w:val="center"/>
              <w:rPr>
                <w:rFonts w:ascii="Arial" w:eastAsia="Times New Roman" w:hAnsi="Arial" w:cs="Arial"/>
                <w:b/>
                <w:sz w:val="20"/>
              </w:rPr>
            </w:pPr>
            <w:proofErr w:type="spellStart"/>
            <w:r w:rsidRPr="00563CD1">
              <w:rPr>
                <w:rFonts w:ascii="Arial" w:eastAsia="Times New Roman" w:hAnsi="Arial" w:cs="Arial"/>
                <w:sz w:val="20"/>
                <w:szCs w:val="24"/>
                <w:highlight w:val="yellow"/>
              </w:rPr>
              <w:t>Danko</w:t>
            </w:r>
            <w:proofErr w:type="spellEnd"/>
            <w:r w:rsidRPr="00563CD1">
              <w:rPr>
                <w:rFonts w:ascii="Arial" w:eastAsia="Times New Roman" w:hAnsi="Arial" w:cs="Arial"/>
                <w:sz w:val="20"/>
                <w:szCs w:val="24"/>
                <w:highlight w:val="yellow"/>
              </w:rPr>
              <w:t>, 2020</w:t>
            </w:r>
          </w:p>
        </w:tc>
      </w:tr>
    </w:tbl>
    <w:p w14:paraId="1727190B" w14:textId="77777777" w:rsidR="00563CD1" w:rsidRPr="00563CD1" w:rsidRDefault="00563CD1" w:rsidP="00563CD1">
      <w:pPr>
        <w:pStyle w:val="AralkYok"/>
        <w:jc w:val="center"/>
        <w:rPr>
          <w:rFonts w:eastAsia="Times New Roman"/>
          <w:b/>
        </w:rPr>
      </w:pPr>
    </w:p>
    <w:p w14:paraId="0A5E0BFE" w14:textId="77777777" w:rsidR="00563CD1" w:rsidRPr="00744457" w:rsidRDefault="00563CD1" w:rsidP="00744457">
      <w:pPr>
        <w:spacing w:line="240" w:lineRule="auto"/>
        <w:ind w:firstLine="720"/>
        <w:jc w:val="both"/>
        <w:rPr>
          <w:rFonts w:ascii="Arial" w:hAnsi="Arial" w:cs="Arial"/>
          <w:b/>
          <w:noProof/>
          <w:sz w:val="20"/>
          <w:szCs w:val="20"/>
          <w:lang w:eastAsia="en-IN"/>
        </w:rPr>
      </w:pPr>
    </w:p>
    <w:p w14:paraId="02B6B1FF" w14:textId="77777777" w:rsidR="004901AA" w:rsidRPr="00E11488" w:rsidRDefault="004901AA" w:rsidP="00744457">
      <w:pPr>
        <w:spacing w:line="240" w:lineRule="auto"/>
        <w:jc w:val="both"/>
        <w:rPr>
          <w:rFonts w:ascii="Arial" w:hAnsi="Arial" w:cs="Arial"/>
          <w:b/>
          <w:sz w:val="24"/>
          <w:szCs w:val="20"/>
        </w:rPr>
      </w:pPr>
    </w:p>
    <w:p w14:paraId="35D73B29" w14:textId="77777777" w:rsidR="004901AA" w:rsidRPr="00BE04FB" w:rsidRDefault="004901AA" w:rsidP="00BE04FB">
      <w:pPr>
        <w:pStyle w:val="ListeParagraf"/>
        <w:numPr>
          <w:ilvl w:val="0"/>
          <w:numId w:val="1"/>
        </w:numPr>
        <w:spacing w:line="240" w:lineRule="auto"/>
        <w:ind w:left="426"/>
        <w:jc w:val="both"/>
        <w:rPr>
          <w:rFonts w:ascii="Arial" w:hAnsi="Arial" w:cs="Arial"/>
          <w:b/>
          <w:noProof/>
          <w:color w:val="FF0000"/>
          <w:sz w:val="24"/>
          <w:szCs w:val="20"/>
          <w:lang w:eastAsia="en-IN"/>
        </w:rPr>
      </w:pPr>
      <w:r w:rsidRPr="00BE04FB">
        <w:rPr>
          <w:rFonts w:ascii="Arial" w:hAnsi="Arial" w:cs="Arial"/>
          <w:b/>
          <w:color w:val="FF0000"/>
          <w:sz w:val="24"/>
          <w:szCs w:val="20"/>
        </w:rPr>
        <w:t>FARM-TO-TABLE FOOD SUPPLY CHAIN</w:t>
      </w:r>
      <w:r w:rsidRPr="00BE04FB">
        <w:rPr>
          <w:rFonts w:ascii="Arial" w:hAnsi="Arial" w:cs="Arial"/>
          <w:b/>
          <w:noProof/>
          <w:color w:val="FF0000"/>
          <w:sz w:val="24"/>
          <w:szCs w:val="20"/>
          <w:lang w:eastAsia="en-IN"/>
        </w:rPr>
        <w:t xml:space="preserve"> </w:t>
      </w:r>
    </w:p>
    <w:p w14:paraId="1D055E3A" w14:textId="28DF8D50" w:rsidR="001D3206" w:rsidRDefault="004901A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 Farm-to-Table Food Supply Chain, often simply referred to as "Farm-to-Table," is a food distribution system that focuses on shortening the distance between food production and consumption</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Bang, 2023)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 xml:space="preserve">It is designed to deliver fresh, locally sourced, and seasonal produce directly from farms to consumers, typically through restaurants, markets, or community-supported agriculture programs. This </w:t>
      </w:r>
      <w:r w:rsidRPr="00B735B4">
        <w:rPr>
          <w:rFonts w:ascii="Arial" w:hAnsi="Arial" w:cs="Arial"/>
          <w:noProof/>
          <w:sz w:val="20"/>
          <w:szCs w:val="20"/>
          <w:highlight w:val="yellow"/>
          <w:lang w:eastAsia="en-IN"/>
        </w:rPr>
        <w:t>approach emphasizes sustainability, promotes regional agriculture, and enhances the overall quality of food as illustrated in Fig</w:t>
      </w:r>
      <w:r w:rsidR="00B735B4" w:rsidRPr="00B735B4">
        <w:rPr>
          <w:rFonts w:ascii="Arial" w:hAnsi="Arial" w:cs="Arial"/>
          <w:noProof/>
          <w:sz w:val="20"/>
          <w:szCs w:val="20"/>
          <w:highlight w:val="yellow"/>
          <w:lang w:eastAsia="en-IN"/>
        </w:rPr>
        <w:t>.</w:t>
      </w:r>
      <w:r w:rsidRPr="00B735B4">
        <w:rPr>
          <w:rFonts w:ascii="Arial" w:hAnsi="Arial" w:cs="Arial"/>
          <w:noProof/>
          <w:sz w:val="20"/>
          <w:szCs w:val="20"/>
          <w:highlight w:val="yellow"/>
          <w:lang w:eastAsia="en-IN"/>
        </w:rPr>
        <w:t xml:space="preserve"> 1</w:t>
      </w:r>
      <w:r w:rsidR="00FA5C03" w:rsidRPr="00B735B4">
        <w:rPr>
          <w:rFonts w:ascii="Arial" w:hAnsi="Arial" w:cs="Arial"/>
          <w:noProof/>
          <w:sz w:val="20"/>
          <w:szCs w:val="20"/>
          <w:highlight w:val="yellow"/>
          <w:lang w:eastAsia="en-IN"/>
        </w:rPr>
        <w:t xml:space="preserve"> and </w:t>
      </w:r>
      <w:r w:rsidR="00B735B4" w:rsidRPr="00B735B4">
        <w:rPr>
          <w:rFonts w:ascii="Arial" w:hAnsi="Arial" w:cs="Arial"/>
          <w:noProof/>
          <w:sz w:val="20"/>
          <w:szCs w:val="20"/>
          <w:highlight w:val="yellow"/>
          <w:lang w:eastAsia="en-IN"/>
        </w:rPr>
        <w:t xml:space="preserve">Fig. </w:t>
      </w:r>
      <w:r w:rsidR="00FA5C03" w:rsidRPr="00B735B4">
        <w:rPr>
          <w:rFonts w:ascii="Arial" w:hAnsi="Arial" w:cs="Arial"/>
          <w:noProof/>
          <w:sz w:val="20"/>
          <w:szCs w:val="20"/>
          <w:highlight w:val="yellow"/>
          <w:lang w:eastAsia="en-IN"/>
        </w:rPr>
        <w:t>2</w:t>
      </w:r>
      <w:r w:rsidRPr="00B735B4">
        <w:rPr>
          <w:rFonts w:ascii="Arial" w:hAnsi="Arial" w:cs="Arial"/>
          <w:noProof/>
          <w:sz w:val="20"/>
          <w:szCs w:val="20"/>
          <w:highlight w:val="yellow"/>
          <w:lang w:eastAsia="en-IN"/>
        </w:rPr>
        <w:t>.</w:t>
      </w:r>
      <w:r w:rsidRPr="00744457">
        <w:rPr>
          <w:rFonts w:ascii="Arial" w:hAnsi="Arial" w:cs="Arial"/>
          <w:noProof/>
          <w:sz w:val="20"/>
          <w:szCs w:val="20"/>
          <w:lang w:eastAsia="en-IN"/>
        </w:rPr>
        <w:t xml:space="preserve"> In a Farm-to-Table Food Supply Chain, Food is sourced from nearby farms and food producers, reducing the carbon footprint associated with long-distance transportation. This encourages consumers to support local agriculture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 xml:space="preserve">Marusak </w:t>
      </w:r>
      <w:r w:rsidR="00C14C0A" w:rsidRPr="00744457">
        <w:rPr>
          <w:rFonts w:ascii="Arial" w:hAnsi="Arial" w:cs="Arial"/>
          <w:b/>
          <w:i/>
          <w:color w:val="222222"/>
          <w:sz w:val="20"/>
          <w:szCs w:val="20"/>
          <w:shd w:val="clear" w:color="auto" w:fill="FFFFFF"/>
        </w:rPr>
        <w:t>et al</w:t>
      </w:r>
      <w:r w:rsidR="001D3206"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Menus and offerings change with the seasons to take advantage of fresh, in-season ingredients. This provides consumers with a more diverse and nutrient-rich diet. There is often greater transparency about where the food comes from. Consumers can trace the origins of their food, knowing it's produced locally and supporting farmers they can trust. By reducing food waste, Farm-to-Table practices also help reduce the environmental impact of the food supply chain</w:t>
      </w:r>
      <w:r w:rsidR="007809AA" w:rsidRPr="00744457">
        <w:rPr>
          <w:rFonts w:ascii="Arial" w:hAnsi="Arial" w:cs="Arial"/>
          <w:noProof/>
          <w:sz w:val="20"/>
          <w:szCs w:val="20"/>
          <w:lang w:eastAsia="en-IN"/>
        </w:rPr>
        <w:t xml:space="preserve"> </w:t>
      </w:r>
      <w:r w:rsidR="007809AA" w:rsidRPr="00744457">
        <w:rPr>
          <w:rFonts w:ascii="Arial" w:hAnsi="Arial" w:cs="Arial"/>
          <w:b/>
          <w:noProof/>
          <w:sz w:val="20"/>
          <w:szCs w:val="20"/>
          <w:lang w:eastAsia="en-IN"/>
        </w:rPr>
        <w:t xml:space="preserve">(Eden </w:t>
      </w:r>
      <w:r w:rsidR="00C14C0A" w:rsidRPr="00744457">
        <w:rPr>
          <w:rFonts w:ascii="Arial" w:hAnsi="Arial" w:cs="Arial"/>
          <w:b/>
          <w:i/>
          <w:noProof/>
          <w:sz w:val="20"/>
          <w:szCs w:val="20"/>
          <w:lang w:eastAsia="en-IN"/>
        </w:rPr>
        <w:t>et al</w:t>
      </w:r>
      <w:r w:rsidR="007809AA" w:rsidRPr="00744457">
        <w:rPr>
          <w:rFonts w:ascii="Arial" w:hAnsi="Arial" w:cs="Arial"/>
          <w:b/>
          <w:noProof/>
          <w:sz w:val="20"/>
          <w:szCs w:val="20"/>
          <w:lang w:eastAsia="en-IN"/>
        </w:rPr>
        <w:t>., 2008)</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Fresh, locally sourced food is often more nutritious and flavorful. It supports a healthier lifestyle for consumers. </w:t>
      </w:r>
    </w:p>
    <w:p w14:paraId="71FCA8BD" w14:textId="77777777" w:rsidR="00744457" w:rsidRPr="00744457" w:rsidRDefault="00744457" w:rsidP="00744457">
      <w:pPr>
        <w:spacing w:line="240" w:lineRule="auto"/>
        <w:jc w:val="both"/>
        <w:rPr>
          <w:rFonts w:ascii="Arial" w:hAnsi="Arial" w:cs="Arial"/>
          <w:noProof/>
          <w:sz w:val="20"/>
          <w:szCs w:val="20"/>
          <w:lang w:eastAsia="en-IN"/>
        </w:rPr>
      </w:pPr>
      <w:r w:rsidRPr="00744457">
        <w:rPr>
          <w:rFonts w:ascii="Arial" w:hAnsi="Arial" w:cs="Arial"/>
          <w:b/>
          <w:noProof/>
          <w:sz w:val="20"/>
          <w:szCs w:val="20"/>
          <w:lang w:val="tr-TR" w:eastAsia="tr-TR"/>
        </w:rPr>
        <w:lastRenderedPageBreak/>
        <w:drawing>
          <wp:inline distT="0" distB="0" distL="0" distR="0" wp14:anchorId="46FCE689" wp14:editId="6F24E065">
            <wp:extent cx="5731510" cy="2711030"/>
            <wp:effectExtent l="19050" t="19050" r="21590" b="13335"/>
            <wp:docPr id="2" name="Picture 2" descr="https://www.mdpi.com/computers/computers-10-00120/article_deploy/html/images/computers-10-001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pi.com/computers/computers-10-00120/article_deploy/html/images/computers-10-0012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1030"/>
                    </a:xfrm>
                    <a:prstGeom prst="rect">
                      <a:avLst/>
                    </a:prstGeom>
                    <a:noFill/>
                    <a:ln w="3175">
                      <a:solidFill>
                        <a:schemeClr val="tx1"/>
                      </a:solidFill>
                    </a:ln>
                  </pic:spPr>
                </pic:pic>
              </a:graphicData>
            </a:graphic>
          </wp:inline>
        </w:drawing>
      </w:r>
    </w:p>
    <w:p w14:paraId="04E25A6B" w14:textId="331DDB60" w:rsidR="00172A21" w:rsidRPr="00B735B4" w:rsidRDefault="00172A21" w:rsidP="00B735B4">
      <w:pPr>
        <w:spacing w:line="240" w:lineRule="auto"/>
        <w:jc w:val="center"/>
        <w:rPr>
          <w:rFonts w:ascii="Arial" w:hAnsi="Arial" w:cs="Arial"/>
          <w:sz w:val="20"/>
          <w:szCs w:val="20"/>
        </w:rPr>
      </w:pPr>
      <w:r w:rsidRPr="00BE04FB">
        <w:rPr>
          <w:rFonts w:ascii="Arial" w:hAnsi="Arial" w:cs="Arial"/>
          <w:b/>
          <w:color w:val="FF0000"/>
          <w:sz w:val="20"/>
          <w:szCs w:val="20"/>
        </w:rPr>
        <w:t>Fig</w:t>
      </w:r>
      <w:r w:rsidR="00B735B4" w:rsidRPr="00BE04FB">
        <w:rPr>
          <w:rFonts w:ascii="Arial" w:hAnsi="Arial" w:cs="Arial"/>
          <w:b/>
          <w:color w:val="FF0000"/>
          <w:sz w:val="20"/>
          <w:szCs w:val="20"/>
        </w:rPr>
        <w:t>.</w:t>
      </w:r>
      <w:r w:rsidRPr="00BE04FB">
        <w:rPr>
          <w:rFonts w:ascii="Arial" w:hAnsi="Arial" w:cs="Arial"/>
          <w:b/>
          <w:color w:val="FF0000"/>
          <w:sz w:val="20"/>
          <w:szCs w:val="20"/>
        </w:rPr>
        <w:t xml:space="preserve"> 1</w:t>
      </w:r>
      <w:r w:rsidR="00BE04FB" w:rsidRPr="00BE04FB">
        <w:rPr>
          <w:rFonts w:ascii="Arial" w:hAnsi="Arial" w:cs="Arial"/>
          <w:b/>
          <w:color w:val="FF0000"/>
          <w:sz w:val="20"/>
          <w:szCs w:val="20"/>
        </w:rPr>
        <w:t>.</w:t>
      </w:r>
      <w:r w:rsidRPr="00BE04FB">
        <w:rPr>
          <w:rFonts w:ascii="Arial" w:hAnsi="Arial" w:cs="Arial"/>
          <w:b/>
          <w:color w:val="FF0000"/>
          <w:sz w:val="20"/>
          <w:szCs w:val="20"/>
        </w:rPr>
        <w:t xml:space="preserve"> </w:t>
      </w:r>
      <w:r w:rsidRPr="00BE04FB">
        <w:rPr>
          <w:rFonts w:ascii="Arial" w:hAnsi="Arial" w:cs="Arial"/>
          <w:color w:val="FF0000"/>
          <w:sz w:val="20"/>
          <w:szCs w:val="20"/>
        </w:rPr>
        <w:t>Farm-to-Table Food Supply Chain</w:t>
      </w:r>
      <w:r w:rsidRPr="00B735B4">
        <w:rPr>
          <w:rFonts w:ascii="Arial" w:hAnsi="Arial" w:cs="Arial"/>
          <w:sz w:val="20"/>
          <w:szCs w:val="20"/>
        </w:rPr>
        <w:t>: A Visual Overview</w:t>
      </w:r>
    </w:p>
    <w:p w14:paraId="7AB362CE" w14:textId="77777777" w:rsidR="00744457" w:rsidRDefault="00744457" w:rsidP="00744457">
      <w:pPr>
        <w:spacing w:line="240" w:lineRule="auto"/>
        <w:jc w:val="both"/>
        <w:rPr>
          <w:rFonts w:ascii="Arial" w:hAnsi="Arial" w:cs="Arial"/>
          <w:b/>
          <w:i/>
          <w:sz w:val="20"/>
          <w:szCs w:val="20"/>
        </w:rPr>
      </w:pPr>
      <w:r w:rsidRPr="00744457">
        <w:rPr>
          <w:rFonts w:ascii="Arial" w:hAnsi="Arial" w:cs="Arial"/>
          <w:noProof/>
          <w:sz w:val="20"/>
          <w:szCs w:val="20"/>
          <w:lang w:val="tr-TR" w:eastAsia="tr-TR"/>
        </w:rPr>
        <w:drawing>
          <wp:inline distT="0" distB="0" distL="0" distR="0" wp14:anchorId="74C17F98" wp14:editId="3E48E2A1">
            <wp:extent cx="5730875" cy="2882900"/>
            <wp:effectExtent l="19050" t="19050" r="222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to-table-food-industry-agriculture-farm-landscape-9af19b96f21401197f3a1c5da0150a85.png"/>
                    <pic:cNvPicPr/>
                  </pic:nvPicPr>
                  <pic:blipFill>
                    <a:blip r:embed="rId8">
                      <a:extLst>
                        <a:ext uri="{28A0092B-C50C-407E-A947-70E740481C1C}">
                          <a14:useLocalDpi xmlns:a14="http://schemas.microsoft.com/office/drawing/2010/main" val="0"/>
                        </a:ext>
                      </a:extLst>
                    </a:blip>
                    <a:stretch>
                      <a:fillRect/>
                    </a:stretch>
                  </pic:blipFill>
                  <pic:spPr>
                    <a:xfrm>
                      <a:off x="0" y="0"/>
                      <a:ext cx="5730875" cy="2882900"/>
                    </a:xfrm>
                    <a:prstGeom prst="rect">
                      <a:avLst/>
                    </a:prstGeom>
                    <a:ln w="3175">
                      <a:solidFill>
                        <a:schemeClr val="tx1"/>
                      </a:solidFill>
                    </a:ln>
                  </pic:spPr>
                </pic:pic>
              </a:graphicData>
            </a:graphic>
          </wp:inline>
        </w:drawing>
      </w:r>
    </w:p>
    <w:p w14:paraId="4EE271EB" w14:textId="0CC24EF2" w:rsidR="00B310F2" w:rsidRPr="00B735B4" w:rsidRDefault="00FA5C03" w:rsidP="00B735B4">
      <w:pPr>
        <w:spacing w:line="240" w:lineRule="auto"/>
        <w:jc w:val="center"/>
        <w:rPr>
          <w:rFonts w:ascii="Arial" w:hAnsi="Arial" w:cs="Arial"/>
          <w:sz w:val="20"/>
          <w:szCs w:val="20"/>
        </w:rPr>
      </w:pPr>
      <w:r w:rsidRPr="00BE04FB">
        <w:rPr>
          <w:rFonts w:ascii="Arial" w:hAnsi="Arial" w:cs="Arial"/>
          <w:b/>
          <w:color w:val="FF0000"/>
          <w:sz w:val="20"/>
          <w:szCs w:val="20"/>
          <w:highlight w:val="yellow"/>
        </w:rPr>
        <w:t>Fig</w:t>
      </w:r>
      <w:r w:rsidR="00B735B4" w:rsidRPr="00BE04FB">
        <w:rPr>
          <w:rFonts w:ascii="Arial" w:hAnsi="Arial" w:cs="Arial"/>
          <w:b/>
          <w:color w:val="FF0000"/>
          <w:sz w:val="20"/>
          <w:szCs w:val="20"/>
          <w:highlight w:val="yellow"/>
        </w:rPr>
        <w:t>.</w:t>
      </w:r>
      <w:r w:rsidRPr="00BE04FB">
        <w:rPr>
          <w:rFonts w:ascii="Arial" w:hAnsi="Arial" w:cs="Arial"/>
          <w:b/>
          <w:color w:val="FF0000"/>
          <w:sz w:val="20"/>
          <w:szCs w:val="20"/>
          <w:highlight w:val="yellow"/>
        </w:rPr>
        <w:t xml:space="preserve"> 2</w:t>
      </w:r>
      <w:r w:rsidR="00BE04FB" w:rsidRPr="00BE04FB">
        <w:rPr>
          <w:rFonts w:ascii="Arial" w:hAnsi="Arial" w:cs="Arial"/>
          <w:b/>
          <w:color w:val="FF0000"/>
          <w:sz w:val="20"/>
          <w:szCs w:val="20"/>
          <w:highlight w:val="yellow"/>
        </w:rPr>
        <w:t>.</w:t>
      </w:r>
      <w:r w:rsidRPr="00BE04FB">
        <w:rPr>
          <w:rFonts w:ascii="Arial" w:hAnsi="Arial" w:cs="Arial"/>
          <w:b/>
          <w:color w:val="FF0000"/>
          <w:sz w:val="20"/>
          <w:szCs w:val="20"/>
          <w:highlight w:val="yellow"/>
        </w:rPr>
        <w:t xml:space="preserve"> </w:t>
      </w:r>
      <w:r w:rsidRPr="00BE04FB">
        <w:rPr>
          <w:rFonts w:ascii="Arial" w:hAnsi="Arial" w:cs="Arial"/>
          <w:color w:val="FF0000"/>
          <w:sz w:val="20"/>
          <w:szCs w:val="20"/>
          <w:highlight w:val="yellow"/>
        </w:rPr>
        <w:t xml:space="preserve">Flow </w:t>
      </w:r>
      <w:r w:rsidRPr="00B735B4">
        <w:rPr>
          <w:rFonts w:ascii="Arial" w:hAnsi="Arial" w:cs="Arial"/>
          <w:sz w:val="20"/>
          <w:szCs w:val="20"/>
          <w:highlight w:val="yellow"/>
        </w:rPr>
        <w:t>of Agri-food supply chain: A Farm to Fork overview</w:t>
      </w:r>
    </w:p>
    <w:p w14:paraId="60393297" w14:textId="77777777" w:rsidR="00744457" w:rsidRPr="00744457" w:rsidRDefault="00744457" w:rsidP="00744457">
      <w:pPr>
        <w:spacing w:line="240" w:lineRule="auto"/>
        <w:jc w:val="both"/>
        <w:rPr>
          <w:rFonts w:ascii="Arial" w:hAnsi="Arial" w:cs="Arial"/>
          <w:b/>
          <w:i/>
          <w:sz w:val="20"/>
          <w:szCs w:val="20"/>
        </w:rPr>
      </w:pPr>
    </w:p>
    <w:p w14:paraId="0D56AC1E" w14:textId="77777777" w:rsidR="000A2EF8" w:rsidRPr="00B735B4" w:rsidRDefault="00FA5C03" w:rsidP="00443A6C">
      <w:pPr>
        <w:pStyle w:val="ListeParagraf"/>
        <w:numPr>
          <w:ilvl w:val="0"/>
          <w:numId w:val="1"/>
        </w:numPr>
        <w:spacing w:line="240" w:lineRule="auto"/>
        <w:ind w:left="284" w:hanging="284"/>
        <w:jc w:val="both"/>
        <w:rPr>
          <w:rFonts w:ascii="Arial" w:hAnsi="Arial" w:cs="Arial"/>
          <w:b/>
          <w:sz w:val="24"/>
          <w:szCs w:val="20"/>
        </w:rPr>
      </w:pPr>
      <w:r w:rsidRPr="00443A6C">
        <w:rPr>
          <w:rFonts w:ascii="Arial" w:hAnsi="Arial" w:cs="Arial"/>
          <w:b/>
          <w:color w:val="FF0000"/>
          <w:sz w:val="24"/>
          <w:szCs w:val="20"/>
        </w:rPr>
        <w:t>THE INTERACTION OF</w:t>
      </w:r>
      <w:r w:rsidRPr="00B735B4">
        <w:rPr>
          <w:rFonts w:ascii="Arial" w:hAnsi="Arial" w:cs="Arial"/>
          <w:b/>
          <w:sz w:val="24"/>
          <w:szCs w:val="20"/>
        </w:rPr>
        <w:t xml:space="preserve"> FOOD SYSTEMS, DIETARY HABITS </w:t>
      </w:r>
      <w:r w:rsidR="008C40F9" w:rsidRPr="00B735B4">
        <w:rPr>
          <w:rFonts w:ascii="Arial" w:hAnsi="Arial" w:cs="Arial"/>
          <w:b/>
          <w:sz w:val="24"/>
          <w:szCs w:val="20"/>
        </w:rPr>
        <w:t>AND OBESITY</w:t>
      </w:r>
    </w:p>
    <w:p w14:paraId="5115A588" w14:textId="78EAFA8E"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Food systems are undergoing rapid transformations. Globalization, the liberalization of trade, and the swift urbanization process have brought about significant changes in the accessibility, affordability, and acceptability of various food types</w:t>
      </w:r>
      <w:r w:rsidR="007809AA" w:rsidRPr="00744457">
        <w:rPr>
          <w:rFonts w:ascii="Arial" w:hAnsi="Arial" w:cs="Arial"/>
          <w:color w:val="222222"/>
          <w:sz w:val="20"/>
          <w:szCs w:val="20"/>
          <w:shd w:val="clear" w:color="auto" w:fill="FFFFFF"/>
        </w:rPr>
        <w:t xml:space="preserve"> </w:t>
      </w:r>
      <w:r w:rsidR="007809AA" w:rsidRPr="00744457">
        <w:rPr>
          <w:rFonts w:ascii="Arial" w:hAnsi="Arial" w:cs="Arial"/>
          <w:b/>
          <w:color w:val="222222"/>
          <w:sz w:val="20"/>
          <w:szCs w:val="20"/>
          <w:shd w:val="clear" w:color="auto" w:fill="FFFFFF"/>
        </w:rPr>
        <w:t>(</w:t>
      </w:r>
      <w:proofErr w:type="spellStart"/>
      <w:r w:rsidR="007809AA" w:rsidRPr="00744457">
        <w:rPr>
          <w:rFonts w:ascii="Arial" w:hAnsi="Arial" w:cs="Arial"/>
          <w:b/>
          <w:color w:val="222222"/>
          <w:sz w:val="20"/>
          <w:szCs w:val="20"/>
          <w:shd w:val="clear" w:color="auto" w:fill="FFFFFF"/>
        </w:rPr>
        <w:t>Chaifetz</w:t>
      </w:r>
      <w:proofErr w:type="spellEnd"/>
      <w:r w:rsidR="007809AA" w:rsidRPr="00744457">
        <w:rPr>
          <w:rFonts w:ascii="Arial" w:hAnsi="Arial" w:cs="Arial"/>
          <w:b/>
          <w:color w:val="222222"/>
          <w:sz w:val="20"/>
          <w:szCs w:val="20"/>
          <w:shd w:val="clear" w:color="auto" w:fill="FFFFFF"/>
        </w:rPr>
        <w:t xml:space="preserve"> &amp; Jagger</w:t>
      </w:r>
      <w:r w:rsidR="00443A6C" w:rsidRPr="00443A6C">
        <w:rPr>
          <w:rFonts w:ascii="Arial" w:hAnsi="Arial" w:cs="Arial"/>
          <w:b/>
          <w:color w:val="FF0000"/>
          <w:sz w:val="20"/>
          <w:szCs w:val="20"/>
          <w:shd w:val="clear" w:color="auto" w:fill="FFFFFF"/>
        </w:rPr>
        <w:t>,</w:t>
      </w:r>
      <w:r w:rsidR="007809AA" w:rsidRPr="00744457">
        <w:rPr>
          <w:rFonts w:ascii="Arial" w:hAnsi="Arial" w:cs="Arial"/>
          <w:b/>
          <w:color w:val="222222"/>
          <w:sz w:val="20"/>
          <w:szCs w:val="20"/>
          <w:shd w:val="clear" w:color="auto" w:fill="FFFFFF"/>
        </w:rPr>
        <w:t xml:space="preserve"> 2014)</w:t>
      </w:r>
      <w:r w:rsidRPr="00744457">
        <w:rPr>
          <w:rFonts w:ascii="Arial" w:hAnsi="Arial" w:cs="Arial"/>
          <w:b/>
          <w:sz w:val="20"/>
          <w:szCs w:val="20"/>
        </w:rPr>
        <w:t>.</w:t>
      </w:r>
      <w:r w:rsidRPr="00744457">
        <w:rPr>
          <w:rFonts w:ascii="Arial" w:hAnsi="Arial" w:cs="Arial"/>
          <w:sz w:val="20"/>
          <w:szCs w:val="20"/>
        </w:rPr>
        <w:t xml:space="preserve"> These shifts have triggered a nutritional transition in numerous developing countries. Globalization has given rise to marketing systems that necessitate intensified and standardized food production. This transformation has made food production more capital-intensive, and supply chains have grown longer, with fundamental ingredients undergoing multiple modifications before the final product is reached. The power dynamics in value chains have shifted from producers to retailers and supermarkets, benefiting larger suppliers and making global markets less accessible to smallholder farmers</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 xml:space="preserve">Nelson &amp; </w:t>
      </w:r>
      <w:proofErr w:type="spellStart"/>
      <w:r w:rsidR="007809AA" w:rsidRPr="00744457">
        <w:rPr>
          <w:rFonts w:ascii="Arial" w:hAnsi="Arial" w:cs="Arial"/>
          <w:b/>
          <w:color w:val="222222"/>
          <w:sz w:val="20"/>
          <w:szCs w:val="20"/>
          <w:shd w:val="clear" w:color="auto" w:fill="FFFFFF"/>
        </w:rPr>
        <w:t>Tallontire</w:t>
      </w:r>
      <w:proofErr w:type="spellEnd"/>
      <w:r w:rsidR="00443A6C" w:rsidRPr="00443A6C">
        <w:rPr>
          <w:rFonts w:ascii="Arial" w:hAnsi="Arial" w:cs="Arial"/>
          <w:b/>
          <w:color w:val="FF0000"/>
          <w:sz w:val="20"/>
          <w:szCs w:val="20"/>
          <w:shd w:val="clear" w:color="auto" w:fill="FFFFFF"/>
        </w:rPr>
        <w:t>,</w:t>
      </w:r>
      <w:r w:rsidR="007809AA" w:rsidRPr="00744457">
        <w:rPr>
          <w:rFonts w:ascii="Arial" w:hAnsi="Arial" w:cs="Arial"/>
          <w:b/>
          <w:color w:val="222222"/>
          <w:sz w:val="20"/>
          <w:szCs w:val="20"/>
          <w:shd w:val="clear" w:color="auto" w:fill="FFFFFF"/>
        </w:rPr>
        <w:t xml:space="preserve"> 2014)</w:t>
      </w:r>
      <w:r w:rsidRPr="00744457">
        <w:rPr>
          <w:rFonts w:ascii="Arial" w:hAnsi="Arial" w:cs="Arial"/>
          <w:b/>
          <w:sz w:val="20"/>
          <w:szCs w:val="20"/>
        </w:rPr>
        <w:t xml:space="preserve">. </w:t>
      </w:r>
      <w:r w:rsidRPr="00744457">
        <w:rPr>
          <w:rFonts w:ascii="Arial" w:hAnsi="Arial" w:cs="Arial"/>
          <w:sz w:val="20"/>
          <w:szCs w:val="20"/>
        </w:rPr>
        <w:t>Although smallholders continue to play a vital role in providing local markets with fresh and affordable agricultural products, family agriculture and associated (agro) biodiversity have been marginalized.</w:t>
      </w:r>
    </w:p>
    <w:p w14:paraId="467C39CF"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lastRenderedPageBreak/>
        <w:t>The repercussions of the globalization of value chains extend well beyond the agricultural production system. They have resulted in the emergence of fast-food establishments and supermarkets, intensified advertising and marketing of relatively inexpensive industrialized products, foreign direct investment in developing nations, and the acceleration of urbanization. These developments have led to significant and rapid alterations in dietary patterns. The consumption of low-nutritional-quality, calorie-dense, ultra-processed foods and beverages, as well as fried snacks and sweets, has experienced a substantial increase over the past decade</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Logan, A. C., &amp; Prescott, S. L. (2017)</w:t>
      </w:r>
      <w:r w:rsidRPr="00744457">
        <w:rPr>
          <w:rFonts w:ascii="Arial" w:hAnsi="Arial" w:cs="Arial"/>
          <w:b/>
          <w:sz w:val="20"/>
          <w:szCs w:val="20"/>
        </w:rPr>
        <w:t>.</w:t>
      </w:r>
      <w:r w:rsidRPr="00744457">
        <w:rPr>
          <w:rFonts w:ascii="Arial" w:hAnsi="Arial" w:cs="Arial"/>
          <w:sz w:val="20"/>
          <w:szCs w:val="20"/>
        </w:rPr>
        <w:t xml:space="preserve"> Aggressive marketing of such foods by multinational corporations has coincided with a shift from home-cooked meals to pre-prepared and ready-to-eat options. These dietary changes, combined with increasingly sedentary lifestyles, have caused a surge in rates of overweight and obesity and the associated diet-related chronic diseases.</w:t>
      </w:r>
    </w:p>
    <w:p w14:paraId="26C28727" w14:textId="77777777" w:rsidR="008C40F9"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dietary transition unfolds within this context and progresses through various phases as incomes tend to rise. With increasing incomes, urban low-income and emerging middle-class households tend to decrease their consumption of cereals, roots, and tubers while increasing their demand for refined grains, flours, sugar, salt, and fats</w:t>
      </w:r>
      <w:r w:rsidR="007809AA" w:rsidRPr="00744457">
        <w:rPr>
          <w:rFonts w:ascii="Arial" w:hAnsi="Arial" w:cs="Arial"/>
          <w:b/>
          <w:sz w:val="20"/>
          <w:szCs w:val="20"/>
        </w:rPr>
        <w:t xml:space="preserve"> (</w:t>
      </w:r>
      <w:r w:rsidR="007809AA" w:rsidRPr="00744457">
        <w:rPr>
          <w:rFonts w:ascii="Arial" w:hAnsi="Arial" w:cs="Arial"/>
          <w:b/>
          <w:sz w:val="20"/>
          <w:szCs w:val="20"/>
          <w:shd w:val="clear" w:color="auto" w:fill="FFFFFF"/>
        </w:rPr>
        <w:t>Gillespie &amp; van den Bold, 2017)</w:t>
      </w:r>
      <w:r w:rsidRPr="00744457">
        <w:rPr>
          <w:rFonts w:ascii="Arial" w:hAnsi="Arial" w:cs="Arial"/>
          <w:b/>
          <w:sz w:val="20"/>
          <w:szCs w:val="20"/>
        </w:rPr>
        <w:t xml:space="preserve">. </w:t>
      </w:r>
      <w:r w:rsidRPr="00744457">
        <w:rPr>
          <w:rFonts w:ascii="Arial" w:hAnsi="Arial" w:cs="Arial"/>
          <w:sz w:val="20"/>
          <w:szCs w:val="20"/>
        </w:rPr>
        <w:t>There is a growing appetite for processed convenience and fast foods available in supermarkets, restaurants, and informal street food vendors. Middle-class population groups show a strong increase in demand for fruits, vegetables, and animal-source foods, including dairy, poultry, eggs, meat, and fish. In high- and middle-income countries, the consumption of healthier foods has grown over the past two decades, but in low-income countries, consumption of less healthy foods, such as processed meats and sugars, is rising at an even faster pace.</w:t>
      </w:r>
    </w:p>
    <w:p w14:paraId="0FC7AB8D" w14:textId="77777777" w:rsidR="000A2EF8" w:rsidRPr="00B735B4" w:rsidRDefault="000A2EF8" w:rsidP="00744457">
      <w:pPr>
        <w:spacing w:line="240" w:lineRule="auto"/>
        <w:jc w:val="both"/>
        <w:rPr>
          <w:rFonts w:ascii="Arial" w:hAnsi="Arial" w:cs="Arial"/>
          <w:sz w:val="24"/>
          <w:szCs w:val="20"/>
        </w:rPr>
      </w:pPr>
    </w:p>
    <w:p w14:paraId="7A0D0587" w14:textId="77777777" w:rsidR="000A2EF8" w:rsidRPr="00443A6C" w:rsidRDefault="000A2EF8" w:rsidP="00443A6C">
      <w:pPr>
        <w:pStyle w:val="ListeParagraf"/>
        <w:numPr>
          <w:ilvl w:val="0"/>
          <w:numId w:val="1"/>
        </w:numPr>
        <w:spacing w:line="240" w:lineRule="auto"/>
        <w:ind w:left="284" w:hanging="284"/>
        <w:jc w:val="both"/>
        <w:rPr>
          <w:rFonts w:ascii="Arial" w:hAnsi="Arial" w:cs="Arial"/>
          <w:b/>
          <w:color w:val="FF0000"/>
          <w:sz w:val="24"/>
          <w:szCs w:val="20"/>
        </w:rPr>
      </w:pPr>
      <w:r w:rsidRPr="00443A6C">
        <w:rPr>
          <w:rFonts w:ascii="Arial" w:hAnsi="Arial" w:cs="Arial"/>
          <w:b/>
          <w:color w:val="FF0000"/>
          <w:sz w:val="24"/>
          <w:szCs w:val="20"/>
        </w:rPr>
        <w:t>FUTURE PERSPECTIVE</w:t>
      </w:r>
    </w:p>
    <w:p w14:paraId="609A0CE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future perspective of the Farm-to-Table Movement, which revolves around nourishing the linkages between agriculture, food systems, and nutrition, holds immense promise and potential for addressing some of the most pressing global challenges related to food, health, and sustainability. Here's an exploration of the future prospects of this movement:</w:t>
      </w:r>
    </w:p>
    <w:p w14:paraId="10EE7D66"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1. Enhanced Nutritional Outcomes:</w:t>
      </w:r>
      <w:r w:rsidRPr="00744457">
        <w:rPr>
          <w:rFonts w:ascii="Arial" w:hAnsi="Arial" w:cs="Arial"/>
          <w:sz w:val="20"/>
          <w:szCs w:val="20"/>
        </w:rPr>
        <w:t xml:space="preserve"> The Farm-to-Table Movement is poised to continue promoting more nutritious and diverse diets. As it gains traction, it will encourage the consumption of fresh, locally-sourced, and seasonal foods, leading to improved overall nutrition. This could potentially help mitigate diet-related health issues, such as obesity and diet-related chronic diseases.</w:t>
      </w:r>
    </w:p>
    <w:p w14:paraId="284D665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2. Sustainability and Resilience:</w:t>
      </w:r>
      <w:r w:rsidRPr="00744457">
        <w:rPr>
          <w:rFonts w:ascii="Arial" w:hAnsi="Arial" w:cs="Arial"/>
          <w:sz w:val="20"/>
          <w:szCs w:val="20"/>
        </w:rPr>
        <w:t xml:space="preserve"> Looking ahead, the movement is likely to play an increasingly pivotal role in sustainable agriculture practices. It can support regenerative farming techniques, biodiversity conservation, and responsible resource management. By strengthening local and regional food systems, it can enhance food security and resilience in the face of climate change and other challenges.</w:t>
      </w:r>
    </w:p>
    <w:p w14:paraId="3C5C82A8"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3. Support for Local Economies:</w:t>
      </w:r>
      <w:r w:rsidRPr="00744457">
        <w:rPr>
          <w:rFonts w:ascii="Arial" w:hAnsi="Arial" w:cs="Arial"/>
          <w:sz w:val="20"/>
          <w:szCs w:val="20"/>
        </w:rPr>
        <w:t xml:space="preserve"> The Farm-to-Table concept will continue to contribute to local economic development. By connecting consumers with nearby farmers and food producers, it supports local livelihoods, job creation, and entrepreneurship. This, in turn, fosters vibrant and sustainable rural communities.</w:t>
      </w:r>
    </w:p>
    <w:p w14:paraId="440D3974"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4. Educational Initiatives:</w:t>
      </w:r>
      <w:r w:rsidRPr="00744457">
        <w:rPr>
          <w:rFonts w:ascii="Arial" w:hAnsi="Arial" w:cs="Arial"/>
          <w:sz w:val="20"/>
          <w:szCs w:val="20"/>
        </w:rPr>
        <w:t xml:space="preserve"> In the future, we can expect to see more educational efforts linked to the Farm-to-Table Movement. This might include programs in schools and communities that teach people about the importance of sustainable agriculture, the value of local food systems, and how to make healthier food choices.</w:t>
      </w:r>
    </w:p>
    <w:p w14:paraId="4A61E97D"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5. Policy Changes:</w:t>
      </w:r>
      <w:r w:rsidRPr="00744457">
        <w:rPr>
          <w:rFonts w:ascii="Arial" w:hAnsi="Arial" w:cs="Arial"/>
          <w:sz w:val="20"/>
          <w:szCs w:val="20"/>
        </w:rPr>
        <w:t xml:space="preserve"> As the movement gains momentum, it may influence policy changes at various levels of government. This could lead to more supportive regulations and incentives for local and sustainable agriculture, making it easier for small-scale farmers to thrive.</w:t>
      </w:r>
    </w:p>
    <w:p w14:paraId="29472BCA"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6. Technological Advancements:</w:t>
      </w:r>
      <w:r w:rsidRPr="00744457">
        <w:rPr>
          <w:rFonts w:ascii="Arial" w:hAnsi="Arial" w:cs="Arial"/>
          <w:sz w:val="20"/>
          <w:szCs w:val="20"/>
        </w:rPr>
        <w:t xml:space="preserve"> Technology will likely play a crucial role in the movement's future. Online platforms and apps may connect consumers with local producers more efficiently. Moreover, innovations in agriculture, such as precision farming and vertical farming, can complement traditional Farm-to-Table practices to enhance productivity.</w:t>
      </w:r>
    </w:p>
    <w:p w14:paraId="2A67B3E2"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lastRenderedPageBreak/>
        <w:t>7. Global Expansion:</w:t>
      </w:r>
      <w:r w:rsidRPr="00744457">
        <w:rPr>
          <w:rFonts w:ascii="Arial" w:hAnsi="Arial" w:cs="Arial"/>
          <w:sz w:val="20"/>
          <w:szCs w:val="20"/>
        </w:rPr>
        <w:t xml:space="preserve"> The Farm-to-Table concept is not limited to a specific region; it has the potential for global expansion. As the movement gains recognition worldwide, it can inspire similar initiatives in various countries, each tailored to its unique agricultural landscape and culture.</w:t>
      </w:r>
    </w:p>
    <w:p w14:paraId="676CB439"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8. Community Engagement:</w:t>
      </w:r>
      <w:r w:rsidRPr="00744457">
        <w:rPr>
          <w:rFonts w:ascii="Arial" w:hAnsi="Arial" w:cs="Arial"/>
          <w:sz w:val="20"/>
          <w:szCs w:val="20"/>
        </w:rPr>
        <w:t xml:space="preserve"> Communities will increasingly engage with the movement, further strengthening the connection between consumers and the sources of their food. Events like farmers' markets, farm tours, and community-supported agriculture will continue to thrive, fostering a sense of community and shared responsibility for a healthier food system.</w:t>
      </w:r>
    </w:p>
    <w:p w14:paraId="504AE7B7"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9. Health and Wellness:</w:t>
      </w:r>
      <w:r w:rsidRPr="00744457">
        <w:rPr>
          <w:rFonts w:ascii="Arial" w:hAnsi="Arial" w:cs="Arial"/>
          <w:sz w:val="20"/>
          <w:szCs w:val="20"/>
        </w:rPr>
        <w:t xml:space="preserve"> The movement's growth will likely be accompanied by a broader focus on holistic health and wellness. It may encourage people not only to consider what they eat but also how their food choices impact the environment, their well-being, and social equity.</w:t>
      </w:r>
    </w:p>
    <w:p w14:paraId="64A83EBB" w14:textId="77777777" w:rsidR="000A2EF8"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Farm-to-Table Movement is on a trajectory toward a promising future, characterized by improved nutrition, sustainable agricultural practices, stronger local economies, and increased community engagement. This movement's potential to create healthier, more sustainable, and connected food systems underscores its significance in addressing the complex challenges of the modern world. As it continues to evolve, it can serve as a model for fostering positive changes in the way we produce, distribute, and consume food.</w:t>
      </w:r>
    </w:p>
    <w:p w14:paraId="257B7150" w14:textId="77777777" w:rsidR="00744457" w:rsidRPr="00B735B4" w:rsidRDefault="00744457" w:rsidP="00744457">
      <w:pPr>
        <w:spacing w:line="240" w:lineRule="auto"/>
        <w:ind w:firstLine="720"/>
        <w:jc w:val="both"/>
        <w:rPr>
          <w:rFonts w:ascii="Arial" w:hAnsi="Arial" w:cs="Arial"/>
          <w:sz w:val="24"/>
          <w:szCs w:val="20"/>
        </w:rPr>
      </w:pPr>
    </w:p>
    <w:p w14:paraId="0BB6DAB0" w14:textId="77777777" w:rsidR="000A2EF8" w:rsidRPr="00BE04FB" w:rsidRDefault="000A2EF8" w:rsidP="00BE04FB">
      <w:pPr>
        <w:pStyle w:val="ListeParagraf"/>
        <w:numPr>
          <w:ilvl w:val="0"/>
          <w:numId w:val="1"/>
        </w:numPr>
        <w:spacing w:line="240" w:lineRule="auto"/>
        <w:ind w:left="426"/>
        <w:jc w:val="both"/>
        <w:rPr>
          <w:rFonts w:ascii="Arial" w:hAnsi="Arial" w:cs="Arial"/>
          <w:b/>
          <w:color w:val="FF0000"/>
          <w:sz w:val="24"/>
          <w:szCs w:val="20"/>
        </w:rPr>
      </w:pPr>
      <w:r w:rsidRPr="00BE04FB">
        <w:rPr>
          <w:rFonts w:ascii="Arial" w:hAnsi="Arial" w:cs="Arial"/>
          <w:b/>
          <w:color w:val="FF0000"/>
          <w:sz w:val="24"/>
          <w:szCs w:val="20"/>
        </w:rPr>
        <w:t>CHALLENGE OF TRANSFORMING AGRICULTURE AND FOOD SYSTEMS IN THE MODERN WORLD</w:t>
      </w:r>
    </w:p>
    <w:p w14:paraId="00F05680" w14:textId="416D9500" w:rsidR="00397A02"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challenge of transforming agriculture and food systems in the modern world is multifaceted, requiring a holistic and comprehensive approach that extends far beyond traditional agricultural practices. This challenge is shaped by a variety of evolving dynamics, and addressing it is crucial for ensuring global food security, nutrition, and sustainability. Here, we explore the challenge and the evolving dynamics in agriculture and food systems while advocating for</w:t>
      </w:r>
      <w:r w:rsidR="007809AA" w:rsidRPr="00744457">
        <w:rPr>
          <w:rFonts w:ascii="Arial" w:hAnsi="Arial" w:cs="Arial"/>
          <w:sz w:val="20"/>
          <w:szCs w:val="20"/>
        </w:rPr>
        <w:t xml:space="preserve"> a more comprehensive approach</w:t>
      </w:r>
      <w:r w:rsidR="00B735B4">
        <w:rPr>
          <w:rFonts w:ascii="Arial" w:hAnsi="Arial" w:cs="Arial"/>
          <w:sz w:val="20"/>
          <w:szCs w:val="20"/>
        </w:rPr>
        <w:t xml:space="preserve">. </w:t>
      </w:r>
      <w:r w:rsidRPr="00744457">
        <w:rPr>
          <w:rFonts w:ascii="Arial" w:hAnsi="Arial" w:cs="Arial"/>
          <w:sz w:val="20"/>
          <w:szCs w:val="20"/>
        </w:rPr>
        <w:t>The world's population is continuously growing, and urbanization is on the rise. As more people move to cities, the demand for food is increasing, and traditional agriculture alone cannot meet this demand. To address this challenge, we must consider urban agriculture, innovative food production systems, and efficient distribution networks. Agriculture is both a victim and a contributor to climate change and environmental degradation</w:t>
      </w:r>
      <w:r w:rsidR="007809AA" w:rsidRPr="00744457">
        <w:rPr>
          <w:rFonts w:ascii="Arial" w:hAnsi="Arial" w:cs="Arial"/>
          <w:sz w:val="20"/>
          <w:szCs w:val="20"/>
        </w:rPr>
        <w:t xml:space="preserve"> </w:t>
      </w:r>
      <w:r w:rsidR="007809AA" w:rsidRPr="00744457">
        <w:rPr>
          <w:rFonts w:ascii="Arial" w:hAnsi="Arial" w:cs="Arial"/>
          <w:b/>
          <w:sz w:val="20"/>
          <w:szCs w:val="20"/>
        </w:rPr>
        <w:t xml:space="preserve">(Ray </w:t>
      </w:r>
      <w:r w:rsidR="00C14C0A" w:rsidRPr="00744457">
        <w:rPr>
          <w:rFonts w:ascii="Arial" w:hAnsi="Arial" w:cs="Arial"/>
          <w:b/>
          <w:i/>
          <w:sz w:val="20"/>
          <w:szCs w:val="20"/>
        </w:rPr>
        <w:t>et al</w:t>
      </w:r>
      <w:r w:rsidR="007809AA" w:rsidRPr="00744457">
        <w:rPr>
          <w:rFonts w:ascii="Arial" w:hAnsi="Arial" w:cs="Arial"/>
          <w:b/>
          <w:sz w:val="20"/>
          <w:szCs w:val="20"/>
        </w:rPr>
        <w:t>., 2023)</w:t>
      </w:r>
      <w:r w:rsidRPr="00744457">
        <w:rPr>
          <w:rFonts w:ascii="Arial" w:hAnsi="Arial" w:cs="Arial"/>
          <w:b/>
          <w:sz w:val="20"/>
          <w:szCs w:val="20"/>
        </w:rPr>
        <w:t>.</w:t>
      </w:r>
      <w:r w:rsidRPr="00744457">
        <w:rPr>
          <w:rFonts w:ascii="Arial" w:hAnsi="Arial" w:cs="Arial"/>
          <w:sz w:val="20"/>
          <w:szCs w:val="20"/>
        </w:rPr>
        <w:t xml:space="preserve"> Climate change disrupts traditional growing patterns, while intensive agriculture contributes to greenhouse gas emissions, deforestation, and soil degradation. A comprehensive approach should incorporate sustainable and climate-resilient farming practices and prioritize agroecological systems that promote biodiversity and reduce environmental impact</w:t>
      </w:r>
      <w:r w:rsidR="007809AA" w:rsidRPr="00744457">
        <w:rPr>
          <w:rFonts w:ascii="Arial" w:hAnsi="Arial" w:cs="Arial"/>
          <w:sz w:val="20"/>
          <w:szCs w:val="20"/>
        </w:rPr>
        <w:t xml:space="preserve"> </w:t>
      </w:r>
      <w:r w:rsidR="007809AA" w:rsidRPr="00744457">
        <w:rPr>
          <w:rFonts w:ascii="Arial" w:hAnsi="Arial" w:cs="Arial"/>
          <w:b/>
          <w:sz w:val="20"/>
          <w:szCs w:val="20"/>
        </w:rPr>
        <w:t xml:space="preserve">(Lin </w:t>
      </w:r>
      <w:r w:rsidR="00C14C0A" w:rsidRPr="00744457">
        <w:rPr>
          <w:rFonts w:ascii="Arial" w:hAnsi="Arial" w:cs="Arial"/>
          <w:b/>
          <w:i/>
          <w:sz w:val="20"/>
          <w:szCs w:val="20"/>
        </w:rPr>
        <w:t>et al</w:t>
      </w:r>
      <w:r w:rsidR="007809AA" w:rsidRPr="00744457">
        <w:rPr>
          <w:rFonts w:ascii="Arial" w:hAnsi="Arial" w:cs="Arial"/>
          <w:b/>
          <w:sz w:val="20"/>
          <w:szCs w:val="20"/>
        </w:rPr>
        <w:t>., 2011)</w:t>
      </w:r>
      <w:r w:rsidRPr="00744457">
        <w:rPr>
          <w:rFonts w:ascii="Arial" w:hAnsi="Arial" w:cs="Arial"/>
          <w:b/>
          <w:sz w:val="20"/>
          <w:szCs w:val="20"/>
        </w:rPr>
        <w:t>.</w:t>
      </w:r>
      <w:r w:rsidRPr="00744457">
        <w:rPr>
          <w:rFonts w:ascii="Arial" w:hAnsi="Arial" w:cs="Arial"/>
          <w:sz w:val="20"/>
          <w:szCs w:val="20"/>
        </w:rPr>
        <w:t xml:space="preserve"> The globalization of food systems has brought both opportunities and challenges. While it has increased the availability of a wide range of food products, it has also made food supply chains more complex. A comprehensive approach should consider the impacts of global trade on local agriculture and food security, as well as promote fair trade practices. Ensuring the safety and quality of our food supply is essential for public health. Evolving dynamics in agriculture and food systems include the need for stronger food safety regulations, transparent </w:t>
      </w:r>
      <w:r w:rsidR="00443A6C" w:rsidRPr="00443A6C">
        <w:rPr>
          <w:rFonts w:ascii="Arial" w:hAnsi="Arial" w:cs="Arial"/>
          <w:color w:val="FF0000"/>
          <w:sz w:val="20"/>
          <w:szCs w:val="20"/>
        </w:rPr>
        <w:t>labelling</w:t>
      </w:r>
      <w:r w:rsidRPr="00443A6C">
        <w:rPr>
          <w:rFonts w:ascii="Arial" w:hAnsi="Arial" w:cs="Arial"/>
          <w:color w:val="FF0000"/>
          <w:sz w:val="20"/>
          <w:szCs w:val="20"/>
        </w:rPr>
        <w:t>,</w:t>
      </w:r>
      <w:r w:rsidRPr="00744457">
        <w:rPr>
          <w:rFonts w:ascii="Arial" w:hAnsi="Arial" w:cs="Arial"/>
          <w:sz w:val="20"/>
          <w:szCs w:val="20"/>
        </w:rPr>
        <w:t xml:space="preserve"> and the prevention of foodborne illnesses. Comprehensive approaches should include robust monitoring and regulatory frameworks. Changes in dietary patterns, including increased consumption of processed and unhealthy foods, have led to rising rates of obesity and diet-related health issues. </w:t>
      </w:r>
    </w:p>
    <w:p w14:paraId="1F3327B2"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Comprehensive solutions should encompass nutrition education, support for local and sustainable food systems, and efforts to promote healthier eating habits. Disparities in access to nutritious food are a significant challenge. While some have access to an abundance of food options, others face fo</w:t>
      </w:r>
      <w:r w:rsidR="00397A02" w:rsidRPr="00744457">
        <w:rPr>
          <w:rFonts w:ascii="Arial" w:hAnsi="Arial" w:cs="Arial"/>
          <w:sz w:val="20"/>
          <w:szCs w:val="20"/>
        </w:rPr>
        <w:t xml:space="preserve">od deserts and food insecurity. </w:t>
      </w:r>
      <w:r w:rsidRPr="00744457">
        <w:rPr>
          <w:rFonts w:ascii="Arial" w:hAnsi="Arial" w:cs="Arial"/>
          <w:sz w:val="20"/>
          <w:szCs w:val="20"/>
        </w:rPr>
        <w:t xml:space="preserve">A comprehensive approach should involve policies that address food equity, reduce food waste, and make healthy food accessible to all. Evolving technologies, such as precision agriculture, biotechnology, and data-driven farming, are reshaping agriculture. These advancements can boost productivity, but they also raise questions about the ethical use of technology in farming. Comprehensive approaches should guide the responsible integration of technology into agriculture and ensure that it benefits all stakeholders. Recent global health crises, like the COVID-19 pandemic, have exposed vulnerabilities in our food systems. </w:t>
      </w:r>
    </w:p>
    <w:p w14:paraId="2F6EE067" w14:textId="77777777" w:rsidR="000A2EF8" w:rsidRPr="00BE04FB" w:rsidRDefault="000A2EF8" w:rsidP="00BE04FB">
      <w:pPr>
        <w:pStyle w:val="ListeParagraf"/>
        <w:numPr>
          <w:ilvl w:val="0"/>
          <w:numId w:val="1"/>
        </w:numPr>
        <w:spacing w:line="240" w:lineRule="auto"/>
        <w:ind w:left="426"/>
        <w:jc w:val="both"/>
        <w:rPr>
          <w:rFonts w:ascii="Arial" w:hAnsi="Arial" w:cs="Arial"/>
          <w:b/>
          <w:color w:val="FF0000"/>
          <w:sz w:val="24"/>
          <w:szCs w:val="20"/>
          <w:highlight w:val="yellow"/>
        </w:rPr>
      </w:pPr>
      <w:r w:rsidRPr="00BE04FB">
        <w:rPr>
          <w:rFonts w:ascii="Arial" w:hAnsi="Arial" w:cs="Arial"/>
          <w:b/>
          <w:color w:val="FF0000"/>
          <w:sz w:val="24"/>
          <w:szCs w:val="20"/>
          <w:highlight w:val="yellow"/>
        </w:rPr>
        <w:t>CONCLUSION</w:t>
      </w:r>
    </w:p>
    <w:p w14:paraId="4BA3AC84" w14:textId="77777777" w:rsidR="000A2EF8" w:rsidRDefault="00397A02" w:rsidP="00744457">
      <w:pPr>
        <w:spacing w:line="240" w:lineRule="auto"/>
        <w:jc w:val="both"/>
        <w:rPr>
          <w:rFonts w:ascii="Arial" w:hAnsi="Arial" w:cs="Arial"/>
          <w:sz w:val="20"/>
          <w:szCs w:val="20"/>
        </w:rPr>
      </w:pPr>
      <w:r w:rsidRPr="00744457">
        <w:rPr>
          <w:rFonts w:ascii="Arial" w:hAnsi="Arial" w:cs="Arial"/>
          <w:sz w:val="20"/>
          <w:szCs w:val="20"/>
        </w:rPr>
        <w:lastRenderedPageBreak/>
        <w:t>In conclusion, this review paper highlights the profound significance of the Farm-to-Table Movement in addressing the intricate web of challenges within the global nutrition landscape. Malnutrition, a complex and pervasive issue, spans a wide spectrum from undernutrition to the growing crisis of overweight and obesity, affecting individuals and communities worldwide. The factors contributing to this multifaceted challenge are numerous, including individual choices, agricultural practices, healthcare systems, environmental influences, and policy frameworks. As we delve into the transformative potential of the Farm-to-Table Movement, it becomes evident that agriculture plays a pivotal role in shaping global nutrition. It not only has the capacity to enhance food security but also offers solutions to malnutrition, a critical risk factor for the global burden of disease. The review underlines the rapid and profound changes occurring within food systems, driven by the forces of globalization, trade liberalization, and urbanization. These dynamics have significant implications for global nutrition, as they have given rise to a "triple burden" of malnutrition in many nations, encompassing deficiencies in energy, micronutrients, and the growing rates of overweight and obesity. To address this multifaceted challenge effectively, a comprehensive approach is advocated. This approach extends beyond traditional agriculture and involves creating supportive institutional and policy environments, developing nutrition-sensitive agricultural programs, and fostering capacity and leadership to use evidence for improved decision-making. In a world shaped by globalization, trade liberalization, and urbanization, bridging the gap between agriculture and nutrition is an urgent necessity. The Farm-to-Table Movement, with its focus on local, sustainable, and diverse food sources, provides a promising pathway towards a more nutritious and equitable global food system. By embracing the movement and implementing the proposed multifaceted framework, we can work towards a future where nutrition, health, and sustainability are intertwined, ultimately benefiting individuals and societies worldwide.</w:t>
      </w:r>
    </w:p>
    <w:p w14:paraId="2E8E1BA1" w14:textId="77777777" w:rsidR="00586876" w:rsidRDefault="00586876" w:rsidP="00744457">
      <w:pPr>
        <w:spacing w:line="240" w:lineRule="auto"/>
        <w:jc w:val="both"/>
        <w:rPr>
          <w:rFonts w:ascii="Arial" w:hAnsi="Arial" w:cs="Arial"/>
          <w:sz w:val="20"/>
          <w:szCs w:val="20"/>
        </w:rPr>
      </w:pPr>
    </w:p>
    <w:p w14:paraId="0A4E261B" w14:textId="2481083F" w:rsidR="00586876" w:rsidRPr="00B735B4" w:rsidRDefault="00586876" w:rsidP="00B735B4">
      <w:pPr>
        <w:spacing w:line="240" w:lineRule="auto"/>
        <w:jc w:val="both"/>
        <w:rPr>
          <w:rFonts w:ascii="Arial" w:hAnsi="Arial" w:cs="Arial"/>
          <w:b/>
          <w:sz w:val="24"/>
          <w:szCs w:val="20"/>
        </w:rPr>
      </w:pPr>
      <w:r w:rsidRPr="00B735B4">
        <w:rPr>
          <w:rFonts w:ascii="Arial" w:hAnsi="Arial" w:cs="Arial"/>
          <w:b/>
          <w:sz w:val="24"/>
          <w:szCs w:val="20"/>
          <w:highlight w:val="yellow"/>
        </w:rPr>
        <w:t>COMPETING INTERESTS DISCLAIMER</w:t>
      </w:r>
    </w:p>
    <w:p w14:paraId="109C7366" w14:textId="05261A9A" w:rsidR="00586876" w:rsidRDefault="00586876" w:rsidP="00B735B4">
      <w:pPr>
        <w:spacing w:line="240" w:lineRule="auto"/>
        <w:jc w:val="both"/>
        <w:rPr>
          <w:rFonts w:ascii="Arial" w:hAnsi="Arial" w:cs="Arial"/>
          <w:sz w:val="20"/>
          <w:szCs w:val="20"/>
        </w:rPr>
      </w:pPr>
      <w:r w:rsidRPr="00B735B4">
        <w:rPr>
          <w:rFonts w:ascii="Arial" w:hAnsi="Arial" w:cs="Arial"/>
          <w:sz w:val="20"/>
          <w:szCs w:val="20"/>
          <w:highlight w:val="yellow"/>
        </w:rPr>
        <w:t>Authors have declared that they have no known competing financial interests reported in this paper.</w:t>
      </w:r>
    </w:p>
    <w:p w14:paraId="634975B1" w14:textId="1435003D" w:rsidR="003E12E4" w:rsidRDefault="003E12E4" w:rsidP="00586876">
      <w:pPr>
        <w:spacing w:line="240" w:lineRule="auto"/>
        <w:jc w:val="both"/>
        <w:rPr>
          <w:rFonts w:ascii="Arial" w:hAnsi="Arial" w:cs="Arial"/>
          <w:sz w:val="20"/>
          <w:szCs w:val="20"/>
        </w:rPr>
      </w:pPr>
    </w:p>
    <w:p w14:paraId="2F928EC4" w14:textId="72B51BC0" w:rsidR="003E12E4" w:rsidRPr="00B735B4" w:rsidRDefault="00B735B4" w:rsidP="003E12E4">
      <w:pPr>
        <w:rPr>
          <w:rFonts w:ascii="Arial" w:hAnsi="Arial" w:cs="Arial"/>
          <w:b/>
          <w:sz w:val="24"/>
          <w:highlight w:val="yellow"/>
        </w:rPr>
      </w:pPr>
      <w:r w:rsidRPr="00B735B4">
        <w:rPr>
          <w:rFonts w:ascii="Arial" w:hAnsi="Arial" w:cs="Arial"/>
          <w:b/>
          <w:sz w:val="24"/>
          <w:highlight w:val="yellow"/>
        </w:rPr>
        <w:t>DISCLAIMER (ARTIFICIAL INTELLIGENCE)</w:t>
      </w:r>
    </w:p>
    <w:p w14:paraId="4A41C4DC" w14:textId="77777777" w:rsidR="003E12E4" w:rsidRPr="00B735B4" w:rsidRDefault="003E12E4" w:rsidP="00B735B4">
      <w:pPr>
        <w:spacing w:line="240" w:lineRule="auto"/>
        <w:jc w:val="both"/>
        <w:rPr>
          <w:rFonts w:ascii="Arial" w:hAnsi="Arial" w:cs="Arial"/>
          <w:sz w:val="20"/>
          <w:highlight w:val="yellow"/>
        </w:rPr>
      </w:pPr>
      <w:r w:rsidRPr="00B735B4">
        <w:rPr>
          <w:rFonts w:ascii="Arial" w:hAnsi="Arial" w:cs="Arial"/>
          <w:sz w:val="20"/>
          <w:highlight w:val="yellow"/>
        </w:rPr>
        <w:t>Author(s) hereby declare that NO generative AI technologies such as Large Language Models (</w:t>
      </w:r>
      <w:proofErr w:type="spellStart"/>
      <w:r w:rsidRPr="00B735B4">
        <w:rPr>
          <w:rFonts w:ascii="Arial" w:hAnsi="Arial" w:cs="Arial"/>
          <w:sz w:val="20"/>
          <w:highlight w:val="yellow"/>
        </w:rPr>
        <w:t>ChatGPT</w:t>
      </w:r>
      <w:proofErr w:type="spellEnd"/>
      <w:r w:rsidRPr="00B735B4">
        <w:rPr>
          <w:rFonts w:ascii="Arial" w:hAnsi="Arial" w:cs="Arial"/>
          <w:sz w:val="20"/>
          <w:highlight w:val="yellow"/>
        </w:rPr>
        <w:t xml:space="preserve">, COPILOT, etc.) and text-to-image generators have been used during the writing or editing of this manuscript. </w:t>
      </w:r>
    </w:p>
    <w:p w14:paraId="611E2505" w14:textId="77777777" w:rsidR="004C61A7" w:rsidRPr="00744457" w:rsidRDefault="004C61A7" w:rsidP="00744457">
      <w:pPr>
        <w:spacing w:line="240" w:lineRule="auto"/>
        <w:jc w:val="both"/>
        <w:rPr>
          <w:rFonts w:ascii="Arial" w:hAnsi="Arial" w:cs="Arial"/>
          <w:b/>
          <w:sz w:val="20"/>
          <w:szCs w:val="20"/>
        </w:rPr>
      </w:pPr>
    </w:p>
    <w:p w14:paraId="5C7F29E6" w14:textId="77777777" w:rsidR="007D36A5" w:rsidRPr="00563CD1" w:rsidRDefault="00744457" w:rsidP="00744457">
      <w:pPr>
        <w:spacing w:line="240" w:lineRule="auto"/>
        <w:jc w:val="both"/>
        <w:rPr>
          <w:rFonts w:ascii="Arial" w:hAnsi="Arial" w:cs="Arial"/>
          <w:b/>
          <w:sz w:val="24"/>
          <w:szCs w:val="20"/>
          <w:highlight w:val="yellow"/>
        </w:rPr>
      </w:pPr>
      <w:r w:rsidRPr="00563CD1">
        <w:rPr>
          <w:rFonts w:ascii="Arial" w:hAnsi="Arial" w:cs="Arial"/>
          <w:b/>
          <w:sz w:val="24"/>
          <w:szCs w:val="20"/>
          <w:highlight w:val="yellow"/>
        </w:rPr>
        <w:t>REFERENCES</w:t>
      </w:r>
    </w:p>
    <w:p w14:paraId="15774AC7" w14:textId="098DD795"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bookmarkStart w:id="0" w:name="_GoBack"/>
      <w:proofErr w:type="spellStart"/>
      <w:r w:rsidRPr="00BE04FB">
        <w:rPr>
          <w:rFonts w:ascii="Arial" w:hAnsi="Arial" w:cs="Arial"/>
          <w:color w:val="FF0000"/>
          <w:sz w:val="20"/>
          <w:szCs w:val="20"/>
          <w:highlight w:val="yellow"/>
          <w:shd w:val="clear" w:color="auto" w:fill="FFFFFF"/>
        </w:rPr>
        <w:t>Achrol</w:t>
      </w:r>
      <w:proofErr w:type="spellEnd"/>
      <w:r w:rsidRPr="00BE04FB">
        <w:rPr>
          <w:rFonts w:ascii="Arial" w:hAnsi="Arial" w:cs="Arial"/>
          <w:color w:val="FF0000"/>
          <w:sz w:val="20"/>
          <w:szCs w:val="20"/>
          <w:highlight w:val="yellow"/>
          <w:shd w:val="clear" w:color="auto" w:fill="FFFFFF"/>
        </w:rPr>
        <w:t xml:space="preserve">, R. S. </w:t>
      </w:r>
      <w:r w:rsidR="00BE04FB" w:rsidRPr="00BE04FB">
        <w:rPr>
          <w:rFonts w:ascii="Arial" w:hAnsi="Arial" w:cs="Arial"/>
          <w:color w:val="FF0000"/>
          <w:sz w:val="20"/>
          <w:szCs w:val="20"/>
          <w:highlight w:val="yellow"/>
          <w:shd w:val="clear" w:color="auto" w:fill="FFFFFF"/>
        </w:rPr>
        <w:t>and</w:t>
      </w:r>
      <w:r w:rsidRPr="00BE04FB">
        <w:rPr>
          <w:rFonts w:ascii="Arial" w:hAnsi="Arial" w:cs="Arial"/>
          <w:color w:val="FF0000"/>
          <w:sz w:val="20"/>
          <w:szCs w:val="20"/>
          <w:highlight w:val="yellow"/>
          <w:shd w:val="clear" w:color="auto" w:fill="FFFFFF"/>
        </w:rPr>
        <w:t xml:space="preserve"> Kotler, P. (2012). </w:t>
      </w:r>
      <w:bookmarkEnd w:id="0"/>
      <w:r w:rsidRPr="00563CD1">
        <w:rPr>
          <w:rFonts w:ascii="Arial" w:hAnsi="Arial" w:cs="Arial"/>
          <w:color w:val="222222"/>
          <w:sz w:val="20"/>
          <w:szCs w:val="20"/>
          <w:highlight w:val="yellow"/>
          <w:shd w:val="clear" w:color="auto" w:fill="FFFFFF"/>
        </w:rPr>
        <w:t>Frontiers of the marketing paradigm in the third millennium. </w:t>
      </w:r>
      <w:r w:rsidRPr="00563CD1">
        <w:rPr>
          <w:rFonts w:ascii="Arial" w:hAnsi="Arial" w:cs="Arial"/>
          <w:i/>
          <w:iCs/>
          <w:color w:val="222222"/>
          <w:sz w:val="20"/>
          <w:szCs w:val="20"/>
          <w:highlight w:val="yellow"/>
          <w:shd w:val="clear" w:color="auto" w:fill="FFFFFF"/>
        </w:rPr>
        <w:t>Journal of the academy of marketing science</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40</w:t>
      </w:r>
      <w:r w:rsidRPr="00563CD1">
        <w:rPr>
          <w:rFonts w:ascii="Arial" w:hAnsi="Arial" w:cs="Arial"/>
          <w:color w:val="222222"/>
          <w:sz w:val="20"/>
          <w:szCs w:val="20"/>
          <w:highlight w:val="yellow"/>
          <w:shd w:val="clear" w:color="auto" w:fill="FFFFFF"/>
        </w:rPr>
        <w:t>, 35-52.</w:t>
      </w:r>
    </w:p>
    <w:p w14:paraId="1C7C6F3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Bang, T. C. (2023). </w:t>
      </w:r>
      <w:r w:rsidRPr="00563CD1">
        <w:rPr>
          <w:rFonts w:ascii="Arial" w:hAnsi="Arial" w:cs="Arial"/>
          <w:i/>
          <w:iCs/>
          <w:color w:val="222222"/>
          <w:sz w:val="20"/>
          <w:szCs w:val="20"/>
          <w:highlight w:val="yellow"/>
          <w:shd w:val="clear" w:color="auto" w:fill="FFFFFF"/>
        </w:rPr>
        <w:t>A farm-to-table supply chain to address food safety for fresh food in Vietnam</w:t>
      </w:r>
      <w:r w:rsidRPr="00563CD1">
        <w:rPr>
          <w:rFonts w:ascii="Arial" w:hAnsi="Arial" w:cs="Arial"/>
          <w:color w:val="222222"/>
          <w:sz w:val="20"/>
          <w:szCs w:val="20"/>
          <w:highlight w:val="yellow"/>
          <w:shd w:val="clear" w:color="auto" w:fill="FFFFFF"/>
        </w:rPr>
        <w:t xml:space="preserve"> (Doctoral dissertation, Open Access </w:t>
      </w:r>
      <w:proofErr w:type="spellStart"/>
      <w:r w:rsidRPr="00563CD1">
        <w:rPr>
          <w:rFonts w:ascii="Arial" w:hAnsi="Arial" w:cs="Arial"/>
          <w:color w:val="222222"/>
          <w:sz w:val="20"/>
          <w:szCs w:val="20"/>
          <w:highlight w:val="yellow"/>
          <w:shd w:val="clear" w:color="auto" w:fill="FFFFFF"/>
        </w:rPr>
        <w:t>Te</w:t>
      </w:r>
      <w:proofErr w:type="spellEnd"/>
      <w:r w:rsidRPr="00563CD1">
        <w:rPr>
          <w:rFonts w:ascii="Arial" w:hAnsi="Arial" w:cs="Arial"/>
          <w:color w:val="222222"/>
          <w:sz w:val="20"/>
          <w:szCs w:val="20"/>
          <w:highlight w:val="yellow"/>
          <w:shd w:val="clear" w:color="auto" w:fill="FFFFFF"/>
        </w:rPr>
        <w:t xml:space="preserve"> </w:t>
      </w:r>
      <w:proofErr w:type="spellStart"/>
      <w:r w:rsidRPr="00563CD1">
        <w:rPr>
          <w:rFonts w:ascii="Arial" w:hAnsi="Arial" w:cs="Arial"/>
          <w:color w:val="222222"/>
          <w:sz w:val="20"/>
          <w:szCs w:val="20"/>
          <w:highlight w:val="yellow"/>
          <w:shd w:val="clear" w:color="auto" w:fill="FFFFFF"/>
        </w:rPr>
        <w:t>Herenga</w:t>
      </w:r>
      <w:proofErr w:type="spellEnd"/>
      <w:r w:rsidRPr="00563CD1">
        <w:rPr>
          <w:rFonts w:ascii="Arial" w:hAnsi="Arial" w:cs="Arial"/>
          <w:color w:val="222222"/>
          <w:sz w:val="20"/>
          <w:szCs w:val="20"/>
          <w:highlight w:val="yellow"/>
          <w:shd w:val="clear" w:color="auto" w:fill="FFFFFF"/>
        </w:rPr>
        <w:t xml:space="preserve"> Waka-Victoria University of Wellington).</w:t>
      </w:r>
    </w:p>
    <w:p w14:paraId="6CC2556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Benjamin, D., &amp; Virkler, L. (2016). </w:t>
      </w:r>
      <w:r w:rsidRPr="00563CD1">
        <w:rPr>
          <w:rFonts w:ascii="Arial" w:hAnsi="Arial" w:cs="Arial"/>
          <w:i/>
          <w:iCs/>
          <w:color w:val="222222"/>
          <w:sz w:val="20"/>
          <w:szCs w:val="20"/>
          <w:highlight w:val="yellow"/>
          <w:shd w:val="clear" w:color="auto" w:fill="FFFFFF"/>
        </w:rPr>
        <w:t>Farm to table: The essential guide to sustainable food systems for students, professionals, and consumers</w:t>
      </w:r>
      <w:r w:rsidRPr="00563CD1">
        <w:rPr>
          <w:rFonts w:ascii="Arial" w:hAnsi="Arial" w:cs="Arial"/>
          <w:color w:val="222222"/>
          <w:sz w:val="20"/>
          <w:szCs w:val="20"/>
          <w:highlight w:val="yellow"/>
          <w:shd w:val="clear" w:color="auto" w:fill="FFFFFF"/>
        </w:rPr>
        <w:t>. Chelsea Green Publishing.</w:t>
      </w:r>
    </w:p>
    <w:p w14:paraId="76546AB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Bhutta, Z. A., Das, J. K., Rizvi, A., Gaffey, M. F., Walker, N., Horton, S., … Group, T. L. N. I. R. (2013). Evidence-based interventions for improvement of maternal and child nutrition: what can be done and at what cost?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382</w:t>
      </w:r>
      <w:r w:rsidRPr="00563CD1">
        <w:rPr>
          <w:rFonts w:ascii="Arial" w:hAnsi="Arial" w:cs="Arial"/>
          <w:sz w:val="20"/>
          <w:szCs w:val="20"/>
          <w:highlight w:val="yellow"/>
        </w:rPr>
        <w:t>(9890), 452–477.</w:t>
      </w:r>
    </w:p>
    <w:p w14:paraId="1F8F2E8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Bian, Z., &amp; Liu, D. (2021). A comprehensive review on types, methods and different regions related to water–energy–food nexus. </w:t>
      </w:r>
      <w:r w:rsidRPr="00563CD1">
        <w:rPr>
          <w:rFonts w:ascii="Arial" w:hAnsi="Arial" w:cs="Arial"/>
          <w:i/>
          <w:iCs/>
          <w:color w:val="222222"/>
          <w:sz w:val="20"/>
          <w:szCs w:val="20"/>
          <w:highlight w:val="yellow"/>
          <w:shd w:val="clear" w:color="auto" w:fill="FFFFFF"/>
        </w:rPr>
        <w:t>International Journal of Environmental Research and Public Health</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18</w:t>
      </w:r>
      <w:r w:rsidRPr="00563CD1">
        <w:rPr>
          <w:rFonts w:ascii="Arial" w:hAnsi="Arial" w:cs="Arial"/>
          <w:color w:val="222222"/>
          <w:sz w:val="20"/>
          <w:szCs w:val="20"/>
          <w:highlight w:val="yellow"/>
          <w:shd w:val="clear" w:color="auto" w:fill="FFFFFF"/>
        </w:rPr>
        <w:t>(16), 8276.</w:t>
      </w:r>
    </w:p>
    <w:p w14:paraId="52F89322"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Black, R. E., Allen, L. H., Bhutta, Z. A., Caulfield, L. E., De Onis, M., Ezzati, M., … Group, C. U. S. (2008). Maternal and child undernutrition: global and regional exposures and health consequences.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371</w:t>
      </w:r>
      <w:r w:rsidRPr="00563CD1">
        <w:rPr>
          <w:rFonts w:ascii="Arial" w:hAnsi="Arial" w:cs="Arial"/>
          <w:sz w:val="20"/>
          <w:szCs w:val="20"/>
          <w:highlight w:val="yellow"/>
        </w:rPr>
        <w:t>(9608), 243–260.</w:t>
      </w:r>
    </w:p>
    <w:p w14:paraId="253171FE"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Black, R. E., Victora, C. G., Walker, S. P., Bhutta, Z. A., Christian, P., De Onis, M., … Martorell, R. (2013). Maternal and child undernutrition and overweight in low-income and middle-income countries.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382</w:t>
      </w:r>
      <w:r w:rsidRPr="00563CD1">
        <w:rPr>
          <w:rFonts w:ascii="Arial" w:hAnsi="Arial" w:cs="Arial"/>
          <w:sz w:val="20"/>
          <w:szCs w:val="20"/>
          <w:highlight w:val="yellow"/>
        </w:rPr>
        <w:t>(9890), 427–451.</w:t>
      </w:r>
    </w:p>
    <w:p w14:paraId="74EEF3A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Carvalho, F. P. (2017). Pesticides, environment, and food safety. </w:t>
      </w:r>
      <w:r w:rsidRPr="00563CD1">
        <w:rPr>
          <w:rFonts w:ascii="Arial" w:hAnsi="Arial" w:cs="Arial"/>
          <w:i/>
          <w:iCs/>
          <w:color w:val="222222"/>
          <w:sz w:val="20"/>
          <w:szCs w:val="20"/>
          <w:highlight w:val="yellow"/>
          <w:shd w:val="clear" w:color="auto" w:fill="FFFFFF"/>
        </w:rPr>
        <w:t>Food and energy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6</w:t>
      </w:r>
      <w:r w:rsidRPr="00563CD1">
        <w:rPr>
          <w:rFonts w:ascii="Arial" w:hAnsi="Arial" w:cs="Arial"/>
          <w:color w:val="222222"/>
          <w:sz w:val="20"/>
          <w:szCs w:val="20"/>
          <w:highlight w:val="yellow"/>
          <w:shd w:val="clear" w:color="auto" w:fill="FFFFFF"/>
        </w:rPr>
        <w:t>(2), 48-60.</w:t>
      </w:r>
    </w:p>
    <w:p w14:paraId="0E06AB2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lastRenderedPageBreak/>
        <w:t>Chaifetz, A., &amp; Jagger, P. (2014). 40 years of dialogue on food sovereignty: a review and a look ahead. </w:t>
      </w:r>
      <w:r w:rsidRPr="00563CD1">
        <w:rPr>
          <w:rFonts w:ascii="Arial" w:hAnsi="Arial" w:cs="Arial"/>
          <w:i/>
          <w:iCs/>
          <w:color w:val="222222"/>
          <w:sz w:val="20"/>
          <w:szCs w:val="20"/>
          <w:highlight w:val="yellow"/>
          <w:shd w:val="clear" w:color="auto" w:fill="FFFFFF"/>
        </w:rPr>
        <w:t>Global Food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w:t>
      </w:r>
      <w:r w:rsidRPr="00563CD1">
        <w:rPr>
          <w:rFonts w:ascii="Arial" w:hAnsi="Arial" w:cs="Arial"/>
          <w:color w:val="222222"/>
          <w:sz w:val="20"/>
          <w:szCs w:val="20"/>
          <w:highlight w:val="yellow"/>
          <w:shd w:val="clear" w:color="auto" w:fill="FFFFFF"/>
        </w:rPr>
        <w:t>(2), 85-91.</w:t>
      </w:r>
    </w:p>
    <w:p w14:paraId="41174DD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Cole, A., Pethan, J., &amp; Evans, J. (2023). The Role of Agricultural Systems in Teaching Kitchens: An Integrative Review and Thoughts for the Future. </w:t>
      </w:r>
      <w:r w:rsidRPr="00563CD1">
        <w:rPr>
          <w:rFonts w:ascii="Arial" w:hAnsi="Arial" w:cs="Arial"/>
          <w:i/>
          <w:iCs/>
          <w:color w:val="222222"/>
          <w:sz w:val="20"/>
          <w:szCs w:val="20"/>
          <w:highlight w:val="yellow"/>
          <w:shd w:val="clear" w:color="auto" w:fill="FFFFFF"/>
        </w:rPr>
        <w:t>Nutrients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15</w:t>
      </w:r>
      <w:r w:rsidRPr="00563CD1">
        <w:rPr>
          <w:rFonts w:ascii="Arial" w:hAnsi="Arial" w:cs="Arial"/>
          <w:color w:val="222222"/>
          <w:sz w:val="20"/>
          <w:szCs w:val="20"/>
          <w:highlight w:val="yellow"/>
          <w:shd w:val="clear" w:color="auto" w:fill="FFFFFF"/>
        </w:rPr>
        <w:t>(18), 4045.</w:t>
      </w:r>
    </w:p>
    <w:p w14:paraId="3612056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Danko, A. C. (2020). </w:t>
      </w:r>
      <w:r w:rsidRPr="00563CD1">
        <w:rPr>
          <w:rFonts w:ascii="Arial" w:hAnsi="Arial" w:cs="Arial"/>
          <w:i/>
          <w:iCs/>
          <w:color w:val="222222"/>
          <w:sz w:val="20"/>
          <w:szCs w:val="20"/>
          <w:highlight w:val="yellow"/>
          <w:shd w:val="clear" w:color="auto" w:fill="FFFFFF"/>
        </w:rPr>
        <w:t>The Associations between Diet Quality, Health-Related Quality of Life, and Comorbidities among Older Female Cancer Survivors</w:t>
      </w:r>
      <w:r w:rsidRPr="00563CD1">
        <w:rPr>
          <w:rFonts w:ascii="Arial" w:hAnsi="Arial" w:cs="Arial"/>
          <w:color w:val="222222"/>
          <w:sz w:val="20"/>
          <w:szCs w:val="20"/>
          <w:highlight w:val="yellow"/>
          <w:shd w:val="clear" w:color="auto" w:fill="FFFFFF"/>
        </w:rPr>
        <w:t> (Doctoral dissertation, The Ohio State University).</w:t>
      </w:r>
    </w:p>
    <w:p w14:paraId="6C66012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proofErr w:type="spellStart"/>
      <w:r w:rsidRPr="00563CD1">
        <w:rPr>
          <w:rFonts w:ascii="Arial" w:hAnsi="Arial" w:cs="Arial"/>
          <w:color w:val="222222"/>
          <w:sz w:val="20"/>
          <w:szCs w:val="20"/>
          <w:highlight w:val="yellow"/>
          <w:shd w:val="clear" w:color="auto" w:fill="FFFFFF"/>
        </w:rPr>
        <w:t>Dipasquale</w:t>
      </w:r>
      <w:proofErr w:type="spellEnd"/>
      <w:r w:rsidRPr="00563CD1">
        <w:rPr>
          <w:rFonts w:ascii="Arial" w:hAnsi="Arial" w:cs="Arial"/>
          <w:color w:val="222222"/>
          <w:sz w:val="20"/>
          <w:szCs w:val="20"/>
          <w:highlight w:val="yellow"/>
          <w:shd w:val="clear" w:color="auto" w:fill="FFFFFF"/>
        </w:rPr>
        <w:t>, V., Cucinotta, U., &amp; Romano, C. (2020). Acute malnutrition in children: pathophysiology, clinical effects and treatment. </w:t>
      </w:r>
      <w:r w:rsidRPr="00563CD1">
        <w:rPr>
          <w:rFonts w:ascii="Arial" w:hAnsi="Arial" w:cs="Arial"/>
          <w:i/>
          <w:iCs/>
          <w:color w:val="222222"/>
          <w:sz w:val="20"/>
          <w:szCs w:val="20"/>
          <w:highlight w:val="yellow"/>
          <w:shd w:val="clear" w:color="auto" w:fill="FFFFFF"/>
        </w:rPr>
        <w:t>Nutrients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12</w:t>
      </w:r>
      <w:r w:rsidRPr="00563CD1">
        <w:rPr>
          <w:rFonts w:ascii="Arial" w:hAnsi="Arial" w:cs="Arial"/>
          <w:color w:val="222222"/>
          <w:sz w:val="20"/>
          <w:szCs w:val="20"/>
          <w:highlight w:val="yellow"/>
          <w:shd w:val="clear" w:color="auto" w:fill="FFFFFF"/>
        </w:rPr>
        <w:t>(8), 2413.</w:t>
      </w:r>
    </w:p>
    <w:p w14:paraId="204732F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Eden, S., Bear, C., &amp; Walker, G. (2008). Understanding and (dis) trusting food assurance schemes: consumer confidence and the ‘knowledge fix’. </w:t>
      </w:r>
      <w:r w:rsidRPr="00563CD1">
        <w:rPr>
          <w:rFonts w:ascii="Arial" w:hAnsi="Arial" w:cs="Arial"/>
          <w:i/>
          <w:iCs/>
          <w:color w:val="222222"/>
          <w:sz w:val="20"/>
          <w:szCs w:val="20"/>
          <w:highlight w:val="yellow"/>
          <w:shd w:val="clear" w:color="auto" w:fill="FFFFFF"/>
        </w:rPr>
        <w:t>Journal of rural Studies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24</w:t>
      </w:r>
      <w:r w:rsidRPr="00563CD1">
        <w:rPr>
          <w:rFonts w:ascii="Arial" w:hAnsi="Arial" w:cs="Arial"/>
          <w:color w:val="222222"/>
          <w:sz w:val="20"/>
          <w:szCs w:val="20"/>
          <w:highlight w:val="yellow"/>
          <w:shd w:val="clear" w:color="auto" w:fill="FFFFFF"/>
        </w:rPr>
        <w:t>(1), 1-14.</w:t>
      </w:r>
    </w:p>
    <w:p w14:paraId="667B536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Gillespie, S., &amp; van den Bold, M. (2017). Agriculture, food systems, and nutrition: meeting the challenge. </w:t>
      </w:r>
      <w:r w:rsidRPr="00563CD1">
        <w:rPr>
          <w:rFonts w:ascii="Arial" w:hAnsi="Arial" w:cs="Arial"/>
          <w:i/>
          <w:iCs/>
          <w:color w:val="222222"/>
          <w:sz w:val="20"/>
          <w:szCs w:val="20"/>
          <w:highlight w:val="yellow"/>
          <w:shd w:val="clear" w:color="auto" w:fill="FFFFFF"/>
        </w:rPr>
        <w:t>Global Challenges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w:t>
      </w:r>
      <w:r w:rsidRPr="00563CD1">
        <w:rPr>
          <w:rFonts w:ascii="Arial" w:hAnsi="Arial" w:cs="Arial"/>
          <w:color w:val="222222"/>
          <w:sz w:val="20"/>
          <w:szCs w:val="20"/>
          <w:highlight w:val="yellow"/>
          <w:shd w:val="clear" w:color="auto" w:fill="FFFFFF"/>
        </w:rPr>
        <w:t>(3), 1600002.</w:t>
      </w:r>
    </w:p>
    <w:p w14:paraId="243B3AD6" w14:textId="65900ABA"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Haddad</w:t>
      </w:r>
      <w:r w:rsidR="00563CD1" w:rsidRPr="00563CD1">
        <w:rPr>
          <w:rFonts w:ascii="Arial" w:hAnsi="Arial" w:cs="Arial"/>
          <w:sz w:val="20"/>
          <w:szCs w:val="20"/>
          <w:highlight w:val="yellow"/>
        </w:rPr>
        <w:t>,</w:t>
      </w:r>
      <w:r w:rsidRPr="00563CD1">
        <w:rPr>
          <w:rFonts w:ascii="Arial" w:hAnsi="Arial" w:cs="Arial"/>
          <w:sz w:val="20"/>
          <w:szCs w:val="20"/>
          <w:highlight w:val="yellow"/>
        </w:rPr>
        <w:t xml:space="preserve"> L. </w:t>
      </w:r>
      <w:r w:rsidR="00563CD1" w:rsidRPr="00563CD1">
        <w:rPr>
          <w:rFonts w:ascii="Arial" w:hAnsi="Arial" w:cs="Arial"/>
          <w:sz w:val="20"/>
          <w:szCs w:val="20"/>
          <w:highlight w:val="yellow"/>
        </w:rPr>
        <w:t>(</w:t>
      </w:r>
      <w:r w:rsidRPr="00563CD1">
        <w:rPr>
          <w:rFonts w:ascii="Arial" w:hAnsi="Arial" w:cs="Arial"/>
          <w:sz w:val="20"/>
          <w:szCs w:val="20"/>
          <w:highlight w:val="yellow"/>
        </w:rPr>
        <w:t>2011</w:t>
      </w:r>
      <w:r w:rsidR="00563CD1" w:rsidRPr="00563CD1">
        <w:rPr>
          <w:rFonts w:ascii="Arial" w:hAnsi="Arial" w:cs="Arial"/>
          <w:sz w:val="20"/>
          <w:szCs w:val="20"/>
          <w:highlight w:val="yellow"/>
        </w:rPr>
        <w:t>)</w:t>
      </w:r>
      <w:r w:rsidRPr="00563CD1">
        <w:rPr>
          <w:rFonts w:ascii="Arial" w:hAnsi="Arial" w:cs="Arial"/>
          <w:sz w:val="20"/>
          <w:szCs w:val="20"/>
          <w:highlight w:val="yellow"/>
        </w:rPr>
        <w:t>. Zero Child Hunger. Breaking the Cycle of Malnutrition. Evidence Matters. Issue 1.</w:t>
      </w:r>
    </w:p>
    <w:p w14:paraId="0F4CE1DC"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Harris, D., Lott, M., Lakins, V., Bowden, B., &amp; Kimmons, J. (2012). Farm to institution: Creating access to healthy local and regional foods. </w:t>
      </w:r>
      <w:r w:rsidRPr="00563CD1">
        <w:rPr>
          <w:rFonts w:ascii="Arial" w:hAnsi="Arial" w:cs="Arial"/>
          <w:i/>
          <w:iCs/>
          <w:color w:val="222222"/>
          <w:sz w:val="20"/>
          <w:szCs w:val="20"/>
          <w:highlight w:val="yellow"/>
          <w:shd w:val="clear" w:color="auto" w:fill="FFFFFF"/>
        </w:rPr>
        <w:t>Advances in Nutrition</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w:t>
      </w:r>
      <w:r w:rsidRPr="00563CD1">
        <w:rPr>
          <w:rFonts w:ascii="Arial" w:hAnsi="Arial" w:cs="Arial"/>
          <w:color w:val="222222"/>
          <w:sz w:val="20"/>
          <w:szCs w:val="20"/>
          <w:highlight w:val="yellow"/>
          <w:shd w:val="clear" w:color="auto" w:fill="FFFFFF"/>
        </w:rPr>
        <w:t>(3), 343-349.</w:t>
      </w:r>
    </w:p>
    <w:p w14:paraId="13817EA8" w14:textId="39972A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 xml:space="preserve">Herforth, A. </w:t>
      </w:r>
      <w:r w:rsidR="00563CD1" w:rsidRPr="00563CD1">
        <w:rPr>
          <w:rFonts w:ascii="Arial" w:hAnsi="Arial" w:cs="Arial"/>
          <w:sz w:val="20"/>
          <w:szCs w:val="20"/>
          <w:highlight w:val="yellow"/>
        </w:rPr>
        <w:t>(</w:t>
      </w:r>
      <w:r w:rsidRPr="00563CD1">
        <w:rPr>
          <w:rFonts w:ascii="Arial" w:hAnsi="Arial" w:cs="Arial"/>
          <w:sz w:val="20"/>
          <w:szCs w:val="20"/>
          <w:highlight w:val="yellow"/>
        </w:rPr>
        <w:t>2010</w:t>
      </w:r>
      <w:r w:rsidR="00563CD1" w:rsidRPr="00563CD1">
        <w:rPr>
          <w:rFonts w:ascii="Arial" w:hAnsi="Arial" w:cs="Arial"/>
          <w:sz w:val="20"/>
          <w:szCs w:val="20"/>
          <w:highlight w:val="yellow"/>
        </w:rPr>
        <w:t>)</w:t>
      </w:r>
      <w:r w:rsidRPr="00563CD1">
        <w:rPr>
          <w:rFonts w:ascii="Arial" w:hAnsi="Arial" w:cs="Arial"/>
          <w:sz w:val="20"/>
          <w:szCs w:val="20"/>
          <w:highlight w:val="yellow"/>
        </w:rPr>
        <w:t>. Nutrition and the Environment: Fundamental to Food Security in Africa? In P. Pinstrup-Andersen, ed., The African Food System and Its Interaction with Human Health and Nutrition. Ithaca, NY: Cornell University Press in cooperation with the United Nations University.</w:t>
      </w:r>
    </w:p>
    <w:p w14:paraId="69E49C51"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Higgins, M. M., &amp; Barkley, M. C. (2003). Tailoring nutrition education intervention programs to meet needs and interests of older adults. </w:t>
      </w:r>
      <w:r w:rsidRPr="00563CD1">
        <w:rPr>
          <w:rFonts w:ascii="Arial" w:hAnsi="Arial" w:cs="Arial"/>
          <w:i/>
          <w:iCs/>
          <w:color w:val="222222"/>
          <w:sz w:val="20"/>
          <w:szCs w:val="20"/>
          <w:highlight w:val="yellow"/>
          <w:shd w:val="clear" w:color="auto" w:fill="FFFFFF"/>
        </w:rPr>
        <w:t>Journal of Nutrition for the Elderly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23</w:t>
      </w:r>
      <w:r w:rsidRPr="00563CD1">
        <w:rPr>
          <w:rFonts w:ascii="Arial" w:hAnsi="Arial" w:cs="Arial"/>
          <w:color w:val="222222"/>
          <w:sz w:val="20"/>
          <w:szCs w:val="20"/>
          <w:highlight w:val="yellow"/>
          <w:shd w:val="clear" w:color="auto" w:fill="FFFFFF"/>
        </w:rPr>
        <w:t>(1), 59-79.</w:t>
      </w:r>
    </w:p>
    <w:p w14:paraId="024DAC7E" w14:textId="5E739D14"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 xml:space="preserve">Hoddinott, J. </w:t>
      </w:r>
      <w:r w:rsidR="00563CD1" w:rsidRPr="00563CD1">
        <w:rPr>
          <w:rFonts w:ascii="Arial" w:hAnsi="Arial" w:cs="Arial"/>
          <w:sz w:val="20"/>
          <w:szCs w:val="20"/>
          <w:highlight w:val="yellow"/>
        </w:rPr>
        <w:t>(</w:t>
      </w:r>
      <w:r w:rsidRPr="00563CD1">
        <w:rPr>
          <w:rFonts w:ascii="Arial" w:hAnsi="Arial" w:cs="Arial"/>
          <w:sz w:val="20"/>
          <w:szCs w:val="20"/>
          <w:highlight w:val="yellow"/>
        </w:rPr>
        <w:t>2011</w:t>
      </w:r>
      <w:r w:rsidR="00563CD1" w:rsidRPr="00563CD1">
        <w:rPr>
          <w:rFonts w:ascii="Arial" w:hAnsi="Arial" w:cs="Arial"/>
          <w:sz w:val="20"/>
          <w:szCs w:val="20"/>
          <w:highlight w:val="yellow"/>
        </w:rPr>
        <w:t>)</w:t>
      </w:r>
      <w:r w:rsidRPr="00563CD1">
        <w:rPr>
          <w:rFonts w:ascii="Arial" w:hAnsi="Arial" w:cs="Arial"/>
          <w:sz w:val="20"/>
          <w:szCs w:val="20"/>
          <w:highlight w:val="yellow"/>
        </w:rPr>
        <w:t>. Agriculture, Health, and Nutrition. Toward Conceptualizing the Linkages. Leveraging Agriculture for Improving Nutrition and Health, 2020 Conference Paper 2.</w:t>
      </w:r>
    </w:p>
    <w:p w14:paraId="78DF01D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Horrigan, L., Lawrence, R. S., &amp; Walker, P. (2002). How sustainable agriculture can address the environmental and human health harms of industrial agriculture. </w:t>
      </w:r>
      <w:r w:rsidRPr="00563CD1">
        <w:rPr>
          <w:rFonts w:ascii="Arial" w:hAnsi="Arial" w:cs="Arial"/>
          <w:i/>
          <w:iCs/>
          <w:color w:val="222222"/>
          <w:sz w:val="20"/>
          <w:szCs w:val="20"/>
          <w:highlight w:val="yellow"/>
          <w:shd w:val="clear" w:color="auto" w:fill="FFFFFF"/>
        </w:rPr>
        <w:t>Environmental health perspectives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110</w:t>
      </w:r>
      <w:r w:rsidRPr="00563CD1">
        <w:rPr>
          <w:rFonts w:ascii="Arial" w:hAnsi="Arial" w:cs="Arial"/>
          <w:color w:val="222222"/>
          <w:sz w:val="20"/>
          <w:szCs w:val="20"/>
          <w:highlight w:val="yellow"/>
          <w:shd w:val="clear" w:color="auto" w:fill="FFFFFF"/>
        </w:rPr>
        <w:t>(5), 445-456.</w:t>
      </w:r>
    </w:p>
    <w:p w14:paraId="1E557091"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Jones, A. D., Shrinivas, A., &amp; Bezner-Kerr, R. (2014). Farm production diversity is associated with greater household dietary diversity in Malawi: Findings from nationally representative data. </w:t>
      </w:r>
      <w:r w:rsidRPr="00563CD1">
        <w:rPr>
          <w:rFonts w:ascii="Arial" w:hAnsi="Arial" w:cs="Arial"/>
          <w:i/>
          <w:iCs/>
          <w:color w:val="222222"/>
          <w:sz w:val="20"/>
          <w:szCs w:val="20"/>
          <w:highlight w:val="yellow"/>
          <w:shd w:val="clear" w:color="auto" w:fill="FFFFFF"/>
        </w:rPr>
        <w:t>Food Policy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46</w:t>
      </w:r>
      <w:r w:rsidRPr="00563CD1">
        <w:rPr>
          <w:rFonts w:ascii="Arial" w:hAnsi="Arial" w:cs="Arial"/>
          <w:color w:val="222222"/>
          <w:sz w:val="20"/>
          <w:szCs w:val="20"/>
          <w:highlight w:val="yellow"/>
          <w:shd w:val="clear" w:color="auto" w:fill="FFFFFF"/>
        </w:rPr>
        <w:t>, 1-12.</w:t>
      </w:r>
    </w:p>
    <w:p w14:paraId="4ECC39B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Kadiyala, S., Harris, J., Headey, D., Yosef, S., &amp; Gillespie, S. (2014). Agriculture and nutrition in India: mapping evidence to pathways. </w:t>
      </w:r>
      <w:r w:rsidRPr="00563CD1">
        <w:rPr>
          <w:rFonts w:ascii="Arial" w:hAnsi="Arial" w:cs="Arial"/>
          <w:i/>
          <w:iCs/>
          <w:color w:val="222222"/>
          <w:sz w:val="20"/>
          <w:szCs w:val="20"/>
          <w:highlight w:val="yellow"/>
          <w:shd w:val="clear" w:color="auto" w:fill="FFFFFF"/>
        </w:rPr>
        <w:t>Annals of the New York Academy of Sciences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1331</w:t>
      </w:r>
      <w:r w:rsidRPr="00563CD1">
        <w:rPr>
          <w:rFonts w:ascii="Arial" w:hAnsi="Arial" w:cs="Arial"/>
          <w:color w:val="222222"/>
          <w:sz w:val="20"/>
          <w:szCs w:val="20"/>
          <w:highlight w:val="yellow"/>
          <w:shd w:val="clear" w:color="auto" w:fill="FFFFFF"/>
        </w:rPr>
        <w:t>(1), 43-56.</w:t>
      </w:r>
    </w:p>
    <w:p w14:paraId="0BCF604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Lie, A. L. (2023). Unpacking the politics of global public-private partnerships in global nutrition governance: Understanding the influence of the Scaling Up Nutrition Movement (SUN).</w:t>
      </w:r>
    </w:p>
    <w:p w14:paraId="2DAC3C43"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B92F2C">
        <w:rPr>
          <w:rFonts w:ascii="Arial" w:hAnsi="Arial" w:cs="Arial"/>
          <w:color w:val="222222"/>
          <w:sz w:val="20"/>
          <w:szCs w:val="20"/>
          <w:highlight w:val="yellow"/>
          <w:shd w:val="clear" w:color="auto" w:fill="FFFFFF"/>
          <w:lang w:val="de-DE"/>
        </w:rPr>
        <w:t xml:space="preserve">Lin, B. B., </w:t>
      </w:r>
      <w:proofErr w:type="spellStart"/>
      <w:r w:rsidRPr="00B92F2C">
        <w:rPr>
          <w:rFonts w:ascii="Arial" w:hAnsi="Arial" w:cs="Arial"/>
          <w:color w:val="222222"/>
          <w:sz w:val="20"/>
          <w:szCs w:val="20"/>
          <w:highlight w:val="yellow"/>
          <w:shd w:val="clear" w:color="auto" w:fill="FFFFFF"/>
          <w:lang w:val="de-DE"/>
        </w:rPr>
        <w:t>Chappell</w:t>
      </w:r>
      <w:proofErr w:type="spellEnd"/>
      <w:r w:rsidRPr="00B92F2C">
        <w:rPr>
          <w:rFonts w:ascii="Arial" w:hAnsi="Arial" w:cs="Arial"/>
          <w:color w:val="222222"/>
          <w:sz w:val="20"/>
          <w:szCs w:val="20"/>
          <w:highlight w:val="yellow"/>
          <w:shd w:val="clear" w:color="auto" w:fill="FFFFFF"/>
          <w:lang w:val="de-DE"/>
        </w:rPr>
        <w:t xml:space="preserve">, M. J., </w:t>
      </w:r>
      <w:proofErr w:type="spellStart"/>
      <w:r w:rsidRPr="00B92F2C">
        <w:rPr>
          <w:rFonts w:ascii="Arial" w:hAnsi="Arial" w:cs="Arial"/>
          <w:color w:val="222222"/>
          <w:sz w:val="20"/>
          <w:szCs w:val="20"/>
          <w:highlight w:val="yellow"/>
          <w:shd w:val="clear" w:color="auto" w:fill="FFFFFF"/>
          <w:lang w:val="de-DE"/>
        </w:rPr>
        <w:t>Vandermeer</w:t>
      </w:r>
      <w:proofErr w:type="spellEnd"/>
      <w:r w:rsidRPr="00B92F2C">
        <w:rPr>
          <w:rFonts w:ascii="Arial" w:hAnsi="Arial" w:cs="Arial"/>
          <w:color w:val="222222"/>
          <w:sz w:val="20"/>
          <w:szCs w:val="20"/>
          <w:highlight w:val="yellow"/>
          <w:shd w:val="clear" w:color="auto" w:fill="FFFFFF"/>
          <w:lang w:val="de-DE"/>
        </w:rPr>
        <w:t xml:space="preserve">, J., Smith, G., Quintero, E., </w:t>
      </w:r>
      <w:proofErr w:type="spellStart"/>
      <w:r w:rsidRPr="00B92F2C">
        <w:rPr>
          <w:rFonts w:ascii="Arial" w:hAnsi="Arial" w:cs="Arial"/>
          <w:color w:val="222222"/>
          <w:sz w:val="20"/>
          <w:szCs w:val="20"/>
          <w:highlight w:val="yellow"/>
          <w:shd w:val="clear" w:color="auto" w:fill="FFFFFF"/>
          <w:lang w:val="de-DE"/>
        </w:rPr>
        <w:t>Bezner</w:t>
      </w:r>
      <w:proofErr w:type="spellEnd"/>
      <w:r w:rsidRPr="00B92F2C">
        <w:rPr>
          <w:rFonts w:ascii="Arial" w:hAnsi="Arial" w:cs="Arial"/>
          <w:color w:val="222222"/>
          <w:sz w:val="20"/>
          <w:szCs w:val="20"/>
          <w:highlight w:val="yellow"/>
          <w:shd w:val="clear" w:color="auto" w:fill="FFFFFF"/>
          <w:lang w:val="de-DE"/>
        </w:rPr>
        <w:t xml:space="preserve">-Kerr, R., ... </w:t>
      </w:r>
      <w:r w:rsidRPr="00563CD1">
        <w:rPr>
          <w:rFonts w:ascii="Arial" w:hAnsi="Arial" w:cs="Arial"/>
          <w:color w:val="222222"/>
          <w:sz w:val="20"/>
          <w:szCs w:val="20"/>
          <w:highlight w:val="yellow"/>
          <w:shd w:val="clear" w:color="auto" w:fill="FFFFFF"/>
        </w:rPr>
        <w:t>&amp; Perfecto, I. (2011). Effects of industrial agriculture on climate change and the mitigation potential of small-scale agro-ecological farms. </w:t>
      </w:r>
      <w:r w:rsidRPr="00563CD1">
        <w:rPr>
          <w:rFonts w:ascii="Arial" w:hAnsi="Arial" w:cs="Arial"/>
          <w:i/>
          <w:iCs/>
          <w:color w:val="222222"/>
          <w:sz w:val="20"/>
          <w:szCs w:val="20"/>
          <w:highlight w:val="yellow"/>
          <w:shd w:val="clear" w:color="auto" w:fill="FFFFFF"/>
        </w:rPr>
        <w:t>CABI Reviews</w:t>
      </w:r>
      <w:r w:rsidRPr="00563CD1">
        <w:rPr>
          <w:rFonts w:ascii="Arial" w:hAnsi="Arial" w:cs="Arial"/>
          <w:color w:val="222222"/>
          <w:sz w:val="20"/>
          <w:szCs w:val="20"/>
          <w:highlight w:val="yellow"/>
          <w:shd w:val="clear" w:color="auto" w:fill="FFFFFF"/>
        </w:rPr>
        <w:t>, (2011), 1-18.</w:t>
      </w:r>
    </w:p>
    <w:p w14:paraId="439094FB"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 xml:space="preserve">Logan, A. C., &amp; Prescott, S. L. (2017). </w:t>
      </w:r>
      <w:proofErr w:type="spellStart"/>
      <w:r w:rsidRPr="00563CD1">
        <w:rPr>
          <w:rFonts w:ascii="Arial" w:hAnsi="Arial" w:cs="Arial"/>
          <w:color w:val="222222"/>
          <w:sz w:val="20"/>
          <w:szCs w:val="20"/>
          <w:highlight w:val="yellow"/>
          <w:shd w:val="clear" w:color="auto" w:fill="FFFFFF"/>
        </w:rPr>
        <w:t>Astrofood</w:t>
      </w:r>
      <w:proofErr w:type="spellEnd"/>
      <w:r w:rsidRPr="00563CD1">
        <w:rPr>
          <w:rFonts w:ascii="Arial" w:hAnsi="Arial" w:cs="Arial"/>
          <w:color w:val="222222"/>
          <w:sz w:val="20"/>
          <w:szCs w:val="20"/>
          <w:highlight w:val="yellow"/>
          <w:shd w:val="clear" w:color="auto" w:fill="FFFFFF"/>
        </w:rPr>
        <w:t xml:space="preserve">, priorities and pandemics: Reflections of an ultra-processed breakfast program and contemporary </w:t>
      </w:r>
      <w:proofErr w:type="spellStart"/>
      <w:r w:rsidRPr="00563CD1">
        <w:rPr>
          <w:rFonts w:ascii="Arial" w:hAnsi="Arial" w:cs="Arial"/>
          <w:color w:val="222222"/>
          <w:sz w:val="20"/>
          <w:szCs w:val="20"/>
          <w:highlight w:val="yellow"/>
          <w:shd w:val="clear" w:color="auto" w:fill="FFFFFF"/>
        </w:rPr>
        <w:t>dysbiotic</w:t>
      </w:r>
      <w:proofErr w:type="spellEnd"/>
      <w:r w:rsidRPr="00563CD1">
        <w:rPr>
          <w:rFonts w:ascii="Arial" w:hAnsi="Arial" w:cs="Arial"/>
          <w:color w:val="222222"/>
          <w:sz w:val="20"/>
          <w:szCs w:val="20"/>
          <w:highlight w:val="yellow"/>
          <w:shd w:val="clear" w:color="auto" w:fill="FFFFFF"/>
        </w:rPr>
        <w:t xml:space="preserve"> drift. </w:t>
      </w:r>
      <w:r w:rsidRPr="00563CD1">
        <w:rPr>
          <w:rFonts w:ascii="Arial" w:hAnsi="Arial" w:cs="Arial"/>
          <w:i/>
          <w:iCs/>
          <w:color w:val="222222"/>
          <w:sz w:val="20"/>
          <w:szCs w:val="20"/>
          <w:highlight w:val="yellow"/>
          <w:shd w:val="clear" w:color="auto" w:fill="FFFFFF"/>
        </w:rPr>
        <w:t>Challenges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8</w:t>
      </w:r>
      <w:r w:rsidRPr="00563CD1">
        <w:rPr>
          <w:rFonts w:ascii="Arial" w:hAnsi="Arial" w:cs="Arial"/>
          <w:color w:val="222222"/>
          <w:sz w:val="20"/>
          <w:szCs w:val="20"/>
          <w:highlight w:val="yellow"/>
          <w:shd w:val="clear" w:color="auto" w:fill="FFFFFF"/>
        </w:rPr>
        <w:t>(2), 24.</w:t>
      </w:r>
    </w:p>
    <w:p w14:paraId="1CB0355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Lokuruka</w:t>
      </w:r>
      <w:proofErr w:type="spellEnd"/>
      <w:r w:rsidRPr="00563CD1">
        <w:rPr>
          <w:rFonts w:ascii="Arial" w:hAnsi="Arial" w:cs="Arial"/>
          <w:color w:val="222222"/>
          <w:sz w:val="20"/>
          <w:szCs w:val="20"/>
          <w:highlight w:val="yellow"/>
          <w:shd w:val="clear" w:color="auto" w:fill="FFFFFF"/>
        </w:rPr>
        <w:t>, M. N. (2020). Food and nutrition security in east Africa (Kenya, Uganda and Tanzania): Status, challenges and prospects. </w:t>
      </w:r>
      <w:r w:rsidRPr="00563CD1">
        <w:rPr>
          <w:rFonts w:ascii="Arial" w:hAnsi="Arial" w:cs="Arial"/>
          <w:i/>
          <w:iCs/>
          <w:color w:val="222222"/>
          <w:sz w:val="20"/>
          <w:szCs w:val="20"/>
          <w:highlight w:val="yellow"/>
          <w:shd w:val="clear" w:color="auto" w:fill="FFFFFF"/>
        </w:rPr>
        <w:t>Food security in Africa</w:t>
      </w:r>
      <w:r w:rsidRPr="00563CD1">
        <w:rPr>
          <w:rFonts w:ascii="Arial" w:hAnsi="Arial" w:cs="Arial"/>
          <w:color w:val="222222"/>
          <w:sz w:val="20"/>
          <w:szCs w:val="20"/>
          <w:highlight w:val="yellow"/>
          <w:shd w:val="clear" w:color="auto" w:fill="FFFFFF"/>
        </w:rPr>
        <w:t>.</w:t>
      </w:r>
    </w:p>
    <w:p w14:paraId="2EFAB0A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 xml:space="preserve">Marusak, A., </w:t>
      </w:r>
      <w:proofErr w:type="spellStart"/>
      <w:r w:rsidRPr="00563CD1">
        <w:rPr>
          <w:rFonts w:ascii="Arial" w:hAnsi="Arial" w:cs="Arial"/>
          <w:color w:val="222222"/>
          <w:sz w:val="20"/>
          <w:szCs w:val="20"/>
          <w:highlight w:val="yellow"/>
          <w:shd w:val="clear" w:color="auto" w:fill="FFFFFF"/>
        </w:rPr>
        <w:t>Sadeghiamirshahidi</w:t>
      </w:r>
      <w:proofErr w:type="spellEnd"/>
      <w:r w:rsidRPr="00563CD1">
        <w:rPr>
          <w:rFonts w:ascii="Arial" w:hAnsi="Arial" w:cs="Arial"/>
          <w:color w:val="222222"/>
          <w:sz w:val="20"/>
          <w:szCs w:val="20"/>
          <w:highlight w:val="yellow"/>
          <w:shd w:val="clear" w:color="auto" w:fill="FFFFFF"/>
        </w:rPr>
        <w:t>, N., Krejci, C. C., Mittal, A., Beckwith, S., Cantu, J., ... &amp; Grimm, J. (2021). Resilient regional food supply chains and rethinking the way forward: Key takeaways from the COVID-19 pandemic. </w:t>
      </w:r>
      <w:r w:rsidRPr="00563CD1">
        <w:rPr>
          <w:rFonts w:ascii="Arial" w:hAnsi="Arial" w:cs="Arial"/>
          <w:i/>
          <w:iCs/>
          <w:color w:val="222222"/>
          <w:sz w:val="20"/>
          <w:szCs w:val="20"/>
          <w:highlight w:val="yellow"/>
          <w:shd w:val="clear" w:color="auto" w:fill="FFFFFF"/>
        </w:rPr>
        <w:t>Agricultural Systems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190</w:t>
      </w:r>
      <w:r w:rsidRPr="00563CD1">
        <w:rPr>
          <w:rFonts w:ascii="Arial" w:hAnsi="Arial" w:cs="Arial"/>
          <w:color w:val="222222"/>
          <w:sz w:val="20"/>
          <w:szCs w:val="20"/>
          <w:highlight w:val="yellow"/>
          <w:shd w:val="clear" w:color="auto" w:fill="FFFFFF"/>
        </w:rPr>
        <w:t>, 103101.</w:t>
      </w:r>
    </w:p>
    <w:p w14:paraId="6258E2E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Maxwell, D. G. (1995). Alternative food security strategy: A household analysis of urban agriculture in Kampala. </w:t>
      </w:r>
      <w:r w:rsidRPr="00563CD1">
        <w:rPr>
          <w:rFonts w:ascii="Arial" w:hAnsi="Arial" w:cs="Arial"/>
          <w:i/>
          <w:iCs/>
          <w:color w:val="222222"/>
          <w:sz w:val="20"/>
          <w:szCs w:val="20"/>
          <w:highlight w:val="yellow"/>
          <w:shd w:val="clear" w:color="auto" w:fill="FFFFFF"/>
        </w:rPr>
        <w:t>World Development</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23</w:t>
      </w:r>
      <w:r w:rsidRPr="00563CD1">
        <w:rPr>
          <w:rFonts w:ascii="Arial" w:hAnsi="Arial" w:cs="Arial"/>
          <w:color w:val="222222"/>
          <w:sz w:val="20"/>
          <w:szCs w:val="20"/>
          <w:highlight w:val="yellow"/>
          <w:shd w:val="clear" w:color="auto" w:fill="FFFFFF"/>
        </w:rPr>
        <w:t>(10), 1669-1681.</w:t>
      </w:r>
    </w:p>
    <w:p w14:paraId="0705435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Mellor, J. W., Altaf, Z., &amp; Salam, A. (2001). Employment Multipliers from Agricultural Growth and Poverty Reduction [with Comments]. </w:t>
      </w:r>
      <w:r w:rsidRPr="00563CD1">
        <w:rPr>
          <w:rFonts w:ascii="Arial" w:hAnsi="Arial" w:cs="Arial"/>
          <w:i/>
          <w:iCs/>
          <w:color w:val="222222"/>
          <w:sz w:val="20"/>
          <w:szCs w:val="20"/>
          <w:highlight w:val="yellow"/>
          <w:shd w:val="clear" w:color="auto" w:fill="FFFFFF"/>
        </w:rPr>
        <w:t>The Pakistan Development Review</w:t>
      </w:r>
      <w:r w:rsidRPr="00563CD1">
        <w:rPr>
          <w:rFonts w:ascii="Arial" w:hAnsi="Arial" w:cs="Arial"/>
          <w:color w:val="222222"/>
          <w:sz w:val="20"/>
          <w:szCs w:val="20"/>
          <w:highlight w:val="yellow"/>
          <w:shd w:val="clear" w:color="auto" w:fill="FFFFFF"/>
        </w:rPr>
        <w:t>, 371-400.</w:t>
      </w:r>
    </w:p>
    <w:p w14:paraId="6FF3F88D" w14:textId="0F8157FC"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000000"/>
          <w:sz w:val="20"/>
          <w:szCs w:val="20"/>
          <w:highlight w:val="yellow"/>
        </w:rPr>
        <w:t xml:space="preserve">Miller, B. D. D., &amp; Welch, R. M. (2013). Food system strategies for preventing micronutrient malnutrition. </w:t>
      </w:r>
      <w:r w:rsidRPr="00563CD1">
        <w:rPr>
          <w:rFonts w:ascii="Arial" w:hAnsi="Arial" w:cs="Arial"/>
          <w:i/>
          <w:iCs/>
          <w:color w:val="000000"/>
          <w:sz w:val="20"/>
          <w:szCs w:val="20"/>
          <w:highlight w:val="yellow"/>
        </w:rPr>
        <w:t>Food Policy</w:t>
      </w:r>
      <w:r w:rsidRPr="00563CD1">
        <w:rPr>
          <w:rFonts w:ascii="Arial" w:hAnsi="Arial" w:cs="Arial"/>
          <w:color w:val="000000"/>
          <w:sz w:val="20"/>
          <w:szCs w:val="20"/>
          <w:highlight w:val="yellow"/>
        </w:rPr>
        <w:t xml:space="preserve">, </w:t>
      </w:r>
      <w:r w:rsidRPr="00563CD1">
        <w:rPr>
          <w:rFonts w:ascii="Arial" w:hAnsi="Arial" w:cs="Arial"/>
          <w:i/>
          <w:iCs/>
          <w:color w:val="000000"/>
          <w:sz w:val="20"/>
          <w:szCs w:val="20"/>
          <w:highlight w:val="yellow"/>
        </w:rPr>
        <w:t>42</w:t>
      </w:r>
      <w:r w:rsidRPr="00563CD1">
        <w:rPr>
          <w:rFonts w:ascii="Arial" w:hAnsi="Arial" w:cs="Arial"/>
          <w:color w:val="000000"/>
          <w:sz w:val="20"/>
          <w:szCs w:val="20"/>
          <w:highlight w:val="yellow"/>
        </w:rPr>
        <w:t xml:space="preserve">, 115–128. </w:t>
      </w:r>
    </w:p>
    <w:p w14:paraId="7D9324AB"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Millward, D. J. (2017). Nutrition, infection and stunting: the roles of deficiencies of individual nutrients and foods, and of inflammation, as determinants of reduced linear growth of children. </w:t>
      </w:r>
      <w:r w:rsidRPr="00563CD1">
        <w:rPr>
          <w:rFonts w:ascii="Arial" w:hAnsi="Arial" w:cs="Arial"/>
          <w:i/>
          <w:iCs/>
          <w:color w:val="222222"/>
          <w:sz w:val="20"/>
          <w:szCs w:val="20"/>
          <w:highlight w:val="yellow"/>
          <w:shd w:val="clear" w:color="auto" w:fill="FFFFFF"/>
        </w:rPr>
        <w:t>Nutrition research reviews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30</w:t>
      </w:r>
      <w:r w:rsidRPr="00563CD1">
        <w:rPr>
          <w:rFonts w:ascii="Arial" w:hAnsi="Arial" w:cs="Arial"/>
          <w:color w:val="222222"/>
          <w:sz w:val="20"/>
          <w:szCs w:val="20"/>
          <w:highlight w:val="yellow"/>
          <w:shd w:val="clear" w:color="auto" w:fill="FFFFFF"/>
        </w:rPr>
        <w:t>(1), 50-72.</w:t>
      </w:r>
    </w:p>
    <w:p w14:paraId="10F2A03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 xml:space="preserve">Montgomery, D. R., &amp; </w:t>
      </w:r>
      <w:proofErr w:type="spellStart"/>
      <w:r w:rsidRPr="00563CD1">
        <w:rPr>
          <w:rFonts w:ascii="Arial" w:hAnsi="Arial" w:cs="Arial"/>
          <w:color w:val="222222"/>
          <w:sz w:val="20"/>
          <w:szCs w:val="20"/>
          <w:highlight w:val="yellow"/>
          <w:shd w:val="clear" w:color="auto" w:fill="FFFFFF"/>
        </w:rPr>
        <w:t>Biklé</w:t>
      </w:r>
      <w:proofErr w:type="spellEnd"/>
      <w:r w:rsidRPr="00563CD1">
        <w:rPr>
          <w:rFonts w:ascii="Arial" w:hAnsi="Arial" w:cs="Arial"/>
          <w:color w:val="222222"/>
          <w:sz w:val="20"/>
          <w:szCs w:val="20"/>
          <w:highlight w:val="yellow"/>
          <w:shd w:val="clear" w:color="auto" w:fill="FFFFFF"/>
        </w:rPr>
        <w:t>, A. (2021). Soil health and nutrient density: beyond organic vs. conventional farming. </w:t>
      </w:r>
      <w:r w:rsidRPr="00563CD1">
        <w:rPr>
          <w:rFonts w:ascii="Arial" w:hAnsi="Arial" w:cs="Arial"/>
          <w:i/>
          <w:iCs/>
          <w:color w:val="222222"/>
          <w:sz w:val="20"/>
          <w:szCs w:val="20"/>
          <w:highlight w:val="yellow"/>
          <w:shd w:val="clear" w:color="auto" w:fill="FFFFFF"/>
        </w:rPr>
        <w:t>Frontiers in Sustainable Food Systems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5</w:t>
      </w:r>
      <w:r w:rsidRPr="00563CD1">
        <w:rPr>
          <w:rFonts w:ascii="Arial" w:hAnsi="Arial" w:cs="Arial"/>
          <w:color w:val="222222"/>
          <w:sz w:val="20"/>
          <w:szCs w:val="20"/>
          <w:highlight w:val="yellow"/>
          <w:shd w:val="clear" w:color="auto" w:fill="FFFFFF"/>
        </w:rPr>
        <w:t>, 417.</w:t>
      </w:r>
    </w:p>
    <w:p w14:paraId="46FA488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Narayanan, S., Lentz, E., Fontana, M., &amp; Kulkarni, B. (2022). Rural women’s empowerment in nutrition: A framework linking food, health and institutions. </w:t>
      </w:r>
      <w:r w:rsidRPr="00563CD1">
        <w:rPr>
          <w:rFonts w:ascii="Arial" w:hAnsi="Arial" w:cs="Arial"/>
          <w:i/>
          <w:iCs/>
          <w:color w:val="222222"/>
          <w:sz w:val="20"/>
          <w:szCs w:val="20"/>
          <w:highlight w:val="yellow"/>
          <w:shd w:val="clear" w:color="auto" w:fill="FFFFFF"/>
        </w:rPr>
        <w:t>The Journal of Development Studies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58</w:t>
      </w:r>
      <w:r w:rsidRPr="00563CD1">
        <w:rPr>
          <w:rFonts w:ascii="Arial" w:hAnsi="Arial" w:cs="Arial"/>
          <w:color w:val="222222"/>
          <w:sz w:val="20"/>
          <w:szCs w:val="20"/>
          <w:highlight w:val="yellow"/>
          <w:shd w:val="clear" w:color="auto" w:fill="FFFFFF"/>
        </w:rPr>
        <w:t>(1), 1-18.</w:t>
      </w:r>
    </w:p>
    <w:p w14:paraId="0ABE6E38"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lastRenderedPageBreak/>
        <w:t xml:space="preserve">Nelson, V., &amp; </w:t>
      </w:r>
      <w:proofErr w:type="spellStart"/>
      <w:r w:rsidRPr="00563CD1">
        <w:rPr>
          <w:rFonts w:ascii="Arial" w:hAnsi="Arial" w:cs="Arial"/>
          <w:color w:val="222222"/>
          <w:sz w:val="20"/>
          <w:szCs w:val="20"/>
          <w:highlight w:val="yellow"/>
          <w:shd w:val="clear" w:color="auto" w:fill="FFFFFF"/>
        </w:rPr>
        <w:t>Tallontire</w:t>
      </w:r>
      <w:proofErr w:type="spellEnd"/>
      <w:r w:rsidRPr="00563CD1">
        <w:rPr>
          <w:rFonts w:ascii="Arial" w:hAnsi="Arial" w:cs="Arial"/>
          <w:color w:val="222222"/>
          <w:sz w:val="20"/>
          <w:szCs w:val="20"/>
          <w:highlight w:val="yellow"/>
          <w:shd w:val="clear" w:color="auto" w:fill="FFFFFF"/>
        </w:rPr>
        <w:t>, A. (2014). Battlefields of ideas: Changing narratives and power dynamics in private standards in global agricultural value chains. </w:t>
      </w:r>
      <w:r w:rsidRPr="00563CD1">
        <w:rPr>
          <w:rFonts w:ascii="Arial" w:hAnsi="Arial" w:cs="Arial"/>
          <w:i/>
          <w:iCs/>
          <w:color w:val="222222"/>
          <w:sz w:val="20"/>
          <w:szCs w:val="20"/>
          <w:highlight w:val="yellow"/>
          <w:shd w:val="clear" w:color="auto" w:fill="FFFFFF"/>
        </w:rPr>
        <w:t>Agriculture and Human Values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31</w:t>
      </w:r>
      <w:r w:rsidRPr="00563CD1">
        <w:rPr>
          <w:rFonts w:ascii="Arial" w:hAnsi="Arial" w:cs="Arial"/>
          <w:color w:val="222222"/>
          <w:sz w:val="20"/>
          <w:szCs w:val="20"/>
          <w:highlight w:val="yellow"/>
          <w:shd w:val="clear" w:color="auto" w:fill="FFFFFF"/>
        </w:rPr>
        <w:t>, 481-497.</w:t>
      </w:r>
    </w:p>
    <w:p w14:paraId="2BD1C4C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Osabohien</w:t>
      </w:r>
      <w:proofErr w:type="spellEnd"/>
      <w:r w:rsidRPr="00563CD1">
        <w:rPr>
          <w:rFonts w:ascii="Arial" w:hAnsi="Arial" w:cs="Arial"/>
          <w:color w:val="222222"/>
          <w:sz w:val="20"/>
          <w:szCs w:val="20"/>
          <w:highlight w:val="yellow"/>
          <w:shd w:val="clear" w:color="auto" w:fill="FFFFFF"/>
        </w:rPr>
        <w:t>, R., Matthew, O., Gershon, O., Ogunbiyi, T., &amp; Nwosu, E. (2019). Agriculture development, employment generation and poverty reduction in West Africa. </w:t>
      </w:r>
      <w:r w:rsidRPr="00563CD1">
        <w:rPr>
          <w:rFonts w:ascii="Arial" w:hAnsi="Arial" w:cs="Arial"/>
          <w:i/>
          <w:iCs/>
          <w:color w:val="222222"/>
          <w:sz w:val="20"/>
          <w:szCs w:val="20"/>
          <w:highlight w:val="yellow"/>
          <w:shd w:val="clear" w:color="auto" w:fill="FFFFFF"/>
        </w:rPr>
        <w:t>The Open Agriculture Journal</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w:t>
      </w:r>
      <w:r w:rsidRPr="00563CD1">
        <w:rPr>
          <w:rFonts w:ascii="Arial" w:hAnsi="Arial" w:cs="Arial"/>
          <w:color w:val="222222"/>
          <w:sz w:val="20"/>
          <w:szCs w:val="20"/>
          <w:highlight w:val="yellow"/>
          <w:shd w:val="clear" w:color="auto" w:fill="FFFFFF"/>
        </w:rPr>
        <w:t>(1).</w:t>
      </w:r>
    </w:p>
    <w:p w14:paraId="47D62DDD" w14:textId="07B63D1A"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proofErr w:type="spellStart"/>
      <w:r w:rsidRPr="00563CD1">
        <w:rPr>
          <w:rFonts w:ascii="Arial" w:hAnsi="Arial" w:cs="Arial"/>
          <w:color w:val="000000"/>
          <w:sz w:val="20"/>
          <w:szCs w:val="20"/>
          <w:highlight w:val="yellow"/>
        </w:rPr>
        <w:t>Qaim</w:t>
      </w:r>
      <w:proofErr w:type="spellEnd"/>
      <w:r w:rsidRPr="00563CD1">
        <w:rPr>
          <w:rFonts w:ascii="Arial" w:hAnsi="Arial" w:cs="Arial"/>
          <w:color w:val="000000"/>
          <w:sz w:val="20"/>
          <w:szCs w:val="20"/>
          <w:highlight w:val="yellow"/>
        </w:rPr>
        <w:t xml:space="preserve">, M. (2017). Globalisation of agrifood systems and sustainable nutrition. </w:t>
      </w:r>
      <w:r w:rsidRPr="00563CD1">
        <w:rPr>
          <w:rFonts w:ascii="Arial" w:hAnsi="Arial" w:cs="Arial"/>
          <w:i/>
          <w:iCs/>
          <w:color w:val="000000"/>
          <w:sz w:val="20"/>
          <w:szCs w:val="20"/>
          <w:highlight w:val="yellow"/>
        </w:rPr>
        <w:t>Proceedings of the Nutrition Society</w:t>
      </w:r>
      <w:r w:rsidRPr="00563CD1">
        <w:rPr>
          <w:rFonts w:ascii="Arial" w:hAnsi="Arial" w:cs="Arial"/>
          <w:color w:val="000000"/>
          <w:sz w:val="20"/>
          <w:szCs w:val="20"/>
          <w:highlight w:val="yellow"/>
        </w:rPr>
        <w:t xml:space="preserve">, </w:t>
      </w:r>
      <w:r w:rsidRPr="00563CD1">
        <w:rPr>
          <w:rFonts w:ascii="Arial" w:hAnsi="Arial" w:cs="Arial"/>
          <w:i/>
          <w:iCs/>
          <w:color w:val="000000"/>
          <w:sz w:val="20"/>
          <w:szCs w:val="20"/>
          <w:highlight w:val="yellow"/>
        </w:rPr>
        <w:t>76</w:t>
      </w:r>
      <w:r w:rsidRPr="00563CD1">
        <w:rPr>
          <w:rFonts w:ascii="Arial" w:hAnsi="Arial" w:cs="Arial"/>
          <w:color w:val="000000"/>
          <w:sz w:val="20"/>
          <w:szCs w:val="20"/>
          <w:highlight w:val="yellow"/>
        </w:rPr>
        <w:t xml:space="preserve">(01), 12–21. </w:t>
      </w:r>
    </w:p>
    <w:p w14:paraId="7EAA4DF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Ray, A., Rai, A., &amp; Ravichandran, S. (2023). Impact of Agriculture Production on Climate: Contributor and Victim.</w:t>
      </w:r>
    </w:p>
    <w:p w14:paraId="667E4FB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Romeo, A., Meerman, J., Demeke, M., Scognamillo, A., &amp; Asfaw, S. (2016). Linking farm diversification to household diet diversification: evidence from a sample of Kenyan ultra-poor farmers. </w:t>
      </w:r>
      <w:r w:rsidRPr="00563CD1">
        <w:rPr>
          <w:rFonts w:ascii="Arial" w:hAnsi="Arial" w:cs="Arial"/>
          <w:i/>
          <w:iCs/>
          <w:color w:val="222222"/>
          <w:sz w:val="20"/>
          <w:szCs w:val="20"/>
          <w:highlight w:val="yellow"/>
          <w:shd w:val="clear" w:color="auto" w:fill="FFFFFF"/>
        </w:rPr>
        <w:t>Food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8</w:t>
      </w:r>
      <w:r w:rsidRPr="00563CD1">
        <w:rPr>
          <w:rFonts w:ascii="Arial" w:hAnsi="Arial" w:cs="Arial"/>
          <w:color w:val="222222"/>
          <w:sz w:val="20"/>
          <w:szCs w:val="20"/>
          <w:highlight w:val="yellow"/>
          <w:shd w:val="clear" w:color="auto" w:fill="FFFFFF"/>
        </w:rPr>
        <w:t>, 1069-1085.</w:t>
      </w:r>
    </w:p>
    <w:p w14:paraId="16C57F98"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Ruel, Marie T., Quisumbing, A. R., &amp; </w:t>
      </w:r>
      <w:proofErr w:type="spellStart"/>
      <w:r w:rsidRPr="00563CD1">
        <w:rPr>
          <w:rFonts w:ascii="Arial" w:hAnsi="Arial" w:cs="Arial"/>
          <w:sz w:val="20"/>
          <w:szCs w:val="20"/>
          <w:highlight w:val="yellow"/>
        </w:rPr>
        <w:t>Balagamwala</w:t>
      </w:r>
      <w:proofErr w:type="spellEnd"/>
      <w:r w:rsidRPr="00563CD1">
        <w:rPr>
          <w:rFonts w:ascii="Arial" w:hAnsi="Arial" w:cs="Arial"/>
          <w:sz w:val="20"/>
          <w:szCs w:val="20"/>
          <w:highlight w:val="yellow"/>
        </w:rPr>
        <w:t xml:space="preserve">, M. (2017). </w:t>
      </w:r>
      <w:r w:rsidRPr="00563CD1">
        <w:rPr>
          <w:rFonts w:ascii="Arial" w:hAnsi="Arial" w:cs="Arial"/>
          <w:i/>
          <w:iCs/>
          <w:sz w:val="20"/>
          <w:szCs w:val="20"/>
          <w:highlight w:val="yellow"/>
        </w:rPr>
        <w:t xml:space="preserve">Nutrition-sensitive agriculture: What have we learned and where do we go from here? </w:t>
      </w:r>
      <w:r w:rsidRPr="00563CD1">
        <w:rPr>
          <w:rFonts w:ascii="Arial" w:hAnsi="Arial" w:cs="Arial"/>
          <w:sz w:val="20"/>
          <w:szCs w:val="20"/>
          <w:highlight w:val="yellow"/>
        </w:rPr>
        <w:t>(Vol. 1681). Intl Food Policy Res Inst.</w:t>
      </w:r>
    </w:p>
    <w:p w14:paraId="2DA11454"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Shergill</w:t>
      </w:r>
      <w:proofErr w:type="spellEnd"/>
      <w:r w:rsidRPr="00563CD1">
        <w:rPr>
          <w:rFonts w:ascii="Arial" w:hAnsi="Arial" w:cs="Arial"/>
          <w:color w:val="222222"/>
          <w:sz w:val="20"/>
          <w:szCs w:val="20"/>
          <w:highlight w:val="yellow"/>
          <w:shd w:val="clear" w:color="auto" w:fill="FFFFFF"/>
        </w:rPr>
        <w:t>-Bonner, R. (2017). Micronutrients. </w:t>
      </w:r>
      <w:r w:rsidRPr="00563CD1">
        <w:rPr>
          <w:rFonts w:ascii="Arial" w:hAnsi="Arial" w:cs="Arial"/>
          <w:i/>
          <w:iCs/>
          <w:color w:val="222222"/>
          <w:sz w:val="20"/>
          <w:szCs w:val="20"/>
          <w:highlight w:val="yellow"/>
          <w:shd w:val="clear" w:color="auto" w:fill="FFFFFF"/>
        </w:rPr>
        <w:t>Paediatrics and Child Health</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27</w:t>
      </w:r>
      <w:r w:rsidRPr="00563CD1">
        <w:rPr>
          <w:rFonts w:ascii="Arial" w:hAnsi="Arial" w:cs="Arial"/>
          <w:color w:val="222222"/>
          <w:sz w:val="20"/>
          <w:szCs w:val="20"/>
          <w:highlight w:val="yellow"/>
          <w:shd w:val="clear" w:color="auto" w:fill="FFFFFF"/>
        </w:rPr>
        <w:t>(8), 357-362.</w:t>
      </w:r>
    </w:p>
    <w:p w14:paraId="60976DE2"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 xml:space="preserve">Srinivasan, C. S., Zanello, G., </w:t>
      </w:r>
      <w:proofErr w:type="spellStart"/>
      <w:r w:rsidRPr="00563CD1">
        <w:rPr>
          <w:rFonts w:ascii="Arial" w:hAnsi="Arial" w:cs="Arial"/>
          <w:color w:val="222222"/>
          <w:sz w:val="20"/>
          <w:szCs w:val="20"/>
          <w:highlight w:val="yellow"/>
          <w:shd w:val="clear" w:color="auto" w:fill="FFFFFF"/>
        </w:rPr>
        <w:t>Nkegbe</w:t>
      </w:r>
      <w:proofErr w:type="spellEnd"/>
      <w:r w:rsidRPr="00563CD1">
        <w:rPr>
          <w:rFonts w:ascii="Arial" w:hAnsi="Arial" w:cs="Arial"/>
          <w:color w:val="222222"/>
          <w:sz w:val="20"/>
          <w:szCs w:val="20"/>
          <w:highlight w:val="yellow"/>
          <w:shd w:val="clear" w:color="auto" w:fill="FFFFFF"/>
        </w:rPr>
        <w:t xml:space="preserve">, P., Cherukuri, R., Picchioni, F., </w:t>
      </w:r>
      <w:proofErr w:type="spellStart"/>
      <w:r w:rsidRPr="00563CD1">
        <w:rPr>
          <w:rFonts w:ascii="Arial" w:hAnsi="Arial" w:cs="Arial"/>
          <w:color w:val="222222"/>
          <w:sz w:val="20"/>
          <w:szCs w:val="20"/>
          <w:highlight w:val="yellow"/>
          <w:shd w:val="clear" w:color="auto" w:fill="FFFFFF"/>
        </w:rPr>
        <w:t>Gowdru</w:t>
      </w:r>
      <w:proofErr w:type="spellEnd"/>
      <w:r w:rsidRPr="00563CD1">
        <w:rPr>
          <w:rFonts w:ascii="Arial" w:hAnsi="Arial" w:cs="Arial"/>
          <w:color w:val="222222"/>
          <w:sz w:val="20"/>
          <w:szCs w:val="20"/>
          <w:highlight w:val="yellow"/>
          <w:shd w:val="clear" w:color="auto" w:fill="FFFFFF"/>
        </w:rPr>
        <w:t>, N., &amp; Webb, P. (2020). Drudgery reduction, physical activity and energy requirements in rural livelihoods. </w:t>
      </w:r>
      <w:r w:rsidRPr="00563CD1">
        <w:rPr>
          <w:rFonts w:ascii="Arial" w:hAnsi="Arial" w:cs="Arial"/>
          <w:i/>
          <w:iCs/>
          <w:color w:val="222222"/>
          <w:sz w:val="20"/>
          <w:szCs w:val="20"/>
          <w:highlight w:val="yellow"/>
          <w:shd w:val="clear" w:color="auto" w:fill="FFFFFF"/>
        </w:rPr>
        <w:t>Economics &amp; Human Biology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37</w:t>
      </w:r>
      <w:r w:rsidRPr="00563CD1">
        <w:rPr>
          <w:rFonts w:ascii="Arial" w:hAnsi="Arial" w:cs="Arial"/>
          <w:color w:val="222222"/>
          <w:sz w:val="20"/>
          <w:szCs w:val="20"/>
          <w:highlight w:val="yellow"/>
          <w:shd w:val="clear" w:color="auto" w:fill="FFFFFF"/>
        </w:rPr>
        <w:t>, 100846.</w:t>
      </w:r>
    </w:p>
    <w:p w14:paraId="2C5F5643"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Trollman</w:t>
      </w:r>
      <w:proofErr w:type="spellEnd"/>
      <w:r w:rsidRPr="00563CD1">
        <w:rPr>
          <w:rFonts w:ascii="Arial" w:hAnsi="Arial" w:cs="Arial"/>
          <w:color w:val="222222"/>
          <w:sz w:val="20"/>
          <w:szCs w:val="20"/>
          <w:highlight w:val="yellow"/>
          <w:shd w:val="clear" w:color="auto" w:fill="FFFFFF"/>
        </w:rPr>
        <w:t xml:space="preserve">, H., Jagtap, S., &amp; </w:t>
      </w:r>
      <w:proofErr w:type="spellStart"/>
      <w:r w:rsidRPr="00563CD1">
        <w:rPr>
          <w:rFonts w:ascii="Arial" w:hAnsi="Arial" w:cs="Arial"/>
          <w:color w:val="222222"/>
          <w:sz w:val="20"/>
          <w:szCs w:val="20"/>
          <w:highlight w:val="yellow"/>
          <w:shd w:val="clear" w:color="auto" w:fill="FFFFFF"/>
        </w:rPr>
        <w:t>Trollman</w:t>
      </w:r>
      <w:proofErr w:type="spellEnd"/>
      <w:r w:rsidRPr="00563CD1">
        <w:rPr>
          <w:rFonts w:ascii="Arial" w:hAnsi="Arial" w:cs="Arial"/>
          <w:color w:val="222222"/>
          <w:sz w:val="20"/>
          <w:szCs w:val="20"/>
          <w:highlight w:val="yellow"/>
          <w:shd w:val="clear" w:color="auto" w:fill="FFFFFF"/>
        </w:rPr>
        <w:t>, F. (2023). Crowdsourcing food security: introducing food choice derivatives for sustainability. </w:t>
      </w:r>
      <w:r w:rsidRPr="00563CD1">
        <w:rPr>
          <w:rFonts w:ascii="Arial" w:hAnsi="Arial" w:cs="Arial"/>
          <w:i/>
          <w:iCs/>
          <w:color w:val="222222"/>
          <w:sz w:val="20"/>
          <w:szCs w:val="20"/>
          <w:highlight w:val="yellow"/>
          <w:shd w:val="clear" w:color="auto" w:fill="FFFFFF"/>
        </w:rPr>
        <w:t>Food Security</w:t>
      </w:r>
      <w:r w:rsidRPr="00563CD1">
        <w:rPr>
          <w:rFonts w:ascii="Arial" w:hAnsi="Arial" w:cs="Arial"/>
          <w:color w:val="222222"/>
          <w:sz w:val="20"/>
          <w:szCs w:val="20"/>
          <w:highlight w:val="yellow"/>
          <w:shd w:val="clear" w:color="auto" w:fill="FFFFFF"/>
        </w:rPr>
        <w:t>, 1-13.</w:t>
      </w:r>
    </w:p>
    <w:p w14:paraId="607D160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Van den Bold, M., Quisumbing, A. R., &amp; Gillespie, S. (2013). Women s empowerment and nutrition: an evidence review.</w:t>
      </w:r>
    </w:p>
    <w:p w14:paraId="39C3655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Victora, C. G., Adair, L., Fall, C., Hallal, P. C., Martorell, R., Richter, L., … Group, C. U. S. (2008). Maternal and child undernutrition: consequences for adult health and human capital.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371</w:t>
      </w:r>
      <w:r w:rsidRPr="00563CD1">
        <w:rPr>
          <w:rFonts w:ascii="Arial" w:hAnsi="Arial" w:cs="Arial"/>
          <w:sz w:val="20"/>
          <w:szCs w:val="20"/>
          <w:highlight w:val="yellow"/>
        </w:rPr>
        <w:t>(9609), 340–357.</w:t>
      </w:r>
    </w:p>
    <w:p w14:paraId="38F215A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Vroegindewey</w:t>
      </w:r>
      <w:proofErr w:type="spellEnd"/>
      <w:r w:rsidRPr="00563CD1">
        <w:rPr>
          <w:rFonts w:ascii="Arial" w:hAnsi="Arial" w:cs="Arial"/>
          <w:color w:val="222222"/>
          <w:sz w:val="20"/>
          <w:szCs w:val="20"/>
          <w:highlight w:val="yellow"/>
          <w:shd w:val="clear" w:color="auto" w:fill="FFFFFF"/>
        </w:rPr>
        <w:t>, R. (2018). Food Systems-Nutrition Linkages: A Review and Synthesis of the Literature</w:t>
      </w:r>
    </w:p>
    <w:p w14:paraId="3A356E7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Wilkins, J. L. (2002). Consumer perceptions of seasonal and local foods: A study in a US community. </w:t>
      </w:r>
      <w:r w:rsidRPr="00563CD1">
        <w:rPr>
          <w:rFonts w:ascii="Arial" w:hAnsi="Arial" w:cs="Arial"/>
          <w:i/>
          <w:iCs/>
          <w:color w:val="222222"/>
          <w:sz w:val="20"/>
          <w:szCs w:val="20"/>
          <w:highlight w:val="yellow"/>
          <w:shd w:val="clear" w:color="auto" w:fill="FFFFFF"/>
        </w:rPr>
        <w:t>Ecology of food and nutrition</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41</w:t>
      </w:r>
      <w:r w:rsidRPr="00563CD1">
        <w:rPr>
          <w:rFonts w:ascii="Arial" w:hAnsi="Arial" w:cs="Arial"/>
          <w:color w:val="222222"/>
          <w:sz w:val="20"/>
          <w:szCs w:val="20"/>
          <w:highlight w:val="yellow"/>
          <w:shd w:val="clear" w:color="auto" w:fill="FFFFFF"/>
        </w:rPr>
        <w:t>(5), 415-439.</w:t>
      </w:r>
    </w:p>
    <w:p w14:paraId="2EDC0AC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Wilson, T. M. (2011). </w:t>
      </w:r>
      <w:r w:rsidRPr="00563CD1">
        <w:rPr>
          <w:rFonts w:ascii="Arial" w:hAnsi="Arial" w:cs="Arial"/>
          <w:i/>
          <w:iCs/>
          <w:color w:val="222222"/>
          <w:sz w:val="20"/>
          <w:szCs w:val="20"/>
          <w:highlight w:val="yellow"/>
          <w:shd w:val="clear" w:color="auto" w:fill="FFFFFF"/>
        </w:rPr>
        <w:t>Cultural scale and food system sustainability in the Pacific Northwest: Columbia Basin case studies</w:t>
      </w:r>
      <w:r w:rsidRPr="00563CD1">
        <w:rPr>
          <w:rFonts w:ascii="Arial" w:hAnsi="Arial" w:cs="Arial"/>
          <w:color w:val="222222"/>
          <w:sz w:val="20"/>
          <w:szCs w:val="20"/>
          <w:highlight w:val="yellow"/>
          <w:shd w:val="clear" w:color="auto" w:fill="FFFFFF"/>
        </w:rPr>
        <w:t>. Washington State University.</w:t>
      </w:r>
    </w:p>
    <w:p w14:paraId="3AC8A81B" w14:textId="035EE3F8" w:rsidR="00B43C8A"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63CD1">
        <w:rPr>
          <w:rFonts w:ascii="Arial" w:hAnsi="Arial" w:cs="Arial"/>
          <w:color w:val="222222"/>
          <w:sz w:val="20"/>
          <w:szCs w:val="20"/>
          <w:highlight w:val="yellow"/>
          <w:shd w:val="clear" w:color="auto" w:fill="FFFFFF"/>
        </w:rPr>
        <w:t>Zaremba, H., Elias, M., Rietveld, A., &amp; Bergamini, N. (2021). Toward a feminist agroecology. </w:t>
      </w:r>
      <w:r w:rsidRPr="00563CD1">
        <w:rPr>
          <w:rFonts w:ascii="Arial" w:hAnsi="Arial" w:cs="Arial"/>
          <w:i/>
          <w:iCs/>
          <w:color w:val="222222"/>
          <w:sz w:val="20"/>
          <w:szCs w:val="20"/>
          <w:highlight w:val="yellow"/>
          <w:shd w:val="clear" w:color="auto" w:fill="FFFFFF"/>
        </w:rPr>
        <w:t>Sustainability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w:t>
      </w:r>
      <w:r w:rsidRPr="00563CD1">
        <w:rPr>
          <w:rFonts w:ascii="Arial" w:hAnsi="Arial" w:cs="Arial"/>
          <w:color w:val="222222"/>
          <w:sz w:val="20"/>
          <w:szCs w:val="20"/>
          <w:highlight w:val="yellow"/>
          <w:shd w:val="clear" w:color="auto" w:fill="FFFFFF"/>
        </w:rPr>
        <w:t>(20), 11244.</w:t>
      </w:r>
    </w:p>
    <w:p w14:paraId="3EE5F01F" w14:textId="77777777" w:rsidR="009E0CEA" w:rsidRPr="00744457" w:rsidRDefault="009E0CEA" w:rsidP="00744457">
      <w:pPr>
        <w:autoSpaceDE w:val="0"/>
        <w:autoSpaceDN w:val="0"/>
        <w:adjustRightInd w:val="0"/>
        <w:spacing w:after="0" w:line="240" w:lineRule="auto"/>
        <w:ind w:left="720" w:hanging="720"/>
        <w:jc w:val="both"/>
        <w:rPr>
          <w:rFonts w:ascii="Arial" w:hAnsi="Arial" w:cs="Arial"/>
          <w:sz w:val="20"/>
          <w:szCs w:val="20"/>
        </w:rPr>
      </w:pPr>
    </w:p>
    <w:p w14:paraId="1639A6B6" w14:textId="77777777" w:rsidR="00ED6C7B" w:rsidRPr="00744457" w:rsidRDefault="00ED6C7B" w:rsidP="00744457">
      <w:pPr>
        <w:autoSpaceDE w:val="0"/>
        <w:autoSpaceDN w:val="0"/>
        <w:adjustRightInd w:val="0"/>
        <w:spacing w:after="0" w:line="240" w:lineRule="auto"/>
        <w:ind w:left="720" w:hanging="720"/>
        <w:jc w:val="both"/>
        <w:rPr>
          <w:rFonts w:ascii="Arial" w:hAnsi="Arial" w:cs="Arial"/>
          <w:sz w:val="20"/>
          <w:szCs w:val="20"/>
        </w:rPr>
      </w:pPr>
    </w:p>
    <w:p w14:paraId="3CBD589A" w14:textId="77777777" w:rsidR="007D36A5" w:rsidRPr="00744457" w:rsidRDefault="007D36A5" w:rsidP="00744457">
      <w:pPr>
        <w:autoSpaceDE w:val="0"/>
        <w:autoSpaceDN w:val="0"/>
        <w:adjustRightInd w:val="0"/>
        <w:spacing w:after="0" w:line="240" w:lineRule="auto"/>
        <w:ind w:left="720" w:hanging="720"/>
        <w:jc w:val="both"/>
        <w:rPr>
          <w:rFonts w:ascii="Arial" w:hAnsi="Arial" w:cs="Arial"/>
          <w:sz w:val="20"/>
          <w:szCs w:val="20"/>
        </w:rPr>
      </w:pPr>
    </w:p>
    <w:sectPr w:rsidR="007D36A5" w:rsidRPr="007444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FED22" w14:textId="77777777" w:rsidR="00965D2C" w:rsidRDefault="00965D2C" w:rsidP="00426668">
      <w:pPr>
        <w:spacing w:after="0" w:line="240" w:lineRule="auto"/>
      </w:pPr>
      <w:r>
        <w:separator/>
      </w:r>
    </w:p>
  </w:endnote>
  <w:endnote w:type="continuationSeparator" w:id="0">
    <w:p w14:paraId="07FE4046" w14:textId="77777777" w:rsidR="00965D2C" w:rsidRDefault="00965D2C" w:rsidP="0042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16DE" w14:textId="77777777" w:rsidR="00426668" w:rsidRDefault="0042666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5145A" w14:textId="77777777" w:rsidR="00426668" w:rsidRDefault="0042666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65A9" w14:textId="77777777" w:rsidR="00426668" w:rsidRDefault="0042666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7723F" w14:textId="77777777" w:rsidR="00965D2C" w:rsidRDefault="00965D2C" w:rsidP="00426668">
      <w:pPr>
        <w:spacing w:after="0" w:line="240" w:lineRule="auto"/>
      </w:pPr>
      <w:r>
        <w:separator/>
      </w:r>
    </w:p>
  </w:footnote>
  <w:footnote w:type="continuationSeparator" w:id="0">
    <w:p w14:paraId="6CE6C356" w14:textId="77777777" w:rsidR="00965D2C" w:rsidRDefault="00965D2C" w:rsidP="00426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751B" w14:textId="2C532002" w:rsidR="00426668" w:rsidRDefault="00965D2C">
    <w:pPr>
      <w:pStyle w:val="stBilgi"/>
    </w:pPr>
    <w:r>
      <w:rPr>
        <w:noProof/>
      </w:rPr>
      <w:pict w14:anchorId="2DB8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F6D0" w14:textId="2E48AB36" w:rsidR="00426668" w:rsidRDefault="00965D2C">
    <w:pPr>
      <w:pStyle w:val="stBilgi"/>
    </w:pPr>
    <w:r>
      <w:rPr>
        <w:noProof/>
      </w:rPr>
      <w:pict w14:anchorId="445C9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A6BA1" w14:textId="78B29DEC" w:rsidR="00426668" w:rsidRDefault="00965D2C">
    <w:pPr>
      <w:pStyle w:val="stBilgi"/>
    </w:pPr>
    <w:r>
      <w:rPr>
        <w:noProof/>
      </w:rPr>
      <w:pict w14:anchorId="03589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374D1"/>
    <w:multiLevelType w:val="hybridMultilevel"/>
    <w:tmpl w:val="37CE3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68"/>
    <w:rsid w:val="00033E31"/>
    <w:rsid w:val="00043122"/>
    <w:rsid w:val="00052652"/>
    <w:rsid w:val="000A2EF8"/>
    <w:rsid w:val="000C7B59"/>
    <w:rsid w:val="00135CCD"/>
    <w:rsid w:val="00146D47"/>
    <w:rsid w:val="00171B3A"/>
    <w:rsid w:val="00172A21"/>
    <w:rsid w:val="001B4276"/>
    <w:rsid w:val="001B53DD"/>
    <w:rsid w:val="001D3206"/>
    <w:rsid w:val="00220201"/>
    <w:rsid w:val="00221BBC"/>
    <w:rsid w:val="002F4D0B"/>
    <w:rsid w:val="00307FE4"/>
    <w:rsid w:val="00397A02"/>
    <w:rsid w:val="003C343F"/>
    <w:rsid w:val="003C7666"/>
    <w:rsid w:val="003E12E4"/>
    <w:rsid w:val="00413B59"/>
    <w:rsid w:val="00426668"/>
    <w:rsid w:val="00443A6C"/>
    <w:rsid w:val="004901AA"/>
    <w:rsid w:val="004A0591"/>
    <w:rsid w:val="004C61A7"/>
    <w:rsid w:val="004E4E5C"/>
    <w:rsid w:val="00543457"/>
    <w:rsid w:val="00563CD1"/>
    <w:rsid w:val="005732CD"/>
    <w:rsid w:val="00586876"/>
    <w:rsid w:val="00652D3F"/>
    <w:rsid w:val="006932D1"/>
    <w:rsid w:val="00705136"/>
    <w:rsid w:val="00744457"/>
    <w:rsid w:val="00773271"/>
    <w:rsid w:val="007809AA"/>
    <w:rsid w:val="00787809"/>
    <w:rsid w:val="007B03CC"/>
    <w:rsid w:val="007D36A5"/>
    <w:rsid w:val="00831110"/>
    <w:rsid w:val="008C0A41"/>
    <w:rsid w:val="008C40F9"/>
    <w:rsid w:val="008F7F03"/>
    <w:rsid w:val="00923491"/>
    <w:rsid w:val="00926C88"/>
    <w:rsid w:val="00935C2E"/>
    <w:rsid w:val="00965D2C"/>
    <w:rsid w:val="009E0CEA"/>
    <w:rsid w:val="00B17F6C"/>
    <w:rsid w:val="00B310F2"/>
    <w:rsid w:val="00B43C8A"/>
    <w:rsid w:val="00B735B4"/>
    <w:rsid w:val="00B92F2C"/>
    <w:rsid w:val="00BE04FB"/>
    <w:rsid w:val="00C14C0A"/>
    <w:rsid w:val="00C277AF"/>
    <w:rsid w:val="00C76159"/>
    <w:rsid w:val="00CA1C5A"/>
    <w:rsid w:val="00D35668"/>
    <w:rsid w:val="00D3600F"/>
    <w:rsid w:val="00D517C8"/>
    <w:rsid w:val="00D60C52"/>
    <w:rsid w:val="00D6468E"/>
    <w:rsid w:val="00DD1972"/>
    <w:rsid w:val="00DF4E3A"/>
    <w:rsid w:val="00E11488"/>
    <w:rsid w:val="00E464F7"/>
    <w:rsid w:val="00E64701"/>
    <w:rsid w:val="00E831FF"/>
    <w:rsid w:val="00ED6C7B"/>
    <w:rsid w:val="00EF4E5B"/>
    <w:rsid w:val="00FA5C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1F6B2"/>
  <w15:chartTrackingRefBased/>
  <w15:docId w15:val="{480B9B4E-C9B6-4470-A2D2-B02AE8FE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563CD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35668"/>
    <w:rPr>
      <w:color w:val="0563C1" w:themeColor="hyperlink"/>
      <w:u w:val="single"/>
    </w:rPr>
  </w:style>
  <w:style w:type="paragraph" w:styleId="AralkYok">
    <w:name w:val="No Spacing"/>
    <w:uiPriority w:val="1"/>
    <w:qFormat/>
    <w:rsid w:val="00744457"/>
    <w:pPr>
      <w:spacing w:after="0" w:line="240" w:lineRule="auto"/>
    </w:pPr>
    <w:rPr>
      <w:rFonts w:eastAsiaTheme="minorEastAsia"/>
      <w:lang w:eastAsia="en-IN"/>
    </w:rPr>
  </w:style>
  <w:style w:type="character" w:customStyle="1" w:styleId="UnresolvedMention1">
    <w:name w:val="Unresolved Mention1"/>
    <w:basedOn w:val="VarsaylanParagrafYazTipi"/>
    <w:uiPriority w:val="99"/>
    <w:semiHidden/>
    <w:unhideWhenUsed/>
    <w:rsid w:val="00744457"/>
    <w:rPr>
      <w:color w:val="605E5C"/>
      <w:shd w:val="clear" w:color="auto" w:fill="E1DFDD"/>
    </w:rPr>
  </w:style>
  <w:style w:type="paragraph" w:styleId="ListeParagraf">
    <w:name w:val="List Paragraph"/>
    <w:basedOn w:val="Normal"/>
    <w:uiPriority w:val="34"/>
    <w:qFormat/>
    <w:rsid w:val="00744457"/>
    <w:pPr>
      <w:ind w:left="720"/>
      <w:contextualSpacing/>
    </w:pPr>
  </w:style>
  <w:style w:type="paragraph" w:styleId="stBilgi">
    <w:name w:val="header"/>
    <w:basedOn w:val="Normal"/>
    <w:link w:val="stBilgiChar"/>
    <w:uiPriority w:val="99"/>
    <w:unhideWhenUsed/>
    <w:rsid w:val="00426668"/>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426668"/>
  </w:style>
  <w:style w:type="paragraph" w:styleId="AltBilgi">
    <w:name w:val="footer"/>
    <w:basedOn w:val="Normal"/>
    <w:link w:val="AltBilgiChar"/>
    <w:uiPriority w:val="99"/>
    <w:unhideWhenUsed/>
    <w:rsid w:val="00426668"/>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426668"/>
  </w:style>
  <w:style w:type="character" w:customStyle="1" w:styleId="Balk3Char">
    <w:name w:val="Başlık 3 Char"/>
    <w:basedOn w:val="VarsaylanParagrafYazTipi"/>
    <w:link w:val="Balk3"/>
    <w:uiPriority w:val="9"/>
    <w:rsid w:val="00563CD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563CD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Gl">
    <w:name w:val="Strong"/>
    <w:basedOn w:val="VarsaylanParagrafYazTipi"/>
    <w:uiPriority w:val="22"/>
    <w:qFormat/>
    <w:rsid w:val="00563CD1"/>
    <w:rPr>
      <w:b/>
      <w:bCs/>
    </w:rPr>
  </w:style>
  <w:style w:type="table" w:styleId="TabloKlavuzu">
    <w:name w:val="Table Grid"/>
    <w:basedOn w:val="NormalTablo"/>
    <w:uiPriority w:val="39"/>
    <w:rsid w:val="00563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omth">
    <w:name w:val="fc6omth"/>
    <w:basedOn w:val="VarsaylanParagrafYazTipi"/>
    <w:rsid w:val="00935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9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7411</Words>
  <Characters>42245</Characters>
  <Application>Microsoft Office Word</Application>
  <DocSecurity>0</DocSecurity>
  <Lines>352</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Ahmet Turhan</cp:lastModifiedBy>
  <cp:revision>24</cp:revision>
  <cp:lastPrinted>2023-10-23T08:07:00Z</cp:lastPrinted>
  <dcterms:created xsi:type="dcterms:W3CDTF">2025-06-24T06:34:00Z</dcterms:created>
  <dcterms:modified xsi:type="dcterms:W3CDTF">2025-08-22T12:10:00Z</dcterms:modified>
</cp:coreProperties>
</file>