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BA770" w14:textId="77777777" w:rsidR="005456CC" w:rsidRDefault="005456CC" w:rsidP="00E30857">
      <w:pPr>
        <w:spacing w:line="360" w:lineRule="auto"/>
        <w:jc w:val="center"/>
        <w:rPr>
          <w:rFonts w:ascii="Arial" w:hAnsi="Arial" w:cs="Arial"/>
          <w:i/>
          <w:iCs/>
          <w:sz w:val="36"/>
          <w:szCs w:val="36"/>
        </w:rPr>
      </w:pPr>
    </w:p>
    <w:p w14:paraId="2C0221E5" w14:textId="7C15A242" w:rsidR="005456CC" w:rsidRPr="005456CC" w:rsidRDefault="005456CC">
      <w:pPr>
        <w:rPr>
          <w:rFonts w:ascii="Times New Roman" w:hAnsi="Times New Roman" w:cs="Times New Roman"/>
          <w:b/>
          <w:bCs/>
          <w:sz w:val="24"/>
          <w:szCs w:val="24"/>
        </w:rPr>
      </w:pPr>
      <w:r w:rsidRPr="002E2CCC">
        <w:rPr>
          <w:rFonts w:ascii="Times New Roman" w:hAnsi="Times New Roman" w:cs="Times New Roman"/>
          <w:b/>
          <w:bCs/>
          <w:i/>
          <w:iCs/>
          <w:sz w:val="24"/>
          <w:szCs w:val="24"/>
        </w:rPr>
        <w:t>In vitro</w:t>
      </w:r>
      <w:r w:rsidRPr="005456CC">
        <w:rPr>
          <w:rFonts w:ascii="Times New Roman" w:hAnsi="Times New Roman" w:cs="Times New Roman"/>
          <w:b/>
          <w:bCs/>
          <w:sz w:val="24"/>
          <w:szCs w:val="24"/>
        </w:rPr>
        <w:t xml:space="preserve"> Evaluation of </w:t>
      </w:r>
      <w:r w:rsidR="002E2CCC">
        <w:rPr>
          <w:rFonts w:ascii="Times New Roman" w:hAnsi="Times New Roman" w:cs="Times New Roman"/>
          <w:b/>
          <w:bCs/>
          <w:sz w:val="24"/>
          <w:szCs w:val="24"/>
        </w:rPr>
        <w:t>fungicides and</w:t>
      </w:r>
      <w:r w:rsidRPr="005456CC">
        <w:rPr>
          <w:rFonts w:ascii="Times New Roman" w:hAnsi="Times New Roman" w:cs="Times New Roman"/>
          <w:b/>
          <w:bCs/>
          <w:sz w:val="24"/>
          <w:szCs w:val="24"/>
        </w:rPr>
        <w:t xml:space="preserve"> Bio Control Agents (BCA) against Leaf Blight of Sorghum (</w:t>
      </w:r>
      <w:r w:rsidRPr="002E2CCC">
        <w:rPr>
          <w:rFonts w:ascii="Times New Roman" w:hAnsi="Times New Roman" w:cs="Times New Roman"/>
          <w:b/>
          <w:bCs/>
          <w:i/>
          <w:iCs/>
          <w:sz w:val="24"/>
          <w:szCs w:val="24"/>
        </w:rPr>
        <w:t>Sorghum bicolor</w:t>
      </w:r>
      <w:r w:rsidRPr="005456CC">
        <w:rPr>
          <w:rFonts w:ascii="Times New Roman" w:hAnsi="Times New Roman" w:cs="Times New Roman"/>
          <w:b/>
          <w:bCs/>
          <w:sz w:val="24"/>
          <w:szCs w:val="24"/>
        </w:rPr>
        <w:t xml:space="preserve"> (L.) caused by </w:t>
      </w:r>
      <w:proofErr w:type="spellStart"/>
      <w:r w:rsidRPr="002E2CCC">
        <w:rPr>
          <w:rFonts w:ascii="Times New Roman" w:hAnsi="Times New Roman" w:cs="Times New Roman"/>
          <w:b/>
          <w:bCs/>
          <w:i/>
          <w:iCs/>
          <w:sz w:val="24"/>
          <w:szCs w:val="24"/>
        </w:rPr>
        <w:t>Exserohilum</w:t>
      </w:r>
      <w:proofErr w:type="spellEnd"/>
      <w:r w:rsidRPr="002E2CCC">
        <w:rPr>
          <w:rFonts w:ascii="Times New Roman" w:hAnsi="Times New Roman" w:cs="Times New Roman"/>
          <w:b/>
          <w:bCs/>
          <w:i/>
          <w:iCs/>
          <w:sz w:val="24"/>
          <w:szCs w:val="24"/>
        </w:rPr>
        <w:t xml:space="preserve"> </w:t>
      </w:r>
      <w:proofErr w:type="spellStart"/>
      <w:r w:rsidRPr="002E2CCC">
        <w:rPr>
          <w:rFonts w:ascii="Times New Roman" w:hAnsi="Times New Roman" w:cs="Times New Roman"/>
          <w:b/>
          <w:bCs/>
          <w:i/>
          <w:iCs/>
          <w:sz w:val="24"/>
          <w:szCs w:val="24"/>
        </w:rPr>
        <w:t>turcicum</w:t>
      </w:r>
      <w:proofErr w:type="spellEnd"/>
      <w:r w:rsidRPr="005456CC">
        <w:rPr>
          <w:rFonts w:ascii="Times New Roman" w:hAnsi="Times New Roman" w:cs="Times New Roman"/>
          <w:b/>
          <w:bCs/>
          <w:sz w:val="24"/>
          <w:szCs w:val="24"/>
        </w:rPr>
        <w:t xml:space="preserve"> (Pass.) Leonard and Suggs </w:t>
      </w:r>
    </w:p>
    <w:p w14:paraId="42F2CE4B" w14:textId="77777777" w:rsidR="00E11295" w:rsidRDefault="00E11295">
      <w:pPr>
        <w:rPr>
          <w:rFonts w:ascii="Times New Roman" w:hAnsi="Times New Roman" w:cs="Times New Roman"/>
          <w:b/>
          <w:bCs/>
        </w:rPr>
      </w:pPr>
    </w:p>
    <w:p w14:paraId="73097E1A" w14:textId="5A532657" w:rsidR="0006392F" w:rsidRPr="00E342A1" w:rsidRDefault="00E6748C">
      <w:pPr>
        <w:rPr>
          <w:rFonts w:ascii="Times New Roman" w:hAnsi="Times New Roman" w:cs="Times New Roman"/>
          <w:b/>
          <w:bCs/>
        </w:rPr>
      </w:pPr>
      <w:r w:rsidRPr="00E342A1">
        <w:rPr>
          <w:rFonts w:ascii="Times New Roman" w:hAnsi="Times New Roman" w:cs="Times New Roman"/>
          <w:b/>
          <w:bCs/>
        </w:rPr>
        <w:t xml:space="preserve">ABSTRACT </w:t>
      </w:r>
    </w:p>
    <w:p w14:paraId="4E37A833" w14:textId="1D932849" w:rsidR="000F6F40" w:rsidRPr="00C93DBE" w:rsidRDefault="003F6387" w:rsidP="00C93DBE">
      <w:pPr>
        <w:ind w:firstLine="610"/>
        <w:jc w:val="both"/>
        <w:rPr>
          <w:rFonts w:ascii="Arial" w:hAnsi="Arial" w:cs="Arial"/>
          <w:sz w:val="20"/>
          <w:szCs w:val="20"/>
        </w:rPr>
      </w:pPr>
      <w:r w:rsidRPr="00E342A1">
        <w:rPr>
          <w:rFonts w:ascii="Arial" w:hAnsi="Arial" w:cs="Arial"/>
          <w:sz w:val="20"/>
          <w:szCs w:val="20"/>
        </w:rPr>
        <w:t>Sorghum (</w:t>
      </w:r>
      <w:r w:rsidRPr="00E342A1">
        <w:rPr>
          <w:rStyle w:val="Emphasis"/>
          <w:rFonts w:ascii="Arial" w:hAnsi="Arial" w:cs="Arial"/>
          <w:sz w:val="20"/>
          <w:szCs w:val="20"/>
        </w:rPr>
        <w:t>Sorghum bicolor</w:t>
      </w:r>
      <w:r w:rsidRPr="00E342A1">
        <w:rPr>
          <w:rFonts w:ascii="Arial" w:hAnsi="Arial" w:cs="Arial"/>
          <w:sz w:val="20"/>
          <w:szCs w:val="20"/>
        </w:rPr>
        <w:t xml:space="preserve"> (L.) </w:t>
      </w:r>
      <w:proofErr w:type="spellStart"/>
      <w:r w:rsidRPr="00E342A1">
        <w:rPr>
          <w:rFonts w:ascii="Arial" w:hAnsi="Arial" w:cs="Arial"/>
          <w:sz w:val="20"/>
          <w:szCs w:val="20"/>
        </w:rPr>
        <w:t>Moench</w:t>
      </w:r>
      <w:proofErr w:type="spellEnd"/>
      <w:r w:rsidRPr="00E342A1">
        <w:rPr>
          <w:rFonts w:ascii="Arial" w:hAnsi="Arial" w:cs="Arial"/>
          <w:sz w:val="20"/>
          <w:szCs w:val="20"/>
        </w:rPr>
        <w:t xml:space="preserve">) is an important tropical cereal crop belonging to the tribe </w:t>
      </w:r>
      <w:proofErr w:type="spellStart"/>
      <w:r w:rsidRPr="00E342A1">
        <w:rPr>
          <w:rStyle w:val="Emphasis"/>
          <w:rFonts w:ascii="Arial" w:hAnsi="Arial" w:cs="Arial"/>
          <w:sz w:val="20"/>
          <w:szCs w:val="20"/>
        </w:rPr>
        <w:t>Andropogoneae</w:t>
      </w:r>
      <w:proofErr w:type="spellEnd"/>
      <w:r w:rsidRPr="00E342A1">
        <w:rPr>
          <w:rFonts w:ascii="Arial" w:hAnsi="Arial" w:cs="Arial"/>
          <w:sz w:val="20"/>
          <w:szCs w:val="20"/>
        </w:rPr>
        <w:t xml:space="preserve"> of the family </w:t>
      </w:r>
      <w:proofErr w:type="spellStart"/>
      <w:r w:rsidRPr="00E342A1">
        <w:rPr>
          <w:rStyle w:val="Emphasis"/>
          <w:rFonts w:ascii="Arial" w:hAnsi="Arial" w:cs="Arial"/>
          <w:sz w:val="20"/>
          <w:szCs w:val="20"/>
        </w:rPr>
        <w:t>Poaceae</w:t>
      </w:r>
      <w:proofErr w:type="spellEnd"/>
      <w:r w:rsidRPr="00E342A1">
        <w:rPr>
          <w:rFonts w:ascii="Arial" w:hAnsi="Arial" w:cs="Arial"/>
          <w:sz w:val="20"/>
          <w:szCs w:val="20"/>
        </w:rPr>
        <w:t xml:space="preserve">, characterized by </w:t>
      </w:r>
      <w:proofErr w:type="spellStart"/>
      <w:r w:rsidRPr="00E342A1">
        <w:rPr>
          <w:rFonts w:ascii="Arial" w:hAnsi="Arial" w:cs="Arial"/>
          <w:sz w:val="20"/>
          <w:szCs w:val="20"/>
        </w:rPr>
        <w:t>spikelets</w:t>
      </w:r>
      <w:proofErr w:type="spellEnd"/>
      <w:r w:rsidRPr="00E342A1">
        <w:rPr>
          <w:rFonts w:ascii="Arial" w:hAnsi="Arial" w:cs="Arial"/>
          <w:sz w:val="20"/>
          <w:szCs w:val="20"/>
        </w:rPr>
        <w:t xml:space="preserve"> borne in pairs. Among the various diseases affecting sorghum, </w:t>
      </w:r>
      <w:proofErr w:type="spellStart"/>
      <w:r w:rsidRPr="00E342A1">
        <w:rPr>
          <w:rFonts w:ascii="Arial" w:hAnsi="Arial" w:cs="Arial"/>
          <w:sz w:val="20"/>
          <w:szCs w:val="20"/>
        </w:rPr>
        <w:t>Turcicum</w:t>
      </w:r>
      <w:proofErr w:type="spellEnd"/>
      <w:r w:rsidRPr="00E342A1">
        <w:rPr>
          <w:rFonts w:ascii="Arial" w:hAnsi="Arial" w:cs="Arial"/>
          <w:sz w:val="20"/>
          <w:szCs w:val="20"/>
        </w:rPr>
        <w:t xml:space="preserve"> Leaf Blight (TLB) caused by </w:t>
      </w:r>
      <w:r w:rsidRPr="00E342A1">
        <w:rPr>
          <w:rStyle w:val="Emphasis"/>
          <w:rFonts w:ascii="Arial" w:hAnsi="Arial" w:cs="Arial"/>
          <w:sz w:val="20"/>
          <w:szCs w:val="20"/>
        </w:rPr>
        <w:t xml:space="preserve">E. </w:t>
      </w:r>
      <w:proofErr w:type="spellStart"/>
      <w:r w:rsidRPr="00E342A1">
        <w:rPr>
          <w:rStyle w:val="Emphasis"/>
          <w:rFonts w:ascii="Arial" w:hAnsi="Arial" w:cs="Arial"/>
          <w:sz w:val="20"/>
          <w:szCs w:val="20"/>
        </w:rPr>
        <w:t>turcicum</w:t>
      </w:r>
      <w:proofErr w:type="spellEnd"/>
      <w:r w:rsidRPr="00E342A1">
        <w:rPr>
          <w:rFonts w:ascii="Arial" w:hAnsi="Arial" w:cs="Arial"/>
          <w:sz w:val="20"/>
          <w:szCs w:val="20"/>
        </w:rPr>
        <w:t xml:space="preserve"> (Pass.) Leonard &amp; Suggs, is a major foliar disease that thrives in warm and humid conditions.</w:t>
      </w:r>
      <w:r w:rsidR="00C93DBE">
        <w:rPr>
          <w:rFonts w:ascii="Arial" w:hAnsi="Arial" w:cs="Arial"/>
          <w:sz w:val="20"/>
          <w:szCs w:val="20"/>
        </w:rPr>
        <w:t xml:space="preserve"> </w:t>
      </w:r>
      <w:r w:rsidRPr="00E342A1">
        <w:rPr>
          <w:rFonts w:ascii="Arial" w:hAnsi="Arial" w:cs="Arial"/>
          <w:sz w:val="20"/>
          <w:szCs w:val="20"/>
        </w:rPr>
        <w:t xml:space="preserve">To explore effective biological </w:t>
      </w:r>
      <w:r w:rsidR="00C93DBE">
        <w:rPr>
          <w:rFonts w:ascii="Arial" w:hAnsi="Arial" w:cs="Arial"/>
          <w:sz w:val="20"/>
          <w:szCs w:val="20"/>
        </w:rPr>
        <w:t>as well as chemical</w:t>
      </w:r>
      <w:r w:rsidRPr="00E342A1">
        <w:rPr>
          <w:rFonts w:ascii="Arial" w:hAnsi="Arial" w:cs="Arial"/>
          <w:sz w:val="20"/>
          <w:szCs w:val="20"/>
        </w:rPr>
        <w:t xml:space="preserve"> </w:t>
      </w:r>
      <w:r w:rsidR="00C93DBE" w:rsidRPr="00E342A1">
        <w:rPr>
          <w:rFonts w:ascii="Arial" w:hAnsi="Arial" w:cs="Arial"/>
          <w:sz w:val="20"/>
          <w:szCs w:val="20"/>
        </w:rPr>
        <w:t>management strategies</w:t>
      </w:r>
      <w:r w:rsidR="00C93DBE">
        <w:rPr>
          <w:rFonts w:ascii="Arial" w:hAnsi="Arial" w:cs="Arial"/>
          <w:sz w:val="20"/>
          <w:szCs w:val="20"/>
        </w:rPr>
        <w:t xml:space="preserve"> </w:t>
      </w:r>
      <w:r w:rsidRPr="00E342A1">
        <w:rPr>
          <w:rFonts w:ascii="Arial" w:hAnsi="Arial" w:cs="Arial"/>
          <w:sz w:val="20"/>
          <w:szCs w:val="20"/>
        </w:rPr>
        <w:t>a laboratory experiment was conducted</w:t>
      </w:r>
      <w:r w:rsidR="00F41BA3" w:rsidRPr="00E342A1">
        <w:rPr>
          <w:rFonts w:ascii="Arial" w:hAnsi="Arial" w:cs="Arial"/>
          <w:sz w:val="20"/>
          <w:szCs w:val="20"/>
        </w:rPr>
        <w:t xml:space="preserve"> at department of Plant Pathology during 2023-24</w:t>
      </w:r>
      <w:r w:rsidRPr="00E342A1">
        <w:rPr>
          <w:rFonts w:ascii="Arial" w:hAnsi="Arial" w:cs="Arial"/>
          <w:sz w:val="20"/>
          <w:szCs w:val="20"/>
        </w:rPr>
        <w:t xml:space="preserve"> to evaluate the efficacy of five bioagents against </w:t>
      </w:r>
      <w:proofErr w:type="spellStart"/>
      <w:r w:rsidR="002E2CCC">
        <w:rPr>
          <w:rFonts w:ascii="Arial" w:hAnsi="Arial" w:cs="Arial"/>
          <w:sz w:val="20"/>
          <w:szCs w:val="20"/>
        </w:rPr>
        <w:t>Turcicum</w:t>
      </w:r>
      <w:proofErr w:type="spellEnd"/>
      <w:r w:rsidR="002E2CCC">
        <w:rPr>
          <w:rFonts w:ascii="Arial" w:hAnsi="Arial" w:cs="Arial"/>
          <w:sz w:val="20"/>
          <w:szCs w:val="20"/>
        </w:rPr>
        <w:t xml:space="preserve"> Leaf Blight</w:t>
      </w:r>
      <w:r w:rsidRPr="00E342A1">
        <w:rPr>
          <w:rFonts w:ascii="Arial" w:hAnsi="Arial" w:cs="Arial"/>
          <w:sz w:val="20"/>
          <w:szCs w:val="20"/>
        </w:rPr>
        <w:t xml:space="preserve"> in sorghum under </w:t>
      </w:r>
      <w:r w:rsidRPr="00E342A1">
        <w:rPr>
          <w:rFonts w:ascii="Arial" w:hAnsi="Arial" w:cs="Arial"/>
          <w:i/>
          <w:iCs/>
          <w:sz w:val="20"/>
          <w:szCs w:val="20"/>
        </w:rPr>
        <w:t>in vitro</w:t>
      </w:r>
      <w:r w:rsidRPr="00E342A1">
        <w:rPr>
          <w:rFonts w:ascii="Arial" w:hAnsi="Arial" w:cs="Arial"/>
          <w:sz w:val="20"/>
          <w:szCs w:val="20"/>
        </w:rPr>
        <w:t xml:space="preserve"> conditions. Among the tested bio-control agents, </w:t>
      </w:r>
      <w:r w:rsidRPr="00E342A1">
        <w:rPr>
          <w:rStyle w:val="Emphasis"/>
          <w:rFonts w:ascii="Arial" w:hAnsi="Arial" w:cs="Arial"/>
          <w:sz w:val="20"/>
          <w:szCs w:val="20"/>
        </w:rPr>
        <w:t xml:space="preserve">Trichoderma </w:t>
      </w:r>
      <w:proofErr w:type="spellStart"/>
      <w:r w:rsidRPr="00E342A1">
        <w:rPr>
          <w:rStyle w:val="Emphasis"/>
          <w:rFonts w:ascii="Arial" w:hAnsi="Arial" w:cs="Arial"/>
          <w:sz w:val="20"/>
          <w:szCs w:val="20"/>
        </w:rPr>
        <w:t>viride</w:t>
      </w:r>
      <w:proofErr w:type="spellEnd"/>
      <w:r w:rsidRPr="00E342A1">
        <w:rPr>
          <w:rFonts w:ascii="Arial" w:hAnsi="Arial" w:cs="Arial"/>
          <w:sz w:val="20"/>
          <w:szCs w:val="20"/>
        </w:rPr>
        <w:t xml:space="preserve"> demonstrated the highest antagonistic activity with 84.44% inhibition of mycelial growth of </w:t>
      </w:r>
      <w:r w:rsidRPr="00E342A1">
        <w:rPr>
          <w:rStyle w:val="Emphasis"/>
          <w:rFonts w:ascii="Arial" w:hAnsi="Arial" w:cs="Arial"/>
          <w:sz w:val="20"/>
          <w:szCs w:val="20"/>
        </w:rPr>
        <w:t xml:space="preserve">E. </w:t>
      </w:r>
      <w:proofErr w:type="spellStart"/>
      <w:r w:rsidRPr="00E342A1">
        <w:rPr>
          <w:rStyle w:val="Emphasis"/>
          <w:rFonts w:ascii="Arial" w:hAnsi="Arial" w:cs="Arial"/>
          <w:sz w:val="20"/>
          <w:szCs w:val="20"/>
        </w:rPr>
        <w:t>turcicum</w:t>
      </w:r>
      <w:proofErr w:type="spellEnd"/>
      <w:r w:rsidRPr="00E342A1">
        <w:rPr>
          <w:rFonts w:ascii="Arial" w:hAnsi="Arial" w:cs="Arial"/>
          <w:sz w:val="20"/>
          <w:szCs w:val="20"/>
        </w:rPr>
        <w:t xml:space="preserve">, followed by </w:t>
      </w:r>
      <w:r w:rsidRPr="00E342A1">
        <w:rPr>
          <w:rStyle w:val="Emphasis"/>
          <w:rFonts w:ascii="Arial" w:hAnsi="Arial" w:cs="Arial"/>
          <w:sz w:val="20"/>
          <w:szCs w:val="20"/>
        </w:rPr>
        <w:t xml:space="preserve">T. </w:t>
      </w:r>
      <w:proofErr w:type="spellStart"/>
      <w:r w:rsidRPr="00E342A1">
        <w:rPr>
          <w:rStyle w:val="Emphasis"/>
          <w:rFonts w:ascii="Arial" w:hAnsi="Arial" w:cs="Arial"/>
          <w:sz w:val="20"/>
          <w:szCs w:val="20"/>
        </w:rPr>
        <w:t>harzianum</w:t>
      </w:r>
      <w:proofErr w:type="spellEnd"/>
      <w:r w:rsidRPr="00E342A1">
        <w:rPr>
          <w:rFonts w:ascii="Arial" w:hAnsi="Arial" w:cs="Arial"/>
          <w:sz w:val="20"/>
          <w:szCs w:val="20"/>
        </w:rPr>
        <w:t xml:space="preserve"> and </w:t>
      </w:r>
      <w:r w:rsidRPr="00E342A1">
        <w:rPr>
          <w:rStyle w:val="Emphasis"/>
          <w:rFonts w:ascii="Arial" w:hAnsi="Arial" w:cs="Arial"/>
          <w:sz w:val="20"/>
          <w:szCs w:val="20"/>
        </w:rPr>
        <w:t xml:space="preserve">Trichoderma </w:t>
      </w:r>
      <w:proofErr w:type="spellStart"/>
      <w:r w:rsidRPr="00E342A1">
        <w:rPr>
          <w:rStyle w:val="Emphasis"/>
          <w:rFonts w:ascii="Arial" w:hAnsi="Arial" w:cs="Arial"/>
          <w:sz w:val="20"/>
          <w:szCs w:val="20"/>
        </w:rPr>
        <w:t>fasciculatum</w:t>
      </w:r>
      <w:proofErr w:type="spellEnd"/>
      <w:r w:rsidRPr="00E342A1">
        <w:rPr>
          <w:rFonts w:ascii="Arial" w:hAnsi="Arial" w:cs="Arial"/>
          <w:sz w:val="20"/>
          <w:szCs w:val="20"/>
        </w:rPr>
        <w:t xml:space="preserve">. The findings indicate the potential of </w:t>
      </w:r>
      <w:r w:rsidRPr="00E342A1">
        <w:rPr>
          <w:rStyle w:val="Emphasis"/>
          <w:rFonts w:ascii="Arial" w:hAnsi="Arial" w:cs="Arial"/>
          <w:sz w:val="20"/>
          <w:szCs w:val="20"/>
        </w:rPr>
        <w:t xml:space="preserve">T. </w:t>
      </w:r>
      <w:proofErr w:type="spellStart"/>
      <w:r w:rsidRPr="00E342A1">
        <w:rPr>
          <w:rStyle w:val="Emphasis"/>
          <w:rFonts w:ascii="Arial" w:hAnsi="Arial" w:cs="Arial"/>
          <w:sz w:val="20"/>
          <w:szCs w:val="20"/>
        </w:rPr>
        <w:t>viride</w:t>
      </w:r>
      <w:proofErr w:type="spellEnd"/>
      <w:r w:rsidRPr="00E342A1">
        <w:rPr>
          <w:rFonts w:ascii="Arial" w:hAnsi="Arial" w:cs="Arial"/>
          <w:sz w:val="20"/>
          <w:szCs w:val="20"/>
        </w:rPr>
        <w:t xml:space="preserve"> as a promising biological control agent for managing TLB in sorghum.</w:t>
      </w:r>
      <w:r w:rsidR="00C93DBE">
        <w:rPr>
          <w:rFonts w:ascii="Arial" w:hAnsi="Arial" w:cs="Arial"/>
          <w:sz w:val="20"/>
          <w:szCs w:val="20"/>
        </w:rPr>
        <w:t xml:space="preserve"> </w:t>
      </w:r>
      <w:r w:rsidR="00C93DBE" w:rsidRPr="00C93DBE">
        <w:rPr>
          <w:rFonts w:ascii="Arial" w:hAnsi="Arial" w:cs="Arial"/>
          <w:sz w:val="20"/>
          <w:szCs w:val="20"/>
        </w:rPr>
        <w:t xml:space="preserve">Among chemical treatments, fungicides such as Carbendazim 25% + Flusilazole 12.5% SE and </w:t>
      </w:r>
      <w:proofErr w:type="spellStart"/>
      <w:r w:rsidR="00C93DBE" w:rsidRPr="00C93DBE">
        <w:rPr>
          <w:rFonts w:ascii="Arial" w:hAnsi="Arial" w:cs="Arial"/>
          <w:sz w:val="20"/>
          <w:szCs w:val="20"/>
        </w:rPr>
        <w:t>Fluopyram</w:t>
      </w:r>
      <w:proofErr w:type="spellEnd"/>
      <w:r w:rsidR="00C93DBE" w:rsidRPr="00C93DBE">
        <w:rPr>
          <w:rFonts w:ascii="Arial" w:hAnsi="Arial" w:cs="Arial"/>
          <w:sz w:val="20"/>
          <w:szCs w:val="20"/>
        </w:rPr>
        <w:t xml:space="preserve"> 17.7% + Tebuconazole 17.7% SC achieved complete (100%) inhibition of fungal growth at all tested concentrations.</w:t>
      </w:r>
    </w:p>
    <w:p w14:paraId="483C9700" w14:textId="422A55BD" w:rsidR="00DA04DC" w:rsidRPr="00E342A1" w:rsidRDefault="002E2CCC" w:rsidP="00251913">
      <w:pPr>
        <w:jc w:val="both"/>
        <w:rPr>
          <w:rFonts w:ascii="Arial" w:hAnsi="Arial" w:cs="Arial"/>
          <w:b/>
          <w:bCs/>
          <w:sz w:val="20"/>
          <w:szCs w:val="20"/>
        </w:rPr>
      </w:pPr>
      <w:r>
        <w:rPr>
          <w:rFonts w:ascii="Arial" w:hAnsi="Arial" w:cs="Arial"/>
          <w:b/>
          <w:bCs/>
          <w:sz w:val="20"/>
          <w:szCs w:val="20"/>
        </w:rPr>
        <w:t>Key</w:t>
      </w:r>
      <w:r w:rsidR="00DA04DC" w:rsidRPr="00E342A1">
        <w:rPr>
          <w:rFonts w:ascii="Arial" w:hAnsi="Arial" w:cs="Arial"/>
          <w:b/>
          <w:bCs/>
          <w:sz w:val="20"/>
          <w:szCs w:val="20"/>
        </w:rPr>
        <w:t xml:space="preserve">words: </w:t>
      </w:r>
      <w:r w:rsidR="00DA04DC" w:rsidRPr="00E342A1">
        <w:rPr>
          <w:rFonts w:ascii="Arial" w:hAnsi="Arial" w:cs="Arial"/>
          <w:sz w:val="20"/>
          <w:szCs w:val="20"/>
        </w:rPr>
        <w:t xml:space="preserve">Bioagents, Sorghum, </w:t>
      </w:r>
      <w:proofErr w:type="spellStart"/>
      <w:r>
        <w:rPr>
          <w:rFonts w:ascii="Arial" w:hAnsi="Arial" w:cs="Arial"/>
          <w:i/>
          <w:iCs/>
          <w:sz w:val="20"/>
          <w:szCs w:val="20"/>
        </w:rPr>
        <w:t>Exserohilum</w:t>
      </w:r>
      <w:proofErr w:type="spellEnd"/>
      <w:r w:rsidR="00DA04DC" w:rsidRPr="00E342A1">
        <w:rPr>
          <w:rFonts w:ascii="Arial" w:hAnsi="Arial" w:cs="Arial"/>
          <w:i/>
          <w:iCs/>
          <w:sz w:val="20"/>
          <w:szCs w:val="20"/>
        </w:rPr>
        <w:t xml:space="preserve"> </w:t>
      </w:r>
      <w:proofErr w:type="spellStart"/>
      <w:r w:rsidR="00DA04DC" w:rsidRPr="00E342A1">
        <w:rPr>
          <w:rFonts w:ascii="Arial" w:hAnsi="Arial" w:cs="Arial"/>
          <w:i/>
          <w:iCs/>
          <w:sz w:val="20"/>
          <w:szCs w:val="20"/>
        </w:rPr>
        <w:t>turcicum</w:t>
      </w:r>
      <w:proofErr w:type="spellEnd"/>
      <w:r w:rsidR="00DA04DC" w:rsidRPr="00E342A1">
        <w:rPr>
          <w:rFonts w:ascii="Arial" w:hAnsi="Arial" w:cs="Arial"/>
          <w:sz w:val="20"/>
          <w:szCs w:val="20"/>
        </w:rPr>
        <w:t>,</w:t>
      </w:r>
      <w:r w:rsidR="00C93DBE">
        <w:rPr>
          <w:rFonts w:ascii="Arial" w:hAnsi="Arial" w:cs="Arial"/>
          <w:sz w:val="20"/>
          <w:szCs w:val="20"/>
        </w:rPr>
        <w:t xml:space="preserve"> fungicides,</w:t>
      </w:r>
      <w:r w:rsidR="00DA04DC" w:rsidRPr="00E342A1">
        <w:rPr>
          <w:rFonts w:ascii="Arial" w:hAnsi="Arial" w:cs="Arial"/>
          <w:sz w:val="20"/>
          <w:szCs w:val="20"/>
        </w:rPr>
        <w:t xml:space="preserve"> </w:t>
      </w:r>
      <w:proofErr w:type="spellStart"/>
      <w:r w:rsidR="00DA04DC" w:rsidRPr="00E342A1">
        <w:rPr>
          <w:rFonts w:ascii="Arial" w:hAnsi="Arial" w:cs="Arial"/>
          <w:sz w:val="20"/>
          <w:szCs w:val="20"/>
        </w:rPr>
        <w:t>Turcicum</w:t>
      </w:r>
      <w:proofErr w:type="spellEnd"/>
      <w:r w:rsidR="00DA04DC" w:rsidRPr="00E342A1">
        <w:rPr>
          <w:rFonts w:ascii="Arial" w:hAnsi="Arial" w:cs="Arial"/>
          <w:sz w:val="20"/>
          <w:szCs w:val="20"/>
        </w:rPr>
        <w:t xml:space="preserve"> Leaf Blight, </w:t>
      </w:r>
      <w:r w:rsidR="00DA04DC" w:rsidRPr="00E342A1">
        <w:rPr>
          <w:rStyle w:val="Emphasis"/>
          <w:rFonts w:ascii="Arial" w:hAnsi="Arial" w:cs="Arial"/>
          <w:sz w:val="20"/>
          <w:szCs w:val="20"/>
        </w:rPr>
        <w:t xml:space="preserve">Trichoderma </w:t>
      </w:r>
      <w:proofErr w:type="spellStart"/>
      <w:r w:rsidR="00DA04DC" w:rsidRPr="00E342A1">
        <w:rPr>
          <w:rStyle w:val="Emphasis"/>
          <w:rFonts w:ascii="Arial" w:hAnsi="Arial" w:cs="Arial"/>
          <w:sz w:val="20"/>
          <w:szCs w:val="20"/>
        </w:rPr>
        <w:t>viride</w:t>
      </w:r>
      <w:proofErr w:type="spellEnd"/>
    </w:p>
    <w:p w14:paraId="5779B91C" w14:textId="77777777" w:rsidR="00251913" w:rsidRPr="00E342A1" w:rsidRDefault="00251913" w:rsidP="00E342A1">
      <w:pPr>
        <w:rPr>
          <w:rFonts w:ascii="Arial" w:hAnsi="Arial" w:cs="Arial"/>
          <w:b/>
          <w:bCs/>
        </w:rPr>
      </w:pPr>
      <w:r w:rsidRPr="00E342A1">
        <w:rPr>
          <w:rFonts w:ascii="Arial" w:hAnsi="Arial" w:cs="Arial"/>
          <w:b/>
          <w:bCs/>
        </w:rPr>
        <w:t>INTRODUCTION</w:t>
      </w:r>
    </w:p>
    <w:p w14:paraId="0BFCD874" w14:textId="66124C28" w:rsidR="000C6890" w:rsidRPr="00E84694" w:rsidRDefault="000F6F40" w:rsidP="00E84694">
      <w:pPr>
        <w:spacing w:after="0" w:line="360" w:lineRule="auto"/>
        <w:jc w:val="both"/>
        <w:rPr>
          <w:rFonts w:ascii="Arial" w:hAnsi="Arial" w:cs="Arial"/>
          <w:i/>
          <w:iCs/>
          <w:sz w:val="20"/>
          <w:szCs w:val="20"/>
        </w:rPr>
      </w:pPr>
      <w:r>
        <w:rPr>
          <w:rFonts w:ascii="Times New Roman" w:hAnsi="Times New Roman" w:cs="Times New Roman"/>
          <w:sz w:val="24"/>
          <w:szCs w:val="24"/>
        </w:rPr>
        <w:tab/>
      </w:r>
      <w:r w:rsidR="00E84694">
        <w:rPr>
          <w:rFonts w:ascii="Times New Roman" w:hAnsi="Times New Roman" w:cs="Times New Roman"/>
          <w:sz w:val="24"/>
          <w:szCs w:val="24"/>
        </w:rPr>
        <w:t>“</w:t>
      </w:r>
      <w:r w:rsidR="00251913" w:rsidRPr="00E342A1">
        <w:rPr>
          <w:rFonts w:ascii="Arial" w:hAnsi="Arial" w:cs="Arial"/>
          <w:sz w:val="20"/>
          <w:szCs w:val="20"/>
        </w:rPr>
        <w:t>Sorghum (</w:t>
      </w:r>
      <w:r w:rsidR="00251913" w:rsidRPr="00E342A1">
        <w:rPr>
          <w:rFonts w:ascii="Arial" w:hAnsi="Arial" w:cs="Arial"/>
          <w:i/>
          <w:iCs/>
          <w:sz w:val="20"/>
          <w:szCs w:val="20"/>
        </w:rPr>
        <w:t xml:space="preserve">Sorghum </w:t>
      </w:r>
      <w:proofErr w:type="spellStart"/>
      <w:r w:rsidR="00251913" w:rsidRPr="00E342A1">
        <w:rPr>
          <w:rFonts w:ascii="Arial" w:hAnsi="Arial" w:cs="Arial"/>
          <w:i/>
          <w:iCs/>
          <w:sz w:val="20"/>
          <w:szCs w:val="20"/>
        </w:rPr>
        <w:t>bicolour</w:t>
      </w:r>
      <w:proofErr w:type="spellEnd"/>
      <w:r w:rsidR="00251913" w:rsidRPr="00E342A1">
        <w:rPr>
          <w:rFonts w:ascii="Arial" w:hAnsi="Arial" w:cs="Arial"/>
          <w:sz w:val="20"/>
          <w:szCs w:val="20"/>
        </w:rPr>
        <w:t xml:space="preserve"> (L.) </w:t>
      </w:r>
      <w:proofErr w:type="spellStart"/>
      <w:r w:rsidR="00251913" w:rsidRPr="00E342A1">
        <w:rPr>
          <w:rFonts w:ascii="Arial" w:hAnsi="Arial" w:cs="Arial"/>
          <w:sz w:val="20"/>
          <w:szCs w:val="20"/>
        </w:rPr>
        <w:t>Moench</w:t>
      </w:r>
      <w:proofErr w:type="spellEnd"/>
      <w:r w:rsidR="00251913" w:rsidRPr="00E342A1">
        <w:rPr>
          <w:rFonts w:ascii="Arial" w:hAnsi="Arial" w:cs="Arial"/>
          <w:sz w:val="20"/>
          <w:szCs w:val="20"/>
        </w:rPr>
        <w:t>) is a cultivated tropical cereal. It is generally considered to have first been domesticated in North-Eastern Africa, possibly along the Nile or Ethiopia as recently as 1000 BC</w:t>
      </w:r>
      <w:r w:rsidR="00E84694">
        <w:rPr>
          <w:rFonts w:ascii="Arial" w:hAnsi="Arial" w:cs="Arial"/>
          <w:sz w:val="20"/>
          <w:szCs w:val="20"/>
        </w:rPr>
        <w:t>”</w:t>
      </w:r>
      <w:r w:rsidR="00251913" w:rsidRPr="00E342A1">
        <w:rPr>
          <w:rFonts w:ascii="Arial" w:hAnsi="Arial" w:cs="Arial"/>
          <w:sz w:val="20"/>
          <w:szCs w:val="20"/>
        </w:rPr>
        <w:t xml:space="preserve"> (Kimber, 2000). </w:t>
      </w:r>
      <w:r w:rsidR="00E84694">
        <w:rPr>
          <w:rFonts w:ascii="Arial" w:hAnsi="Arial" w:cs="Arial"/>
          <w:sz w:val="20"/>
          <w:szCs w:val="20"/>
        </w:rPr>
        <w:t>“</w:t>
      </w:r>
      <w:r w:rsidR="00251913" w:rsidRPr="00E342A1">
        <w:rPr>
          <w:rFonts w:ascii="Arial" w:hAnsi="Arial" w:cs="Arial"/>
          <w:sz w:val="20"/>
          <w:szCs w:val="20"/>
        </w:rPr>
        <w:t>Sorghum grain is a principal source of energy, protein, vitamins and minerals for the poor people living in the semi-arid tropics. It is nutritionally superior to rice because of its high mineral and fiber content. Starch (60-75%) is the main component of sorghum grain, followed by proteins (7-15%), non-starch polysaccharides (2-7%) and fat (1.5-6%). The average energetic value of whole sorghum grain flour is 356 kcal/100gm (</w:t>
      </w:r>
      <w:proofErr w:type="spellStart"/>
      <w:r w:rsidR="00251913" w:rsidRPr="00E342A1">
        <w:rPr>
          <w:rFonts w:ascii="Arial" w:hAnsi="Arial" w:cs="Arial"/>
          <w:sz w:val="20"/>
          <w:szCs w:val="20"/>
        </w:rPr>
        <w:t>Dicko</w:t>
      </w:r>
      <w:proofErr w:type="spellEnd"/>
      <w:r w:rsidR="00251913" w:rsidRPr="00E342A1">
        <w:rPr>
          <w:rFonts w:ascii="Arial" w:hAnsi="Arial" w:cs="Arial"/>
          <w:sz w:val="20"/>
          <w:szCs w:val="20"/>
        </w:rPr>
        <w:t xml:space="preserve"> </w:t>
      </w:r>
      <w:r w:rsidR="00251913" w:rsidRPr="002E2CCC">
        <w:rPr>
          <w:rFonts w:ascii="Arial" w:hAnsi="Arial" w:cs="Arial"/>
          <w:sz w:val="20"/>
          <w:szCs w:val="20"/>
        </w:rPr>
        <w:t>et al.</w:t>
      </w:r>
      <w:r w:rsidR="00251913" w:rsidRPr="00E342A1">
        <w:rPr>
          <w:rFonts w:ascii="Arial" w:hAnsi="Arial" w:cs="Arial"/>
          <w:sz w:val="20"/>
          <w:szCs w:val="20"/>
        </w:rPr>
        <w:t xml:space="preserve">, 2006). Sorghum is a good source of vitamins, notably the vitamins B (thiamin, riboflavin, pyridoxine and niacin) and the </w:t>
      </w:r>
      <w:proofErr w:type="spellStart"/>
      <w:r w:rsidR="00251913" w:rsidRPr="00E342A1">
        <w:rPr>
          <w:rFonts w:ascii="Arial" w:hAnsi="Arial" w:cs="Arial"/>
          <w:sz w:val="20"/>
          <w:szCs w:val="20"/>
        </w:rPr>
        <w:t>liposoluable</w:t>
      </w:r>
      <w:proofErr w:type="spellEnd"/>
      <w:r w:rsidR="00251913" w:rsidRPr="00E342A1">
        <w:rPr>
          <w:rFonts w:ascii="Arial" w:hAnsi="Arial" w:cs="Arial"/>
          <w:sz w:val="20"/>
          <w:szCs w:val="20"/>
        </w:rPr>
        <w:t xml:space="preserve"> vitamins A, D, E and K. The total area under sorghum in the world is about 40 million hectares and the total production of grain is 58-59 million </w:t>
      </w:r>
      <w:proofErr w:type="spellStart"/>
      <w:r w:rsidR="00251913" w:rsidRPr="00E342A1">
        <w:rPr>
          <w:rFonts w:ascii="Arial" w:hAnsi="Arial" w:cs="Arial"/>
          <w:sz w:val="20"/>
          <w:szCs w:val="20"/>
        </w:rPr>
        <w:t>tonnes</w:t>
      </w:r>
      <w:proofErr w:type="spellEnd"/>
      <w:r w:rsidR="00E84694">
        <w:rPr>
          <w:rFonts w:ascii="Arial" w:hAnsi="Arial" w:cs="Arial"/>
          <w:sz w:val="20"/>
          <w:szCs w:val="20"/>
        </w:rPr>
        <w:t>”</w:t>
      </w:r>
      <w:r w:rsidR="00251913" w:rsidRPr="00E342A1">
        <w:rPr>
          <w:rFonts w:ascii="Arial" w:hAnsi="Arial" w:cs="Arial"/>
          <w:sz w:val="20"/>
          <w:szCs w:val="20"/>
        </w:rPr>
        <w:t xml:space="preserve"> (FAOSTAT, 2023). </w:t>
      </w:r>
      <w:r w:rsidR="00E84694">
        <w:rPr>
          <w:rFonts w:ascii="Arial" w:hAnsi="Arial" w:cs="Arial"/>
          <w:sz w:val="20"/>
          <w:szCs w:val="20"/>
        </w:rPr>
        <w:t>“</w:t>
      </w:r>
      <w:r w:rsidR="00251913" w:rsidRPr="00E342A1">
        <w:rPr>
          <w:rFonts w:ascii="Arial" w:hAnsi="Arial" w:cs="Arial"/>
          <w:sz w:val="20"/>
          <w:szCs w:val="20"/>
        </w:rPr>
        <w:t xml:space="preserve">India has a total area of 03.81 million hectares with a production of about 4.23 million </w:t>
      </w:r>
      <w:proofErr w:type="spellStart"/>
      <w:r w:rsidR="00251913" w:rsidRPr="00E342A1">
        <w:rPr>
          <w:rFonts w:ascii="Arial" w:hAnsi="Arial" w:cs="Arial"/>
          <w:sz w:val="20"/>
          <w:szCs w:val="20"/>
        </w:rPr>
        <w:t>tonnes</w:t>
      </w:r>
      <w:proofErr w:type="spellEnd"/>
      <w:r w:rsidR="00251913" w:rsidRPr="00E342A1">
        <w:rPr>
          <w:rFonts w:ascii="Arial" w:hAnsi="Arial" w:cs="Arial"/>
          <w:sz w:val="20"/>
          <w:szCs w:val="20"/>
        </w:rPr>
        <w:t xml:space="preserve"> with Productivity 1110 kg/ha. In Gujarat the total area under sorghum is 0.04 million hectares with total production 0.06 million </w:t>
      </w:r>
      <w:proofErr w:type="spellStart"/>
      <w:r w:rsidR="00251913" w:rsidRPr="00E342A1">
        <w:rPr>
          <w:rFonts w:ascii="Arial" w:hAnsi="Arial" w:cs="Arial"/>
          <w:sz w:val="20"/>
          <w:szCs w:val="20"/>
        </w:rPr>
        <w:t>tonnes</w:t>
      </w:r>
      <w:proofErr w:type="spellEnd"/>
      <w:r w:rsidR="00251913" w:rsidRPr="00E342A1">
        <w:rPr>
          <w:rFonts w:ascii="Arial" w:hAnsi="Arial" w:cs="Arial"/>
          <w:sz w:val="20"/>
          <w:szCs w:val="20"/>
        </w:rPr>
        <w:t xml:space="preserve"> and product</w:t>
      </w:r>
      <w:r w:rsidR="002E2CCC">
        <w:rPr>
          <w:rFonts w:ascii="Arial" w:hAnsi="Arial" w:cs="Arial"/>
          <w:sz w:val="20"/>
          <w:szCs w:val="20"/>
        </w:rPr>
        <w:t>ivity 1346 kg/ha</w:t>
      </w:r>
      <w:r w:rsidR="00E84694">
        <w:rPr>
          <w:rFonts w:ascii="Arial" w:hAnsi="Arial" w:cs="Arial"/>
          <w:sz w:val="20"/>
          <w:szCs w:val="20"/>
        </w:rPr>
        <w:t>”</w:t>
      </w:r>
      <w:r w:rsidR="002E2CCC">
        <w:rPr>
          <w:rFonts w:ascii="Arial" w:hAnsi="Arial" w:cs="Arial"/>
          <w:sz w:val="20"/>
          <w:szCs w:val="20"/>
        </w:rPr>
        <w:t xml:space="preserve"> (Anon., 2021-23</w:t>
      </w:r>
      <w:r w:rsidR="00251913" w:rsidRPr="00E342A1">
        <w:rPr>
          <w:rFonts w:ascii="Arial" w:hAnsi="Arial" w:cs="Arial"/>
          <w:sz w:val="20"/>
          <w:szCs w:val="20"/>
        </w:rPr>
        <w:t>).</w:t>
      </w:r>
      <w:r w:rsidR="00F43AD2" w:rsidRPr="00E342A1">
        <w:rPr>
          <w:rFonts w:ascii="Arial" w:hAnsi="Arial" w:cs="Arial"/>
          <w:sz w:val="20"/>
          <w:szCs w:val="20"/>
        </w:rPr>
        <w:t xml:space="preserve"> </w:t>
      </w:r>
      <w:r w:rsidR="00E84694">
        <w:rPr>
          <w:rFonts w:ascii="Arial" w:hAnsi="Arial" w:cs="Arial"/>
          <w:sz w:val="20"/>
          <w:szCs w:val="20"/>
        </w:rPr>
        <w:t>“</w:t>
      </w:r>
      <w:r w:rsidR="00F43AD2" w:rsidRPr="00E342A1">
        <w:rPr>
          <w:rFonts w:ascii="Arial" w:hAnsi="Arial" w:cs="Arial"/>
          <w:sz w:val="20"/>
          <w:szCs w:val="20"/>
        </w:rPr>
        <w:t>Sorghum is vulnerable to a range of fungal, bacterial, and viral diseases. The major diseases that affect sorghum include downy mildew (</w:t>
      </w:r>
      <w:proofErr w:type="spellStart"/>
      <w:r w:rsidR="00F43AD2" w:rsidRPr="00E342A1">
        <w:rPr>
          <w:rFonts w:ascii="Arial" w:hAnsi="Arial" w:cs="Arial"/>
          <w:i/>
          <w:iCs/>
          <w:sz w:val="20"/>
          <w:szCs w:val="20"/>
        </w:rPr>
        <w:t>Peronosclerospora</w:t>
      </w:r>
      <w:proofErr w:type="spellEnd"/>
      <w:r w:rsidR="00F43AD2" w:rsidRPr="00E342A1">
        <w:rPr>
          <w:rFonts w:ascii="Arial" w:hAnsi="Arial" w:cs="Arial"/>
          <w:i/>
          <w:iCs/>
          <w:sz w:val="20"/>
          <w:szCs w:val="20"/>
        </w:rPr>
        <w:t xml:space="preserve"> </w:t>
      </w:r>
      <w:proofErr w:type="spellStart"/>
      <w:r w:rsidR="00F43AD2" w:rsidRPr="00E342A1">
        <w:rPr>
          <w:rFonts w:ascii="Arial" w:hAnsi="Arial" w:cs="Arial"/>
          <w:i/>
          <w:iCs/>
          <w:sz w:val="20"/>
          <w:szCs w:val="20"/>
        </w:rPr>
        <w:t>sorghi</w:t>
      </w:r>
      <w:proofErr w:type="spellEnd"/>
      <w:r w:rsidR="00F43AD2" w:rsidRPr="00E342A1">
        <w:rPr>
          <w:rFonts w:ascii="Arial" w:hAnsi="Arial" w:cs="Arial"/>
          <w:sz w:val="20"/>
          <w:szCs w:val="20"/>
        </w:rPr>
        <w:t xml:space="preserve">), </w:t>
      </w:r>
      <w:proofErr w:type="spellStart"/>
      <w:r w:rsidR="00F43AD2" w:rsidRPr="00E342A1">
        <w:rPr>
          <w:rFonts w:ascii="Arial" w:hAnsi="Arial" w:cs="Arial"/>
          <w:sz w:val="20"/>
          <w:szCs w:val="20"/>
        </w:rPr>
        <w:t>turcicum</w:t>
      </w:r>
      <w:proofErr w:type="spellEnd"/>
      <w:r w:rsidR="00F43AD2" w:rsidRPr="00E342A1">
        <w:rPr>
          <w:rFonts w:ascii="Arial" w:hAnsi="Arial" w:cs="Arial"/>
          <w:sz w:val="20"/>
          <w:szCs w:val="20"/>
        </w:rPr>
        <w:t xml:space="preserve"> leaf blight (</w:t>
      </w:r>
      <w:proofErr w:type="spellStart"/>
      <w:r w:rsidR="00F43AD2" w:rsidRPr="00E342A1">
        <w:rPr>
          <w:rFonts w:ascii="Arial" w:hAnsi="Arial" w:cs="Arial"/>
          <w:i/>
          <w:iCs/>
          <w:sz w:val="20"/>
          <w:szCs w:val="20"/>
        </w:rPr>
        <w:t>Exserohilum</w:t>
      </w:r>
      <w:proofErr w:type="spellEnd"/>
      <w:r w:rsidR="00F43AD2" w:rsidRPr="00E342A1">
        <w:rPr>
          <w:rFonts w:ascii="Arial" w:hAnsi="Arial" w:cs="Arial"/>
          <w:i/>
          <w:iCs/>
          <w:sz w:val="20"/>
          <w:szCs w:val="20"/>
        </w:rPr>
        <w:t xml:space="preserve"> </w:t>
      </w:r>
      <w:proofErr w:type="spellStart"/>
      <w:r w:rsidR="00F43AD2" w:rsidRPr="00E342A1">
        <w:rPr>
          <w:rFonts w:ascii="Arial" w:hAnsi="Arial" w:cs="Arial"/>
          <w:i/>
          <w:iCs/>
          <w:sz w:val="20"/>
          <w:szCs w:val="20"/>
        </w:rPr>
        <w:t>turcicum</w:t>
      </w:r>
      <w:proofErr w:type="spellEnd"/>
      <w:r w:rsidR="00F43AD2" w:rsidRPr="00E342A1">
        <w:rPr>
          <w:rFonts w:ascii="Arial" w:hAnsi="Arial" w:cs="Arial"/>
          <w:sz w:val="20"/>
          <w:szCs w:val="20"/>
        </w:rPr>
        <w:t>), anthracnose (</w:t>
      </w:r>
      <w:r w:rsidR="00F43AD2" w:rsidRPr="00E342A1">
        <w:rPr>
          <w:rFonts w:ascii="Arial" w:hAnsi="Arial" w:cs="Arial"/>
          <w:i/>
          <w:iCs/>
          <w:sz w:val="20"/>
          <w:szCs w:val="20"/>
        </w:rPr>
        <w:t xml:space="preserve">Colletotrichum </w:t>
      </w:r>
      <w:proofErr w:type="spellStart"/>
      <w:r w:rsidR="00F43AD2" w:rsidRPr="00E342A1">
        <w:rPr>
          <w:rFonts w:ascii="Arial" w:hAnsi="Arial" w:cs="Arial"/>
          <w:i/>
          <w:iCs/>
          <w:sz w:val="20"/>
          <w:szCs w:val="20"/>
        </w:rPr>
        <w:t>graminicola</w:t>
      </w:r>
      <w:proofErr w:type="spellEnd"/>
      <w:r w:rsidR="00F43AD2" w:rsidRPr="00E342A1">
        <w:rPr>
          <w:rFonts w:ascii="Arial" w:hAnsi="Arial" w:cs="Arial"/>
          <w:sz w:val="20"/>
          <w:szCs w:val="20"/>
        </w:rPr>
        <w:t xml:space="preserve">) and sorghum smuts (kernel smut, loose smut, long smut and head smuts). </w:t>
      </w:r>
      <w:proofErr w:type="spellStart"/>
      <w:r w:rsidR="00F43AD2" w:rsidRPr="00E342A1">
        <w:rPr>
          <w:rFonts w:ascii="Arial" w:hAnsi="Arial" w:cs="Arial"/>
          <w:sz w:val="20"/>
          <w:szCs w:val="20"/>
        </w:rPr>
        <w:t>Turcicum</w:t>
      </w:r>
      <w:proofErr w:type="spellEnd"/>
      <w:r w:rsidR="00F43AD2" w:rsidRPr="00E342A1">
        <w:rPr>
          <w:rFonts w:ascii="Arial" w:hAnsi="Arial" w:cs="Arial"/>
          <w:sz w:val="20"/>
          <w:szCs w:val="20"/>
        </w:rPr>
        <w:t xml:space="preserve"> leaf blight is one of the most destructive foliar diseases of </w:t>
      </w:r>
      <w:r w:rsidR="00F43AD2" w:rsidRPr="00E342A1">
        <w:rPr>
          <w:rFonts w:ascii="Arial" w:hAnsi="Arial" w:cs="Arial"/>
          <w:sz w:val="20"/>
          <w:szCs w:val="20"/>
        </w:rPr>
        <w:lastRenderedPageBreak/>
        <w:t>sorghum and maize. It can cause yield reduction more than 50% in susceptible varieties and is favored by mild temperatures and humid weather conditions with heavy dews</w:t>
      </w:r>
      <w:r w:rsidR="00E84694">
        <w:rPr>
          <w:rFonts w:ascii="Arial" w:hAnsi="Arial" w:cs="Arial"/>
          <w:sz w:val="20"/>
          <w:szCs w:val="20"/>
        </w:rPr>
        <w:t>”</w:t>
      </w:r>
      <w:r w:rsidR="00F43AD2" w:rsidRPr="00E342A1">
        <w:rPr>
          <w:rFonts w:ascii="Arial" w:hAnsi="Arial" w:cs="Arial"/>
          <w:sz w:val="20"/>
          <w:szCs w:val="20"/>
        </w:rPr>
        <w:t xml:space="preserve"> (Bergquist, 1986). </w:t>
      </w:r>
      <w:r w:rsidR="00E84694">
        <w:rPr>
          <w:rFonts w:ascii="Arial" w:hAnsi="Arial" w:cs="Arial"/>
          <w:sz w:val="20"/>
          <w:szCs w:val="20"/>
        </w:rPr>
        <w:t>“</w:t>
      </w:r>
      <w:r w:rsidR="00F43AD2" w:rsidRPr="00E342A1">
        <w:rPr>
          <w:rFonts w:ascii="Arial" w:hAnsi="Arial" w:cs="Arial"/>
          <w:sz w:val="20"/>
          <w:szCs w:val="20"/>
        </w:rPr>
        <w:t xml:space="preserve">The disease occurs as long elliptic tan lesions that develop on lower leaves and progress upwards. Susceptibility to </w:t>
      </w:r>
      <w:r w:rsidR="00F43AD2" w:rsidRPr="00E342A1">
        <w:rPr>
          <w:rFonts w:ascii="Arial" w:hAnsi="Arial" w:cs="Arial"/>
          <w:i/>
          <w:iCs/>
          <w:sz w:val="20"/>
          <w:szCs w:val="20"/>
        </w:rPr>
        <w:t xml:space="preserve">E. </w:t>
      </w:r>
      <w:proofErr w:type="spellStart"/>
      <w:r w:rsidR="00F43AD2" w:rsidRPr="00E342A1">
        <w:rPr>
          <w:rFonts w:ascii="Arial" w:hAnsi="Arial" w:cs="Arial"/>
          <w:i/>
          <w:iCs/>
          <w:sz w:val="20"/>
          <w:szCs w:val="20"/>
        </w:rPr>
        <w:t>turcicum</w:t>
      </w:r>
      <w:proofErr w:type="spellEnd"/>
      <w:r w:rsidR="00F43AD2" w:rsidRPr="00E342A1">
        <w:rPr>
          <w:rFonts w:ascii="Arial" w:hAnsi="Arial" w:cs="Arial"/>
          <w:sz w:val="20"/>
          <w:szCs w:val="20"/>
        </w:rPr>
        <w:t xml:space="preserve"> is reported to decrease with crop maturity</w:t>
      </w:r>
      <w:r w:rsidR="00E84694">
        <w:rPr>
          <w:rFonts w:ascii="Arial" w:hAnsi="Arial" w:cs="Arial"/>
          <w:sz w:val="20"/>
          <w:szCs w:val="20"/>
        </w:rPr>
        <w:t>”</w:t>
      </w:r>
      <w:r w:rsidR="00F43AD2" w:rsidRPr="00E342A1">
        <w:rPr>
          <w:rFonts w:ascii="Arial" w:hAnsi="Arial" w:cs="Arial"/>
          <w:sz w:val="20"/>
          <w:szCs w:val="20"/>
        </w:rPr>
        <w:t xml:space="preserve"> (Frederiksen, 1980). </w:t>
      </w:r>
    </w:p>
    <w:p w14:paraId="7E089781" w14:textId="77777777" w:rsidR="00F43AD2" w:rsidRPr="002E2CCC" w:rsidRDefault="000C6890" w:rsidP="00366F55">
      <w:pPr>
        <w:pStyle w:val="BodyText"/>
        <w:spacing w:line="360" w:lineRule="auto"/>
        <w:ind w:right="-240" w:firstLine="1000"/>
        <w:rPr>
          <w:rFonts w:ascii="Arial" w:hAnsi="Arial" w:cs="Arial"/>
          <w:sz w:val="20"/>
          <w:szCs w:val="20"/>
        </w:rPr>
      </w:pPr>
      <w:bookmarkStart w:id="0" w:name="_GoBack"/>
      <w:bookmarkEnd w:id="0"/>
      <w:r w:rsidRPr="002E2CCC">
        <w:rPr>
          <w:rFonts w:ascii="Arial" w:hAnsi="Arial" w:cs="Arial"/>
          <w:i/>
          <w:iCs/>
          <w:sz w:val="20"/>
          <w:szCs w:val="20"/>
        </w:rPr>
        <w:t xml:space="preserve">E. </w:t>
      </w:r>
      <w:proofErr w:type="spellStart"/>
      <w:r w:rsidRPr="002E2CCC">
        <w:rPr>
          <w:rFonts w:ascii="Arial" w:hAnsi="Arial" w:cs="Arial"/>
          <w:i/>
          <w:iCs/>
          <w:sz w:val="20"/>
          <w:szCs w:val="20"/>
        </w:rPr>
        <w:t>turcicum</w:t>
      </w:r>
      <w:proofErr w:type="spellEnd"/>
      <w:r w:rsidRPr="002E2CCC">
        <w:rPr>
          <w:rFonts w:ascii="Arial" w:hAnsi="Arial" w:cs="Arial"/>
          <w:sz w:val="20"/>
          <w:szCs w:val="20"/>
        </w:rPr>
        <w:t xml:space="preserve"> is a </w:t>
      </w:r>
      <w:proofErr w:type="spellStart"/>
      <w:r w:rsidRPr="002E2CCC">
        <w:rPr>
          <w:rFonts w:ascii="Arial" w:hAnsi="Arial" w:cs="Arial"/>
          <w:sz w:val="20"/>
          <w:szCs w:val="20"/>
        </w:rPr>
        <w:t>hemibiotrophic</w:t>
      </w:r>
      <w:proofErr w:type="spellEnd"/>
      <w:r w:rsidRPr="002E2CCC">
        <w:rPr>
          <w:rFonts w:ascii="Arial" w:hAnsi="Arial" w:cs="Arial"/>
          <w:sz w:val="20"/>
          <w:szCs w:val="20"/>
        </w:rPr>
        <w:t xml:space="preserve"> foliar pathogen of sorghum, teosinte, maize, </w:t>
      </w:r>
      <w:proofErr w:type="spellStart"/>
      <w:r w:rsidRPr="002E2CCC">
        <w:rPr>
          <w:rFonts w:ascii="Arial" w:hAnsi="Arial" w:cs="Arial"/>
          <w:sz w:val="20"/>
          <w:szCs w:val="20"/>
        </w:rPr>
        <w:t>Paspalum</w:t>
      </w:r>
      <w:proofErr w:type="spellEnd"/>
      <w:r w:rsidRPr="002E2CCC">
        <w:rPr>
          <w:rFonts w:ascii="Arial" w:hAnsi="Arial" w:cs="Arial"/>
          <w:sz w:val="20"/>
          <w:szCs w:val="20"/>
        </w:rPr>
        <w:t xml:space="preserve">, Triticum, </w:t>
      </w:r>
      <w:proofErr w:type="spellStart"/>
      <w:r w:rsidRPr="002E2CCC">
        <w:rPr>
          <w:rFonts w:ascii="Arial" w:hAnsi="Arial" w:cs="Arial"/>
          <w:sz w:val="20"/>
          <w:szCs w:val="20"/>
        </w:rPr>
        <w:t>Hordeum</w:t>
      </w:r>
      <w:proofErr w:type="spellEnd"/>
      <w:r w:rsidRPr="002E2CCC">
        <w:rPr>
          <w:rFonts w:ascii="Arial" w:hAnsi="Arial" w:cs="Arial"/>
          <w:sz w:val="20"/>
          <w:szCs w:val="20"/>
        </w:rPr>
        <w:t xml:space="preserve">, </w:t>
      </w:r>
      <w:proofErr w:type="spellStart"/>
      <w:r w:rsidRPr="002E2CCC">
        <w:rPr>
          <w:rFonts w:ascii="Arial" w:hAnsi="Arial" w:cs="Arial"/>
          <w:sz w:val="20"/>
          <w:szCs w:val="20"/>
        </w:rPr>
        <w:t>Avena</w:t>
      </w:r>
      <w:proofErr w:type="spellEnd"/>
      <w:r w:rsidRPr="002E2CCC">
        <w:rPr>
          <w:rFonts w:ascii="Arial" w:hAnsi="Arial" w:cs="Arial"/>
          <w:sz w:val="20"/>
          <w:szCs w:val="20"/>
        </w:rPr>
        <w:t xml:space="preserve">, Oryza and Saccharum (Frederiksen, 1980; Bunker and Mathur, 2006). The pathogen was reported to be seed borne and survive both in time and space (Nobel and Richardson, 1968; Chidambaram et al., 1973; Ahmed and Reddy, 1993).  Its innate ability for chlamydospore (modified cells in conidia) production enables it to persist over time in crop debris (Shree and Luke, 1983). Soil inoculum results in seed rot and seedling blight when the soil temperature is low. Warm climate and high relative humidity (RH) </w:t>
      </w:r>
      <w:proofErr w:type="spellStart"/>
      <w:r w:rsidRPr="002E2CCC">
        <w:rPr>
          <w:rFonts w:ascii="Arial" w:hAnsi="Arial" w:cs="Arial"/>
          <w:sz w:val="20"/>
          <w:szCs w:val="20"/>
        </w:rPr>
        <w:t>favours</w:t>
      </w:r>
      <w:proofErr w:type="spellEnd"/>
      <w:r w:rsidRPr="002E2CCC">
        <w:rPr>
          <w:rFonts w:ascii="Arial" w:hAnsi="Arial" w:cs="Arial"/>
          <w:sz w:val="20"/>
          <w:szCs w:val="20"/>
        </w:rPr>
        <w:t xml:space="preserve"> the pathogen to multiply in </w:t>
      </w:r>
      <w:proofErr w:type="spellStart"/>
      <w:r w:rsidRPr="002E2CCC">
        <w:rPr>
          <w:rFonts w:ascii="Arial" w:hAnsi="Arial" w:cs="Arial"/>
          <w:sz w:val="20"/>
          <w:szCs w:val="20"/>
        </w:rPr>
        <w:t>polycylic</w:t>
      </w:r>
      <w:proofErr w:type="spellEnd"/>
      <w:r w:rsidRPr="002E2CCC">
        <w:rPr>
          <w:rFonts w:ascii="Arial" w:hAnsi="Arial" w:cs="Arial"/>
          <w:sz w:val="20"/>
          <w:szCs w:val="20"/>
        </w:rPr>
        <w:t xml:space="preserve"> manner on the leaves of susceptible cultivar producing peculiar </w:t>
      </w:r>
      <w:proofErr w:type="spellStart"/>
      <w:r w:rsidRPr="002E2CCC">
        <w:rPr>
          <w:rFonts w:ascii="Arial" w:hAnsi="Arial" w:cs="Arial"/>
          <w:sz w:val="20"/>
          <w:szCs w:val="20"/>
        </w:rPr>
        <w:t>localised</w:t>
      </w:r>
      <w:proofErr w:type="spellEnd"/>
      <w:r w:rsidRPr="002E2CCC">
        <w:rPr>
          <w:rFonts w:ascii="Arial" w:hAnsi="Arial" w:cs="Arial"/>
          <w:sz w:val="20"/>
          <w:szCs w:val="20"/>
        </w:rPr>
        <w:t xml:space="preserve"> wilt lesions that turns to elongated cigar shaped lesions. When infection occurs at pre-flowering stage in susceptible cultivars, grain yield losses of up to 50% may occur (Frederiksen, 1980). Low fertilizer, narrow spacing, monocropping further intensifies the incidence with varied severity depending on the existing pathotypes (</w:t>
      </w:r>
      <w:proofErr w:type="spellStart"/>
      <w:r w:rsidRPr="002E2CCC">
        <w:rPr>
          <w:rFonts w:ascii="Arial" w:hAnsi="Arial" w:cs="Arial"/>
          <w:sz w:val="20"/>
          <w:szCs w:val="20"/>
        </w:rPr>
        <w:t>Ogolla</w:t>
      </w:r>
      <w:proofErr w:type="spellEnd"/>
      <w:r w:rsidRPr="002E2CCC">
        <w:rPr>
          <w:rFonts w:ascii="Arial" w:hAnsi="Arial" w:cs="Arial"/>
          <w:sz w:val="20"/>
          <w:szCs w:val="20"/>
        </w:rPr>
        <w:t xml:space="preserve"> et al., 2019).</w:t>
      </w:r>
    </w:p>
    <w:p w14:paraId="2AA92700" w14:textId="77777777" w:rsidR="00190C0B" w:rsidRPr="00E342A1" w:rsidRDefault="00F43AD2" w:rsidP="00190C0B">
      <w:pPr>
        <w:pStyle w:val="BodyText"/>
        <w:spacing w:line="360" w:lineRule="auto"/>
        <w:ind w:right="-240" w:firstLine="1000"/>
        <w:rPr>
          <w:rFonts w:ascii="Arial" w:hAnsi="Arial" w:cs="Arial"/>
          <w:sz w:val="20"/>
          <w:szCs w:val="20"/>
        </w:rPr>
      </w:pPr>
      <w:r w:rsidRPr="00E342A1">
        <w:rPr>
          <w:rFonts w:ascii="Arial" w:hAnsi="Arial" w:cs="Arial"/>
          <w:i/>
          <w:iCs/>
          <w:sz w:val="20"/>
          <w:szCs w:val="20"/>
        </w:rPr>
        <w:t xml:space="preserve">E. </w:t>
      </w:r>
      <w:proofErr w:type="spellStart"/>
      <w:r w:rsidRPr="00E342A1">
        <w:rPr>
          <w:rFonts w:ascii="Arial" w:hAnsi="Arial" w:cs="Arial"/>
          <w:i/>
          <w:iCs/>
          <w:sz w:val="20"/>
          <w:szCs w:val="20"/>
        </w:rPr>
        <w:t>turcicum</w:t>
      </w:r>
      <w:proofErr w:type="spellEnd"/>
      <w:r w:rsidRPr="00E342A1">
        <w:rPr>
          <w:rFonts w:ascii="Arial" w:hAnsi="Arial" w:cs="Arial"/>
          <w:sz w:val="20"/>
          <w:szCs w:val="20"/>
        </w:rPr>
        <w:t xml:space="preserve"> has a complex life cycle that includes both sexual and asexual stages. The asexual stage, characterized by the production of conidia, is the primary means of disease spread. These conidia can be carried by wind or rain to healthy plants, where they germinate and infect the leaves. The sexual stage, which involves the formation of ascospores, occurs under specific environmental conditions and contributes to the long-term survival of the pathogen. The pathogen can persist on plant debris in the soil or on infected plant material, making crop rotation and proper field sanitation important aspects of disease management.</w:t>
      </w:r>
      <w:r w:rsidR="00190C0B" w:rsidRPr="00E342A1">
        <w:rPr>
          <w:rFonts w:ascii="Arial" w:hAnsi="Arial" w:cs="Arial"/>
          <w:sz w:val="20"/>
          <w:szCs w:val="20"/>
        </w:rPr>
        <w:t xml:space="preserve"> By considering the severity of the disease, this experiment has been carried out effective and environment friendly management strategies. </w:t>
      </w:r>
    </w:p>
    <w:p w14:paraId="3E625823" w14:textId="77777777" w:rsidR="006348F2" w:rsidRDefault="006348F2" w:rsidP="000F6F40">
      <w:pPr>
        <w:pStyle w:val="BodyText"/>
        <w:spacing w:line="360" w:lineRule="auto"/>
        <w:ind w:right="-240"/>
        <w:rPr>
          <w:rFonts w:ascii="Arial" w:hAnsi="Arial" w:cs="Arial"/>
          <w:b/>
          <w:bCs/>
          <w:sz w:val="22"/>
          <w:szCs w:val="22"/>
        </w:rPr>
      </w:pPr>
    </w:p>
    <w:p w14:paraId="3649FDA6" w14:textId="0714A749" w:rsidR="00190C0B" w:rsidRPr="00E342A1" w:rsidRDefault="00190C0B" w:rsidP="000F6F40">
      <w:pPr>
        <w:pStyle w:val="BodyText"/>
        <w:spacing w:line="360" w:lineRule="auto"/>
        <w:ind w:right="-240"/>
        <w:rPr>
          <w:rFonts w:ascii="Arial" w:hAnsi="Arial" w:cs="Arial"/>
          <w:sz w:val="22"/>
          <w:szCs w:val="22"/>
        </w:rPr>
      </w:pPr>
      <w:r w:rsidRPr="00E342A1">
        <w:rPr>
          <w:rFonts w:ascii="Arial" w:hAnsi="Arial" w:cs="Arial"/>
          <w:b/>
          <w:bCs/>
          <w:sz w:val="22"/>
          <w:szCs w:val="22"/>
        </w:rPr>
        <w:t>MATERIALS AND METHODS</w:t>
      </w:r>
    </w:p>
    <w:p w14:paraId="4F948A31" w14:textId="77777777" w:rsidR="00C93DBE" w:rsidRDefault="00C93DBE" w:rsidP="00C93DBE">
      <w:pPr>
        <w:pStyle w:val="BodyText"/>
        <w:spacing w:line="360" w:lineRule="auto"/>
        <w:ind w:right="-240"/>
      </w:pPr>
      <w:r w:rsidRPr="00C93DBE">
        <w:rPr>
          <w:rFonts w:ascii="Arial" w:hAnsi="Arial" w:cs="Arial"/>
          <w:b/>
          <w:bCs/>
          <w:sz w:val="22"/>
          <w:szCs w:val="22"/>
        </w:rPr>
        <w:t xml:space="preserve">Evaluation of Bio-control Agents against Pathogen </w:t>
      </w:r>
      <w:r w:rsidRPr="00C93DBE">
        <w:rPr>
          <w:rFonts w:ascii="Arial" w:hAnsi="Arial" w:cs="Arial"/>
          <w:b/>
          <w:bCs/>
          <w:i/>
          <w:iCs/>
          <w:sz w:val="22"/>
          <w:szCs w:val="22"/>
        </w:rPr>
        <w:t>in vitro</w:t>
      </w:r>
      <w:r w:rsidR="000F6F40">
        <w:tab/>
      </w:r>
    </w:p>
    <w:p w14:paraId="10865F2F" w14:textId="2F60D0B5" w:rsidR="00190C0B" w:rsidRDefault="00190C0B" w:rsidP="00C93DBE">
      <w:pPr>
        <w:pStyle w:val="BodyText"/>
        <w:spacing w:line="360" w:lineRule="auto"/>
        <w:ind w:right="30" w:firstLine="720"/>
        <w:rPr>
          <w:rFonts w:ascii="Arial" w:hAnsi="Arial" w:cs="Arial"/>
          <w:sz w:val="20"/>
          <w:szCs w:val="20"/>
        </w:rPr>
      </w:pPr>
      <w:r w:rsidRPr="00E342A1">
        <w:rPr>
          <w:rFonts w:ascii="Arial" w:hAnsi="Arial" w:cs="Arial"/>
          <w:sz w:val="20"/>
          <w:szCs w:val="20"/>
        </w:rPr>
        <w:t>Antagonistic effect of different bio agents were tested by dual culture technique for their efficacy against pathogen (Dennis and Webster, 1971). Seven days old culture of the bio agents and the pathogen were employed by following dual culture method. Mycelial disc of five mm diameter cut from the periphery of both antagonist and test pathogen and was placed at 50 mm apart from each other in Petri plates of PDA media. In case of bacterial bio-agents, the media was prepared in ratio of 50:50 by mixing PDA and NA media in equal quantity at the time of pouring media in Petri plate and half portion of plates streaked with bacterial bio-agent and five mm diameter mycelial disc of pathogen placed on other side of Petri plates. In control, only test pathogen was kept in the center of Petri plate. The Petri plates were incubated at 27±2</w:t>
      </w:r>
      <w:r w:rsidR="002E2CCC">
        <w:rPr>
          <w:rFonts w:ascii="Arial" w:hAnsi="Arial" w:cs="Arial"/>
        </w:rPr>
        <w:t>˚</w:t>
      </w:r>
      <w:r w:rsidR="002E2CCC" w:rsidRPr="002E2CCC">
        <w:rPr>
          <w:rFonts w:ascii="Arial" w:hAnsi="Arial" w:cs="Arial"/>
        </w:rPr>
        <w:t>c</w:t>
      </w:r>
      <w:r w:rsidR="002E2CCC">
        <w:rPr>
          <w:rFonts w:ascii="Arial" w:hAnsi="Arial" w:cs="Arial"/>
        </w:rPr>
        <w:t xml:space="preserve"> </w:t>
      </w:r>
      <w:r w:rsidRPr="00E342A1">
        <w:rPr>
          <w:rFonts w:ascii="Arial" w:hAnsi="Arial" w:cs="Arial"/>
          <w:sz w:val="20"/>
          <w:szCs w:val="20"/>
        </w:rPr>
        <w:t>in BOD incubator. The observations on mycelial growth (mm) and per cent growth inhibition of test fungi were recorded after seven days of incubation.</w:t>
      </w:r>
    </w:p>
    <w:p w14:paraId="0DFE3856" w14:textId="20D3BDBB" w:rsidR="000C6890" w:rsidRDefault="006348F2" w:rsidP="000F6F40">
      <w:pPr>
        <w:pStyle w:val="BodyText"/>
        <w:spacing w:line="360" w:lineRule="auto"/>
        <w:ind w:right="30"/>
        <w:rPr>
          <w:rFonts w:ascii="Arial" w:hAnsi="Arial" w:cs="Arial"/>
          <w:sz w:val="20"/>
          <w:szCs w:val="20"/>
        </w:rPr>
      </w:pPr>
      <w:r w:rsidRPr="002E2CCC">
        <w:rPr>
          <w:rFonts w:ascii="Arial" w:hAnsi="Arial" w:cs="Arial"/>
          <w:b/>
          <w:bCs/>
          <w:sz w:val="20"/>
          <w:szCs w:val="20"/>
        </w:rPr>
        <w:t>TABLE 1.</w:t>
      </w:r>
      <w:r>
        <w:rPr>
          <w:rFonts w:ascii="Arial" w:hAnsi="Arial" w:cs="Arial"/>
          <w:sz w:val="20"/>
          <w:szCs w:val="20"/>
        </w:rPr>
        <w:t xml:space="preserve"> </w:t>
      </w:r>
      <w:r w:rsidR="007913E7">
        <w:rPr>
          <w:rFonts w:ascii="Arial" w:hAnsi="Arial" w:cs="Arial"/>
          <w:b/>
          <w:bCs/>
          <w:sz w:val="20"/>
          <w:szCs w:val="20"/>
        </w:rPr>
        <w:t>t</w:t>
      </w:r>
      <w:r w:rsidR="00F11B68" w:rsidRPr="00F11B68">
        <w:rPr>
          <w:rFonts w:ascii="Arial" w:hAnsi="Arial" w:cs="Arial"/>
          <w:b/>
          <w:bCs/>
          <w:sz w:val="20"/>
          <w:szCs w:val="20"/>
        </w:rPr>
        <w:t xml:space="preserve">he experimental </w:t>
      </w:r>
      <w:r w:rsidR="007913E7">
        <w:rPr>
          <w:rFonts w:ascii="Arial" w:hAnsi="Arial" w:cs="Arial"/>
          <w:b/>
          <w:bCs/>
          <w:sz w:val="20"/>
          <w:szCs w:val="20"/>
        </w:rPr>
        <w:t>d</w:t>
      </w:r>
      <w:r w:rsidR="00F11B68" w:rsidRPr="00F11B68">
        <w:rPr>
          <w:rFonts w:ascii="Arial" w:hAnsi="Arial" w:cs="Arial"/>
          <w:b/>
          <w:bCs/>
          <w:sz w:val="20"/>
          <w:szCs w:val="20"/>
        </w:rPr>
        <w:t>etails</w:t>
      </w:r>
    </w:p>
    <w:tbl>
      <w:tblPr>
        <w:tblStyle w:val="TableGrid"/>
        <w:tblW w:w="9360" w:type="dxa"/>
        <w:tblInd w:w="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6" w:type="dxa"/>
          <w:right w:w="76" w:type="dxa"/>
        </w:tblCellMar>
        <w:tblLook w:val="04A0" w:firstRow="1" w:lastRow="0" w:firstColumn="1" w:lastColumn="0" w:noHBand="0" w:noVBand="1"/>
      </w:tblPr>
      <w:tblGrid>
        <w:gridCol w:w="775"/>
        <w:gridCol w:w="1748"/>
        <w:gridCol w:w="352"/>
        <w:gridCol w:w="6485"/>
      </w:tblGrid>
      <w:tr w:rsidR="000C6890" w:rsidRPr="00C93DBE" w14:paraId="5A25D32A" w14:textId="77777777" w:rsidTr="000C6890">
        <w:tc>
          <w:tcPr>
            <w:tcW w:w="2523" w:type="dxa"/>
            <w:gridSpan w:val="2"/>
          </w:tcPr>
          <w:p w14:paraId="6CC3FFCD"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lastRenderedPageBreak/>
              <w:t>Location</w:t>
            </w:r>
          </w:p>
        </w:tc>
        <w:tc>
          <w:tcPr>
            <w:tcW w:w="352" w:type="dxa"/>
          </w:tcPr>
          <w:p w14:paraId="36393D08"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w:t>
            </w:r>
          </w:p>
        </w:tc>
        <w:tc>
          <w:tcPr>
            <w:tcW w:w="6485" w:type="dxa"/>
          </w:tcPr>
          <w:p w14:paraId="4CE72290"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PG Research Lab, Dept. of Plant Pathology, NMCA, NAU, Navsari</w:t>
            </w:r>
          </w:p>
        </w:tc>
      </w:tr>
      <w:tr w:rsidR="000C6890" w:rsidRPr="00C93DBE" w14:paraId="7B7012DA" w14:textId="77777777" w:rsidTr="000C6890">
        <w:tc>
          <w:tcPr>
            <w:tcW w:w="2523" w:type="dxa"/>
            <w:gridSpan w:val="2"/>
          </w:tcPr>
          <w:p w14:paraId="7822DED3"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Experimental Details</w:t>
            </w:r>
          </w:p>
        </w:tc>
        <w:tc>
          <w:tcPr>
            <w:tcW w:w="352" w:type="dxa"/>
          </w:tcPr>
          <w:p w14:paraId="6CCB4C6C"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w:t>
            </w:r>
          </w:p>
        </w:tc>
        <w:tc>
          <w:tcPr>
            <w:tcW w:w="6485" w:type="dxa"/>
          </w:tcPr>
          <w:p w14:paraId="4E3FAA2B"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p>
        </w:tc>
      </w:tr>
      <w:tr w:rsidR="000C6890" w:rsidRPr="00C93DBE" w14:paraId="6D8A84EA" w14:textId="77777777" w:rsidTr="000C6890">
        <w:tc>
          <w:tcPr>
            <w:tcW w:w="775" w:type="dxa"/>
          </w:tcPr>
          <w:p w14:paraId="1590303B"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(a)</w:t>
            </w:r>
          </w:p>
        </w:tc>
        <w:tc>
          <w:tcPr>
            <w:tcW w:w="1748" w:type="dxa"/>
            <w:vAlign w:val="center"/>
          </w:tcPr>
          <w:p w14:paraId="579704CC"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Treatments</w:t>
            </w:r>
          </w:p>
        </w:tc>
        <w:tc>
          <w:tcPr>
            <w:tcW w:w="352" w:type="dxa"/>
          </w:tcPr>
          <w:p w14:paraId="579FFD3F"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w:t>
            </w:r>
          </w:p>
        </w:tc>
        <w:tc>
          <w:tcPr>
            <w:tcW w:w="6485" w:type="dxa"/>
            <w:vAlign w:val="center"/>
          </w:tcPr>
          <w:p w14:paraId="2FC32C62"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6</w:t>
            </w:r>
          </w:p>
        </w:tc>
      </w:tr>
      <w:tr w:rsidR="000C6890" w:rsidRPr="00C93DBE" w14:paraId="5B2D605D" w14:textId="77777777" w:rsidTr="000C6890">
        <w:tc>
          <w:tcPr>
            <w:tcW w:w="775" w:type="dxa"/>
          </w:tcPr>
          <w:p w14:paraId="7619F2A0"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(b)</w:t>
            </w:r>
          </w:p>
        </w:tc>
        <w:tc>
          <w:tcPr>
            <w:tcW w:w="1748" w:type="dxa"/>
            <w:vAlign w:val="center"/>
          </w:tcPr>
          <w:p w14:paraId="5C7DDA6F"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Repetition</w:t>
            </w:r>
          </w:p>
        </w:tc>
        <w:tc>
          <w:tcPr>
            <w:tcW w:w="352" w:type="dxa"/>
          </w:tcPr>
          <w:p w14:paraId="6331CD55"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w:t>
            </w:r>
          </w:p>
        </w:tc>
        <w:tc>
          <w:tcPr>
            <w:tcW w:w="6485" w:type="dxa"/>
            <w:vAlign w:val="center"/>
          </w:tcPr>
          <w:p w14:paraId="089F1D22"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4</w:t>
            </w:r>
          </w:p>
        </w:tc>
      </w:tr>
      <w:tr w:rsidR="000C6890" w:rsidRPr="00C93DBE" w14:paraId="0881D6C2" w14:textId="77777777" w:rsidTr="000C6890">
        <w:tc>
          <w:tcPr>
            <w:tcW w:w="775" w:type="dxa"/>
          </w:tcPr>
          <w:p w14:paraId="76D6C6C5"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(c)</w:t>
            </w:r>
          </w:p>
        </w:tc>
        <w:tc>
          <w:tcPr>
            <w:tcW w:w="1748" w:type="dxa"/>
            <w:vAlign w:val="center"/>
          </w:tcPr>
          <w:p w14:paraId="28945E7E"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Design</w:t>
            </w:r>
          </w:p>
        </w:tc>
        <w:tc>
          <w:tcPr>
            <w:tcW w:w="352" w:type="dxa"/>
          </w:tcPr>
          <w:p w14:paraId="5EF9C30A"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w:t>
            </w:r>
          </w:p>
        </w:tc>
        <w:tc>
          <w:tcPr>
            <w:tcW w:w="6485" w:type="dxa"/>
            <w:vAlign w:val="center"/>
          </w:tcPr>
          <w:p w14:paraId="2EBC4A79"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CRD</w:t>
            </w:r>
          </w:p>
        </w:tc>
      </w:tr>
    </w:tbl>
    <w:p w14:paraId="781878EF" w14:textId="77777777" w:rsidR="000C6890" w:rsidRPr="00E342A1" w:rsidRDefault="000C6890" w:rsidP="000F6F40">
      <w:pPr>
        <w:pStyle w:val="BodyText"/>
        <w:spacing w:line="360" w:lineRule="auto"/>
        <w:ind w:right="30"/>
        <w:rPr>
          <w:rFonts w:ascii="Arial" w:hAnsi="Arial" w:cs="Arial"/>
          <w:sz w:val="20"/>
          <w:szCs w:val="20"/>
        </w:rPr>
      </w:pPr>
    </w:p>
    <w:p w14:paraId="5DE46C52" w14:textId="77777777" w:rsidR="00190C0B" w:rsidRPr="00E342A1" w:rsidRDefault="00190C0B" w:rsidP="000F6F40">
      <w:pPr>
        <w:adjustRightInd w:val="0"/>
        <w:spacing w:after="0" w:line="360" w:lineRule="auto"/>
        <w:ind w:right="37" w:firstLine="720"/>
        <w:mirrorIndents/>
        <w:jc w:val="both"/>
        <w:rPr>
          <w:rFonts w:ascii="Arial" w:hAnsi="Arial" w:cs="Arial"/>
          <w:sz w:val="20"/>
          <w:szCs w:val="20"/>
        </w:rPr>
      </w:pPr>
      <w:r w:rsidRPr="00E342A1">
        <w:rPr>
          <w:rFonts w:ascii="Arial" w:hAnsi="Arial" w:cs="Arial"/>
          <w:sz w:val="20"/>
          <w:szCs w:val="20"/>
        </w:rPr>
        <w:t>The observations on mycelial growth (mm) and per cent growth inhibition of test fungi was recorded after seven days of incubation. The per cent growth inhibition (PGI) of pathogen in each treatment were calculated by following formula (</w:t>
      </w:r>
      <w:proofErr w:type="spellStart"/>
      <w:r w:rsidRPr="00E342A1">
        <w:rPr>
          <w:rFonts w:ascii="Arial" w:hAnsi="Arial" w:cs="Arial"/>
          <w:sz w:val="20"/>
          <w:szCs w:val="20"/>
        </w:rPr>
        <w:t>Asalmol</w:t>
      </w:r>
      <w:proofErr w:type="spellEnd"/>
      <w:r w:rsidRPr="00E342A1">
        <w:rPr>
          <w:rFonts w:ascii="Arial" w:hAnsi="Arial" w:cs="Arial"/>
          <w:sz w:val="20"/>
          <w:szCs w:val="20"/>
        </w:rPr>
        <w:t xml:space="preserve"> </w:t>
      </w:r>
      <w:r w:rsidRPr="002E2CCC">
        <w:rPr>
          <w:rFonts w:ascii="Arial" w:hAnsi="Arial" w:cs="Arial"/>
          <w:sz w:val="20"/>
          <w:szCs w:val="20"/>
        </w:rPr>
        <w:t>et al.,</w:t>
      </w:r>
      <w:r w:rsidRPr="00E342A1">
        <w:rPr>
          <w:rFonts w:ascii="Arial" w:hAnsi="Arial" w:cs="Arial"/>
          <w:sz w:val="20"/>
          <w:szCs w:val="20"/>
        </w:rPr>
        <w:t xml:space="preserve"> 1990).</w:t>
      </w:r>
    </w:p>
    <w:p w14:paraId="1F1C7D9A" w14:textId="77777777" w:rsidR="00190C0B" w:rsidRPr="00E342A1" w:rsidRDefault="00190C0B" w:rsidP="00190C0B">
      <w:pPr>
        <w:adjustRightInd w:val="0"/>
        <w:spacing w:line="360" w:lineRule="auto"/>
        <w:ind w:right="37"/>
        <w:mirrorIndents/>
        <w:jc w:val="both"/>
        <w:rPr>
          <w:rFonts w:ascii="Arial" w:hAnsi="Arial" w:cs="Arial"/>
          <w:i/>
          <w:iCs/>
          <w:sz w:val="20"/>
          <w:szCs w:val="20"/>
        </w:rPr>
      </w:pPr>
      <m:oMathPara>
        <m:oMath>
          <m:r>
            <w:rPr>
              <w:rFonts w:ascii="Cambria Math" w:hAnsi="Cambria Math" w:cs="Arial"/>
              <w:sz w:val="20"/>
              <w:szCs w:val="20"/>
            </w:rPr>
            <m:t>I=</m:t>
          </m:r>
          <m:f>
            <m:fPr>
              <m:ctrlPr>
                <w:rPr>
                  <w:rFonts w:ascii="Cambria Math" w:hAnsi="Cambria Math" w:cs="Arial"/>
                  <w:i/>
                  <w:iCs/>
                  <w:sz w:val="20"/>
                  <w:szCs w:val="20"/>
                </w:rPr>
              </m:ctrlPr>
            </m:fPr>
            <m:num>
              <m:r>
                <w:rPr>
                  <w:rFonts w:ascii="Cambria Math" w:hAnsi="Cambria Math" w:cs="Arial"/>
                  <w:sz w:val="20"/>
                  <w:szCs w:val="20"/>
                </w:rPr>
                <m:t>C-T</m:t>
              </m:r>
            </m:num>
            <m:den>
              <m:r>
                <w:rPr>
                  <w:rFonts w:ascii="Cambria Math" w:hAnsi="Cambria Math" w:cs="Arial"/>
                  <w:sz w:val="20"/>
                  <w:szCs w:val="20"/>
                </w:rPr>
                <m:t>C</m:t>
              </m:r>
            </m:den>
          </m:f>
          <m:r>
            <w:rPr>
              <w:rFonts w:ascii="Cambria Math" w:hAnsi="Cambria Math" w:cs="Arial"/>
              <w:sz w:val="20"/>
              <w:szCs w:val="20"/>
            </w:rPr>
            <m:t>X 100</m:t>
          </m:r>
        </m:oMath>
      </m:oMathPara>
    </w:p>
    <w:p w14:paraId="230B416F" w14:textId="77777777" w:rsidR="00190C0B" w:rsidRPr="00E342A1" w:rsidRDefault="00190C0B" w:rsidP="000F6F40">
      <w:pPr>
        <w:adjustRightInd w:val="0"/>
        <w:spacing w:line="240" w:lineRule="auto"/>
        <w:ind w:right="37" w:firstLine="90"/>
        <w:mirrorIndents/>
        <w:jc w:val="both"/>
        <w:rPr>
          <w:rFonts w:ascii="Arial" w:hAnsi="Arial" w:cs="Arial"/>
          <w:sz w:val="20"/>
          <w:szCs w:val="20"/>
        </w:rPr>
      </w:pPr>
      <w:r w:rsidRPr="00E342A1">
        <w:rPr>
          <w:rFonts w:ascii="Arial" w:hAnsi="Arial" w:cs="Arial"/>
          <w:sz w:val="20"/>
          <w:szCs w:val="20"/>
        </w:rPr>
        <w:t xml:space="preserve">          Where,   </w:t>
      </w:r>
    </w:p>
    <w:p w14:paraId="01D9F38E" w14:textId="77777777" w:rsidR="00190C0B" w:rsidRPr="00E342A1" w:rsidRDefault="00190C0B" w:rsidP="000F6F40">
      <w:pPr>
        <w:adjustRightInd w:val="0"/>
        <w:spacing w:line="240" w:lineRule="auto"/>
        <w:ind w:right="37" w:firstLine="90"/>
        <w:mirrorIndents/>
        <w:jc w:val="both"/>
        <w:rPr>
          <w:rFonts w:ascii="Arial" w:hAnsi="Arial" w:cs="Arial"/>
          <w:sz w:val="20"/>
          <w:szCs w:val="20"/>
        </w:rPr>
      </w:pPr>
      <w:r w:rsidRPr="00E342A1">
        <w:rPr>
          <w:rFonts w:ascii="Arial" w:hAnsi="Arial" w:cs="Arial"/>
          <w:sz w:val="20"/>
          <w:szCs w:val="20"/>
        </w:rPr>
        <w:t xml:space="preserve">          I = Inhibition per cent</w:t>
      </w:r>
    </w:p>
    <w:p w14:paraId="216132DA" w14:textId="77777777" w:rsidR="00190C0B" w:rsidRPr="00E342A1" w:rsidRDefault="00190C0B" w:rsidP="000F6F40">
      <w:pPr>
        <w:adjustRightInd w:val="0"/>
        <w:spacing w:line="240" w:lineRule="auto"/>
        <w:ind w:right="37" w:firstLine="90"/>
        <w:mirrorIndents/>
        <w:jc w:val="both"/>
        <w:rPr>
          <w:rFonts w:ascii="Arial" w:hAnsi="Arial" w:cs="Arial"/>
          <w:sz w:val="20"/>
          <w:szCs w:val="20"/>
        </w:rPr>
      </w:pPr>
      <w:r w:rsidRPr="00E342A1">
        <w:rPr>
          <w:rFonts w:ascii="Arial" w:hAnsi="Arial" w:cs="Arial"/>
          <w:sz w:val="20"/>
          <w:szCs w:val="20"/>
        </w:rPr>
        <w:t xml:space="preserve">         C = Colony diameter (mm) in control plate</w:t>
      </w:r>
    </w:p>
    <w:p w14:paraId="28E8ABBE" w14:textId="77777777" w:rsidR="00190C0B" w:rsidRDefault="00190C0B" w:rsidP="000F6F40">
      <w:pPr>
        <w:adjustRightInd w:val="0"/>
        <w:spacing w:line="240" w:lineRule="auto"/>
        <w:ind w:right="37" w:firstLine="90"/>
        <w:mirrorIndents/>
        <w:jc w:val="both"/>
        <w:rPr>
          <w:rFonts w:ascii="Arial" w:hAnsi="Arial" w:cs="Arial"/>
          <w:sz w:val="20"/>
          <w:szCs w:val="20"/>
        </w:rPr>
      </w:pPr>
      <w:r w:rsidRPr="00E342A1">
        <w:rPr>
          <w:rFonts w:ascii="Arial" w:hAnsi="Arial" w:cs="Arial"/>
          <w:sz w:val="20"/>
          <w:szCs w:val="20"/>
        </w:rPr>
        <w:t xml:space="preserve">         T = Colony diameter (mm) in treated plate</w:t>
      </w:r>
    </w:p>
    <w:p w14:paraId="01115AA4" w14:textId="2E43212D" w:rsidR="00C93DBE" w:rsidRDefault="006348F2" w:rsidP="00C93DBE">
      <w:pPr>
        <w:pStyle w:val="BodyText"/>
        <w:spacing w:line="360" w:lineRule="auto"/>
        <w:ind w:right="-240"/>
        <w:rPr>
          <w:rFonts w:ascii="Arial" w:hAnsi="Arial" w:cs="Arial"/>
          <w:b/>
          <w:bCs/>
          <w:i/>
          <w:iCs/>
          <w:sz w:val="22"/>
          <w:szCs w:val="22"/>
        </w:rPr>
      </w:pPr>
      <w:r>
        <w:rPr>
          <w:rFonts w:ascii="Arial" w:hAnsi="Arial" w:cs="Arial"/>
          <w:b/>
          <w:bCs/>
          <w:sz w:val="22"/>
          <w:szCs w:val="22"/>
        </w:rPr>
        <w:t xml:space="preserve">TABLE 2. </w:t>
      </w:r>
      <w:r w:rsidR="00C93DBE" w:rsidRPr="00C93DBE">
        <w:rPr>
          <w:rFonts w:ascii="Arial" w:hAnsi="Arial" w:cs="Arial"/>
          <w:b/>
          <w:bCs/>
          <w:sz w:val="22"/>
          <w:szCs w:val="22"/>
        </w:rPr>
        <w:t xml:space="preserve">Evaluation of Different Fungicides against </w:t>
      </w:r>
      <w:proofErr w:type="spellStart"/>
      <w:r w:rsidR="00C93DBE" w:rsidRPr="002E2CCC">
        <w:rPr>
          <w:rFonts w:ascii="Arial" w:hAnsi="Arial" w:cs="Arial"/>
          <w:b/>
          <w:bCs/>
          <w:i/>
          <w:iCs/>
          <w:sz w:val="22"/>
          <w:szCs w:val="22"/>
        </w:rPr>
        <w:t>Exserohilum</w:t>
      </w:r>
      <w:proofErr w:type="spellEnd"/>
      <w:r w:rsidR="00C93DBE" w:rsidRPr="002E2CCC">
        <w:rPr>
          <w:rFonts w:ascii="Arial" w:hAnsi="Arial" w:cs="Arial"/>
          <w:b/>
          <w:bCs/>
          <w:i/>
          <w:iCs/>
          <w:sz w:val="22"/>
          <w:szCs w:val="22"/>
        </w:rPr>
        <w:t xml:space="preserve"> </w:t>
      </w:r>
      <w:proofErr w:type="spellStart"/>
      <w:r w:rsidR="00C93DBE" w:rsidRPr="002E2CCC">
        <w:rPr>
          <w:rFonts w:ascii="Arial" w:hAnsi="Arial" w:cs="Arial"/>
          <w:b/>
          <w:bCs/>
          <w:i/>
          <w:iCs/>
          <w:sz w:val="22"/>
          <w:szCs w:val="22"/>
        </w:rPr>
        <w:t>turcicum</w:t>
      </w:r>
      <w:proofErr w:type="spellEnd"/>
      <w:r w:rsidR="00C93DBE" w:rsidRPr="00C93DBE">
        <w:rPr>
          <w:rFonts w:ascii="Arial" w:hAnsi="Arial" w:cs="Arial"/>
          <w:b/>
          <w:bCs/>
          <w:sz w:val="22"/>
          <w:szCs w:val="22"/>
        </w:rPr>
        <w:t xml:space="preserve"> </w:t>
      </w:r>
      <w:r w:rsidR="00C93DBE" w:rsidRPr="00C93DBE">
        <w:rPr>
          <w:rFonts w:ascii="Arial" w:hAnsi="Arial" w:cs="Arial"/>
          <w:b/>
          <w:bCs/>
          <w:i/>
          <w:iCs/>
          <w:sz w:val="22"/>
          <w:szCs w:val="22"/>
        </w:rPr>
        <w:t>in vitro</w:t>
      </w:r>
    </w:p>
    <w:p w14:paraId="11CEE50D" w14:textId="77777777" w:rsidR="00C93DBE" w:rsidRPr="00C93DBE" w:rsidRDefault="00C93DBE" w:rsidP="00C93DBE">
      <w:pPr>
        <w:pStyle w:val="BodyText"/>
        <w:spacing w:line="360" w:lineRule="auto"/>
        <w:ind w:right="-240"/>
        <w:rPr>
          <w:rFonts w:ascii="Arial" w:hAnsi="Arial" w:cs="Arial"/>
          <w:b/>
          <w:bCs/>
          <w:sz w:val="22"/>
          <w:szCs w:val="22"/>
        </w:rPr>
      </w:pPr>
    </w:p>
    <w:tbl>
      <w:tblPr>
        <w:tblStyle w:val="TableGrid"/>
        <w:tblW w:w="9360" w:type="dxa"/>
        <w:tblInd w:w="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6" w:type="dxa"/>
          <w:right w:w="76" w:type="dxa"/>
        </w:tblCellMar>
        <w:tblLook w:val="04A0" w:firstRow="1" w:lastRow="0" w:firstColumn="1" w:lastColumn="0" w:noHBand="0" w:noVBand="1"/>
      </w:tblPr>
      <w:tblGrid>
        <w:gridCol w:w="957"/>
        <w:gridCol w:w="1750"/>
        <w:gridCol w:w="322"/>
        <w:gridCol w:w="6331"/>
      </w:tblGrid>
      <w:tr w:rsidR="00C93DBE" w:rsidRPr="00B12582" w14:paraId="1EB8B3E4" w14:textId="77777777" w:rsidTr="00C93DBE">
        <w:tc>
          <w:tcPr>
            <w:tcW w:w="2707" w:type="dxa"/>
            <w:gridSpan w:val="2"/>
          </w:tcPr>
          <w:p w14:paraId="4935E24A"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Location</w:t>
            </w:r>
          </w:p>
        </w:tc>
        <w:tc>
          <w:tcPr>
            <w:tcW w:w="322" w:type="dxa"/>
          </w:tcPr>
          <w:p w14:paraId="33370990"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w:t>
            </w:r>
          </w:p>
        </w:tc>
        <w:tc>
          <w:tcPr>
            <w:tcW w:w="6331" w:type="dxa"/>
          </w:tcPr>
          <w:p w14:paraId="61769ED8" w14:textId="77777777" w:rsidR="00C93DBE" w:rsidRPr="002E2CCC" w:rsidRDefault="00C93DBE" w:rsidP="00C93DBE">
            <w:pPr>
              <w:pStyle w:val="ListParagraph"/>
              <w:spacing w:line="360" w:lineRule="auto"/>
              <w:ind w:left="0" w:right="37" w:firstLine="90"/>
              <w:mirrorIndents/>
              <w:jc w:val="center"/>
              <w:rPr>
                <w:rFonts w:ascii="Arial" w:hAnsi="Arial" w:cs="Arial"/>
                <w:sz w:val="20"/>
                <w:szCs w:val="20"/>
              </w:rPr>
            </w:pPr>
            <w:r w:rsidRPr="002E2CCC">
              <w:rPr>
                <w:rFonts w:ascii="Arial" w:hAnsi="Arial" w:cs="Arial"/>
                <w:sz w:val="20"/>
                <w:szCs w:val="20"/>
              </w:rPr>
              <w:t>PG Research Lab, Dept. of Plant Pathology, NMCA, NAU, Navsari</w:t>
            </w:r>
          </w:p>
        </w:tc>
      </w:tr>
      <w:tr w:rsidR="00C93DBE" w:rsidRPr="00B12582" w14:paraId="4B11A077" w14:textId="77777777" w:rsidTr="00C93DBE">
        <w:tc>
          <w:tcPr>
            <w:tcW w:w="2707" w:type="dxa"/>
            <w:gridSpan w:val="2"/>
          </w:tcPr>
          <w:p w14:paraId="2ED9E920"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Experimental Details</w:t>
            </w:r>
          </w:p>
        </w:tc>
        <w:tc>
          <w:tcPr>
            <w:tcW w:w="322" w:type="dxa"/>
          </w:tcPr>
          <w:p w14:paraId="78D14C69"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w:t>
            </w:r>
          </w:p>
        </w:tc>
        <w:tc>
          <w:tcPr>
            <w:tcW w:w="6331" w:type="dxa"/>
          </w:tcPr>
          <w:p w14:paraId="106D458B" w14:textId="77777777" w:rsidR="00C93DBE" w:rsidRPr="002E2CCC" w:rsidRDefault="00C93DBE" w:rsidP="00C93DBE">
            <w:pPr>
              <w:pStyle w:val="ListParagraph"/>
              <w:spacing w:line="360" w:lineRule="auto"/>
              <w:ind w:left="0" w:right="37" w:firstLine="90"/>
              <w:mirrorIndents/>
              <w:jc w:val="center"/>
              <w:rPr>
                <w:rFonts w:ascii="Arial" w:hAnsi="Arial" w:cs="Arial"/>
                <w:sz w:val="20"/>
                <w:szCs w:val="20"/>
              </w:rPr>
            </w:pPr>
          </w:p>
        </w:tc>
      </w:tr>
      <w:tr w:rsidR="00C93DBE" w:rsidRPr="00B12582" w14:paraId="3173FC0F" w14:textId="77777777" w:rsidTr="00C93DBE">
        <w:tc>
          <w:tcPr>
            <w:tcW w:w="957" w:type="dxa"/>
          </w:tcPr>
          <w:p w14:paraId="7E45CD31"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(a)</w:t>
            </w:r>
          </w:p>
        </w:tc>
        <w:tc>
          <w:tcPr>
            <w:tcW w:w="1750" w:type="dxa"/>
          </w:tcPr>
          <w:p w14:paraId="56DDDA71"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Treatments</w:t>
            </w:r>
          </w:p>
        </w:tc>
        <w:tc>
          <w:tcPr>
            <w:tcW w:w="322" w:type="dxa"/>
          </w:tcPr>
          <w:p w14:paraId="181214D1"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w:t>
            </w:r>
          </w:p>
        </w:tc>
        <w:tc>
          <w:tcPr>
            <w:tcW w:w="6331" w:type="dxa"/>
          </w:tcPr>
          <w:p w14:paraId="08B561C2" w14:textId="77777777" w:rsidR="00C93DBE" w:rsidRPr="002E2CCC" w:rsidRDefault="00C93DBE" w:rsidP="00C93DBE">
            <w:pPr>
              <w:pStyle w:val="ListParagraph"/>
              <w:spacing w:line="360" w:lineRule="auto"/>
              <w:ind w:left="0" w:right="37" w:firstLine="90"/>
              <w:mirrorIndents/>
              <w:jc w:val="center"/>
              <w:rPr>
                <w:rFonts w:ascii="Arial" w:hAnsi="Arial" w:cs="Arial"/>
                <w:sz w:val="20"/>
                <w:szCs w:val="20"/>
              </w:rPr>
            </w:pPr>
            <w:r w:rsidRPr="002E2CCC">
              <w:rPr>
                <w:rFonts w:ascii="Arial" w:hAnsi="Arial" w:cs="Arial"/>
                <w:sz w:val="20"/>
                <w:szCs w:val="20"/>
              </w:rPr>
              <w:t>34</w:t>
            </w:r>
          </w:p>
        </w:tc>
      </w:tr>
      <w:tr w:rsidR="00C93DBE" w:rsidRPr="00B12582" w14:paraId="4905D581" w14:textId="77777777" w:rsidTr="00C93DBE">
        <w:tc>
          <w:tcPr>
            <w:tcW w:w="957" w:type="dxa"/>
          </w:tcPr>
          <w:p w14:paraId="4999A836"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(b)</w:t>
            </w:r>
          </w:p>
        </w:tc>
        <w:tc>
          <w:tcPr>
            <w:tcW w:w="1750" w:type="dxa"/>
          </w:tcPr>
          <w:p w14:paraId="26D6F483"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Repetition</w:t>
            </w:r>
          </w:p>
        </w:tc>
        <w:tc>
          <w:tcPr>
            <w:tcW w:w="322" w:type="dxa"/>
          </w:tcPr>
          <w:p w14:paraId="1F6F17B7"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w:t>
            </w:r>
          </w:p>
        </w:tc>
        <w:tc>
          <w:tcPr>
            <w:tcW w:w="6331" w:type="dxa"/>
          </w:tcPr>
          <w:p w14:paraId="03ED7DF5" w14:textId="77777777" w:rsidR="00C93DBE" w:rsidRPr="002E2CCC" w:rsidRDefault="00C93DBE" w:rsidP="00C93DBE">
            <w:pPr>
              <w:pStyle w:val="ListParagraph"/>
              <w:spacing w:line="360" w:lineRule="auto"/>
              <w:ind w:left="0" w:right="37" w:firstLine="90"/>
              <w:mirrorIndents/>
              <w:jc w:val="center"/>
              <w:rPr>
                <w:rFonts w:ascii="Arial" w:hAnsi="Arial" w:cs="Arial"/>
                <w:sz w:val="20"/>
                <w:szCs w:val="20"/>
              </w:rPr>
            </w:pPr>
            <w:r w:rsidRPr="002E2CCC">
              <w:rPr>
                <w:rFonts w:ascii="Arial" w:hAnsi="Arial" w:cs="Arial"/>
                <w:sz w:val="20"/>
                <w:szCs w:val="20"/>
              </w:rPr>
              <w:t>3</w:t>
            </w:r>
          </w:p>
        </w:tc>
      </w:tr>
      <w:tr w:rsidR="00C93DBE" w:rsidRPr="00B12582" w14:paraId="5A722059" w14:textId="77777777" w:rsidTr="00C93DBE">
        <w:tc>
          <w:tcPr>
            <w:tcW w:w="957" w:type="dxa"/>
          </w:tcPr>
          <w:p w14:paraId="7FDC83DC"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(c)</w:t>
            </w:r>
          </w:p>
        </w:tc>
        <w:tc>
          <w:tcPr>
            <w:tcW w:w="1750" w:type="dxa"/>
          </w:tcPr>
          <w:p w14:paraId="49BB927F"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 xml:space="preserve">Design </w:t>
            </w:r>
          </w:p>
        </w:tc>
        <w:tc>
          <w:tcPr>
            <w:tcW w:w="322" w:type="dxa"/>
          </w:tcPr>
          <w:p w14:paraId="3BEFEA7A"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w:t>
            </w:r>
          </w:p>
        </w:tc>
        <w:tc>
          <w:tcPr>
            <w:tcW w:w="6331" w:type="dxa"/>
          </w:tcPr>
          <w:p w14:paraId="7E032A13" w14:textId="77777777" w:rsidR="00C93DBE" w:rsidRPr="002E2CCC" w:rsidRDefault="00C93DBE" w:rsidP="00C93DBE">
            <w:pPr>
              <w:pStyle w:val="ListParagraph"/>
              <w:spacing w:line="360" w:lineRule="auto"/>
              <w:ind w:left="0" w:right="37" w:firstLine="90"/>
              <w:mirrorIndents/>
              <w:jc w:val="center"/>
              <w:rPr>
                <w:rFonts w:ascii="Arial" w:hAnsi="Arial" w:cs="Arial"/>
                <w:sz w:val="20"/>
                <w:szCs w:val="20"/>
              </w:rPr>
            </w:pPr>
            <w:r w:rsidRPr="002E2CCC">
              <w:rPr>
                <w:rFonts w:ascii="Arial" w:hAnsi="Arial" w:cs="Arial"/>
                <w:sz w:val="20"/>
                <w:szCs w:val="20"/>
              </w:rPr>
              <w:t>CRD</w:t>
            </w:r>
          </w:p>
        </w:tc>
      </w:tr>
    </w:tbl>
    <w:p w14:paraId="674FE380" w14:textId="77777777" w:rsidR="00C93DBE" w:rsidRPr="00E342A1" w:rsidRDefault="00C93DBE" w:rsidP="000F6F40">
      <w:pPr>
        <w:adjustRightInd w:val="0"/>
        <w:spacing w:line="240" w:lineRule="auto"/>
        <w:ind w:right="37" w:firstLine="90"/>
        <w:mirrorIndents/>
        <w:jc w:val="both"/>
        <w:rPr>
          <w:rFonts w:ascii="Arial" w:hAnsi="Arial" w:cs="Arial"/>
          <w:sz w:val="20"/>
          <w:szCs w:val="20"/>
        </w:rPr>
      </w:pPr>
    </w:p>
    <w:p w14:paraId="7ED79849" w14:textId="77777777" w:rsidR="00C93DBE" w:rsidRPr="00C93DBE" w:rsidRDefault="00C93DBE" w:rsidP="00C93DBE">
      <w:pPr>
        <w:pStyle w:val="BodyText"/>
        <w:spacing w:before="240" w:line="360" w:lineRule="auto"/>
        <w:ind w:right="30" w:firstLine="720"/>
        <w:rPr>
          <w:rFonts w:ascii="Arial" w:hAnsi="Arial" w:cs="Arial"/>
          <w:sz w:val="20"/>
          <w:szCs w:val="20"/>
        </w:rPr>
      </w:pPr>
      <w:r w:rsidRPr="00C93DBE">
        <w:rPr>
          <w:rFonts w:ascii="Arial" w:hAnsi="Arial" w:cs="Arial"/>
          <w:sz w:val="20"/>
          <w:szCs w:val="20"/>
        </w:rPr>
        <w:t xml:space="preserve">Efficacy of different fungicides were studied in vitro by Poisoned Food Technique method (Nene and Thapliyal, 1979) against the pathogen. For that total three replications were taken and statistical analysis was carried out using completely randomized design. Required quantity of each fungicide under study was mixed thoroughly in sterilized PDA media. The medium was supplemented with streptomycin sulphate at 50 ppm to prevent bacterial contamination. The poisoned medium then poured in sterilized Petri plates (20 ml) and allowed it to solidify. The plates were then inoculated with five mm diameter disc of Seven days old culture of test pathogen by placing in the center of the plate. Control was maintained for each set where fungal disc was placed on PDA medium without fungicide. Each </w:t>
      </w:r>
      <w:proofErr w:type="gramStart"/>
      <w:r w:rsidRPr="00C93DBE">
        <w:rPr>
          <w:rFonts w:ascii="Arial" w:hAnsi="Arial" w:cs="Arial"/>
          <w:sz w:val="20"/>
          <w:szCs w:val="20"/>
        </w:rPr>
        <w:t>treatments</w:t>
      </w:r>
      <w:proofErr w:type="gramEnd"/>
      <w:r w:rsidRPr="00C93DBE">
        <w:rPr>
          <w:rFonts w:ascii="Arial" w:hAnsi="Arial" w:cs="Arial"/>
          <w:sz w:val="20"/>
          <w:szCs w:val="20"/>
        </w:rPr>
        <w:t xml:space="preserve"> were repeated thrice. The inoculated plates were then incubated at room temperature. The observations on mycelial growth (mm) and per cent growth inhibition of test fungi were recorded after seven days of incubation.</w:t>
      </w:r>
    </w:p>
    <w:p w14:paraId="2FFA3337"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r w:rsidRPr="00A44882">
        <w:rPr>
          <w:rFonts w:ascii="Arial" w:hAnsi="Arial" w:cs="Arial"/>
          <w:sz w:val="20"/>
          <w:szCs w:val="20"/>
        </w:rPr>
        <w:lastRenderedPageBreak/>
        <w:t>The observations on mycelial growth (mm) and per cent growth inhibition of test fungi were recorded after seven days of incubation. The per cent growth inhibition (PGI) of pathogen in each treatment were calculated by following formula (</w:t>
      </w:r>
      <w:proofErr w:type="spellStart"/>
      <w:r w:rsidRPr="00A44882">
        <w:rPr>
          <w:rFonts w:ascii="Arial" w:hAnsi="Arial" w:cs="Arial"/>
          <w:sz w:val="20"/>
          <w:szCs w:val="20"/>
        </w:rPr>
        <w:t>Asalmol</w:t>
      </w:r>
      <w:proofErr w:type="spellEnd"/>
      <w:r w:rsidRPr="00A44882">
        <w:rPr>
          <w:rFonts w:ascii="Arial" w:hAnsi="Arial" w:cs="Arial"/>
          <w:sz w:val="20"/>
          <w:szCs w:val="20"/>
        </w:rPr>
        <w:t xml:space="preserve"> et al., 1990).</w:t>
      </w:r>
    </w:p>
    <w:p w14:paraId="2C8B80DA"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m:oMathPara>
        <m:oMathParaPr>
          <m:jc m:val="center"/>
        </m:oMathParaPr>
        <m:oMath>
          <m:r>
            <m:rPr>
              <m:sty m:val="p"/>
            </m:rPr>
            <w:rPr>
              <w:rFonts w:ascii="Cambria Math" w:hAnsi="Cambria Math" w:cs="Arial"/>
              <w:sz w:val="20"/>
              <w:szCs w:val="20"/>
            </w:rPr>
            <m:t>I=</m:t>
          </m:r>
          <m:f>
            <m:fPr>
              <m:ctrlPr>
                <w:rPr>
                  <w:rFonts w:ascii="Cambria Math" w:hAnsi="Cambria Math" w:cs="Arial"/>
                  <w:sz w:val="20"/>
                  <w:szCs w:val="20"/>
                </w:rPr>
              </m:ctrlPr>
            </m:fPr>
            <m:num>
              <m:r>
                <m:rPr>
                  <m:sty m:val="p"/>
                </m:rPr>
                <w:rPr>
                  <w:rFonts w:ascii="Cambria Math" w:hAnsi="Cambria Math" w:cs="Arial"/>
                  <w:sz w:val="20"/>
                  <w:szCs w:val="20"/>
                </w:rPr>
                <m:t>C-T</m:t>
              </m:r>
            </m:num>
            <m:den>
              <m:r>
                <m:rPr>
                  <m:sty m:val="p"/>
                </m:rPr>
                <w:rPr>
                  <w:rFonts w:ascii="Cambria Math" w:hAnsi="Cambria Math" w:cs="Arial"/>
                  <w:sz w:val="20"/>
                  <w:szCs w:val="20"/>
                </w:rPr>
                <m:t>C</m:t>
              </m:r>
            </m:den>
          </m:f>
          <m:r>
            <m:rPr>
              <m:sty m:val="p"/>
            </m:rPr>
            <w:rPr>
              <w:rFonts w:ascii="Cambria Math" w:hAnsi="Cambria Math" w:cs="Arial"/>
              <w:sz w:val="20"/>
              <w:szCs w:val="20"/>
            </w:rPr>
            <m:t>X 100</m:t>
          </m:r>
        </m:oMath>
      </m:oMathPara>
    </w:p>
    <w:p w14:paraId="7EDAE3B0"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p>
    <w:p w14:paraId="2E5DD57E"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r w:rsidRPr="00A44882">
        <w:rPr>
          <w:rFonts w:ascii="Arial" w:hAnsi="Arial" w:cs="Arial"/>
          <w:sz w:val="20"/>
          <w:szCs w:val="20"/>
        </w:rPr>
        <w:t xml:space="preserve">          Where,   </w:t>
      </w:r>
    </w:p>
    <w:p w14:paraId="60D414AB"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r w:rsidRPr="00A44882">
        <w:rPr>
          <w:rFonts w:ascii="Arial" w:hAnsi="Arial" w:cs="Arial"/>
          <w:sz w:val="20"/>
          <w:szCs w:val="20"/>
        </w:rPr>
        <w:t xml:space="preserve">          I = Inhibition per cent</w:t>
      </w:r>
    </w:p>
    <w:p w14:paraId="4329D26A"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r w:rsidRPr="00A44882">
        <w:rPr>
          <w:rFonts w:ascii="Arial" w:hAnsi="Arial" w:cs="Arial"/>
          <w:sz w:val="20"/>
          <w:szCs w:val="20"/>
        </w:rPr>
        <w:t xml:space="preserve">         C = Colony diameter (mm) in control plate</w:t>
      </w:r>
    </w:p>
    <w:p w14:paraId="367A14BC"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r w:rsidRPr="00A44882">
        <w:rPr>
          <w:rFonts w:ascii="Arial" w:hAnsi="Arial" w:cs="Arial"/>
          <w:sz w:val="20"/>
          <w:szCs w:val="20"/>
        </w:rPr>
        <w:t xml:space="preserve">         T = Colony diameter (mm) in treated plate</w:t>
      </w:r>
    </w:p>
    <w:p w14:paraId="047A3D2D" w14:textId="77777777" w:rsidR="00C93DBE" w:rsidRDefault="00C93DBE" w:rsidP="00190C0B">
      <w:pPr>
        <w:pStyle w:val="BodyText"/>
        <w:spacing w:line="360" w:lineRule="auto"/>
        <w:ind w:right="-240"/>
        <w:rPr>
          <w:rFonts w:ascii="Arial" w:hAnsi="Arial" w:cs="Arial"/>
          <w:b/>
          <w:bCs/>
          <w:sz w:val="22"/>
          <w:szCs w:val="22"/>
        </w:rPr>
      </w:pPr>
    </w:p>
    <w:p w14:paraId="6089A8C2" w14:textId="77777777" w:rsidR="00190C0B" w:rsidRPr="00E342A1" w:rsidRDefault="00190C0B" w:rsidP="00190C0B">
      <w:pPr>
        <w:pStyle w:val="BodyText"/>
        <w:spacing w:line="360" w:lineRule="auto"/>
        <w:ind w:right="-240"/>
        <w:rPr>
          <w:rFonts w:ascii="Arial" w:hAnsi="Arial" w:cs="Arial"/>
          <w:b/>
          <w:bCs/>
          <w:sz w:val="22"/>
          <w:szCs w:val="22"/>
        </w:rPr>
      </w:pPr>
      <w:r w:rsidRPr="00E342A1">
        <w:rPr>
          <w:rFonts w:ascii="Arial" w:hAnsi="Arial" w:cs="Arial"/>
          <w:b/>
          <w:bCs/>
          <w:sz w:val="22"/>
          <w:szCs w:val="22"/>
        </w:rPr>
        <w:t>RESULT AND DISCUSSION</w:t>
      </w:r>
    </w:p>
    <w:p w14:paraId="1C1C0A46" w14:textId="7BA2A646" w:rsidR="00DD4808" w:rsidRDefault="002E2CCC" w:rsidP="00DD4808">
      <w:pPr>
        <w:spacing w:after="0" w:line="360" w:lineRule="auto"/>
        <w:jc w:val="both"/>
        <w:rPr>
          <w:rFonts w:ascii="Arial" w:hAnsi="Arial" w:cs="Arial"/>
          <w:sz w:val="20"/>
          <w:szCs w:val="20"/>
        </w:rPr>
      </w:pPr>
      <w:r w:rsidRPr="002E2CCC">
        <w:rPr>
          <w:rFonts w:ascii="Arial" w:hAnsi="Arial" w:cs="Arial"/>
          <w:b/>
          <w:bCs/>
          <w:i/>
          <w:iCs/>
        </w:rPr>
        <w:t>In vitro</w:t>
      </w:r>
      <w:r>
        <w:rPr>
          <w:rFonts w:ascii="Arial" w:hAnsi="Arial" w:cs="Arial"/>
          <w:b/>
          <w:bCs/>
        </w:rPr>
        <w:t xml:space="preserve"> </w:t>
      </w:r>
      <w:r w:rsidR="00DD4808" w:rsidRPr="00C93DBE">
        <w:rPr>
          <w:rFonts w:ascii="Arial" w:hAnsi="Arial" w:cs="Arial"/>
          <w:b/>
          <w:bCs/>
        </w:rPr>
        <w:t xml:space="preserve">Evaluation of Bio-control Agents against </w:t>
      </w:r>
      <w:proofErr w:type="spellStart"/>
      <w:r w:rsidRPr="002E2CCC">
        <w:rPr>
          <w:rFonts w:ascii="Arial" w:hAnsi="Arial" w:cs="Arial"/>
          <w:b/>
          <w:bCs/>
          <w:i/>
          <w:iCs/>
        </w:rPr>
        <w:t>Exserohilum</w:t>
      </w:r>
      <w:proofErr w:type="spellEnd"/>
      <w:r w:rsidRPr="002E2CCC">
        <w:rPr>
          <w:rFonts w:ascii="Arial" w:hAnsi="Arial" w:cs="Arial"/>
          <w:b/>
          <w:bCs/>
          <w:i/>
          <w:iCs/>
        </w:rPr>
        <w:t xml:space="preserve"> </w:t>
      </w:r>
      <w:proofErr w:type="spellStart"/>
      <w:r w:rsidRPr="002E2CCC">
        <w:rPr>
          <w:rFonts w:ascii="Arial" w:hAnsi="Arial" w:cs="Arial"/>
          <w:b/>
          <w:bCs/>
          <w:i/>
          <w:iCs/>
        </w:rPr>
        <w:t>turcicum</w:t>
      </w:r>
      <w:proofErr w:type="spellEnd"/>
    </w:p>
    <w:p w14:paraId="7AC2D334" w14:textId="7885A920" w:rsidR="000C6890" w:rsidRDefault="000C6890" w:rsidP="000F6F40">
      <w:pPr>
        <w:spacing w:after="0" w:line="360" w:lineRule="auto"/>
        <w:ind w:firstLine="720"/>
        <w:jc w:val="both"/>
        <w:rPr>
          <w:rFonts w:ascii="Arial" w:hAnsi="Arial" w:cs="Arial"/>
          <w:sz w:val="20"/>
          <w:szCs w:val="20"/>
        </w:rPr>
      </w:pPr>
      <w:r w:rsidRPr="000C6890">
        <w:rPr>
          <w:rFonts w:ascii="Arial" w:hAnsi="Arial" w:cs="Arial"/>
          <w:sz w:val="20"/>
          <w:szCs w:val="20"/>
        </w:rPr>
        <w:t xml:space="preserve">Efficacy of five bioagents </w:t>
      </w:r>
      <w:r w:rsidRPr="002E2CCC">
        <w:rPr>
          <w:rFonts w:ascii="Arial" w:hAnsi="Arial" w:cs="Arial"/>
          <w:i/>
          <w:iCs/>
          <w:sz w:val="20"/>
          <w:szCs w:val="20"/>
        </w:rPr>
        <w:t>viz</w:t>
      </w:r>
      <w:r w:rsidRPr="000C6890">
        <w:rPr>
          <w:rFonts w:ascii="Arial" w:hAnsi="Arial" w:cs="Arial"/>
          <w:sz w:val="20"/>
          <w:szCs w:val="20"/>
        </w:rPr>
        <w:t xml:space="preserve">., </w:t>
      </w:r>
      <w:r w:rsidRPr="000C6890">
        <w:rPr>
          <w:rFonts w:ascii="Arial" w:hAnsi="Arial" w:cs="Arial"/>
          <w:i/>
          <w:iCs/>
          <w:sz w:val="20"/>
          <w:szCs w:val="20"/>
        </w:rPr>
        <w:t xml:space="preserve">Trichoderma </w:t>
      </w:r>
      <w:proofErr w:type="spellStart"/>
      <w:r w:rsidRPr="000C6890">
        <w:rPr>
          <w:rFonts w:ascii="Arial" w:hAnsi="Arial" w:cs="Arial"/>
          <w:i/>
          <w:iCs/>
          <w:sz w:val="20"/>
          <w:szCs w:val="20"/>
        </w:rPr>
        <w:t>viride</w:t>
      </w:r>
      <w:proofErr w:type="spellEnd"/>
      <w:r w:rsidRPr="000C6890">
        <w:rPr>
          <w:rFonts w:ascii="Arial" w:hAnsi="Arial" w:cs="Arial"/>
          <w:sz w:val="20"/>
          <w:szCs w:val="20"/>
        </w:rPr>
        <w:t xml:space="preserve"> Pers, ex. Grey, NAU isolate; </w:t>
      </w:r>
      <w:r w:rsidRPr="000C6890">
        <w:rPr>
          <w:rFonts w:ascii="Arial" w:hAnsi="Arial" w:cs="Arial"/>
          <w:i/>
          <w:iCs/>
          <w:sz w:val="20"/>
          <w:szCs w:val="20"/>
        </w:rPr>
        <w:t xml:space="preserve">T. </w:t>
      </w:r>
      <w:proofErr w:type="spellStart"/>
      <w:r w:rsidRPr="000C6890">
        <w:rPr>
          <w:rFonts w:ascii="Arial" w:hAnsi="Arial" w:cs="Arial"/>
          <w:i/>
          <w:iCs/>
          <w:sz w:val="20"/>
          <w:szCs w:val="20"/>
        </w:rPr>
        <w:t>harzianum</w:t>
      </w:r>
      <w:proofErr w:type="spellEnd"/>
      <w:r w:rsidRPr="000C6890">
        <w:rPr>
          <w:rFonts w:ascii="Arial" w:hAnsi="Arial" w:cs="Arial"/>
          <w:sz w:val="20"/>
          <w:szCs w:val="20"/>
        </w:rPr>
        <w:t xml:space="preserve"> Rifai NAU isolate; </w:t>
      </w:r>
      <w:r w:rsidRPr="000C6890">
        <w:rPr>
          <w:rFonts w:ascii="Arial" w:hAnsi="Arial" w:cs="Arial"/>
          <w:i/>
          <w:iCs/>
          <w:sz w:val="20"/>
          <w:szCs w:val="20"/>
        </w:rPr>
        <w:t xml:space="preserve">T. </w:t>
      </w:r>
      <w:proofErr w:type="spellStart"/>
      <w:r w:rsidRPr="000C6890">
        <w:rPr>
          <w:rFonts w:ascii="Arial" w:hAnsi="Arial" w:cs="Arial"/>
          <w:i/>
          <w:iCs/>
          <w:sz w:val="20"/>
          <w:szCs w:val="20"/>
        </w:rPr>
        <w:t>fasciculatum</w:t>
      </w:r>
      <w:proofErr w:type="spellEnd"/>
      <w:r w:rsidRPr="000C6890">
        <w:rPr>
          <w:rFonts w:ascii="Arial" w:hAnsi="Arial" w:cs="Arial"/>
          <w:sz w:val="20"/>
          <w:szCs w:val="20"/>
        </w:rPr>
        <w:t xml:space="preserve"> NAU isolate; </w:t>
      </w:r>
      <w:r w:rsidRPr="000C6890">
        <w:rPr>
          <w:rFonts w:ascii="Arial" w:hAnsi="Arial" w:cs="Arial"/>
          <w:i/>
          <w:iCs/>
          <w:sz w:val="20"/>
          <w:szCs w:val="20"/>
        </w:rPr>
        <w:t>P. fluorescens</w:t>
      </w:r>
      <w:r w:rsidRPr="000C6890">
        <w:rPr>
          <w:rFonts w:ascii="Arial" w:hAnsi="Arial" w:cs="Arial"/>
          <w:sz w:val="20"/>
          <w:szCs w:val="20"/>
        </w:rPr>
        <w:t xml:space="preserve"> NAU isolate and </w:t>
      </w:r>
      <w:r w:rsidRPr="000C6890">
        <w:rPr>
          <w:rFonts w:ascii="Arial" w:hAnsi="Arial" w:cs="Arial"/>
          <w:i/>
          <w:iCs/>
          <w:sz w:val="20"/>
          <w:szCs w:val="20"/>
        </w:rPr>
        <w:t>Bacillus subtilis</w:t>
      </w:r>
      <w:r w:rsidRPr="000C6890">
        <w:rPr>
          <w:rFonts w:ascii="Arial" w:hAnsi="Arial" w:cs="Arial"/>
          <w:sz w:val="20"/>
          <w:szCs w:val="20"/>
        </w:rPr>
        <w:t xml:space="preserve"> EII NAU isolate was evaluated against </w:t>
      </w:r>
      <w:r w:rsidRPr="000C6890">
        <w:rPr>
          <w:rFonts w:ascii="Arial" w:hAnsi="Arial" w:cs="Arial"/>
          <w:i/>
          <w:iCs/>
          <w:sz w:val="20"/>
          <w:szCs w:val="20"/>
        </w:rPr>
        <w:t xml:space="preserve">E. </w:t>
      </w:r>
      <w:proofErr w:type="spellStart"/>
      <w:r w:rsidRPr="000C6890">
        <w:rPr>
          <w:rFonts w:ascii="Arial" w:hAnsi="Arial" w:cs="Arial"/>
          <w:i/>
          <w:iCs/>
          <w:sz w:val="20"/>
          <w:szCs w:val="20"/>
        </w:rPr>
        <w:t>turcicum</w:t>
      </w:r>
      <w:proofErr w:type="spellEnd"/>
      <w:r w:rsidRPr="000C6890">
        <w:rPr>
          <w:rFonts w:ascii="Arial" w:hAnsi="Arial" w:cs="Arial"/>
          <w:sz w:val="20"/>
          <w:szCs w:val="20"/>
        </w:rPr>
        <w:t xml:space="preserve"> by dual culture method </w:t>
      </w:r>
      <w:r w:rsidRPr="000C6890">
        <w:rPr>
          <w:rFonts w:ascii="Arial" w:hAnsi="Arial" w:cs="Arial"/>
          <w:i/>
          <w:iCs/>
          <w:sz w:val="20"/>
          <w:szCs w:val="20"/>
        </w:rPr>
        <w:t>in vitro</w:t>
      </w:r>
      <w:r w:rsidRPr="000C6890">
        <w:rPr>
          <w:rFonts w:ascii="Arial" w:hAnsi="Arial" w:cs="Arial"/>
          <w:sz w:val="20"/>
          <w:szCs w:val="20"/>
        </w:rPr>
        <w:t>. The observations of mycelial growth and per cent growth inhibition (PGI) were recorded after seven days of inoculation and results are presented in Table</w:t>
      </w:r>
      <w:r w:rsidR="002E2CCC">
        <w:rPr>
          <w:rFonts w:ascii="Arial" w:hAnsi="Arial" w:cs="Arial"/>
          <w:sz w:val="20"/>
          <w:szCs w:val="20"/>
        </w:rPr>
        <w:t xml:space="preserve"> 3</w:t>
      </w:r>
    </w:p>
    <w:p w14:paraId="1F2D5F70" w14:textId="77777777" w:rsidR="00FD67C6" w:rsidRPr="00E342A1" w:rsidRDefault="00FD67C6" w:rsidP="000F6F40">
      <w:pPr>
        <w:spacing w:after="0" w:line="360" w:lineRule="auto"/>
        <w:ind w:firstLine="720"/>
        <w:jc w:val="both"/>
        <w:rPr>
          <w:rFonts w:ascii="Arial" w:hAnsi="Arial" w:cs="Arial"/>
          <w:sz w:val="20"/>
          <w:szCs w:val="20"/>
        </w:rPr>
      </w:pPr>
      <w:r w:rsidRPr="00E342A1">
        <w:rPr>
          <w:rFonts w:ascii="Arial" w:hAnsi="Arial" w:cs="Arial"/>
          <w:sz w:val="20"/>
          <w:szCs w:val="20"/>
        </w:rPr>
        <w:t>The result of present investigation revealed that, all bio control age</w:t>
      </w:r>
      <w:r w:rsidR="000F6F40" w:rsidRPr="00E342A1">
        <w:rPr>
          <w:rFonts w:ascii="Arial" w:hAnsi="Arial" w:cs="Arial"/>
          <w:sz w:val="20"/>
          <w:szCs w:val="20"/>
        </w:rPr>
        <w:t xml:space="preserve">nts were significantly superior </w:t>
      </w:r>
      <w:r w:rsidRPr="00E342A1">
        <w:rPr>
          <w:rFonts w:ascii="Arial" w:hAnsi="Arial" w:cs="Arial"/>
          <w:sz w:val="20"/>
          <w:szCs w:val="20"/>
        </w:rPr>
        <w:t>than control.</w:t>
      </w:r>
      <w:r w:rsidR="000F6F40" w:rsidRPr="00E342A1">
        <w:rPr>
          <w:rFonts w:ascii="Arial" w:hAnsi="Arial" w:cs="Arial"/>
          <w:color w:val="FF0000"/>
          <w:sz w:val="20"/>
          <w:szCs w:val="20"/>
        </w:rPr>
        <w:t xml:space="preserve"> </w:t>
      </w:r>
      <w:r w:rsidRPr="00E342A1">
        <w:rPr>
          <w:rFonts w:ascii="Arial" w:hAnsi="Arial" w:cs="Arial"/>
          <w:sz w:val="20"/>
          <w:szCs w:val="20"/>
        </w:rPr>
        <w:t>The l</w:t>
      </w:r>
      <w:r w:rsidR="000F6F40" w:rsidRPr="00E342A1">
        <w:rPr>
          <w:rFonts w:ascii="Arial" w:hAnsi="Arial" w:cs="Arial"/>
          <w:sz w:val="20"/>
          <w:szCs w:val="20"/>
        </w:rPr>
        <w:t xml:space="preserve">owest mycelial growth of </w:t>
      </w:r>
      <w:r w:rsidRPr="00E342A1">
        <w:rPr>
          <w:rFonts w:ascii="Arial" w:hAnsi="Arial" w:cs="Arial"/>
          <w:i/>
          <w:iCs/>
          <w:sz w:val="20"/>
          <w:szCs w:val="20"/>
        </w:rPr>
        <w:t xml:space="preserve">E. </w:t>
      </w:r>
      <w:proofErr w:type="spellStart"/>
      <w:r w:rsidRPr="00E342A1">
        <w:rPr>
          <w:rFonts w:ascii="Arial" w:hAnsi="Arial" w:cs="Arial"/>
          <w:i/>
          <w:iCs/>
          <w:sz w:val="20"/>
          <w:szCs w:val="20"/>
        </w:rPr>
        <w:t>turcicum</w:t>
      </w:r>
      <w:proofErr w:type="spellEnd"/>
      <w:r w:rsidRPr="00E342A1">
        <w:rPr>
          <w:rFonts w:ascii="Arial" w:hAnsi="Arial" w:cs="Arial"/>
          <w:b/>
          <w:bCs/>
          <w:i/>
          <w:iCs/>
          <w:sz w:val="20"/>
          <w:szCs w:val="20"/>
        </w:rPr>
        <w:t xml:space="preserve"> </w:t>
      </w:r>
      <w:r w:rsidRPr="00E342A1">
        <w:rPr>
          <w:rFonts w:ascii="Arial" w:hAnsi="Arial" w:cs="Arial"/>
          <w:sz w:val="20"/>
          <w:szCs w:val="20"/>
        </w:rPr>
        <w:t xml:space="preserve">14.00 mm was recorded in </w:t>
      </w:r>
      <w:r w:rsidRPr="00E342A1">
        <w:rPr>
          <w:rFonts w:ascii="Arial" w:hAnsi="Arial" w:cs="Arial"/>
          <w:i/>
          <w:iCs/>
          <w:sz w:val="20"/>
          <w:szCs w:val="20"/>
        </w:rPr>
        <w:t xml:space="preserve">T. </w:t>
      </w:r>
      <w:proofErr w:type="spellStart"/>
      <w:r w:rsidRPr="00E342A1">
        <w:rPr>
          <w:rFonts w:ascii="Arial" w:hAnsi="Arial" w:cs="Arial"/>
          <w:i/>
          <w:iCs/>
          <w:sz w:val="20"/>
          <w:szCs w:val="20"/>
        </w:rPr>
        <w:t>viride</w:t>
      </w:r>
      <w:proofErr w:type="spellEnd"/>
      <w:r w:rsidRPr="00E342A1">
        <w:rPr>
          <w:rFonts w:ascii="Arial" w:hAnsi="Arial" w:cs="Arial"/>
          <w:sz w:val="20"/>
          <w:szCs w:val="20"/>
        </w:rPr>
        <w:t xml:space="preserve"> with highest 84.44 per cent growth inhibition (PGI) as compared to other treatments at seven days after inoculation which is at par the second-best bio control agent </w:t>
      </w:r>
      <w:r w:rsidRPr="00E342A1">
        <w:rPr>
          <w:rFonts w:ascii="Arial" w:hAnsi="Arial" w:cs="Arial"/>
          <w:i/>
          <w:iCs/>
          <w:sz w:val="20"/>
          <w:szCs w:val="20"/>
        </w:rPr>
        <w:t xml:space="preserve">T. </w:t>
      </w:r>
      <w:proofErr w:type="spellStart"/>
      <w:r w:rsidRPr="00E342A1">
        <w:rPr>
          <w:rFonts w:ascii="Arial" w:hAnsi="Arial" w:cs="Arial"/>
          <w:i/>
          <w:iCs/>
          <w:sz w:val="20"/>
          <w:szCs w:val="20"/>
        </w:rPr>
        <w:t>harzianum</w:t>
      </w:r>
      <w:proofErr w:type="spellEnd"/>
      <w:r w:rsidRPr="00E342A1">
        <w:rPr>
          <w:rFonts w:ascii="Arial" w:hAnsi="Arial" w:cs="Arial"/>
          <w:sz w:val="20"/>
          <w:szCs w:val="20"/>
        </w:rPr>
        <w:t xml:space="preserve"> with 21.63 mm mycelial growth and 75.97 PGI. The significantly next best treatment in order of merit was </w:t>
      </w:r>
      <w:r w:rsidRPr="00E342A1">
        <w:rPr>
          <w:rFonts w:ascii="Arial" w:hAnsi="Arial" w:cs="Arial"/>
          <w:i/>
          <w:iCs/>
          <w:kern w:val="24"/>
          <w:sz w:val="20"/>
          <w:szCs w:val="20"/>
          <w:lang w:val="it-IT" w:eastAsia="en-GB"/>
        </w:rPr>
        <w:t xml:space="preserve">T. fasciculatum </w:t>
      </w:r>
      <w:r w:rsidRPr="00E342A1">
        <w:rPr>
          <w:rFonts w:ascii="Arial" w:hAnsi="Arial" w:cs="Arial"/>
          <w:sz w:val="20"/>
          <w:szCs w:val="20"/>
        </w:rPr>
        <w:t xml:space="preserve">with 22.75 mm mycelial growth and 74.72 PGI. </w:t>
      </w:r>
      <w:bookmarkStart w:id="1" w:name="_Hlk169095233"/>
      <w:r w:rsidRPr="00E342A1">
        <w:rPr>
          <w:rFonts w:ascii="Arial" w:hAnsi="Arial" w:cs="Arial"/>
          <w:sz w:val="20"/>
          <w:szCs w:val="20"/>
        </w:rPr>
        <w:t xml:space="preserve">Remaining, bio control agents were found least effective in inhibiting the mycelial growth of </w:t>
      </w:r>
      <w:r w:rsidRPr="00E342A1">
        <w:rPr>
          <w:rFonts w:ascii="Arial" w:hAnsi="Arial" w:cs="Arial"/>
          <w:i/>
          <w:iCs/>
          <w:sz w:val="20"/>
          <w:szCs w:val="20"/>
        </w:rPr>
        <w:t xml:space="preserve">E. </w:t>
      </w:r>
      <w:proofErr w:type="spellStart"/>
      <w:r w:rsidRPr="00E342A1">
        <w:rPr>
          <w:rFonts w:ascii="Arial" w:hAnsi="Arial" w:cs="Arial"/>
          <w:i/>
          <w:iCs/>
          <w:sz w:val="20"/>
          <w:szCs w:val="20"/>
        </w:rPr>
        <w:t>turcicum</w:t>
      </w:r>
      <w:proofErr w:type="spellEnd"/>
      <w:r w:rsidRPr="00E342A1">
        <w:rPr>
          <w:rFonts w:ascii="Arial" w:hAnsi="Arial" w:cs="Arial"/>
          <w:b/>
          <w:bCs/>
          <w:i/>
          <w:iCs/>
          <w:sz w:val="20"/>
          <w:szCs w:val="20"/>
        </w:rPr>
        <w:t xml:space="preserve"> </w:t>
      </w:r>
      <w:r w:rsidRPr="00E342A1">
        <w:rPr>
          <w:rFonts w:ascii="Arial" w:hAnsi="Arial" w:cs="Arial"/>
          <w:sz w:val="20"/>
          <w:szCs w:val="20"/>
        </w:rPr>
        <w:t xml:space="preserve">with 71.39 PGI in </w:t>
      </w:r>
      <w:r w:rsidRPr="00E342A1">
        <w:rPr>
          <w:rFonts w:ascii="Arial" w:hAnsi="Arial" w:cs="Arial"/>
          <w:i/>
          <w:iCs/>
          <w:sz w:val="20"/>
          <w:szCs w:val="20"/>
        </w:rPr>
        <w:t>B. subtilis</w:t>
      </w:r>
      <w:r w:rsidRPr="00E342A1">
        <w:rPr>
          <w:rFonts w:ascii="Arial" w:hAnsi="Arial" w:cs="Arial"/>
          <w:sz w:val="20"/>
          <w:szCs w:val="20"/>
        </w:rPr>
        <w:t xml:space="preserve"> and 61.11 PGI in </w:t>
      </w:r>
      <w:r w:rsidRPr="00E342A1">
        <w:rPr>
          <w:rFonts w:ascii="Arial" w:hAnsi="Arial" w:cs="Arial"/>
          <w:i/>
          <w:iCs/>
          <w:sz w:val="20"/>
          <w:szCs w:val="20"/>
        </w:rPr>
        <w:t>P. fluorescens</w:t>
      </w:r>
      <w:r w:rsidRPr="00E342A1">
        <w:rPr>
          <w:rFonts w:ascii="Arial" w:hAnsi="Arial" w:cs="Arial"/>
          <w:sz w:val="20"/>
          <w:szCs w:val="20"/>
        </w:rPr>
        <w:t>.</w:t>
      </w:r>
    </w:p>
    <w:bookmarkEnd w:id="1"/>
    <w:p w14:paraId="2AB314BF" w14:textId="77777777" w:rsidR="00FD67C6" w:rsidRDefault="00FD67C6" w:rsidP="000F6F40">
      <w:pPr>
        <w:spacing w:after="0" w:line="360" w:lineRule="auto"/>
        <w:ind w:firstLine="720"/>
        <w:jc w:val="both"/>
        <w:rPr>
          <w:rFonts w:ascii="Arial" w:hAnsi="Arial" w:cs="Arial"/>
          <w:sz w:val="20"/>
          <w:szCs w:val="20"/>
        </w:rPr>
      </w:pPr>
      <w:r w:rsidRPr="00E342A1">
        <w:rPr>
          <w:rFonts w:ascii="Arial" w:hAnsi="Arial" w:cs="Arial"/>
          <w:sz w:val="20"/>
          <w:szCs w:val="20"/>
        </w:rPr>
        <w:t xml:space="preserve">These results were largely consistent with findings of Vaibhav and Yogendra (2014). According to the results, the </w:t>
      </w:r>
      <w:r w:rsidRPr="00E342A1">
        <w:rPr>
          <w:rFonts w:ascii="Arial" w:hAnsi="Arial" w:cs="Arial"/>
          <w:i/>
          <w:iCs/>
          <w:sz w:val="20"/>
          <w:szCs w:val="20"/>
        </w:rPr>
        <w:t xml:space="preserve">Trichoderma </w:t>
      </w:r>
      <w:r w:rsidRPr="00E342A1">
        <w:rPr>
          <w:rFonts w:ascii="Arial" w:hAnsi="Arial" w:cs="Arial"/>
          <w:sz w:val="20"/>
          <w:szCs w:val="20"/>
        </w:rPr>
        <w:t xml:space="preserve">isolates and the isolate of </w:t>
      </w:r>
      <w:r w:rsidRPr="00E342A1">
        <w:rPr>
          <w:rFonts w:ascii="Arial" w:hAnsi="Arial" w:cs="Arial"/>
          <w:i/>
          <w:iCs/>
          <w:sz w:val="20"/>
          <w:szCs w:val="20"/>
        </w:rPr>
        <w:t>P. fluorescens</w:t>
      </w:r>
      <w:r w:rsidRPr="00E342A1">
        <w:rPr>
          <w:rFonts w:ascii="Arial" w:hAnsi="Arial" w:cs="Arial"/>
          <w:sz w:val="20"/>
          <w:szCs w:val="20"/>
        </w:rPr>
        <w:t xml:space="preserve"> were able to completely inhibit mycelial growth of </w:t>
      </w:r>
      <w:r w:rsidRPr="00E342A1">
        <w:rPr>
          <w:rFonts w:ascii="Arial" w:hAnsi="Arial" w:cs="Arial"/>
          <w:i/>
          <w:iCs/>
          <w:sz w:val="20"/>
          <w:szCs w:val="20"/>
        </w:rPr>
        <w:t xml:space="preserve">E. </w:t>
      </w:r>
      <w:proofErr w:type="spellStart"/>
      <w:r w:rsidRPr="00E342A1">
        <w:rPr>
          <w:rFonts w:ascii="Arial" w:hAnsi="Arial" w:cs="Arial"/>
          <w:i/>
          <w:iCs/>
          <w:sz w:val="20"/>
          <w:szCs w:val="20"/>
        </w:rPr>
        <w:t>turcicum</w:t>
      </w:r>
      <w:proofErr w:type="spellEnd"/>
      <w:r w:rsidRPr="00E342A1">
        <w:rPr>
          <w:rFonts w:ascii="Arial" w:hAnsi="Arial" w:cs="Arial"/>
          <w:i/>
          <w:sz w:val="20"/>
          <w:szCs w:val="20"/>
        </w:rPr>
        <w:t xml:space="preserve">. </w:t>
      </w:r>
      <w:r w:rsidRPr="00E342A1">
        <w:rPr>
          <w:rFonts w:ascii="Arial" w:hAnsi="Arial" w:cs="Arial"/>
          <w:iCs/>
          <w:sz w:val="20"/>
          <w:szCs w:val="20"/>
        </w:rPr>
        <w:t xml:space="preserve">Similarly, </w:t>
      </w:r>
      <w:proofErr w:type="spellStart"/>
      <w:r w:rsidRPr="00E342A1">
        <w:rPr>
          <w:rFonts w:ascii="Arial" w:hAnsi="Arial" w:cs="Arial"/>
          <w:sz w:val="20"/>
          <w:szCs w:val="20"/>
        </w:rPr>
        <w:t>Wani</w:t>
      </w:r>
      <w:proofErr w:type="spellEnd"/>
      <w:r w:rsidRPr="00E342A1">
        <w:rPr>
          <w:rFonts w:ascii="Arial" w:hAnsi="Arial" w:cs="Arial"/>
          <w:sz w:val="20"/>
          <w:szCs w:val="20"/>
        </w:rPr>
        <w:t xml:space="preserve"> </w:t>
      </w:r>
      <w:r w:rsidRPr="002E2CCC">
        <w:rPr>
          <w:rFonts w:ascii="Arial" w:hAnsi="Arial" w:cs="Arial"/>
          <w:sz w:val="20"/>
          <w:szCs w:val="20"/>
        </w:rPr>
        <w:t>et al.,</w:t>
      </w:r>
      <w:r w:rsidRPr="00E342A1">
        <w:rPr>
          <w:rFonts w:ascii="Arial" w:hAnsi="Arial" w:cs="Arial"/>
          <w:sz w:val="20"/>
          <w:szCs w:val="20"/>
        </w:rPr>
        <w:t xml:space="preserve"> (2017) found the bio-control agent </w:t>
      </w:r>
      <w:r w:rsidRPr="00E342A1">
        <w:rPr>
          <w:rFonts w:ascii="Arial" w:hAnsi="Arial" w:cs="Arial"/>
          <w:i/>
          <w:iCs/>
          <w:sz w:val="20"/>
          <w:szCs w:val="20"/>
        </w:rPr>
        <w:t xml:space="preserve">T. </w:t>
      </w:r>
      <w:proofErr w:type="spellStart"/>
      <w:r w:rsidRPr="00E342A1">
        <w:rPr>
          <w:rFonts w:ascii="Arial" w:hAnsi="Arial" w:cs="Arial"/>
          <w:i/>
          <w:iCs/>
          <w:sz w:val="20"/>
          <w:szCs w:val="20"/>
        </w:rPr>
        <w:t>harzianum</w:t>
      </w:r>
      <w:proofErr w:type="spellEnd"/>
      <w:r w:rsidRPr="00E342A1">
        <w:rPr>
          <w:rFonts w:ascii="Arial" w:hAnsi="Arial" w:cs="Arial"/>
          <w:i/>
          <w:iCs/>
          <w:sz w:val="20"/>
          <w:szCs w:val="20"/>
        </w:rPr>
        <w:t xml:space="preserve"> </w:t>
      </w:r>
      <w:r w:rsidRPr="00E342A1">
        <w:rPr>
          <w:rFonts w:ascii="Arial" w:hAnsi="Arial" w:cs="Arial"/>
          <w:sz w:val="20"/>
          <w:szCs w:val="20"/>
        </w:rPr>
        <w:t xml:space="preserve">against </w:t>
      </w:r>
      <w:r w:rsidRPr="00E342A1">
        <w:rPr>
          <w:rFonts w:ascii="Arial" w:hAnsi="Arial" w:cs="Arial"/>
          <w:i/>
          <w:iCs/>
          <w:sz w:val="20"/>
          <w:szCs w:val="20"/>
        </w:rPr>
        <w:t xml:space="preserve">E. </w:t>
      </w:r>
      <w:proofErr w:type="spellStart"/>
      <w:r w:rsidRPr="00E342A1">
        <w:rPr>
          <w:rFonts w:ascii="Arial" w:hAnsi="Arial" w:cs="Arial"/>
          <w:i/>
          <w:iCs/>
          <w:sz w:val="20"/>
          <w:szCs w:val="20"/>
        </w:rPr>
        <w:t>turcicum</w:t>
      </w:r>
      <w:proofErr w:type="spellEnd"/>
      <w:r w:rsidRPr="00E342A1">
        <w:rPr>
          <w:rFonts w:ascii="Arial" w:hAnsi="Arial" w:cs="Arial"/>
          <w:sz w:val="20"/>
          <w:szCs w:val="20"/>
        </w:rPr>
        <w:t xml:space="preserve"> was found very effective, resulting maximum inhibition of 76.38 per cent in the colony growth of </w:t>
      </w:r>
      <w:r w:rsidRPr="00E342A1">
        <w:rPr>
          <w:rFonts w:ascii="Arial" w:hAnsi="Arial" w:cs="Arial"/>
          <w:i/>
          <w:iCs/>
          <w:sz w:val="20"/>
          <w:szCs w:val="20"/>
        </w:rPr>
        <w:t xml:space="preserve">E. </w:t>
      </w:r>
      <w:proofErr w:type="spellStart"/>
      <w:r w:rsidRPr="00E342A1">
        <w:rPr>
          <w:rFonts w:ascii="Arial" w:hAnsi="Arial" w:cs="Arial"/>
          <w:i/>
          <w:iCs/>
          <w:sz w:val="20"/>
          <w:szCs w:val="20"/>
        </w:rPr>
        <w:t>turcicum</w:t>
      </w:r>
      <w:proofErr w:type="spellEnd"/>
      <w:r w:rsidRPr="00E342A1">
        <w:rPr>
          <w:rFonts w:ascii="Arial" w:hAnsi="Arial" w:cs="Arial"/>
          <w:sz w:val="20"/>
          <w:szCs w:val="20"/>
        </w:rPr>
        <w:t xml:space="preserve"> within seven days.</w:t>
      </w:r>
    </w:p>
    <w:p w14:paraId="332F9AAF" w14:textId="77777777" w:rsidR="005428CF" w:rsidRDefault="005428CF" w:rsidP="000F6F40">
      <w:pPr>
        <w:spacing w:after="0" w:line="360" w:lineRule="auto"/>
        <w:ind w:firstLine="720"/>
        <w:jc w:val="both"/>
        <w:rPr>
          <w:rFonts w:ascii="Arial" w:hAnsi="Arial" w:cs="Arial"/>
          <w:sz w:val="20"/>
          <w:szCs w:val="20"/>
        </w:rPr>
      </w:pPr>
    </w:p>
    <w:p w14:paraId="444E075D" w14:textId="77777777" w:rsidR="00DD4808" w:rsidRDefault="00DD4808" w:rsidP="00DD4808">
      <w:pPr>
        <w:pStyle w:val="BodyText"/>
        <w:spacing w:line="360" w:lineRule="auto"/>
        <w:ind w:right="-240"/>
        <w:rPr>
          <w:rFonts w:ascii="Arial" w:hAnsi="Arial" w:cs="Arial"/>
          <w:b/>
          <w:bCs/>
          <w:i/>
          <w:iCs/>
          <w:sz w:val="22"/>
          <w:szCs w:val="22"/>
        </w:rPr>
      </w:pPr>
      <w:r w:rsidRPr="00C93DBE">
        <w:rPr>
          <w:rFonts w:ascii="Arial" w:hAnsi="Arial" w:cs="Arial"/>
          <w:b/>
          <w:bCs/>
          <w:sz w:val="22"/>
          <w:szCs w:val="22"/>
        </w:rPr>
        <w:t xml:space="preserve">Evaluation of Different Fungicides against </w:t>
      </w:r>
      <w:proofErr w:type="spellStart"/>
      <w:r w:rsidRPr="00C93DBE">
        <w:rPr>
          <w:rFonts w:ascii="Arial" w:hAnsi="Arial" w:cs="Arial"/>
          <w:b/>
          <w:bCs/>
          <w:sz w:val="22"/>
          <w:szCs w:val="22"/>
        </w:rPr>
        <w:t>Exserohilum</w:t>
      </w:r>
      <w:proofErr w:type="spellEnd"/>
      <w:r w:rsidRPr="00C93DBE">
        <w:rPr>
          <w:rFonts w:ascii="Arial" w:hAnsi="Arial" w:cs="Arial"/>
          <w:b/>
          <w:bCs/>
          <w:sz w:val="22"/>
          <w:szCs w:val="22"/>
        </w:rPr>
        <w:t xml:space="preserve"> </w:t>
      </w:r>
      <w:proofErr w:type="spellStart"/>
      <w:r w:rsidRPr="00C93DBE">
        <w:rPr>
          <w:rFonts w:ascii="Arial" w:hAnsi="Arial" w:cs="Arial"/>
          <w:b/>
          <w:bCs/>
          <w:sz w:val="22"/>
          <w:szCs w:val="22"/>
        </w:rPr>
        <w:t>turcicum</w:t>
      </w:r>
      <w:proofErr w:type="spellEnd"/>
      <w:r w:rsidRPr="00C93DBE">
        <w:rPr>
          <w:rFonts w:ascii="Arial" w:hAnsi="Arial" w:cs="Arial"/>
          <w:b/>
          <w:bCs/>
          <w:sz w:val="22"/>
          <w:szCs w:val="22"/>
        </w:rPr>
        <w:t xml:space="preserve"> </w:t>
      </w:r>
      <w:r w:rsidRPr="00C93DBE">
        <w:rPr>
          <w:rFonts w:ascii="Arial" w:hAnsi="Arial" w:cs="Arial"/>
          <w:b/>
          <w:bCs/>
          <w:i/>
          <w:iCs/>
          <w:sz w:val="22"/>
          <w:szCs w:val="22"/>
        </w:rPr>
        <w:t>in vitro</w:t>
      </w:r>
    </w:p>
    <w:p w14:paraId="007D41D2" w14:textId="30378061"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Efficacy of eleven different fungicides at three concentrations </w:t>
      </w:r>
      <w:r w:rsidRPr="002E2CCC">
        <w:rPr>
          <w:rFonts w:ascii="Arial" w:hAnsi="Arial" w:cs="Arial"/>
          <w:i/>
          <w:iCs/>
          <w:sz w:val="20"/>
          <w:szCs w:val="20"/>
        </w:rPr>
        <w:t>viz.,</w:t>
      </w:r>
      <w:r w:rsidRPr="00DD4808">
        <w:rPr>
          <w:rFonts w:ascii="Arial" w:hAnsi="Arial" w:cs="Arial"/>
          <w:sz w:val="20"/>
          <w:szCs w:val="20"/>
        </w:rPr>
        <w:t xml:space="preserve"> 1000, 1500 and 2000 ppm were tested using poisoned food technique (Nene and </w:t>
      </w:r>
      <w:proofErr w:type="spellStart"/>
      <w:r w:rsidRPr="00DD4808">
        <w:rPr>
          <w:rFonts w:ascii="Arial" w:hAnsi="Arial" w:cs="Arial"/>
          <w:sz w:val="20"/>
          <w:szCs w:val="20"/>
        </w:rPr>
        <w:t>Thapiyal</w:t>
      </w:r>
      <w:proofErr w:type="spellEnd"/>
      <w:r w:rsidRPr="00DD4808">
        <w:rPr>
          <w:rFonts w:ascii="Arial" w:hAnsi="Arial" w:cs="Arial"/>
          <w:sz w:val="20"/>
          <w:szCs w:val="20"/>
        </w:rPr>
        <w:t xml:space="preserve">, 1979) against the mycelial growth of </w:t>
      </w:r>
      <w:r w:rsidRPr="005428CF">
        <w:rPr>
          <w:rFonts w:ascii="Arial" w:hAnsi="Arial" w:cs="Arial"/>
          <w:i/>
          <w:iCs/>
          <w:sz w:val="20"/>
          <w:szCs w:val="20"/>
        </w:rPr>
        <w:t xml:space="preserve">E. </w:t>
      </w:r>
      <w:proofErr w:type="spellStart"/>
      <w:r w:rsidRPr="005428CF">
        <w:rPr>
          <w:rFonts w:ascii="Arial" w:hAnsi="Arial" w:cs="Arial"/>
          <w:i/>
          <w:iCs/>
          <w:sz w:val="20"/>
          <w:szCs w:val="20"/>
        </w:rPr>
        <w:t>turcicum</w:t>
      </w:r>
      <w:proofErr w:type="spellEnd"/>
      <w:r w:rsidRPr="00DD4808">
        <w:rPr>
          <w:rFonts w:ascii="Arial" w:hAnsi="Arial" w:cs="Arial"/>
          <w:sz w:val="20"/>
          <w:szCs w:val="20"/>
        </w:rPr>
        <w:t xml:space="preserve"> causing leaf blight of sorghum in </w:t>
      </w:r>
      <w:r w:rsidRPr="005428CF">
        <w:rPr>
          <w:rFonts w:ascii="Arial" w:hAnsi="Arial" w:cs="Arial"/>
          <w:i/>
          <w:iCs/>
          <w:sz w:val="20"/>
          <w:szCs w:val="20"/>
        </w:rPr>
        <w:t>in vitro</w:t>
      </w:r>
      <w:r w:rsidRPr="00DD4808">
        <w:rPr>
          <w:rFonts w:ascii="Arial" w:hAnsi="Arial" w:cs="Arial"/>
          <w:sz w:val="20"/>
          <w:szCs w:val="20"/>
        </w:rPr>
        <w:t xml:space="preserve"> condition along with control. The observation on mycelial growth and per cent growth inhibition (PGI) were recorded after seven days of inoculation and </w:t>
      </w:r>
      <w:r w:rsidR="007A54C0">
        <w:rPr>
          <w:rFonts w:ascii="Arial" w:hAnsi="Arial" w:cs="Arial"/>
          <w:sz w:val="20"/>
          <w:szCs w:val="20"/>
        </w:rPr>
        <w:t>results are mentioned in Table 4</w:t>
      </w:r>
    </w:p>
    <w:p w14:paraId="6052D042"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lastRenderedPageBreak/>
        <w:t xml:space="preserve">All the concentrations of fungicides found significant in inhibiting the mycelial growth of </w:t>
      </w:r>
      <w:r w:rsidRPr="005428CF">
        <w:rPr>
          <w:rFonts w:ascii="Arial" w:hAnsi="Arial" w:cs="Arial"/>
          <w:i/>
          <w:iCs/>
          <w:sz w:val="20"/>
          <w:szCs w:val="20"/>
        </w:rPr>
        <w:t xml:space="preserve">E. </w:t>
      </w:r>
      <w:proofErr w:type="spellStart"/>
      <w:r w:rsidRPr="005428CF">
        <w:rPr>
          <w:rFonts w:ascii="Arial" w:hAnsi="Arial" w:cs="Arial"/>
          <w:i/>
          <w:iCs/>
          <w:sz w:val="20"/>
          <w:szCs w:val="20"/>
        </w:rPr>
        <w:t>turcicum</w:t>
      </w:r>
      <w:proofErr w:type="spellEnd"/>
      <w:r w:rsidRPr="00DD4808">
        <w:rPr>
          <w:rFonts w:ascii="Arial" w:hAnsi="Arial" w:cs="Arial"/>
          <w:sz w:val="20"/>
          <w:szCs w:val="20"/>
        </w:rPr>
        <w:t xml:space="preserve"> over control. Carbendazim 25% + Flusilazole 12.5% SE and </w:t>
      </w:r>
      <w:proofErr w:type="spellStart"/>
      <w:r w:rsidRPr="00DD4808">
        <w:rPr>
          <w:rFonts w:ascii="Arial" w:hAnsi="Arial" w:cs="Arial"/>
          <w:sz w:val="20"/>
          <w:szCs w:val="20"/>
        </w:rPr>
        <w:t>Fluopyram</w:t>
      </w:r>
      <w:proofErr w:type="spellEnd"/>
      <w:r w:rsidRPr="00DD4808">
        <w:rPr>
          <w:rFonts w:ascii="Arial" w:hAnsi="Arial" w:cs="Arial"/>
          <w:sz w:val="20"/>
          <w:szCs w:val="20"/>
        </w:rPr>
        <w:t xml:space="preserve"> 17.7% + Tebuconazole 17.7% SC at all concentrations cent per cent inhibited the fungal growth and proved significantly superior over the rest of the fungicides tested. </w:t>
      </w:r>
    </w:p>
    <w:p w14:paraId="640C4BF1"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The significantly next best treatment at all concentrations was Tebuconazole 50% + </w:t>
      </w:r>
      <w:proofErr w:type="spellStart"/>
      <w:r w:rsidRPr="00DD4808">
        <w:rPr>
          <w:rFonts w:ascii="Arial" w:hAnsi="Arial" w:cs="Arial"/>
          <w:sz w:val="20"/>
          <w:szCs w:val="20"/>
        </w:rPr>
        <w:t>Trifloxystrobin</w:t>
      </w:r>
      <w:proofErr w:type="spellEnd"/>
      <w:r w:rsidRPr="00DD4808">
        <w:rPr>
          <w:rFonts w:ascii="Arial" w:hAnsi="Arial" w:cs="Arial"/>
          <w:sz w:val="20"/>
          <w:szCs w:val="20"/>
        </w:rPr>
        <w:t xml:space="preserve"> 25% WG showing 93.70, 95.19 and 96.85 PGI with 5.67, 4.33 and 2.83 mm mycelial growth at 1000 ppm, 1500 ppm and 2000 ppm respectively.</w:t>
      </w:r>
    </w:p>
    <w:p w14:paraId="46CA4B4B"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The next best treatments in order of merit were Azoxystrobin 18.2%+ </w:t>
      </w:r>
      <w:proofErr w:type="spellStart"/>
      <w:r w:rsidRPr="00DD4808">
        <w:rPr>
          <w:rFonts w:ascii="Arial" w:hAnsi="Arial" w:cs="Arial"/>
          <w:sz w:val="20"/>
          <w:szCs w:val="20"/>
        </w:rPr>
        <w:t>Difeonconazole</w:t>
      </w:r>
      <w:proofErr w:type="spellEnd"/>
      <w:r w:rsidRPr="00DD4808">
        <w:rPr>
          <w:rFonts w:ascii="Arial" w:hAnsi="Arial" w:cs="Arial"/>
          <w:sz w:val="20"/>
          <w:szCs w:val="20"/>
        </w:rPr>
        <w:t xml:space="preserve"> 11.4% SC with 88.15 PGI and 10.67 mm mycelial growth, Hexaconazole 5 EC with 85.19 PGI and 13.33 mm mycelial growth, Propiconazole 25 EC with 83.70 PGI and 14.67 mm mycelial growth and Carbendazim 12% + Mancozeb 63% WP with 75.19 PGI and 22.33 mm mycelial growth at 1000 ppm.</w:t>
      </w:r>
    </w:p>
    <w:p w14:paraId="59B767EB" w14:textId="5C44DB49"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 At 1500 ppm, Hexaconazole 5 EC found third best with 87.04 PGI and 11.67 mm mycelial growth followed by Carbendazim 12% + Mancozeb 63% WP with 86.30 PGI and 12.33 mm mycelial growth ,</w:t>
      </w:r>
      <w:r w:rsidR="007A54C0">
        <w:rPr>
          <w:rFonts w:ascii="Arial" w:hAnsi="Arial" w:cs="Arial"/>
          <w:sz w:val="20"/>
          <w:szCs w:val="20"/>
        </w:rPr>
        <w:t xml:space="preserve"> </w:t>
      </w:r>
      <w:r w:rsidRPr="00DD4808">
        <w:rPr>
          <w:rFonts w:ascii="Arial" w:hAnsi="Arial" w:cs="Arial"/>
          <w:sz w:val="20"/>
          <w:szCs w:val="20"/>
        </w:rPr>
        <w:t xml:space="preserve">Azoxystrobin 18.2%+ </w:t>
      </w:r>
      <w:proofErr w:type="spellStart"/>
      <w:r w:rsidRPr="00DD4808">
        <w:rPr>
          <w:rFonts w:ascii="Arial" w:hAnsi="Arial" w:cs="Arial"/>
          <w:sz w:val="20"/>
          <w:szCs w:val="20"/>
        </w:rPr>
        <w:t>Difeonconazole</w:t>
      </w:r>
      <w:proofErr w:type="spellEnd"/>
      <w:r w:rsidRPr="00DD4808">
        <w:rPr>
          <w:rFonts w:ascii="Arial" w:hAnsi="Arial" w:cs="Arial"/>
          <w:sz w:val="20"/>
          <w:szCs w:val="20"/>
        </w:rPr>
        <w:t xml:space="preserve"> 11.4% SC with 86.30 PGI and 12.33 mm mycelial growth and Copper oxychloride 50 WG with 68.15 PGI and 28.67 mm mycelial growth.</w:t>
      </w:r>
    </w:p>
    <w:p w14:paraId="6C1A7CE2"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The treatments found the next best at 2000 ppm were Carbendazim 12% + Mancozeb 63% WP with 91.48 PGI and 7.67 mm mycelial growth, Hexaconazole 5 EC with 89.70 PGI and 09.27 mm mycelial growth and Propiconazole 25 EC with 88.59 PGI and 10.27 mm mycelial growth. The least effective treatment at all three concentration was Azoxystrobin 23 SC with 53.33, 53.70, 59.26 PGI and 42.00, 41.67, 36.67 mm mycelial growth at 1000, 1500 and 2000 ppm.</w:t>
      </w:r>
    </w:p>
    <w:p w14:paraId="4F35D420" w14:textId="3768B5E7" w:rsid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In correspondence of present study, Reddy </w:t>
      </w:r>
      <w:r w:rsidRPr="007A54C0">
        <w:rPr>
          <w:rFonts w:ascii="Arial" w:hAnsi="Arial" w:cs="Arial"/>
          <w:sz w:val="20"/>
          <w:szCs w:val="20"/>
        </w:rPr>
        <w:t>et al.</w:t>
      </w:r>
      <w:r w:rsidRPr="00DD4808">
        <w:rPr>
          <w:rFonts w:ascii="Arial" w:hAnsi="Arial" w:cs="Arial"/>
          <w:sz w:val="20"/>
          <w:szCs w:val="20"/>
        </w:rPr>
        <w:t xml:space="preserve"> (2013) found Mancozeb @ 0.25% and combination treatments of Carbendazim and Mancozeb @ 0.25% recorded the lowest per cent disease index (PDI) reducing</w:t>
      </w:r>
      <w:r w:rsidR="007A54C0">
        <w:rPr>
          <w:rFonts w:ascii="Arial" w:hAnsi="Arial" w:cs="Arial"/>
          <w:sz w:val="20"/>
          <w:szCs w:val="20"/>
        </w:rPr>
        <w:t xml:space="preserve"> the disease by 73.0% and 72.1%</w:t>
      </w:r>
      <w:r w:rsidRPr="00DD4808">
        <w:rPr>
          <w:rFonts w:ascii="Arial" w:hAnsi="Arial" w:cs="Arial"/>
          <w:sz w:val="20"/>
          <w:szCs w:val="20"/>
        </w:rPr>
        <w:t>,</w:t>
      </w:r>
      <w:r w:rsidR="007A54C0">
        <w:rPr>
          <w:rFonts w:ascii="Arial" w:hAnsi="Arial" w:cs="Arial"/>
          <w:sz w:val="20"/>
          <w:szCs w:val="20"/>
        </w:rPr>
        <w:t xml:space="preserve"> </w:t>
      </w:r>
      <w:r w:rsidRPr="00DD4808">
        <w:rPr>
          <w:rFonts w:ascii="Arial" w:hAnsi="Arial" w:cs="Arial"/>
          <w:sz w:val="20"/>
          <w:szCs w:val="20"/>
        </w:rPr>
        <w:t>respectively.</w:t>
      </w:r>
    </w:p>
    <w:p w14:paraId="5F17AA5D"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Similar results were revealed by Manu et al. (2017) against leaf blight of maize caused by </w:t>
      </w:r>
      <w:r w:rsidRPr="005428CF">
        <w:rPr>
          <w:rFonts w:ascii="Arial" w:hAnsi="Arial" w:cs="Arial"/>
          <w:i/>
          <w:iCs/>
          <w:sz w:val="20"/>
          <w:szCs w:val="20"/>
        </w:rPr>
        <w:t xml:space="preserve">E. </w:t>
      </w:r>
      <w:proofErr w:type="spellStart"/>
      <w:r w:rsidRPr="005428CF">
        <w:rPr>
          <w:rFonts w:ascii="Arial" w:hAnsi="Arial" w:cs="Arial"/>
          <w:i/>
          <w:iCs/>
          <w:sz w:val="20"/>
          <w:szCs w:val="20"/>
        </w:rPr>
        <w:t>turcicum</w:t>
      </w:r>
      <w:proofErr w:type="spellEnd"/>
      <w:r w:rsidRPr="00DD4808">
        <w:rPr>
          <w:rFonts w:ascii="Arial" w:hAnsi="Arial" w:cs="Arial"/>
          <w:sz w:val="20"/>
          <w:szCs w:val="20"/>
        </w:rPr>
        <w:t xml:space="preserve"> and found the tebuconazole completely inhibit the pathogen growth at all the concentrations tested. In contact fungicides, propineb was highly effective as it inhibited the </w:t>
      </w:r>
      <w:r w:rsidRPr="005428CF">
        <w:rPr>
          <w:rFonts w:ascii="Arial" w:hAnsi="Arial" w:cs="Arial"/>
          <w:i/>
          <w:iCs/>
          <w:sz w:val="20"/>
          <w:szCs w:val="20"/>
        </w:rPr>
        <w:t xml:space="preserve">E. </w:t>
      </w:r>
      <w:proofErr w:type="spellStart"/>
      <w:r w:rsidRPr="005428CF">
        <w:rPr>
          <w:rFonts w:ascii="Arial" w:hAnsi="Arial" w:cs="Arial"/>
          <w:i/>
          <w:iCs/>
          <w:sz w:val="20"/>
          <w:szCs w:val="20"/>
        </w:rPr>
        <w:t>turcicum</w:t>
      </w:r>
      <w:proofErr w:type="spellEnd"/>
      <w:r w:rsidRPr="00DD4808">
        <w:rPr>
          <w:rFonts w:ascii="Arial" w:hAnsi="Arial" w:cs="Arial"/>
          <w:sz w:val="20"/>
          <w:szCs w:val="20"/>
        </w:rPr>
        <w:t xml:space="preserve"> up to 83.89 per cent at 500 ppm and among combi. products, Carbendazim 12% + Mancozeb 63% at 500ppm showed complete inhibition of the mycelial growth of </w:t>
      </w:r>
      <w:r w:rsidRPr="005428CF">
        <w:rPr>
          <w:rFonts w:ascii="Arial" w:hAnsi="Arial" w:cs="Arial"/>
          <w:i/>
          <w:iCs/>
          <w:sz w:val="20"/>
          <w:szCs w:val="20"/>
        </w:rPr>
        <w:t xml:space="preserve">E. </w:t>
      </w:r>
      <w:proofErr w:type="spellStart"/>
      <w:r w:rsidRPr="005428CF">
        <w:rPr>
          <w:rFonts w:ascii="Arial" w:hAnsi="Arial" w:cs="Arial"/>
          <w:i/>
          <w:iCs/>
          <w:sz w:val="20"/>
          <w:szCs w:val="20"/>
        </w:rPr>
        <w:t>turcicum</w:t>
      </w:r>
      <w:proofErr w:type="spellEnd"/>
      <w:r w:rsidRPr="00DD4808">
        <w:rPr>
          <w:rFonts w:ascii="Arial" w:hAnsi="Arial" w:cs="Arial"/>
          <w:sz w:val="20"/>
          <w:szCs w:val="20"/>
        </w:rPr>
        <w:t xml:space="preserve"> at higher concentrations.</w:t>
      </w:r>
    </w:p>
    <w:p w14:paraId="29EF8A5A" w14:textId="77777777" w:rsidR="00DD4808" w:rsidRPr="00E342A1" w:rsidRDefault="00DD4808" w:rsidP="005428CF">
      <w:pPr>
        <w:spacing w:after="0" w:line="360" w:lineRule="auto"/>
        <w:jc w:val="both"/>
        <w:rPr>
          <w:rFonts w:ascii="Arial" w:hAnsi="Arial" w:cs="Arial"/>
          <w:sz w:val="20"/>
          <w:szCs w:val="20"/>
        </w:rPr>
      </w:pPr>
    </w:p>
    <w:p w14:paraId="659B6CFE" w14:textId="77777777" w:rsidR="00FD67C6" w:rsidRPr="00E342A1" w:rsidRDefault="00FD67C6" w:rsidP="00251913">
      <w:pPr>
        <w:jc w:val="both"/>
        <w:rPr>
          <w:rFonts w:ascii="Arial" w:hAnsi="Arial" w:cs="Arial"/>
          <w:b/>
          <w:bCs/>
        </w:rPr>
      </w:pPr>
      <w:r w:rsidRPr="00E342A1">
        <w:rPr>
          <w:rFonts w:ascii="Arial" w:hAnsi="Arial" w:cs="Arial"/>
          <w:b/>
          <w:bCs/>
        </w:rPr>
        <w:t>CONCLUSION</w:t>
      </w:r>
    </w:p>
    <w:p w14:paraId="16B1455C" w14:textId="77777777" w:rsidR="00FD67C6" w:rsidRDefault="000F6F40" w:rsidP="000F6F40">
      <w:pPr>
        <w:spacing w:after="0" w:line="360" w:lineRule="auto"/>
        <w:jc w:val="both"/>
        <w:rPr>
          <w:rFonts w:ascii="Arial" w:hAnsi="Arial" w:cs="Arial"/>
          <w:i/>
          <w:iCs/>
          <w:sz w:val="20"/>
          <w:szCs w:val="20"/>
        </w:rPr>
      </w:pPr>
      <w:r>
        <w:rPr>
          <w:rFonts w:ascii="Times New Roman" w:hAnsi="Times New Roman" w:cs="Times New Roman"/>
          <w:sz w:val="24"/>
          <w:szCs w:val="32"/>
        </w:rPr>
        <w:tab/>
      </w:r>
      <w:r w:rsidR="00FD67C6" w:rsidRPr="00E342A1">
        <w:rPr>
          <w:rFonts w:ascii="Arial" w:hAnsi="Arial" w:cs="Arial"/>
          <w:sz w:val="20"/>
          <w:szCs w:val="20"/>
        </w:rPr>
        <w:t xml:space="preserve">Efficacy of five bioagents </w:t>
      </w:r>
      <w:r w:rsidR="00FD67C6" w:rsidRPr="007A54C0">
        <w:rPr>
          <w:rFonts w:ascii="Arial" w:hAnsi="Arial" w:cs="Arial"/>
          <w:i/>
          <w:iCs/>
          <w:sz w:val="20"/>
          <w:szCs w:val="20"/>
        </w:rPr>
        <w:t>viz</w:t>
      </w:r>
      <w:r w:rsidR="00FD67C6" w:rsidRPr="00E342A1">
        <w:rPr>
          <w:rFonts w:ascii="Arial" w:hAnsi="Arial" w:cs="Arial"/>
          <w:sz w:val="20"/>
          <w:szCs w:val="20"/>
        </w:rPr>
        <w:t xml:space="preserve">., </w:t>
      </w:r>
      <w:r w:rsidR="00FD67C6" w:rsidRPr="00E342A1">
        <w:rPr>
          <w:rFonts w:ascii="Arial" w:hAnsi="Arial" w:cs="Arial"/>
          <w:i/>
          <w:iCs/>
          <w:sz w:val="20"/>
          <w:szCs w:val="20"/>
        </w:rPr>
        <w:t xml:space="preserve">Trichoderma </w:t>
      </w:r>
      <w:proofErr w:type="spellStart"/>
      <w:r w:rsidR="00FD67C6" w:rsidRPr="00E342A1">
        <w:rPr>
          <w:rFonts w:ascii="Arial" w:hAnsi="Arial" w:cs="Arial"/>
          <w:i/>
          <w:iCs/>
          <w:sz w:val="20"/>
          <w:szCs w:val="20"/>
        </w:rPr>
        <w:t>viride</w:t>
      </w:r>
      <w:proofErr w:type="spellEnd"/>
      <w:r w:rsidR="00FD67C6" w:rsidRPr="00E342A1">
        <w:rPr>
          <w:rFonts w:ascii="Arial" w:hAnsi="Arial" w:cs="Arial"/>
          <w:sz w:val="20"/>
          <w:szCs w:val="20"/>
        </w:rPr>
        <w:t xml:space="preserve"> Pers, ex. Grey, NAU isolate; </w:t>
      </w:r>
      <w:r w:rsidR="00FD67C6" w:rsidRPr="00E342A1">
        <w:rPr>
          <w:rFonts w:ascii="Arial" w:hAnsi="Arial" w:cs="Arial"/>
          <w:i/>
          <w:iCs/>
          <w:sz w:val="20"/>
          <w:szCs w:val="20"/>
        </w:rPr>
        <w:t xml:space="preserve">T. </w:t>
      </w:r>
      <w:proofErr w:type="spellStart"/>
      <w:r w:rsidR="00FD67C6" w:rsidRPr="00E342A1">
        <w:rPr>
          <w:rFonts w:ascii="Arial" w:hAnsi="Arial" w:cs="Arial"/>
          <w:i/>
          <w:iCs/>
          <w:sz w:val="20"/>
          <w:szCs w:val="20"/>
        </w:rPr>
        <w:t>harzianum</w:t>
      </w:r>
      <w:proofErr w:type="spellEnd"/>
      <w:r w:rsidR="00FD67C6" w:rsidRPr="00E342A1">
        <w:rPr>
          <w:rFonts w:ascii="Arial" w:hAnsi="Arial" w:cs="Arial"/>
          <w:sz w:val="20"/>
          <w:szCs w:val="20"/>
        </w:rPr>
        <w:t xml:space="preserve"> Rifai NAU isolate; </w:t>
      </w:r>
      <w:r w:rsidR="00FD67C6" w:rsidRPr="00E342A1">
        <w:rPr>
          <w:rFonts w:ascii="Arial" w:hAnsi="Arial" w:cs="Arial"/>
          <w:i/>
          <w:iCs/>
          <w:sz w:val="20"/>
          <w:szCs w:val="20"/>
        </w:rPr>
        <w:t xml:space="preserve">T. </w:t>
      </w:r>
      <w:proofErr w:type="spellStart"/>
      <w:r w:rsidR="00FD67C6" w:rsidRPr="00E342A1">
        <w:rPr>
          <w:rFonts w:ascii="Arial" w:hAnsi="Arial" w:cs="Arial"/>
          <w:i/>
          <w:iCs/>
          <w:sz w:val="20"/>
          <w:szCs w:val="20"/>
        </w:rPr>
        <w:t>fasciculatum</w:t>
      </w:r>
      <w:proofErr w:type="spellEnd"/>
      <w:r w:rsidR="00FD67C6" w:rsidRPr="00E342A1">
        <w:rPr>
          <w:rFonts w:ascii="Arial" w:hAnsi="Arial" w:cs="Arial"/>
          <w:sz w:val="20"/>
          <w:szCs w:val="20"/>
        </w:rPr>
        <w:t xml:space="preserve"> NAU isolate; </w:t>
      </w:r>
      <w:r w:rsidR="00FD67C6" w:rsidRPr="00E342A1">
        <w:rPr>
          <w:rFonts w:ascii="Arial" w:hAnsi="Arial" w:cs="Arial"/>
          <w:i/>
          <w:iCs/>
          <w:sz w:val="20"/>
          <w:szCs w:val="20"/>
        </w:rPr>
        <w:t xml:space="preserve">Pseudomonas fluorescens </w:t>
      </w:r>
      <w:r w:rsidR="00FD67C6" w:rsidRPr="00E342A1">
        <w:rPr>
          <w:rFonts w:ascii="Arial" w:hAnsi="Arial" w:cs="Arial"/>
          <w:sz w:val="20"/>
          <w:szCs w:val="20"/>
        </w:rPr>
        <w:t xml:space="preserve">NAU isolate and </w:t>
      </w:r>
      <w:r w:rsidR="00FD67C6" w:rsidRPr="00E342A1">
        <w:rPr>
          <w:rFonts w:ascii="Arial" w:hAnsi="Arial" w:cs="Arial"/>
          <w:i/>
          <w:iCs/>
          <w:sz w:val="20"/>
          <w:szCs w:val="20"/>
        </w:rPr>
        <w:t>Bacillus subtilis</w:t>
      </w:r>
      <w:r w:rsidR="00FD67C6" w:rsidRPr="00E342A1">
        <w:rPr>
          <w:rFonts w:ascii="Arial" w:hAnsi="Arial" w:cs="Arial"/>
          <w:sz w:val="20"/>
          <w:szCs w:val="20"/>
        </w:rPr>
        <w:t xml:space="preserve"> EII NAU isolate was evaluated against </w:t>
      </w:r>
      <w:r w:rsidR="00FD67C6" w:rsidRPr="00E342A1">
        <w:rPr>
          <w:rFonts w:ascii="Arial" w:hAnsi="Arial" w:cs="Arial"/>
          <w:i/>
          <w:iCs/>
          <w:sz w:val="20"/>
          <w:szCs w:val="20"/>
        </w:rPr>
        <w:t xml:space="preserve">E. </w:t>
      </w:r>
      <w:proofErr w:type="spellStart"/>
      <w:r w:rsidR="00FD67C6" w:rsidRPr="00E342A1">
        <w:rPr>
          <w:rFonts w:ascii="Arial" w:hAnsi="Arial" w:cs="Arial"/>
          <w:i/>
          <w:iCs/>
          <w:sz w:val="20"/>
          <w:szCs w:val="20"/>
        </w:rPr>
        <w:t>turcicum</w:t>
      </w:r>
      <w:proofErr w:type="spellEnd"/>
      <w:r w:rsidR="00FD67C6" w:rsidRPr="00E342A1">
        <w:rPr>
          <w:rFonts w:ascii="Arial" w:hAnsi="Arial" w:cs="Arial"/>
          <w:sz w:val="20"/>
          <w:szCs w:val="20"/>
        </w:rPr>
        <w:t xml:space="preserve"> by dual culture method </w:t>
      </w:r>
      <w:r w:rsidR="00FD67C6" w:rsidRPr="00E342A1">
        <w:rPr>
          <w:rFonts w:ascii="Arial" w:hAnsi="Arial" w:cs="Arial"/>
          <w:i/>
          <w:iCs/>
          <w:sz w:val="20"/>
          <w:szCs w:val="20"/>
        </w:rPr>
        <w:t>in vitro</w:t>
      </w:r>
      <w:r w:rsidR="00FD67C6" w:rsidRPr="00E342A1">
        <w:rPr>
          <w:rFonts w:ascii="Arial" w:hAnsi="Arial" w:cs="Arial"/>
          <w:sz w:val="20"/>
          <w:szCs w:val="20"/>
        </w:rPr>
        <w:t xml:space="preserve">. The investigation revealed that all biocontrol agents performed significantly better than the control. The lowest mycelial growth of </w:t>
      </w:r>
      <w:r w:rsidR="00FD67C6" w:rsidRPr="00E342A1">
        <w:rPr>
          <w:rFonts w:ascii="Arial" w:hAnsi="Arial" w:cs="Arial"/>
          <w:i/>
          <w:iCs/>
          <w:sz w:val="20"/>
          <w:szCs w:val="20"/>
        </w:rPr>
        <w:t xml:space="preserve">E. </w:t>
      </w:r>
      <w:proofErr w:type="spellStart"/>
      <w:r w:rsidR="00FD67C6" w:rsidRPr="00E342A1">
        <w:rPr>
          <w:rFonts w:ascii="Arial" w:hAnsi="Arial" w:cs="Arial"/>
          <w:i/>
          <w:iCs/>
          <w:sz w:val="20"/>
          <w:szCs w:val="20"/>
        </w:rPr>
        <w:t>turcicum</w:t>
      </w:r>
      <w:proofErr w:type="spellEnd"/>
      <w:r w:rsidR="00FD67C6" w:rsidRPr="00E342A1">
        <w:rPr>
          <w:rFonts w:ascii="Arial" w:hAnsi="Arial" w:cs="Arial"/>
          <w:sz w:val="20"/>
          <w:szCs w:val="20"/>
        </w:rPr>
        <w:t xml:space="preserve"> 14.00mm was recorded in </w:t>
      </w:r>
      <w:r w:rsidR="00FD67C6" w:rsidRPr="00E342A1">
        <w:rPr>
          <w:rFonts w:ascii="Arial" w:hAnsi="Arial" w:cs="Arial"/>
          <w:i/>
          <w:iCs/>
          <w:sz w:val="20"/>
          <w:szCs w:val="20"/>
        </w:rPr>
        <w:t xml:space="preserve">T. </w:t>
      </w:r>
      <w:proofErr w:type="spellStart"/>
      <w:r w:rsidR="00FD67C6" w:rsidRPr="00E342A1">
        <w:rPr>
          <w:rFonts w:ascii="Arial" w:hAnsi="Arial" w:cs="Arial"/>
          <w:i/>
          <w:iCs/>
          <w:sz w:val="20"/>
          <w:szCs w:val="20"/>
        </w:rPr>
        <w:t>viride</w:t>
      </w:r>
      <w:proofErr w:type="spellEnd"/>
      <w:r w:rsidR="00FD67C6" w:rsidRPr="00E342A1">
        <w:rPr>
          <w:rFonts w:ascii="Arial" w:hAnsi="Arial" w:cs="Arial"/>
          <w:sz w:val="20"/>
          <w:szCs w:val="20"/>
        </w:rPr>
        <w:t xml:space="preserve"> with highest 84.44 per cent growth inhibition (PGI) as compared to other treatments at seven days after inoculation which is at par the second-best bio control agent </w:t>
      </w:r>
      <w:r w:rsidR="00FD67C6" w:rsidRPr="00E342A1">
        <w:rPr>
          <w:rFonts w:ascii="Arial" w:hAnsi="Arial" w:cs="Arial"/>
          <w:i/>
          <w:iCs/>
          <w:sz w:val="20"/>
          <w:szCs w:val="20"/>
        </w:rPr>
        <w:t xml:space="preserve">T. </w:t>
      </w:r>
      <w:proofErr w:type="spellStart"/>
      <w:r w:rsidR="00FD67C6" w:rsidRPr="00E342A1">
        <w:rPr>
          <w:rFonts w:ascii="Arial" w:hAnsi="Arial" w:cs="Arial"/>
          <w:i/>
          <w:iCs/>
          <w:sz w:val="20"/>
          <w:szCs w:val="20"/>
        </w:rPr>
        <w:t>harzianum</w:t>
      </w:r>
      <w:proofErr w:type="spellEnd"/>
      <w:r w:rsidR="00FD67C6" w:rsidRPr="00E342A1">
        <w:rPr>
          <w:rFonts w:ascii="Arial" w:hAnsi="Arial" w:cs="Arial"/>
          <w:sz w:val="20"/>
          <w:szCs w:val="20"/>
        </w:rPr>
        <w:t xml:space="preserve"> with 21.63 mm mycelial growth and 75.97 PGI. The significantly next best treatment </w:t>
      </w:r>
      <w:r w:rsidR="00FD67C6" w:rsidRPr="00E342A1">
        <w:rPr>
          <w:rFonts w:ascii="Arial" w:hAnsi="Arial" w:cs="Arial"/>
          <w:sz w:val="20"/>
          <w:szCs w:val="20"/>
        </w:rPr>
        <w:lastRenderedPageBreak/>
        <w:t xml:space="preserve">in order of merit was </w:t>
      </w:r>
      <w:r w:rsidR="00FD67C6" w:rsidRPr="00E342A1">
        <w:rPr>
          <w:rFonts w:ascii="Arial" w:hAnsi="Arial" w:cs="Arial"/>
          <w:i/>
          <w:iCs/>
          <w:sz w:val="20"/>
          <w:szCs w:val="20"/>
        </w:rPr>
        <w:t xml:space="preserve">T. </w:t>
      </w:r>
      <w:proofErr w:type="spellStart"/>
      <w:r w:rsidR="00FD67C6" w:rsidRPr="00E342A1">
        <w:rPr>
          <w:rFonts w:ascii="Arial" w:hAnsi="Arial" w:cs="Arial"/>
          <w:i/>
          <w:iCs/>
          <w:sz w:val="20"/>
          <w:szCs w:val="20"/>
        </w:rPr>
        <w:t>fasciculatum</w:t>
      </w:r>
      <w:proofErr w:type="spellEnd"/>
      <w:r w:rsidR="00FD67C6" w:rsidRPr="00E342A1">
        <w:rPr>
          <w:rFonts w:ascii="Arial" w:hAnsi="Arial" w:cs="Arial"/>
          <w:sz w:val="20"/>
          <w:szCs w:val="20"/>
        </w:rPr>
        <w:t xml:space="preserve"> with 22.75 mm mycelial growth and 74.72 PGI. Remaining, bio control agents were found least effective in inhibiting the mycelial growth of </w:t>
      </w:r>
      <w:proofErr w:type="spellStart"/>
      <w:r w:rsidR="00FD67C6" w:rsidRPr="00E342A1">
        <w:rPr>
          <w:rFonts w:ascii="Arial" w:hAnsi="Arial" w:cs="Arial"/>
          <w:i/>
          <w:iCs/>
          <w:sz w:val="20"/>
          <w:szCs w:val="20"/>
        </w:rPr>
        <w:t>Exserohilum</w:t>
      </w:r>
      <w:proofErr w:type="spellEnd"/>
      <w:r w:rsidR="00FD67C6" w:rsidRPr="00E342A1">
        <w:rPr>
          <w:rFonts w:ascii="Arial" w:hAnsi="Arial" w:cs="Arial"/>
          <w:i/>
          <w:iCs/>
          <w:sz w:val="20"/>
          <w:szCs w:val="20"/>
        </w:rPr>
        <w:t xml:space="preserve"> </w:t>
      </w:r>
      <w:proofErr w:type="spellStart"/>
      <w:r w:rsidR="00FD67C6" w:rsidRPr="00E342A1">
        <w:rPr>
          <w:rFonts w:ascii="Arial" w:hAnsi="Arial" w:cs="Arial"/>
          <w:i/>
          <w:iCs/>
          <w:sz w:val="20"/>
          <w:szCs w:val="20"/>
        </w:rPr>
        <w:t>turcicum</w:t>
      </w:r>
      <w:proofErr w:type="spellEnd"/>
      <w:r w:rsidR="00FD67C6" w:rsidRPr="00E342A1">
        <w:rPr>
          <w:rFonts w:ascii="Arial" w:hAnsi="Arial" w:cs="Arial"/>
          <w:sz w:val="20"/>
          <w:szCs w:val="20"/>
        </w:rPr>
        <w:t xml:space="preserve"> with 71.39 PGI in </w:t>
      </w:r>
      <w:r w:rsidR="00FD67C6" w:rsidRPr="00E342A1">
        <w:rPr>
          <w:rFonts w:ascii="Arial" w:hAnsi="Arial" w:cs="Arial"/>
          <w:i/>
          <w:iCs/>
          <w:sz w:val="20"/>
          <w:szCs w:val="20"/>
        </w:rPr>
        <w:t>B. subtilis</w:t>
      </w:r>
      <w:r w:rsidR="00FD67C6" w:rsidRPr="00E342A1">
        <w:rPr>
          <w:rFonts w:ascii="Arial" w:hAnsi="Arial" w:cs="Arial"/>
          <w:sz w:val="20"/>
          <w:szCs w:val="20"/>
        </w:rPr>
        <w:t xml:space="preserve"> and 61.11 PGI in </w:t>
      </w:r>
      <w:r w:rsidR="00FD67C6" w:rsidRPr="00E342A1">
        <w:rPr>
          <w:rFonts w:ascii="Arial" w:hAnsi="Arial" w:cs="Arial"/>
          <w:i/>
          <w:iCs/>
          <w:sz w:val="20"/>
          <w:szCs w:val="20"/>
        </w:rPr>
        <w:t xml:space="preserve">P. fluorescens. </w:t>
      </w:r>
    </w:p>
    <w:p w14:paraId="29BEA248" w14:textId="77777777" w:rsidR="000503B5" w:rsidRPr="000503B5" w:rsidRDefault="000503B5" w:rsidP="000503B5">
      <w:pPr>
        <w:spacing w:after="0" w:line="360" w:lineRule="auto"/>
        <w:ind w:firstLine="720"/>
        <w:jc w:val="both"/>
        <w:rPr>
          <w:rFonts w:ascii="Arial" w:hAnsi="Arial" w:cs="Arial"/>
          <w:sz w:val="20"/>
          <w:szCs w:val="20"/>
        </w:rPr>
      </w:pPr>
      <w:r w:rsidRPr="000503B5">
        <w:rPr>
          <w:rFonts w:ascii="Arial" w:hAnsi="Arial" w:cs="Arial"/>
          <w:sz w:val="20"/>
          <w:szCs w:val="20"/>
        </w:rPr>
        <w:t xml:space="preserve">Efficacy of eleven different fungicides at three concentrations </w:t>
      </w:r>
      <w:r w:rsidRPr="007A54C0">
        <w:rPr>
          <w:rFonts w:ascii="Arial" w:hAnsi="Arial" w:cs="Arial"/>
          <w:i/>
          <w:iCs/>
          <w:sz w:val="20"/>
          <w:szCs w:val="20"/>
        </w:rPr>
        <w:t>viz.</w:t>
      </w:r>
      <w:r w:rsidRPr="000503B5">
        <w:rPr>
          <w:rFonts w:ascii="Arial" w:hAnsi="Arial" w:cs="Arial"/>
          <w:sz w:val="20"/>
          <w:szCs w:val="20"/>
        </w:rPr>
        <w:t xml:space="preserve">, 1000, 1500 and 2000 ppm were tested using poisoned food technique against </w:t>
      </w:r>
      <w:r w:rsidRPr="005428CF">
        <w:rPr>
          <w:rFonts w:ascii="Arial" w:hAnsi="Arial" w:cs="Arial"/>
          <w:i/>
          <w:iCs/>
          <w:sz w:val="20"/>
          <w:szCs w:val="20"/>
        </w:rPr>
        <w:t xml:space="preserve">E. </w:t>
      </w:r>
      <w:proofErr w:type="spellStart"/>
      <w:r w:rsidRPr="005428CF">
        <w:rPr>
          <w:rFonts w:ascii="Arial" w:hAnsi="Arial" w:cs="Arial"/>
          <w:i/>
          <w:iCs/>
          <w:sz w:val="20"/>
          <w:szCs w:val="20"/>
        </w:rPr>
        <w:t>turcicum</w:t>
      </w:r>
      <w:proofErr w:type="spellEnd"/>
      <w:r w:rsidRPr="005428CF">
        <w:rPr>
          <w:rFonts w:ascii="Arial" w:hAnsi="Arial" w:cs="Arial"/>
          <w:i/>
          <w:iCs/>
          <w:sz w:val="20"/>
          <w:szCs w:val="20"/>
        </w:rPr>
        <w:t xml:space="preserve"> in vitro</w:t>
      </w:r>
      <w:r w:rsidRPr="000503B5">
        <w:rPr>
          <w:rFonts w:ascii="Arial" w:hAnsi="Arial" w:cs="Arial"/>
          <w:sz w:val="20"/>
          <w:szCs w:val="20"/>
        </w:rPr>
        <w:t xml:space="preserve">. All concentrations of fungicides significantly inhibited the mycelial growth of </w:t>
      </w:r>
      <w:proofErr w:type="spellStart"/>
      <w:r w:rsidRPr="005428CF">
        <w:rPr>
          <w:rFonts w:ascii="Arial" w:hAnsi="Arial" w:cs="Arial"/>
          <w:i/>
          <w:iCs/>
          <w:sz w:val="20"/>
          <w:szCs w:val="20"/>
        </w:rPr>
        <w:t>Exserohilum</w:t>
      </w:r>
      <w:proofErr w:type="spellEnd"/>
      <w:r w:rsidRPr="005428CF">
        <w:rPr>
          <w:rFonts w:ascii="Arial" w:hAnsi="Arial" w:cs="Arial"/>
          <w:i/>
          <w:iCs/>
          <w:sz w:val="20"/>
          <w:szCs w:val="20"/>
        </w:rPr>
        <w:t xml:space="preserve"> </w:t>
      </w:r>
      <w:proofErr w:type="spellStart"/>
      <w:r w:rsidRPr="005428CF">
        <w:rPr>
          <w:rFonts w:ascii="Arial" w:hAnsi="Arial" w:cs="Arial"/>
          <w:i/>
          <w:iCs/>
          <w:sz w:val="20"/>
          <w:szCs w:val="20"/>
        </w:rPr>
        <w:t>turcicum</w:t>
      </w:r>
      <w:proofErr w:type="spellEnd"/>
      <w:r w:rsidRPr="000503B5">
        <w:rPr>
          <w:rFonts w:ascii="Arial" w:hAnsi="Arial" w:cs="Arial"/>
          <w:sz w:val="20"/>
          <w:szCs w:val="20"/>
        </w:rPr>
        <w:t xml:space="preserve"> compared to the control. Carbendazim 25% + Flusilazole 12.5% SE and </w:t>
      </w:r>
      <w:proofErr w:type="spellStart"/>
      <w:r w:rsidRPr="000503B5">
        <w:rPr>
          <w:rFonts w:ascii="Arial" w:hAnsi="Arial" w:cs="Arial"/>
          <w:sz w:val="20"/>
          <w:szCs w:val="20"/>
        </w:rPr>
        <w:t>Fluopyram</w:t>
      </w:r>
      <w:proofErr w:type="spellEnd"/>
      <w:r w:rsidRPr="000503B5">
        <w:rPr>
          <w:rFonts w:ascii="Arial" w:hAnsi="Arial" w:cs="Arial"/>
          <w:sz w:val="20"/>
          <w:szCs w:val="20"/>
        </w:rPr>
        <w:t xml:space="preserve"> 17.7% + Tebuconazole 17.7% SC at all concentrations cent per cent inhibited the fungal growth and proved significantly superior over the rest of the fungicides tested. </w:t>
      </w:r>
    </w:p>
    <w:p w14:paraId="11645F0E" w14:textId="77777777" w:rsidR="000503B5" w:rsidRPr="000503B5" w:rsidRDefault="000503B5" w:rsidP="000503B5">
      <w:pPr>
        <w:spacing w:after="0" w:line="360" w:lineRule="auto"/>
        <w:jc w:val="both"/>
        <w:rPr>
          <w:rFonts w:ascii="Arial" w:hAnsi="Arial" w:cs="Arial"/>
          <w:sz w:val="20"/>
          <w:szCs w:val="20"/>
        </w:rPr>
      </w:pPr>
      <w:r w:rsidRPr="000503B5">
        <w:rPr>
          <w:rFonts w:ascii="Arial" w:hAnsi="Arial" w:cs="Arial"/>
          <w:sz w:val="20"/>
          <w:szCs w:val="20"/>
        </w:rPr>
        <w:tab/>
        <w:t xml:space="preserve">The significantly next best treatment at all concentrations was Tebuconazole 50% + </w:t>
      </w:r>
      <w:proofErr w:type="spellStart"/>
      <w:r w:rsidRPr="000503B5">
        <w:rPr>
          <w:rFonts w:ascii="Arial" w:hAnsi="Arial" w:cs="Arial"/>
          <w:sz w:val="20"/>
          <w:szCs w:val="20"/>
        </w:rPr>
        <w:t>Trifloxystrobin</w:t>
      </w:r>
      <w:proofErr w:type="spellEnd"/>
      <w:r w:rsidRPr="000503B5">
        <w:rPr>
          <w:rFonts w:ascii="Arial" w:hAnsi="Arial" w:cs="Arial"/>
          <w:sz w:val="20"/>
          <w:szCs w:val="20"/>
        </w:rPr>
        <w:t xml:space="preserve"> 25% WG showing 93.70, 95.19 and 96.85 PGI with 5.67, 4.33 and 2.83 mm mycelial growth at 1000 ppm, 1500 ppm and 2000 ppm respectively.</w:t>
      </w:r>
    </w:p>
    <w:p w14:paraId="529F46B8" w14:textId="77777777" w:rsidR="000503B5" w:rsidRPr="000503B5" w:rsidRDefault="000503B5" w:rsidP="000503B5">
      <w:pPr>
        <w:spacing w:after="0" w:line="360" w:lineRule="auto"/>
        <w:jc w:val="both"/>
        <w:rPr>
          <w:rFonts w:ascii="Arial" w:hAnsi="Arial" w:cs="Arial"/>
          <w:sz w:val="20"/>
          <w:szCs w:val="20"/>
        </w:rPr>
      </w:pPr>
      <w:r w:rsidRPr="000503B5">
        <w:rPr>
          <w:rFonts w:ascii="Arial" w:hAnsi="Arial" w:cs="Arial"/>
          <w:sz w:val="20"/>
          <w:szCs w:val="20"/>
        </w:rPr>
        <w:tab/>
        <w:t xml:space="preserve">The next best treatments in order of merit were Azoxystrobin 18.2%+ </w:t>
      </w:r>
      <w:proofErr w:type="spellStart"/>
      <w:r w:rsidRPr="000503B5">
        <w:rPr>
          <w:rFonts w:ascii="Arial" w:hAnsi="Arial" w:cs="Arial"/>
          <w:sz w:val="20"/>
          <w:szCs w:val="20"/>
        </w:rPr>
        <w:t>Difeonconazole</w:t>
      </w:r>
      <w:proofErr w:type="spellEnd"/>
      <w:r w:rsidRPr="000503B5">
        <w:rPr>
          <w:rFonts w:ascii="Arial" w:hAnsi="Arial" w:cs="Arial"/>
          <w:sz w:val="20"/>
          <w:szCs w:val="20"/>
        </w:rPr>
        <w:t xml:space="preserve"> 11.4% SC with 88.15 PGI and 10.67 mm mycelial growth, Hexaconazole 5 EC with 85.19 PGI and 13.33 mm mycelial growth, Propiconazole 25 EC with 83.70 PGI and 14.67 mm mycelial growth and Carbendazim 12% + Mancozeb 63% WP with 75.19 PGI and 22.33 mm mycelial growth at 1000 ppm.</w:t>
      </w:r>
    </w:p>
    <w:p w14:paraId="4368E83F" w14:textId="77777777" w:rsidR="000503B5" w:rsidRPr="000503B5" w:rsidRDefault="000503B5" w:rsidP="000503B5">
      <w:pPr>
        <w:spacing w:after="0" w:line="360" w:lineRule="auto"/>
        <w:jc w:val="both"/>
        <w:rPr>
          <w:rFonts w:ascii="Arial" w:hAnsi="Arial" w:cs="Arial"/>
          <w:sz w:val="20"/>
          <w:szCs w:val="20"/>
        </w:rPr>
      </w:pPr>
      <w:r w:rsidRPr="000503B5">
        <w:rPr>
          <w:rFonts w:ascii="Arial" w:hAnsi="Arial" w:cs="Arial"/>
          <w:sz w:val="20"/>
          <w:szCs w:val="20"/>
        </w:rPr>
        <w:tab/>
        <w:t xml:space="preserve">At 1500 ppm, Hexaconazole 5 EC found third best with 87.04 PGI and 11.67 mm mycelial growth followed by Carbendazim 12% + Mancozeb 63% WP with 86.30 PGI and 12.33 mm mycelial growth ,Azoxystrobin 18.2%+ </w:t>
      </w:r>
      <w:proofErr w:type="spellStart"/>
      <w:r w:rsidRPr="000503B5">
        <w:rPr>
          <w:rFonts w:ascii="Arial" w:hAnsi="Arial" w:cs="Arial"/>
          <w:sz w:val="20"/>
          <w:szCs w:val="20"/>
        </w:rPr>
        <w:t>Difeonconazole</w:t>
      </w:r>
      <w:proofErr w:type="spellEnd"/>
      <w:r w:rsidRPr="000503B5">
        <w:rPr>
          <w:rFonts w:ascii="Arial" w:hAnsi="Arial" w:cs="Arial"/>
          <w:sz w:val="20"/>
          <w:szCs w:val="20"/>
        </w:rPr>
        <w:t xml:space="preserve"> 11.4% SC with 86.30 PGI and 12.33 mm mycelial growth and Copper oxychloride 50 WG with 68.15 PGI and 28.67 mm mycelial growth.</w:t>
      </w:r>
    </w:p>
    <w:p w14:paraId="2AA285D7" w14:textId="77777777" w:rsidR="000503B5" w:rsidRPr="000503B5" w:rsidRDefault="000503B5" w:rsidP="000503B5">
      <w:pPr>
        <w:spacing w:after="0" w:line="360" w:lineRule="auto"/>
        <w:jc w:val="both"/>
        <w:rPr>
          <w:rFonts w:ascii="Arial" w:hAnsi="Arial" w:cs="Arial"/>
          <w:sz w:val="20"/>
          <w:szCs w:val="20"/>
        </w:rPr>
      </w:pPr>
      <w:r w:rsidRPr="000503B5">
        <w:rPr>
          <w:rFonts w:ascii="Arial" w:hAnsi="Arial" w:cs="Arial"/>
          <w:sz w:val="20"/>
          <w:szCs w:val="20"/>
        </w:rPr>
        <w:tab/>
        <w:t>The treatments found the next best at 2000 ppm were Carbendazim 12% + Mancozeb 63% WP with 91.48 PGI and 7.67 mm mycelial growth, Hexaconazole 5 EC with 89.70 PGI and 09.27 mm mycelial growth and Propiconazole 25 EC with 88.59 PGI and 10.27 mm mycelial growth. The least effective treatment at all three concentration was Azoxystrobin 23 SC with 53.33, 53.70, 59.26 PGI and 42.00, 41.67, 36.67 mm mycelial growth at 1000, 1500 and 2000 ppm.</w:t>
      </w:r>
    </w:p>
    <w:p w14:paraId="37F5517D" w14:textId="77777777" w:rsidR="000503B5" w:rsidRPr="00E342A1" w:rsidRDefault="000503B5" w:rsidP="000F6F40">
      <w:pPr>
        <w:spacing w:after="0" w:line="360" w:lineRule="auto"/>
        <w:jc w:val="both"/>
        <w:rPr>
          <w:rFonts w:ascii="Arial" w:hAnsi="Arial" w:cs="Arial"/>
          <w:i/>
          <w:iCs/>
          <w:sz w:val="20"/>
          <w:szCs w:val="20"/>
        </w:rPr>
      </w:pPr>
    </w:p>
    <w:p w14:paraId="3F3A7C33" w14:textId="47173FA6" w:rsidR="0054301D" w:rsidRDefault="007A54C0" w:rsidP="007A54C0">
      <w:pPr>
        <w:jc w:val="both"/>
        <w:rPr>
          <w:rFonts w:ascii="Arial" w:hAnsi="Arial" w:cs="Arial"/>
          <w:b/>
          <w:bCs/>
        </w:rPr>
      </w:pPr>
      <w:r w:rsidRPr="007A54C0">
        <w:rPr>
          <w:rFonts w:ascii="Arial" w:hAnsi="Arial" w:cs="Arial"/>
          <w:b/>
          <w:bCs/>
        </w:rPr>
        <w:t>Acknowledgement</w:t>
      </w:r>
    </w:p>
    <w:p w14:paraId="6D4BBA0B" w14:textId="3532AD9B" w:rsidR="007A54C0" w:rsidRPr="007A54C0" w:rsidRDefault="007A54C0" w:rsidP="007A54C0">
      <w:pPr>
        <w:jc w:val="both"/>
        <w:rPr>
          <w:rFonts w:ascii="Arial" w:hAnsi="Arial" w:cs="Arial"/>
          <w:sz w:val="20"/>
          <w:szCs w:val="20"/>
        </w:rPr>
      </w:pPr>
      <w:r w:rsidRPr="007A54C0">
        <w:rPr>
          <w:rFonts w:ascii="Arial" w:hAnsi="Arial" w:cs="Arial"/>
          <w:sz w:val="20"/>
          <w:szCs w:val="20"/>
        </w:rPr>
        <w:t>The authors acknowledge the Department of Plant Pathology, NAU, Navsari for providing</w:t>
      </w:r>
      <w:r>
        <w:rPr>
          <w:rFonts w:ascii="Arial" w:hAnsi="Arial" w:cs="Arial"/>
          <w:sz w:val="20"/>
          <w:szCs w:val="20"/>
        </w:rPr>
        <w:t xml:space="preserve"> </w:t>
      </w:r>
      <w:r w:rsidRPr="007A54C0">
        <w:rPr>
          <w:rFonts w:ascii="Arial" w:hAnsi="Arial" w:cs="Arial"/>
          <w:sz w:val="20"/>
          <w:szCs w:val="20"/>
        </w:rPr>
        <w:t>necessary facilities to conduct research work.</w:t>
      </w:r>
    </w:p>
    <w:p w14:paraId="517DB658" w14:textId="77777777" w:rsidR="0054301D" w:rsidRPr="00ED386D" w:rsidRDefault="0054301D" w:rsidP="00ED386D">
      <w:pPr>
        <w:jc w:val="both"/>
        <w:rPr>
          <w:rFonts w:ascii="Arial" w:hAnsi="Arial" w:cs="Arial"/>
          <w:b/>
          <w:bCs/>
        </w:rPr>
      </w:pPr>
      <w:r w:rsidRPr="00ED386D">
        <w:rPr>
          <w:rFonts w:ascii="Arial" w:hAnsi="Arial" w:cs="Arial"/>
          <w:b/>
          <w:bCs/>
        </w:rPr>
        <w:t>COMPETING INTERESTS DISCLAIMER:</w:t>
      </w:r>
    </w:p>
    <w:p w14:paraId="52872C05" w14:textId="07E698FE" w:rsidR="0054301D" w:rsidRDefault="0054301D" w:rsidP="0054301D">
      <w:pPr>
        <w:spacing w:line="360" w:lineRule="auto"/>
        <w:jc w:val="both"/>
        <w:rPr>
          <w:rFonts w:ascii="Arial" w:hAnsi="Arial" w:cs="Arial"/>
          <w:sz w:val="20"/>
          <w:szCs w:val="20"/>
        </w:rPr>
      </w:pPr>
      <w:r w:rsidRPr="0054301D">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3487F54E" w14:textId="5EDA918B" w:rsidR="00F611E0" w:rsidRDefault="00F611E0" w:rsidP="0054301D">
      <w:pPr>
        <w:spacing w:line="360" w:lineRule="auto"/>
        <w:jc w:val="both"/>
        <w:rPr>
          <w:rFonts w:ascii="Arial" w:hAnsi="Arial" w:cs="Arial"/>
          <w:sz w:val="20"/>
          <w:szCs w:val="20"/>
        </w:rPr>
      </w:pPr>
    </w:p>
    <w:p w14:paraId="020E6408" w14:textId="7D2034E9" w:rsidR="00F611E0" w:rsidRDefault="00F611E0" w:rsidP="0054301D">
      <w:pPr>
        <w:spacing w:line="360" w:lineRule="auto"/>
        <w:jc w:val="both"/>
        <w:rPr>
          <w:rFonts w:ascii="Arial" w:hAnsi="Arial" w:cs="Arial"/>
          <w:sz w:val="20"/>
          <w:szCs w:val="20"/>
        </w:rPr>
      </w:pPr>
    </w:p>
    <w:p w14:paraId="6646A2CD" w14:textId="77777777" w:rsidR="00F611E0" w:rsidRPr="00ED386D" w:rsidRDefault="00F611E0" w:rsidP="00ED386D">
      <w:pPr>
        <w:jc w:val="both"/>
        <w:rPr>
          <w:rFonts w:ascii="Arial" w:hAnsi="Arial" w:cs="Arial"/>
          <w:b/>
          <w:bCs/>
        </w:rPr>
      </w:pPr>
      <w:bookmarkStart w:id="2" w:name="_Hlk201835975"/>
      <w:bookmarkStart w:id="3" w:name="_Hlk193540946"/>
      <w:bookmarkStart w:id="4" w:name="_Hlk180402183"/>
      <w:bookmarkStart w:id="5" w:name="_Hlk183680988"/>
      <w:bookmarkStart w:id="6" w:name="_Hlk197173371"/>
      <w:r w:rsidRPr="00ED386D">
        <w:rPr>
          <w:rFonts w:ascii="Arial" w:hAnsi="Arial" w:cs="Arial"/>
          <w:b/>
          <w:bCs/>
        </w:rPr>
        <w:t>Disclaimer (Artificial intelligence)</w:t>
      </w:r>
    </w:p>
    <w:p w14:paraId="3EE08902" w14:textId="77777777" w:rsidR="00F611E0" w:rsidRPr="00ED386D" w:rsidRDefault="00F611E0" w:rsidP="00F611E0">
      <w:pPr>
        <w:rPr>
          <w:rFonts w:ascii="Arial" w:hAnsi="Arial" w:cs="Arial"/>
          <w:sz w:val="20"/>
          <w:szCs w:val="20"/>
        </w:rPr>
      </w:pPr>
      <w:r w:rsidRPr="00ED386D">
        <w:rPr>
          <w:rFonts w:ascii="Arial" w:hAnsi="Arial" w:cs="Arial"/>
          <w:sz w:val="20"/>
          <w:szCs w:val="20"/>
        </w:rPr>
        <w:lastRenderedPageBreak/>
        <w:t xml:space="preserve">Option 1: </w:t>
      </w:r>
    </w:p>
    <w:bookmarkEnd w:id="2"/>
    <w:bookmarkEnd w:id="3"/>
    <w:bookmarkEnd w:id="4"/>
    <w:bookmarkEnd w:id="5"/>
    <w:bookmarkEnd w:id="6"/>
    <w:p w14:paraId="579ABCB7" w14:textId="45A4177E" w:rsidR="00F611E0" w:rsidRPr="00E342A1" w:rsidRDefault="003B5F1D" w:rsidP="0054301D">
      <w:pPr>
        <w:spacing w:line="360" w:lineRule="auto"/>
        <w:jc w:val="both"/>
        <w:rPr>
          <w:rFonts w:ascii="Arial" w:hAnsi="Arial" w:cs="Arial"/>
          <w:sz w:val="20"/>
          <w:szCs w:val="20"/>
        </w:rPr>
      </w:pPr>
      <w:r w:rsidRPr="003B5F1D">
        <w:rPr>
          <w:rFonts w:ascii="Arial" w:hAnsi="Arial" w:cs="Arial"/>
          <w:sz w:val="20"/>
          <w:szCs w:val="20"/>
        </w:rPr>
        <w:t>Author(s) hereby declare that NO generative AI technologies such as Large Language Models (</w:t>
      </w:r>
      <w:proofErr w:type="spellStart"/>
      <w:r w:rsidRPr="003B5F1D">
        <w:rPr>
          <w:rFonts w:ascii="Arial" w:hAnsi="Arial" w:cs="Arial"/>
          <w:sz w:val="20"/>
          <w:szCs w:val="20"/>
        </w:rPr>
        <w:t>ChatGPT</w:t>
      </w:r>
      <w:proofErr w:type="spellEnd"/>
      <w:r w:rsidRPr="003B5F1D">
        <w:rPr>
          <w:rFonts w:ascii="Arial" w:hAnsi="Arial" w:cs="Arial"/>
          <w:sz w:val="20"/>
          <w:szCs w:val="20"/>
        </w:rPr>
        <w:t>, COPILOT, etc.) and text-to-image generators have been used during the writing or editing of this manuscript.</w:t>
      </w:r>
    </w:p>
    <w:p w14:paraId="08463B16" w14:textId="77777777" w:rsidR="00FD67C6" w:rsidRPr="00E342A1" w:rsidRDefault="00FD67C6" w:rsidP="00251913">
      <w:pPr>
        <w:jc w:val="both"/>
        <w:rPr>
          <w:rFonts w:ascii="Arial" w:hAnsi="Arial" w:cs="Arial"/>
          <w:b/>
          <w:bCs/>
        </w:rPr>
      </w:pPr>
      <w:r w:rsidRPr="00E342A1">
        <w:rPr>
          <w:rFonts w:ascii="Arial" w:hAnsi="Arial" w:cs="Arial"/>
          <w:b/>
          <w:bCs/>
        </w:rPr>
        <w:t>REFERENCES</w:t>
      </w:r>
    </w:p>
    <w:p w14:paraId="09556F4C" w14:textId="77777777" w:rsidR="005428CF" w:rsidRDefault="005428CF" w:rsidP="000C6890">
      <w:pPr>
        <w:spacing w:after="0" w:line="360" w:lineRule="auto"/>
        <w:ind w:left="1440" w:right="20" w:hanging="1260"/>
        <w:jc w:val="both"/>
        <w:rPr>
          <w:rFonts w:ascii="Arial" w:hAnsi="Arial" w:cs="Arial"/>
          <w:sz w:val="20"/>
          <w:szCs w:val="20"/>
        </w:rPr>
      </w:pPr>
      <w:r w:rsidRPr="000C6890">
        <w:rPr>
          <w:rFonts w:ascii="Arial" w:hAnsi="Arial" w:cs="Arial"/>
          <w:sz w:val="20"/>
          <w:szCs w:val="20"/>
        </w:rPr>
        <w:t xml:space="preserve">Ahmed, K. M and Reddy, C. R. (1993).  A pictorial guide to the identification of seed borne fungi of sorghum, pearl millet, finger </w:t>
      </w:r>
      <w:proofErr w:type="spellStart"/>
      <w:r w:rsidRPr="000C6890">
        <w:rPr>
          <w:rFonts w:ascii="Arial" w:hAnsi="Arial" w:cs="Arial"/>
          <w:sz w:val="20"/>
          <w:szCs w:val="20"/>
        </w:rPr>
        <w:t>minet</w:t>
      </w:r>
      <w:proofErr w:type="spellEnd"/>
      <w:r w:rsidRPr="000C6890">
        <w:rPr>
          <w:rFonts w:ascii="Arial" w:hAnsi="Arial" w:cs="Arial"/>
          <w:sz w:val="20"/>
          <w:szCs w:val="20"/>
        </w:rPr>
        <w:t xml:space="preserve">, chickpea, </w:t>
      </w:r>
      <w:proofErr w:type="spellStart"/>
      <w:r w:rsidRPr="000C6890">
        <w:rPr>
          <w:rFonts w:ascii="Arial" w:hAnsi="Arial" w:cs="Arial"/>
          <w:sz w:val="20"/>
          <w:szCs w:val="20"/>
        </w:rPr>
        <w:t>pigeonpea</w:t>
      </w:r>
      <w:proofErr w:type="spellEnd"/>
      <w:r w:rsidRPr="000C6890">
        <w:rPr>
          <w:rFonts w:ascii="Arial" w:hAnsi="Arial" w:cs="Arial"/>
          <w:sz w:val="20"/>
          <w:szCs w:val="20"/>
        </w:rPr>
        <w:t xml:space="preserve"> and ground nut. Information Bulletin No. 34. </w:t>
      </w:r>
      <w:proofErr w:type="spellStart"/>
      <w:r w:rsidRPr="000C6890">
        <w:rPr>
          <w:rFonts w:ascii="Arial" w:hAnsi="Arial" w:cs="Arial"/>
          <w:sz w:val="20"/>
          <w:szCs w:val="20"/>
        </w:rPr>
        <w:t>ICRlSAT</w:t>
      </w:r>
      <w:proofErr w:type="spellEnd"/>
      <w:r w:rsidRPr="000C6890">
        <w:rPr>
          <w:rFonts w:ascii="Arial" w:hAnsi="Arial" w:cs="Arial"/>
          <w:sz w:val="20"/>
          <w:szCs w:val="20"/>
        </w:rPr>
        <w:t xml:space="preserve"> </w:t>
      </w:r>
      <w:proofErr w:type="spellStart"/>
      <w:r w:rsidRPr="000C6890">
        <w:rPr>
          <w:rFonts w:ascii="Arial" w:hAnsi="Arial" w:cs="Arial"/>
          <w:sz w:val="20"/>
          <w:szCs w:val="20"/>
        </w:rPr>
        <w:t>Patancheru</w:t>
      </w:r>
      <w:proofErr w:type="spellEnd"/>
      <w:r w:rsidRPr="000C6890">
        <w:rPr>
          <w:rFonts w:ascii="Arial" w:hAnsi="Arial" w:cs="Arial"/>
          <w:sz w:val="20"/>
          <w:szCs w:val="20"/>
        </w:rPr>
        <w:t>, A.P., 502324, India. 200.</w:t>
      </w:r>
    </w:p>
    <w:p w14:paraId="2D9B61D8" w14:textId="77777777" w:rsidR="005428CF" w:rsidRPr="00E342A1" w:rsidRDefault="005428CF" w:rsidP="000F6F40">
      <w:pPr>
        <w:spacing w:after="0" w:line="360" w:lineRule="auto"/>
        <w:ind w:left="1440" w:right="20" w:hanging="1260"/>
        <w:jc w:val="both"/>
        <w:rPr>
          <w:rFonts w:ascii="Arial" w:hAnsi="Arial" w:cs="Arial"/>
          <w:color w:val="000000" w:themeColor="text1"/>
          <w:sz w:val="20"/>
          <w:szCs w:val="20"/>
        </w:rPr>
      </w:pPr>
      <w:r w:rsidRPr="00E342A1">
        <w:rPr>
          <w:rFonts w:ascii="Arial" w:hAnsi="Arial" w:cs="Arial"/>
          <w:color w:val="000000" w:themeColor="text1"/>
          <w:sz w:val="20"/>
          <w:szCs w:val="20"/>
        </w:rPr>
        <w:t xml:space="preserve">Anonymous (2021-23). Third Advance Estimates of Area and Production of Agricultural Crops. </w:t>
      </w:r>
      <w:r w:rsidRPr="00E342A1">
        <w:rPr>
          <w:rFonts w:ascii="Arial" w:hAnsi="Arial" w:cs="Arial"/>
          <w:i/>
          <w:iCs/>
          <w:color w:val="000000" w:themeColor="text1"/>
          <w:sz w:val="20"/>
          <w:szCs w:val="20"/>
        </w:rPr>
        <w:t>Department of Agriculture and Farmer’s Welfare, GOI</w:t>
      </w:r>
      <w:r w:rsidRPr="00E342A1">
        <w:rPr>
          <w:rFonts w:ascii="Arial" w:hAnsi="Arial" w:cs="Arial"/>
          <w:color w:val="000000" w:themeColor="text1"/>
          <w:sz w:val="20"/>
          <w:szCs w:val="20"/>
        </w:rPr>
        <w:t xml:space="preserve">, pp. </w:t>
      </w:r>
      <w:r w:rsidRPr="00E342A1">
        <w:rPr>
          <w:rFonts w:ascii="Arial" w:hAnsi="Arial" w:cs="Arial"/>
          <w:b/>
          <w:bCs/>
          <w:color w:val="000000" w:themeColor="text1"/>
          <w:sz w:val="20"/>
          <w:szCs w:val="20"/>
        </w:rPr>
        <w:t>35</w:t>
      </w:r>
      <w:r w:rsidRPr="00E342A1">
        <w:rPr>
          <w:rFonts w:ascii="Arial" w:hAnsi="Arial" w:cs="Arial"/>
          <w:color w:val="000000" w:themeColor="text1"/>
          <w:sz w:val="20"/>
          <w:szCs w:val="20"/>
        </w:rPr>
        <w:t>.</w:t>
      </w:r>
    </w:p>
    <w:p w14:paraId="3D056DE4" w14:textId="77777777" w:rsidR="005428CF" w:rsidRPr="00E342A1" w:rsidRDefault="005428CF" w:rsidP="000F6F40">
      <w:pPr>
        <w:spacing w:after="0" w:line="360" w:lineRule="auto"/>
        <w:ind w:left="1440" w:right="20" w:hanging="1260"/>
        <w:jc w:val="both"/>
        <w:rPr>
          <w:rFonts w:ascii="Arial" w:hAnsi="Arial" w:cs="Arial"/>
          <w:color w:val="000000" w:themeColor="text1"/>
          <w:sz w:val="20"/>
          <w:szCs w:val="20"/>
        </w:rPr>
      </w:pPr>
      <w:proofErr w:type="spellStart"/>
      <w:r w:rsidRPr="00E342A1">
        <w:rPr>
          <w:rFonts w:ascii="Arial" w:hAnsi="Arial" w:cs="Arial"/>
          <w:color w:val="000000" w:themeColor="text1"/>
          <w:sz w:val="20"/>
          <w:szCs w:val="20"/>
        </w:rPr>
        <w:t>Asalmol</w:t>
      </w:r>
      <w:proofErr w:type="spellEnd"/>
      <w:r w:rsidRPr="00E342A1">
        <w:rPr>
          <w:rFonts w:ascii="Arial" w:hAnsi="Arial" w:cs="Arial"/>
          <w:color w:val="000000" w:themeColor="text1"/>
          <w:sz w:val="20"/>
          <w:szCs w:val="20"/>
        </w:rPr>
        <w:t xml:space="preserve">, M. N.; Sen, B. and Awasthi, J. (1990). Role of temperature and pH in antagonism of </w:t>
      </w:r>
      <w:r w:rsidRPr="00E342A1">
        <w:rPr>
          <w:rFonts w:ascii="Arial" w:hAnsi="Arial" w:cs="Arial"/>
          <w:i/>
          <w:iCs/>
          <w:color w:val="000000" w:themeColor="text1"/>
          <w:sz w:val="20"/>
          <w:szCs w:val="20"/>
        </w:rPr>
        <w:t xml:space="preserve">Aspergillus </w:t>
      </w:r>
      <w:proofErr w:type="spellStart"/>
      <w:r w:rsidRPr="00E342A1">
        <w:rPr>
          <w:rFonts w:ascii="Arial" w:hAnsi="Arial" w:cs="Arial"/>
          <w:i/>
          <w:iCs/>
          <w:color w:val="000000" w:themeColor="text1"/>
          <w:sz w:val="20"/>
          <w:szCs w:val="20"/>
        </w:rPr>
        <w:t>niger</w:t>
      </w:r>
      <w:proofErr w:type="spellEnd"/>
      <w:r w:rsidRPr="00E342A1">
        <w:rPr>
          <w:rFonts w:ascii="Arial" w:hAnsi="Arial" w:cs="Arial"/>
          <w:color w:val="000000" w:themeColor="text1"/>
          <w:sz w:val="20"/>
          <w:szCs w:val="20"/>
        </w:rPr>
        <w:t xml:space="preserve"> and </w:t>
      </w:r>
      <w:r w:rsidRPr="00E342A1">
        <w:rPr>
          <w:rFonts w:ascii="Arial" w:hAnsi="Arial" w:cs="Arial"/>
          <w:i/>
          <w:iCs/>
          <w:color w:val="000000" w:themeColor="text1"/>
          <w:sz w:val="20"/>
          <w:szCs w:val="20"/>
        </w:rPr>
        <w:t xml:space="preserve">Trichoderma </w:t>
      </w:r>
      <w:proofErr w:type="spellStart"/>
      <w:r w:rsidRPr="00E342A1">
        <w:rPr>
          <w:rFonts w:ascii="Arial" w:hAnsi="Arial" w:cs="Arial"/>
          <w:i/>
          <w:iCs/>
          <w:color w:val="000000" w:themeColor="text1"/>
          <w:sz w:val="20"/>
          <w:szCs w:val="20"/>
        </w:rPr>
        <w:t>viride</w:t>
      </w:r>
      <w:proofErr w:type="spellEnd"/>
      <w:r w:rsidRPr="00E342A1">
        <w:rPr>
          <w:rFonts w:ascii="Arial" w:hAnsi="Arial" w:cs="Arial"/>
          <w:color w:val="000000" w:themeColor="text1"/>
          <w:sz w:val="20"/>
          <w:szCs w:val="20"/>
        </w:rPr>
        <w:t xml:space="preserve"> against </w:t>
      </w:r>
      <w:r w:rsidRPr="00E342A1">
        <w:rPr>
          <w:rFonts w:ascii="Arial" w:hAnsi="Arial" w:cs="Arial"/>
          <w:i/>
          <w:iCs/>
          <w:color w:val="000000" w:themeColor="text1"/>
          <w:sz w:val="20"/>
          <w:szCs w:val="20"/>
        </w:rPr>
        <w:t xml:space="preserve">Fusarium </w:t>
      </w:r>
      <w:proofErr w:type="spellStart"/>
      <w:r w:rsidRPr="00E342A1">
        <w:rPr>
          <w:rFonts w:ascii="Arial" w:hAnsi="Arial" w:cs="Arial"/>
          <w:i/>
          <w:iCs/>
          <w:color w:val="000000" w:themeColor="text1"/>
          <w:sz w:val="20"/>
          <w:szCs w:val="20"/>
        </w:rPr>
        <w:t>solani</w:t>
      </w:r>
      <w:proofErr w:type="spellEnd"/>
      <w:r w:rsidRPr="00E342A1">
        <w:rPr>
          <w:rFonts w:ascii="Arial" w:hAnsi="Arial" w:cs="Arial"/>
          <w:color w:val="000000" w:themeColor="text1"/>
          <w:sz w:val="20"/>
          <w:szCs w:val="20"/>
        </w:rPr>
        <w:t>. Proc. Indian Phyto-Pathological Society (Western Zone) On Bio-control of Plant Pathogen. M.P.A.U., Pune. pp. 11-13.</w:t>
      </w:r>
    </w:p>
    <w:p w14:paraId="1455962D" w14:textId="77777777" w:rsidR="005428CF" w:rsidRPr="00E342A1" w:rsidRDefault="005428CF" w:rsidP="000F6F40">
      <w:pPr>
        <w:spacing w:after="0" w:line="360" w:lineRule="auto"/>
        <w:ind w:left="1440" w:right="20" w:hanging="1260"/>
        <w:jc w:val="both"/>
        <w:rPr>
          <w:rFonts w:ascii="Arial" w:hAnsi="Arial" w:cs="Arial"/>
          <w:color w:val="000000" w:themeColor="text1"/>
          <w:sz w:val="20"/>
          <w:szCs w:val="20"/>
        </w:rPr>
      </w:pPr>
      <w:r w:rsidRPr="00E342A1">
        <w:rPr>
          <w:rFonts w:ascii="Arial" w:hAnsi="Arial" w:cs="Arial"/>
          <w:color w:val="000000" w:themeColor="text1"/>
          <w:sz w:val="20"/>
          <w:szCs w:val="20"/>
        </w:rPr>
        <w:t xml:space="preserve">Bergquist, R. (1986). Leaf blight In Compendium of Sorghum Diseases. </w:t>
      </w:r>
      <w:r w:rsidRPr="00E342A1">
        <w:rPr>
          <w:rFonts w:ascii="Arial" w:hAnsi="Arial" w:cs="Arial"/>
          <w:i/>
          <w:iCs/>
          <w:color w:val="000000" w:themeColor="text1"/>
          <w:sz w:val="20"/>
          <w:szCs w:val="20"/>
        </w:rPr>
        <w:t xml:space="preserve">American </w:t>
      </w:r>
      <w:proofErr w:type="spellStart"/>
      <w:proofErr w:type="gramStart"/>
      <w:r w:rsidRPr="00E342A1">
        <w:rPr>
          <w:rFonts w:ascii="Arial" w:hAnsi="Arial" w:cs="Arial"/>
          <w:i/>
          <w:iCs/>
          <w:color w:val="000000" w:themeColor="text1"/>
          <w:sz w:val="20"/>
          <w:szCs w:val="20"/>
        </w:rPr>
        <w:t>Phytopathological</w:t>
      </w:r>
      <w:proofErr w:type="spellEnd"/>
      <w:r w:rsidRPr="00E342A1">
        <w:rPr>
          <w:rFonts w:ascii="Arial" w:hAnsi="Arial" w:cs="Arial"/>
          <w:i/>
          <w:iCs/>
          <w:color w:val="000000" w:themeColor="text1"/>
          <w:sz w:val="20"/>
          <w:szCs w:val="20"/>
        </w:rPr>
        <w:t xml:space="preserve">  Society</w:t>
      </w:r>
      <w:proofErr w:type="gramEnd"/>
      <w:r w:rsidRPr="00E342A1">
        <w:rPr>
          <w:rFonts w:ascii="Arial" w:hAnsi="Arial" w:cs="Arial"/>
          <w:color w:val="000000" w:themeColor="text1"/>
          <w:sz w:val="20"/>
          <w:szCs w:val="20"/>
        </w:rPr>
        <w:t xml:space="preserve">, </w:t>
      </w:r>
      <w:r w:rsidRPr="00E342A1">
        <w:rPr>
          <w:rFonts w:ascii="Arial" w:hAnsi="Arial" w:cs="Arial"/>
          <w:b/>
          <w:bCs/>
          <w:color w:val="000000" w:themeColor="text1"/>
          <w:sz w:val="20"/>
          <w:szCs w:val="20"/>
        </w:rPr>
        <w:t>48</w:t>
      </w:r>
      <w:r w:rsidRPr="00E342A1">
        <w:rPr>
          <w:rFonts w:ascii="Arial" w:hAnsi="Arial" w:cs="Arial"/>
          <w:color w:val="000000" w:themeColor="text1"/>
          <w:sz w:val="20"/>
          <w:szCs w:val="20"/>
        </w:rPr>
        <w:t>: 56-58.</w:t>
      </w:r>
    </w:p>
    <w:p w14:paraId="326F07BA" w14:textId="77777777" w:rsidR="005428CF" w:rsidRDefault="005428CF" w:rsidP="000C6890">
      <w:pPr>
        <w:spacing w:after="0" w:line="360" w:lineRule="auto"/>
        <w:ind w:left="1440" w:right="20" w:hanging="1260"/>
        <w:jc w:val="both"/>
        <w:rPr>
          <w:rFonts w:ascii="Arial" w:hAnsi="Arial" w:cs="Arial"/>
          <w:sz w:val="20"/>
          <w:szCs w:val="20"/>
        </w:rPr>
      </w:pPr>
      <w:r w:rsidRPr="000C6890">
        <w:rPr>
          <w:rFonts w:ascii="Arial" w:hAnsi="Arial" w:cs="Arial"/>
          <w:sz w:val="20"/>
          <w:szCs w:val="20"/>
        </w:rPr>
        <w:t>Bunker, R. N. and Mathur, K. (2006). Host range of leaf blight pathogen (</w:t>
      </w:r>
      <w:proofErr w:type="spellStart"/>
      <w:r w:rsidRPr="000C6890">
        <w:rPr>
          <w:rFonts w:ascii="Arial" w:hAnsi="Arial" w:cs="Arial"/>
          <w:i/>
          <w:iCs/>
          <w:sz w:val="20"/>
          <w:szCs w:val="20"/>
        </w:rPr>
        <w:t>Exserohilum</w:t>
      </w:r>
      <w:proofErr w:type="spellEnd"/>
      <w:r w:rsidRPr="000C6890">
        <w:rPr>
          <w:rFonts w:ascii="Arial" w:hAnsi="Arial" w:cs="Arial"/>
          <w:i/>
          <w:iCs/>
          <w:sz w:val="20"/>
          <w:szCs w:val="20"/>
        </w:rPr>
        <w:t xml:space="preserve"> </w:t>
      </w:r>
      <w:proofErr w:type="spellStart"/>
      <w:r w:rsidRPr="000C6890">
        <w:rPr>
          <w:rFonts w:ascii="Arial" w:hAnsi="Arial" w:cs="Arial"/>
          <w:i/>
          <w:iCs/>
          <w:sz w:val="20"/>
          <w:szCs w:val="20"/>
        </w:rPr>
        <w:t>turcicum</w:t>
      </w:r>
      <w:proofErr w:type="spellEnd"/>
      <w:r w:rsidRPr="000C6890">
        <w:rPr>
          <w:rFonts w:ascii="Arial" w:hAnsi="Arial" w:cs="Arial"/>
          <w:sz w:val="20"/>
          <w:szCs w:val="20"/>
        </w:rPr>
        <w:t>) of sorghum. Indian phytopathology, 59(3): 370-372.</w:t>
      </w:r>
    </w:p>
    <w:p w14:paraId="68883A11" w14:textId="77777777" w:rsidR="005428CF" w:rsidRPr="000C6890" w:rsidRDefault="005428CF" w:rsidP="000C6890">
      <w:pPr>
        <w:spacing w:after="0" w:line="360" w:lineRule="auto"/>
        <w:ind w:left="1440" w:right="20" w:hanging="1260"/>
        <w:jc w:val="both"/>
        <w:rPr>
          <w:rFonts w:ascii="Arial" w:hAnsi="Arial" w:cs="Arial"/>
          <w:sz w:val="20"/>
          <w:szCs w:val="20"/>
        </w:rPr>
      </w:pPr>
      <w:r w:rsidRPr="000C6890">
        <w:rPr>
          <w:rFonts w:ascii="Arial" w:hAnsi="Arial" w:cs="Arial"/>
          <w:sz w:val="20"/>
          <w:szCs w:val="20"/>
        </w:rPr>
        <w:t xml:space="preserve">Chidambaram, P.; Mathur, S. B and </w:t>
      </w:r>
      <w:proofErr w:type="spellStart"/>
      <w:r w:rsidRPr="000C6890">
        <w:rPr>
          <w:rFonts w:ascii="Arial" w:hAnsi="Arial" w:cs="Arial"/>
          <w:sz w:val="20"/>
          <w:szCs w:val="20"/>
        </w:rPr>
        <w:t>Neergaard</w:t>
      </w:r>
      <w:proofErr w:type="spellEnd"/>
      <w:r w:rsidRPr="000C6890">
        <w:rPr>
          <w:rFonts w:ascii="Arial" w:hAnsi="Arial" w:cs="Arial"/>
          <w:sz w:val="20"/>
          <w:szCs w:val="20"/>
        </w:rPr>
        <w:t xml:space="preserve">, P. (1973). Identification of seed-borne </w:t>
      </w:r>
      <w:proofErr w:type="spellStart"/>
      <w:r w:rsidRPr="000C6890">
        <w:rPr>
          <w:rFonts w:ascii="Arial" w:hAnsi="Arial" w:cs="Arial"/>
          <w:sz w:val="20"/>
          <w:szCs w:val="20"/>
        </w:rPr>
        <w:t>Drechslera</w:t>
      </w:r>
      <w:proofErr w:type="spellEnd"/>
      <w:r w:rsidRPr="000C6890">
        <w:rPr>
          <w:rFonts w:ascii="Arial" w:hAnsi="Arial" w:cs="Arial"/>
          <w:sz w:val="20"/>
          <w:szCs w:val="20"/>
        </w:rPr>
        <w:t xml:space="preserve"> species. </w:t>
      </w:r>
      <w:proofErr w:type="spellStart"/>
      <w:r w:rsidRPr="000C6890">
        <w:rPr>
          <w:rFonts w:ascii="Arial" w:hAnsi="Arial" w:cs="Arial"/>
          <w:sz w:val="20"/>
          <w:szCs w:val="20"/>
        </w:rPr>
        <w:t>Friesa</w:t>
      </w:r>
      <w:proofErr w:type="spellEnd"/>
      <w:r w:rsidRPr="000C6890">
        <w:rPr>
          <w:rFonts w:ascii="Arial" w:hAnsi="Arial" w:cs="Arial"/>
          <w:sz w:val="20"/>
          <w:szCs w:val="20"/>
        </w:rPr>
        <w:t>. 10(3): 165-207.</w:t>
      </w:r>
    </w:p>
    <w:p w14:paraId="4D2893AA" w14:textId="77777777" w:rsidR="005428CF" w:rsidRPr="00E342A1" w:rsidRDefault="005428CF" w:rsidP="000F6F40">
      <w:pPr>
        <w:spacing w:after="0" w:line="360" w:lineRule="auto"/>
        <w:ind w:left="1440" w:right="20" w:hanging="1260"/>
        <w:jc w:val="both"/>
        <w:rPr>
          <w:rFonts w:ascii="Arial" w:hAnsi="Arial" w:cs="Arial"/>
          <w:sz w:val="20"/>
          <w:szCs w:val="20"/>
        </w:rPr>
      </w:pPr>
      <w:r w:rsidRPr="00E342A1">
        <w:rPr>
          <w:rFonts w:ascii="Arial" w:hAnsi="Arial" w:cs="Arial"/>
          <w:sz w:val="20"/>
          <w:szCs w:val="20"/>
        </w:rPr>
        <w:t xml:space="preserve">Dennis, J. C. and Webster, J. (1971). Antagonistic properties of species groups of Trichoderma. Production of non-volatile antibiotics. Transactions of </w:t>
      </w:r>
      <w:r w:rsidRPr="00E342A1">
        <w:rPr>
          <w:rFonts w:ascii="Arial" w:hAnsi="Arial" w:cs="Arial"/>
          <w:i/>
          <w:iCs/>
          <w:sz w:val="20"/>
          <w:szCs w:val="20"/>
        </w:rPr>
        <w:t>The British Mycological Society</w:t>
      </w:r>
      <w:r w:rsidRPr="00E342A1">
        <w:rPr>
          <w:rFonts w:ascii="Arial" w:hAnsi="Arial" w:cs="Arial"/>
          <w:sz w:val="20"/>
          <w:szCs w:val="20"/>
        </w:rPr>
        <w:t xml:space="preserve">, </w:t>
      </w:r>
      <w:r w:rsidRPr="00E342A1">
        <w:rPr>
          <w:rFonts w:ascii="Arial" w:hAnsi="Arial" w:cs="Arial"/>
          <w:b/>
          <w:bCs/>
          <w:sz w:val="20"/>
          <w:szCs w:val="20"/>
        </w:rPr>
        <w:t>57</w:t>
      </w:r>
      <w:r w:rsidRPr="00E342A1">
        <w:rPr>
          <w:rFonts w:ascii="Arial" w:hAnsi="Arial" w:cs="Arial"/>
          <w:sz w:val="20"/>
          <w:szCs w:val="20"/>
        </w:rPr>
        <w:t>: 25-39.</w:t>
      </w:r>
    </w:p>
    <w:p w14:paraId="28B5B368" w14:textId="77777777" w:rsidR="005428CF" w:rsidRDefault="005428CF" w:rsidP="000F6F40">
      <w:pPr>
        <w:spacing w:after="0" w:line="360" w:lineRule="auto"/>
        <w:ind w:left="1440" w:right="20" w:hanging="1260"/>
        <w:jc w:val="both"/>
        <w:rPr>
          <w:rFonts w:ascii="Arial" w:hAnsi="Arial" w:cs="Arial"/>
          <w:sz w:val="20"/>
          <w:szCs w:val="20"/>
        </w:rPr>
      </w:pPr>
      <w:proofErr w:type="spellStart"/>
      <w:r w:rsidRPr="00E342A1">
        <w:rPr>
          <w:rFonts w:ascii="Arial" w:hAnsi="Arial" w:cs="Arial"/>
          <w:sz w:val="20"/>
          <w:szCs w:val="20"/>
        </w:rPr>
        <w:t>Dicko</w:t>
      </w:r>
      <w:proofErr w:type="spellEnd"/>
      <w:r w:rsidRPr="00E342A1">
        <w:rPr>
          <w:rFonts w:ascii="Arial" w:hAnsi="Arial" w:cs="Arial"/>
          <w:sz w:val="20"/>
          <w:szCs w:val="20"/>
        </w:rPr>
        <w:t xml:space="preserve">, M. H.; Gruppen, H.; </w:t>
      </w:r>
      <w:proofErr w:type="spellStart"/>
      <w:r w:rsidRPr="00E342A1">
        <w:rPr>
          <w:rFonts w:ascii="Arial" w:hAnsi="Arial" w:cs="Arial"/>
          <w:sz w:val="20"/>
          <w:szCs w:val="20"/>
        </w:rPr>
        <w:t>Zouzouho</w:t>
      </w:r>
      <w:proofErr w:type="spellEnd"/>
      <w:r w:rsidRPr="00E342A1">
        <w:rPr>
          <w:rFonts w:ascii="Arial" w:hAnsi="Arial" w:cs="Arial"/>
          <w:sz w:val="20"/>
          <w:szCs w:val="20"/>
        </w:rPr>
        <w:t xml:space="preserve">, O. C.; Traore, A. S.; </w:t>
      </w:r>
      <w:proofErr w:type="spellStart"/>
      <w:r w:rsidRPr="00E342A1">
        <w:rPr>
          <w:rFonts w:ascii="Arial" w:hAnsi="Arial" w:cs="Arial"/>
          <w:sz w:val="20"/>
          <w:szCs w:val="20"/>
        </w:rPr>
        <w:t>Berkel</w:t>
      </w:r>
      <w:proofErr w:type="spellEnd"/>
      <w:r w:rsidRPr="00E342A1">
        <w:rPr>
          <w:rFonts w:ascii="Arial" w:hAnsi="Arial" w:cs="Arial"/>
          <w:sz w:val="20"/>
          <w:szCs w:val="20"/>
        </w:rPr>
        <w:t xml:space="preserve">, W. J. and </w:t>
      </w:r>
      <w:proofErr w:type="spellStart"/>
      <w:r w:rsidRPr="00E342A1">
        <w:rPr>
          <w:rFonts w:ascii="Arial" w:hAnsi="Arial" w:cs="Arial"/>
          <w:sz w:val="20"/>
          <w:szCs w:val="20"/>
        </w:rPr>
        <w:t>Voragen</w:t>
      </w:r>
      <w:proofErr w:type="spellEnd"/>
      <w:r w:rsidRPr="00E342A1">
        <w:rPr>
          <w:rFonts w:ascii="Arial" w:hAnsi="Arial" w:cs="Arial"/>
          <w:sz w:val="20"/>
          <w:szCs w:val="20"/>
        </w:rPr>
        <w:t xml:space="preserve">, A. G. J. (2006). Effect of germination on amylases and phenolics related enzymes in fifty sorghum </w:t>
      </w:r>
      <w:proofErr w:type="spellStart"/>
      <w:r w:rsidRPr="00E342A1">
        <w:rPr>
          <w:rFonts w:ascii="Arial" w:hAnsi="Arial" w:cs="Arial"/>
          <w:sz w:val="20"/>
          <w:szCs w:val="20"/>
        </w:rPr>
        <w:t>varities</w:t>
      </w:r>
      <w:proofErr w:type="spellEnd"/>
      <w:r w:rsidRPr="00E342A1">
        <w:rPr>
          <w:rFonts w:ascii="Arial" w:hAnsi="Arial" w:cs="Arial"/>
          <w:sz w:val="20"/>
          <w:szCs w:val="20"/>
        </w:rPr>
        <w:t xml:space="preserve"> grouped according to food-end use properties. </w:t>
      </w:r>
      <w:r w:rsidRPr="00E342A1">
        <w:rPr>
          <w:rFonts w:ascii="Arial" w:hAnsi="Arial" w:cs="Arial"/>
          <w:i/>
          <w:iCs/>
          <w:sz w:val="20"/>
          <w:szCs w:val="20"/>
        </w:rPr>
        <w:t>Journal of the Science of Food and Agriculture</w:t>
      </w:r>
      <w:r w:rsidRPr="00E342A1">
        <w:rPr>
          <w:rFonts w:ascii="Arial" w:hAnsi="Arial" w:cs="Arial"/>
          <w:sz w:val="20"/>
          <w:szCs w:val="20"/>
        </w:rPr>
        <w:t xml:space="preserve">, </w:t>
      </w:r>
      <w:r w:rsidRPr="00E342A1">
        <w:rPr>
          <w:rFonts w:ascii="Arial" w:hAnsi="Arial" w:cs="Arial"/>
          <w:b/>
          <w:bCs/>
          <w:sz w:val="20"/>
          <w:szCs w:val="20"/>
        </w:rPr>
        <w:t>86</w:t>
      </w:r>
      <w:r w:rsidRPr="00E342A1">
        <w:rPr>
          <w:rFonts w:ascii="Arial" w:hAnsi="Arial" w:cs="Arial"/>
          <w:sz w:val="20"/>
          <w:szCs w:val="20"/>
        </w:rPr>
        <w:t>: 130-143.</w:t>
      </w:r>
    </w:p>
    <w:p w14:paraId="52064E80" w14:textId="77777777" w:rsidR="005428CF" w:rsidRDefault="005428CF" w:rsidP="000C6890">
      <w:pPr>
        <w:spacing w:after="0" w:line="360" w:lineRule="auto"/>
        <w:ind w:left="1440" w:right="20" w:hanging="1260"/>
        <w:jc w:val="both"/>
        <w:rPr>
          <w:rFonts w:ascii="Arial" w:hAnsi="Arial" w:cs="Arial"/>
          <w:sz w:val="20"/>
          <w:szCs w:val="20"/>
        </w:rPr>
      </w:pPr>
      <w:r w:rsidRPr="000C6890">
        <w:rPr>
          <w:rFonts w:ascii="Arial" w:hAnsi="Arial" w:cs="Arial"/>
          <w:sz w:val="20"/>
          <w:szCs w:val="20"/>
        </w:rPr>
        <w:t xml:space="preserve">Frederiksen, R.A. (1980). Sorghum leaf blight. In Proceedings of the International Workshop on Sorghum Diseases: 11-15 Dec. 1978, Hyderabad, ICRISAT, </w:t>
      </w:r>
      <w:proofErr w:type="spellStart"/>
      <w:r w:rsidRPr="000C6890">
        <w:rPr>
          <w:rFonts w:ascii="Arial" w:hAnsi="Arial" w:cs="Arial"/>
          <w:sz w:val="20"/>
          <w:szCs w:val="20"/>
        </w:rPr>
        <w:t>Patancheru</w:t>
      </w:r>
      <w:proofErr w:type="spellEnd"/>
      <w:r w:rsidRPr="000C6890">
        <w:rPr>
          <w:rFonts w:ascii="Arial" w:hAnsi="Arial" w:cs="Arial"/>
          <w:sz w:val="20"/>
          <w:szCs w:val="20"/>
        </w:rPr>
        <w:t xml:space="preserve"> AP. 502324, India, 1980, p.243-248.</w:t>
      </w:r>
    </w:p>
    <w:p w14:paraId="56FE551F" w14:textId="77777777" w:rsidR="005428CF" w:rsidRPr="00E342A1" w:rsidRDefault="005428CF" w:rsidP="000F6F40">
      <w:pPr>
        <w:spacing w:after="0" w:line="360" w:lineRule="auto"/>
        <w:ind w:left="1440" w:right="20" w:hanging="1260"/>
        <w:jc w:val="both"/>
        <w:rPr>
          <w:rFonts w:ascii="Arial" w:hAnsi="Arial" w:cs="Arial"/>
          <w:color w:val="000000" w:themeColor="text1"/>
          <w:sz w:val="20"/>
          <w:szCs w:val="20"/>
        </w:rPr>
      </w:pPr>
      <w:r w:rsidRPr="00E342A1">
        <w:rPr>
          <w:rFonts w:ascii="Arial" w:hAnsi="Arial" w:cs="Arial"/>
          <w:color w:val="000000" w:themeColor="text1"/>
          <w:sz w:val="20"/>
          <w:szCs w:val="20"/>
        </w:rPr>
        <w:t xml:space="preserve">Frederiksen, R.A. (1980). Sorghum leaf blight. In Proceedings of the International Workshop on Sorghum Diseases: 11-15 Dec. 1978, Hyderabad, ICRISAT, </w:t>
      </w:r>
      <w:proofErr w:type="spellStart"/>
      <w:r w:rsidRPr="00E342A1">
        <w:rPr>
          <w:rFonts w:ascii="Arial" w:hAnsi="Arial" w:cs="Arial"/>
          <w:color w:val="000000" w:themeColor="text1"/>
          <w:sz w:val="20"/>
          <w:szCs w:val="20"/>
        </w:rPr>
        <w:t>Patancheru</w:t>
      </w:r>
      <w:proofErr w:type="spellEnd"/>
      <w:r w:rsidRPr="00E342A1">
        <w:rPr>
          <w:rFonts w:ascii="Arial" w:hAnsi="Arial" w:cs="Arial"/>
          <w:color w:val="000000" w:themeColor="text1"/>
          <w:sz w:val="20"/>
          <w:szCs w:val="20"/>
        </w:rPr>
        <w:t xml:space="preserve"> AP. 502324, India, 1980, p.243-248.</w:t>
      </w:r>
    </w:p>
    <w:p w14:paraId="7614712E" w14:textId="77777777" w:rsidR="005428CF" w:rsidRDefault="005428CF" w:rsidP="000F6F40">
      <w:pPr>
        <w:spacing w:after="0" w:line="360" w:lineRule="auto"/>
        <w:ind w:left="1440" w:right="20" w:hanging="1260"/>
        <w:jc w:val="both"/>
        <w:rPr>
          <w:rFonts w:ascii="Arial" w:hAnsi="Arial" w:cs="Arial"/>
          <w:color w:val="000000" w:themeColor="text1"/>
          <w:sz w:val="20"/>
          <w:szCs w:val="20"/>
        </w:rPr>
      </w:pPr>
      <w:r>
        <w:rPr>
          <w:rFonts w:ascii="Arial" w:hAnsi="Arial" w:cs="Arial"/>
          <w:color w:val="000000" w:themeColor="text1"/>
          <w:sz w:val="20"/>
          <w:szCs w:val="20"/>
        </w:rPr>
        <w:t xml:space="preserve">K. A. Parmar; K. B. </w:t>
      </w:r>
      <w:proofErr w:type="spellStart"/>
      <w:r>
        <w:rPr>
          <w:rFonts w:ascii="Arial" w:hAnsi="Arial" w:cs="Arial"/>
          <w:color w:val="000000" w:themeColor="text1"/>
          <w:sz w:val="20"/>
          <w:szCs w:val="20"/>
        </w:rPr>
        <w:t>Rakholiya</w:t>
      </w:r>
      <w:proofErr w:type="spellEnd"/>
      <w:r>
        <w:rPr>
          <w:rFonts w:ascii="Arial" w:hAnsi="Arial" w:cs="Arial"/>
          <w:color w:val="000000" w:themeColor="text1"/>
          <w:sz w:val="20"/>
          <w:szCs w:val="20"/>
        </w:rPr>
        <w:t xml:space="preserve">; P. R. Patel and N. Singh (2024). </w:t>
      </w:r>
      <w:r w:rsidRPr="000C6890">
        <w:rPr>
          <w:rFonts w:ascii="Arial" w:hAnsi="Arial" w:cs="Arial"/>
          <w:i/>
          <w:iCs/>
          <w:color w:val="000000" w:themeColor="text1"/>
          <w:sz w:val="20"/>
          <w:szCs w:val="20"/>
        </w:rPr>
        <w:t xml:space="preserve">In vitro </w:t>
      </w:r>
      <w:r>
        <w:rPr>
          <w:rFonts w:ascii="Arial" w:hAnsi="Arial" w:cs="Arial"/>
          <w:color w:val="000000" w:themeColor="text1"/>
          <w:sz w:val="20"/>
          <w:szCs w:val="20"/>
        </w:rPr>
        <w:t xml:space="preserve">evaluation of antagonistic effect of bio control agents (BCA) against Mango die back incited by </w:t>
      </w:r>
      <w:proofErr w:type="spellStart"/>
      <w:r>
        <w:rPr>
          <w:rFonts w:ascii="Arial" w:hAnsi="Arial" w:cs="Arial"/>
          <w:i/>
          <w:iCs/>
          <w:color w:val="000000" w:themeColor="text1"/>
          <w:sz w:val="20"/>
          <w:szCs w:val="20"/>
        </w:rPr>
        <w:t>Lesiodiplodia</w:t>
      </w:r>
      <w:proofErr w:type="spellEnd"/>
      <w:r>
        <w:rPr>
          <w:rFonts w:ascii="Arial" w:hAnsi="Arial" w:cs="Arial"/>
          <w:i/>
          <w:iCs/>
          <w:color w:val="000000" w:themeColor="text1"/>
          <w:sz w:val="20"/>
          <w:szCs w:val="20"/>
        </w:rPr>
        <w:t xml:space="preserve"> </w:t>
      </w:r>
      <w:proofErr w:type="spellStart"/>
      <w:r>
        <w:rPr>
          <w:rFonts w:ascii="Arial" w:hAnsi="Arial" w:cs="Arial"/>
          <w:i/>
          <w:iCs/>
          <w:color w:val="000000" w:themeColor="text1"/>
          <w:sz w:val="20"/>
          <w:szCs w:val="20"/>
        </w:rPr>
        <w:t>theobrome</w:t>
      </w:r>
      <w:proofErr w:type="spellEnd"/>
      <w:r>
        <w:rPr>
          <w:rFonts w:ascii="Arial" w:hAnsi="Arial" w:cs="Arial"/>
          <w:i/>
          <w:iCs/>
          <w:color w:val="000000" w:themeColor="text1"/>
          <w:sz w:val="20"/>
          <w:szCs w:val="20"/>
        </w:rPr>
        <w:t xml:space="preserve"> </w:t>
      </w:r>
      <w:r>
        <w:rPr>
          <w:rFonts w:ascii="Arial" w:hAnsi="Arial" w:cs="Arial"/>
          <w:color w:val="000000" w:themeColor="text1"/>
          <w:sz w:val="20"/>
          <w:szCs w:val="20"/>
        </w:rPr>
        <w:lastRenderedPageBreak/>
        <w:t xml:space="preserve">(pat.) Griffon &amp; </w:t>
      </w:r>
      <w:proofErr w:type="spellStart"/>
      <w:r>
        <w:rPr>
          <w:rFonts w:ascii="Arial" w:hAnsi="Arial" w:cs="Arial"/>
          <w:color w:val="000000" w:themeColor="text1"/>
          <w:sz w:val="20"/>
          <w:szCs w:val="20"/>
        </w:rPr>
        <w:t>Maubl</w:t>
      </w:r>
      <w:proofErr w:type="spellEnd"/>
      <w:r>
        <w:rPr>
          <w:rFonts w:ascii="Arial" w:hAnsi="Arial" w:cs="Arial"/>
          <w:color w:val="000000" w:themeColor="text1"/>
          <w:sz w:val="20"/>
          <w:szCs w:val="20"/>
        </w:rPr>
        <w:t xml:space="preserve">. </w:t>
      </w:r>
      <w:r>
        <w:rPr>
          <w:rFonts w:ascii="Arial" w:hAnsi="Arial" w:cs="Arial"/>
          <w:i/>
          <w:iCs/>
          <w:color w:val="000000" w:themeColor="text1"/>
          <w:sz w:val="20"/>
          <w:szCs w:val="20"/>
        </w:rPr>
        <w:t xml:space="preserve">International journal of environmental and climate change. </w:t>
      </w:r>
      <w:r>
        <w:rPr>
          <w:rFonts w:ascii="Arial" w:hAnsi="Arial" w:cs="Arial"/>
          <w:b/>
          <w:bCs/>
          <w:color w:val="000000" w:themeColor="text1"/>
          <w:sz w:val="20"/>
          <w:szCs w:val="20"/>
        </w:rPr>
        <w:t>14</w:t>
      </w:r>
      <w:r>
        <w:rPr>
          <w:rFonts w:ascii="Arial" w:hAnsi="Arial" w:cs="Arial"/>
          <w:color w:val="000000" w:themeColor="text1"/>
          <w:sz w:val="20"/>
          <w:szCs w:val="20"/>
        </w:rPr>
        <w:t>(1): 479-482.</w:t>
      </w:r>
    </w:p>
    <w:p w14:paraId="0946F9A2" w14:textId="77777777" w:rsidR="005428CF" w:rsidRDefault="005428CF" w:rsidP="000F6F40">
      <w:pPr>
        <w:spacing w:after="0" w:line="360" w:lineRule="auto"/>
        <w:ind w:left="1440" w:right="20" w:hanging="1260"/>
        <w:jc w:val="both"/>
        <w:rPr>
          <w:rFonts w:ascii="Arial" w:hAnsi="Arial" w:cs="Arial"/>
          <w:color w:val="000000" w:themeColor="text1"/>
          <w:sz w:val="20"/>
          <w:szCs w:val="20"/>
        </w:rPr>
      </w:pPr>
      <w:r w:rsidRPr="00E342A1">
        <w:rPr>
          <w:rFonts w:ascii="Arial" w:hAnsi="Arial" w:cs="Arial"/>
          <w:color w:val="000000" w:themeColor="text1"/>
          <w:sz w:val="20"/>
          <w:szCs w:val="20"/>
        </w:rPr>
        <w:t>Kimber, C. T. O. (2000). Origins of domesticated sorghum and its early diffusion into India and China. In ‘Sorghum: Origin, History, Technology, and Production’, Edited by C. Wayne Smith and R. A. Frederiksen. New York: John Wiley &amp; Sons.</w:t>
      </w:r>
    </w:p>
    <w:p w14:paraId="02E38283" w14:textId="77777777" w:rsidR="005428CF" w:rsidRPr="00F648D7" w:rsidRDefault="005428CF" w:rsidP="00F648D7">
      <w:pPr>
        <w:spacing w:after="0" w:line="360" w:lineRule="auto"/>
        <w:ind w:left="1440" w:right="20" w:hanging="1260"/>
        <w:jc w:val="both"/>
        <w:rPr>
          <w:rFonts w:ascii="Arial" w:hAnsi="Arial" w:cs="Arial"/>
          <w:color w:val="000000" w:themeColor="text1"/>
          <w:sz w:val="20"/>
          <w:szCs w:val="20"/>
        </w:rPr>
      </w:pPr>
      <w:r w:rsidRPr="00F648D7">
        <w:rPr>
          <w:rFonts w:ascii="Arial" w:hAnsi="Arial" w:cs="Arial"/>
          <w:color w:val="000000" w:themeColor="text1"/>
          <w:sz w:val="20"/>
          <w:szCs w:val="20"/>
        </w:rPr>
        <w:t xml:space="preserve">Manu, T. G.; Naik, B. G.; </w:t>
      </w:r>
      <w:proofErr w:type="spellStart"/>
      <w:r w:rsidRPr="00F648D7">
        <w:rPr>
          <w:rFonts w:ascii="Arial" w:hAnsi="Arial" w:cs="Arial"/>
          <w:color w:val="000000" w:themeColor="text1"/>
          <w:sz w:val="20"/>
          <w:szCs w:val="20"/>
        </w:rPr>
        <w:t>Sayipratap</w:t>
      </w:r>
      <w:proofErr w:type="spellEnd"/>
      <w:r w:rsidRPr="00F648D7">
        <w:rPr>
          <w:rFonts w:ascii="Arial" w:hAnsi="Arial" w:cs="Arial"/>
          <w:color w:val="000000" w:themeColor="text1"/>
          <w:sz w:val="20"/>
          <w:szCs w:val="20"/>
        </w:rPr>
        <w:t xml:space="preserve">; B. R. and </w:t>
      </w:r>
      <w:proofErr w:type="spellStart"/>
      <w:r w:rsidRPr="00F648D7">
        <w:rPr>
          <w:rFonts w:ascii="Arial" w:hAnsi="Arial" w:cs="Arial"/>
          <w:color w:val="000000" w:themeColor="text1"/>
          <w:sz w:val="20"/>
          <w:szCs w:val="20"/>
        </w:rPr>
        <w:t>Balagar</w:t>
      </w:r>
      <w:proofErr w:type="spellEnd"/>
      <w:r w:rsidRPr="00F648D7">
        <w:rPr>
          <w:rFonts w:ascii="Arial" w:hAnsi="Arial" w:cs="Arial"/>
          <w:color w:val="000000" w:themeColor="text1"/>
          <w:sz w:val="20"/>
          <w:szCs w:val="20"/>
        </w:rPr>
        <w:t xml:space="preserve">, M. S. (2017). Efficacy of Fungicides, Botanicals and Bio-Agents against </w:t>
      </w:r>
      <w:proofErr w:type="spellStart"/>
      <w:r w:rsidRPr="00F648D7">
        <w:rPr>
          <w:rFonts w:ascii="Arial" w:hAnsi="Arial" w:cs="Arial"/>
          <w:i/>
          <w:iCs/>
          <w:color w:val="000000" w:themeColor="text1"/>
          <w:sz w:val="20"/>
          <w:szCs w:val="20"/>
        </w:rPr>
        <w:t>ExserohilumTurcicum</w:t>
      </w:r>
      <w:proofErr w:type="spellEnd"/>
      <w:r w:rsidRPr="00F648D7">
        <w:rPr>
          <w:rFonts w:ascii="Arial" w:hAnsi="Arial" w:cs="Arial"/>
          <w:color w:val="000000" w:themeColor="text1"/>
          <w:sz w:val="20"/>
          <w:szCs w:val="20"/>
        </w:rPr>
        <w:t xml:space="preserve">. Chemical Science Review and Letters, 6(24): 2100-2107. </w:t>
      </w:r>
    </w:p>
    <w:p w14:paraId="6D129A14" w14:textId="77777777" w:rsidR="005428CF" w:rsidRPr="00A44882" w:rsidRDefault="005428CF" w:rsidP="00A44882">
      <w:pPr>
        <w:spacing w:line="360" w:lineRule="auto"/>
        <w:ind w:left="1440" w:right="20" w:hanging="1260"/>
        <w:jc w:val="both"/>
        <w:rPr>
          <w:rFonts w:ascii="Arial" w:hAnsi="Arial" w:cs="Arial"/>
          <w:color w:val="000000" w:themeColor="text1"/>
          <w:sz w:val="20"/>
          <w:szCs w:val="20"/>
        </w:rPr>
      </w:pPr>
      <w:r w:rsidRPr="00A44882">
        <w:rPr>
          <w:rFonts w:ascii="Arial" w:hAnsi="Arial" w:cs="Arial"/>
          <w:color w:val="000000" w:themeColor="text1"/>
          <w:sz w:val="20"/>
          <w:szCs w:val="20"/>
        </w:rPr>
        <w:t xml:space="preserve">Nene, Y. L. and Thapliyal, R. N. (1979).  Fungicides in Plant Disease Control. Oxford and IBH Publishing Co., New Delhi, 11 </w:t>
      </w:r>
      <w:proofErr w:type="spellStart"/>
      <w:r w:rsidRPr="00A44882">
        <w:rPr>
          <w:rFonts w:ascii="Arial" w:hAnsi="Arial" w:cs="Arial"/>
          <w:color w:val="000000" w:themeColor="text1"/>
          <w:sz w:val="20"/>
          <w:szCs w:val="20"/>
        </w:rPr>
        <w:t>Edn</w:t>
      </w:r>
      <w:proofErr w:type="spellEnd"/>
      <w:r w:rsidRPr="00A44882">
        <w:rPr>
          <w:rFonts w:ascii="Arial" w:hAnsi="Arial" w:cs="Arial"/>
          <w:color w:val="000000" w:themeColor="text1"/>
          <w:sz w:val="20"/>
          <w:szCs w:val="20"/>
        </w:rPr>
        <w:t>., pp7-10.</w:t>
      </w:r>
    </w:p>
    <w:p w14:paraId="7DADDDD6" w14:textId="77777777" w:rsidR="005428CF" w:rsidRPr="00A44882" w:rsidRDefault="005428CF" w:rsidP="000C6890">
      <w:pPr>
        <w:spacing w:line="360" w:lineRule="auto"/>
        <w:ind w:left="1440" w:right="20" w:hanging="1260"/>
        <w:jc w:val="both"/>
        <w:rPr>
          <w:rFonts w:ascii="Arial" w:hAnsi="Arial" w:cs="Arial"/>
          <w:color w:val="000000" w:themeColor="text1"/>
          <w:sz w:val="20"/>
          <w:szCs w:val="20"/>
        </w:rPr>
      </w:pPr>
      <w:r w:rsidRPr="00A44882">
        <w:rPr>
          <w:rFonts w:ascii="Arial" w:hAnsi="Arial" w:cs="Arial"/>
          <w:color w:val="000000" w:themeColor="text1"/>
          <w:sz w:val="20"/>
          <w:szCs w:val="20"/>
        </w:rPr>
        <w:t>Nobel, M and Richardson, M. J. (1968). Annotated list of seed-borne diseases. Proceedings of International Seed Testing Association No. 33. Zurich, Switzerland: ISTA.</w:t>
      </w:r>
    </w:p>
    <w:p w14:paraId="12245328" w14:textId="77777777" w:rsidR="005428CF" w:rsidRDefault="005428CF" w:rsidP="000C6890">
      <w:pPr>
        <w:spacing w:after="0" w:line="360" w:lineRule="auto"/>
        <w:ind w:left="1440" w:right="20" w:hanging="1260"/>
        <w:jc w:val="both"/>
        <w:rPr>
          <w:rFonts w:ascii="Arial" w:hAnsi="Arial" w:cs="Arial"/>
          <w:sz w:val="20"/>
          <w:szCs w:val="20"/>
        </w:rPr>
      </w:pPr>
      <w:proofErr w:type="spellStart"/>
      <w:r w:rsidRPr="000C6890">
        <w:rPr>
          <w:rFonts w:ascii="Arial" w:hAnsi="Arial" w:cs="Arial"/>
          <w:sz w:val="20"/>
          <w:szCs w:val="20"/>
        </w:rPr>
        <w:t>Ogolla</w:t>
      </w:r>
      <w:proofErr w:type="spellEnd"/>
      <w:r w:rsidRPr="000C6890">
        <w:rPr>
          <w:rFonts w:ascii="Arial" w:hAnsi="Arial" w:cs="Arial"/>
          <w:sz w:val="20"/>
          <w:szCs w:val="20"/>
        </w:rPr>
        <w:t xml:space="preserve">, F.O.; </w:t>
      </w:r>
      <w:proofErr w:type="spellStart"/>
      <w:r w:rsidRPr="000C6890">
        <w:rPr>
          <w:rFonts w:ascii="Arial" w:hAnsi="Arial" w:cs="Arial"/>
          <w:sz w:val="20"/>
          <w:szCs w:val="20"/>
        </w:rPr>
        <w:t>Muraya</w:t>
      </w:r>
      <w:proofErr w:type="spellEnd"/>
      <w:r w:rsidRPr="000C6890">
        <w:rPr>
          <w:rFonts w:ascii="Arial" w:hAnsi="Arial" w:cs="Arial"/>
          <w:sz w:val="20"/>
          <w:szCs w:val="20"/>
        </w:rPr>
        <w:t xml:space="preserve">, M. M and Onyango, B. O. (2019). Incidence and severity of </w:t>
      </w:r>
      <w:proofErr w:type="spellStart"/>
      <w:r w:rsidRPr="000C6890">
        <w:rPr>
          <w:rFonts w:ascii="Arial" w:hAnsi="Arial" w:cs="Arial"/>
          <w:sz w:val="20"/>
          <w:szCs w:val="20"/>
        </w:rPr>
        <w:t>Turcicum</w:t>
      </w:r>
      <w:proofErr w:type="spellEnd"/>
      <w:r w:rsidRPr="000C6890">
        <w:rPr>
          <w:rFonts w:ascii="Arial" w:hAnsi="Arial" w:cs="Arial"/>
          <w:sz w:val="20"/>
          <w:szCs w:val="20"/>
        </w:rPr>
        <w:t xml:space="preserve"> leaf blight Caused by </w:t>
      </w:r>
      <w:proofErr w:type="spellStart"/>
      <w:r w:rsidRPr="005428CF">
        <w:rPr>
          <w:rFonts w:ascii="Arial" w:hAnsi="Arial" w:cs="Arial"/>
          <w:i/>
          <w:iCs/>
          <w:sz w:val="20"/>
          <w:szCs w:val="20"/>
        </w:rPr>
        <w:t>Exserohilum</w:t>
      </w:r>
      <w:proofErr w:type="spellEnd"/>
      <w:r w:rsidRPr="005428CF">
        <w:rPr>
          <w:rFonts w:ascii="Arial" w:hAnsi="Arial" w:cs="Arial"/>
          <w:i/>
          <w:iCs/>
          <w:sz w:val="20"/>
          <w:szCs w:val="20"/>
        </w:rPr>
        <w:t xml:space="preserve"> </w:t>
      </w:r>
      <w:proofErr w:type="spellStart"/>
      <w:r w:rsidRPr="005428CF">
        <w:rPr>
          <w:rFonts w:ascii="Arial" w:hAnsi="Arial" w:cs="Arial"/>
          <w:i/>
          <w:iCs/>
          <w:sz w:val="20"/>
          <w:szCs w:val="20"/>
        </w:rPr>
        <w:t>turcicum</w:t>
      </w:r>
      <w:proofErr w:type="spellEnd"/>
      <w:r w:rsidRPr="000C6890">
        <w:rPr>
          <w:rFonts w:ascii="Arial" w:hAnsi="Arial" w:cs="Arial"/>
          <w:sz w:val="20"/>
          <w:szCs w:val="20"/>
        </w:rPr>
        <w:t xml:space="preserve"> (pass.) Leonard and Suggs) on Sorghum populations in different regions of </w:t>
      </w:r>
      <w:proofErr w:type="spellStart"/>
      <w:r w:rsidRPr="000C6890">
        <w:rPr>
          <w:rFonts w:ascii="Arial" w:hAnsi="Arial" w:cs="Arial"/>
          <w:sz w:val="20"/>
          <w:szCs w:val="20"/>
        </w:rPr>
        <w:t>Tharaka</w:t>
      </w:r>
      <w:proofErr w:type="spellEnd"/>
      <w:r w:rsidRPr="000C6890">
        <w:rPr>
          <w:rFonts w:ascii="Arial" w:hAnsi="Arial" w:cs="Arial"/>
          <w:sz w:val="20"/>
          <w:szCs w:val="20"/>
        </w:rPr>
        <w:t xml:space="preserve"> Nithi County, Kenya. Journal of Scientific and Engineering </w:t>
      </w:r>
      <w:proofErr w:type="spellStart"/>
      <w:r w:rsidRPr="000C6890">
        <w:rPr>
          <w:rFonts w:ascii="Arial" w:hAnsi="Arial" w:cs="Arial"/>
          <w:sz w:val="20"/>
          <w:szCs w:val="20"/>
        </w:rPr>
        <w:t>Ressearch</w:t>
      </w:r>
      <w:proofErr w:type="spellEnd"/>
      <w:r w:rsidRPr="000C6890">
        <w:rPr>
          <w:rFonts w:ascii="Arial" w:hAnsi="Arial" w:cs="Arial"/>
          <w:sz w:val="20"/>
          <w:szCs w:val="20"/>
        </w:rPr>
        <w:t>, 6(1): 104-111.</w:t>
      </w:r>
    </w:p>
    <w:p w14:paraId="1696D51D" w14:textId="77777777" w:rsidR="005428CF" w:rsidRPr="005428CF" w:rsidRDefault="005428CF" w:rsidP="005428CF">
      <w:pPr>
        <w:spacing w:after="0" w:line="360" w:lineRule="auto"/>
        <w:ind w:left="1440" w:right="20" w:hanging="1260"/>
        <w:jc w:val="both"/>
        <w:rPr>
          <w:rFonts w:ascii="Arial" w:hAnsi="Arial" w:cs="Arial"/>
          <w:sz w:val="20"/>
          <w:szCs w:val="20"/>
        </w:rPr>
      </w:pPr>
      <w:r w:rsidRPr="005428CF">
        <w:rPr>
          <w:rFonts w:ascii="Arial" w:hAnsi="Arial" w:cs="Arial"/>
          <w:sz w:val="20"/>
          <w:szCs w:val="20"/>
        </w:rPr>
        <w:t xml:space="preserve">Reddy, R. T.; Reddy, N. P.; Reddy, R. R. and Reddy, S. S., (2013). Management of </w:t>
      </w:r>
      <w:proofErr w:type="spellStart"/>
      <w:r w:rsidRPr="005428CF">
        <w:rPr>
          <w:rFonts w:ascii="Arial" w:hAnsi="Arial" w:cs="Arial"/>
          <w:sz w:val="20"/>
          <w:szCs w:val="20"/>
        </w:rPr>
        <w:t>turcicum</w:t>
      </w:r>
      <w:proofErr w:type="spellEnd"/>
      <w:r w:rsidRPr="005428CF">
        <w:rPr>
          <w:rFonts w:ascii="Arial" w:hAnsi="Arial" w:cs="Arial"/>
          <w:sz w:val="20"/>
          <w:szCs w:val="20"/>
        </w:rPr>
        <w:t xml:space="preserve"> leaf blight of maize caused by </w:t>
      </w:r>
      <w:proofErr w:type="spellStart"/>
      <w:r w:rsidRPr="005428CF">
        <w:rPr>
          <w:rFonts w:ascii="Arial" w:hAnsi="Arial" w:cs="Arial"/>
          <w:i/>
          <w:iCs/>
          <w:sz w:val="20"/>
          <w:szCs w:val="20"/>
        </w:rPr>
        <w:t>Exserohilum</w:t>
      </w:r>
      <w:proofErr w:type="spellEnd"/>
      <w:r w:rsidRPr="005428CF">
        <w:rPr>
          <w:rFonts w:ascii="Arial" w:hAnsi="Arial" w:cs="Arial"/>
          <w:i/>
          <w:iCs/>
          <w:sz w:val="20"/>
          <w:szCs w:val="20"/>
        </w:rPr>
        <w:t xml:space="preserve"> </w:t>
      </w:r>
      <w:proofErr w:type="spellStart"/>
      <w:r w:rsidRPr="005428CF">
        <w:rPr>
          <w:rFonts w:ascii="Arial" w:hAnsi="Arial" w:cs="Arial"/>
          <w:i/>
          <w:iCs/>
          <w:sz w:val="20"/>
          <w:szCs w:val="20"/>
        </w:rPr>
        <w:t>turcicum</w:t>
      </w:r>
      <w:proofErr w:type="spellEnd"/>
      <w:r w:rsidRPr="005428CF">
        <w:rPr>
          <w:rFonts w:ascii="Arial" w:hAnsi="Arial" w:cs="Arial"/>
          <w:sz w:val="20"/>
          <w:szCs w:val="20"/>
        </w:rPr>
        <w:t xml:space="preserve"> in maize. International Journal of Scientific Research, 3(10): 2250-3153.</w:t>
      </w:r>
    </w:p>
    <w:p w14:paraId="337A7A20" w14:textId="77777777" w:rsidR="005428CF" w:rsidRPr="005428CF" w:rsidRDefault="005428CF" w:rsidP="000C6890">
      <w:pPr>
        <w:spacing w:line="360" w:lineRule="auto"/>
        <w:ind w:left="1440" w:right="20" w:hanging="1260"/>
        <w:jc w:val="both"/>
        <w:rPr>
          <w:rFonts w:ascii="Arial" w:hAnsi="Arial" w:cs="Arial"/>
          <w:sz w:val="20"/>
          <w:szCs w:val="20"/>
        </w:rPr>
      </w:pPr>
      <w:r w:rsidRPr="005428CF">
        <w:rPr>
          <w:rFonts w:ascii="Arial" w:hAnsi="Arial" w:cs="Arial"/>
          <w:sz w:val="20"/>
          <w:szCs w:val="20"/>
        </w:rPr>
        <w:t xml:space="preserve">Shree, M. P. and Luke, P. (1983). Inability of </w:t>
      </w:r>
      <w:proofErr w:type="spellStart"/>
      <w:r w:rsidRPr="005428CF">
        <w:rPr>
          <w:rFonts w:ascii="Arial" w:hAnsi="Arial" w:cs="Arial"/>
          <w:i/>
          <w:iCs/>
          <w:sz w:val="20"/>
          <w:szCs w:val="20"/>
        </w:rPr>
        <w:t>Exserohilum</w:t>
      </w:r>
      <w:proofErr w:type="spellEnd"/>
      <w:r w:rsidRPr="005428CF">
        <w:rPr>
          <w:rFonts w:ascii="Arial" w:hAnsi="Arial" w:cs="Arial"/>
          <w:i/>
          <w:iCs/>
          <w:sz w:val="20"/>
          <w:szCs w:val="20"/>
        </w:rPr>
        <w:t xml:space="preserve"> </w:t>
      </w:r>
      <w:proofErr w:type="spellStart"/>
      <w:r w:rsidRPr="005428CF">
        <w:rPr>
          <w:rFonts w:ascii="Arial" w:hAnsi="Arial" w:cs="Arial"/>
          <w:i/>
          <w:iCs/>
          <w:sz w:val="20"/>
          <w:szCs w:val="20"/>
        </w:rPr>
        <w:t>turcicum</w:t>
      </w:r>
      <w:proofErr w:type="spellEnd"/>
      <w:r w:rsidRPr="005428CF">
        <w:rPr>
          <w:rFonts w:ascii="Arial" w:hAnsi="Arial" w:cs="Arial"/>
          <w:sz w:val="20"/>
          <w:szCs w:val="20"/>
        </w:rPr>
        <w:t xml:space="preserve"> (Pass.) Leonard And Suggs to survive as a saprophyte in soil in situ. Plant and Soil. 74: 141-144.</w:t>
      </w:r>
    </w:p>
    <w:p w14:paraId="7CABE720" w14:textId="77777777" w:rsidR="005428CF" w:rsidRPr="00E342A1" w:rsidRDefault="005428CF" w:rsidP="000F6F40">
      <w:pPr>
        <w:spacing w:after="0" w:line="360" w:lineRule="auto"/>
        <w:ind w:left="1440" w:right="20" w:hanging="1260"/>
        <w:jc w:val="both"/>
        <w:rPr>
          <w:rFonts w:ascii="Arial" w:hAnsi="Arial" w:cs="Arial"/>
          <w:sz w:val="20"/>
          <w:szCs w:val="20"/>
        </w:rPr>
      </w:pPr>
      <w:r w:rsidRPr="00E342A1">
        <w:rPr>
          <w:rFonts w:ascii="Arial" w:hAnsi="Arial" w:cs="Arial"/>
          <w:sz w:val="20"/>
          <w:szCs w:val="20"/>
        </w:rPr>
        <w:t xml:space="preserve">Vaibhav, S. and Yogendra, S. (2014). Evaluation of </w:t>
      </w:r>
      <w:r w:rsidRPr="00E342A1">
        <w:rPr>
          <w:rFonts w:ascii="Arial" w:hAnsi="Arial" w:cs="Arial"/>
          <w:i/>
          <w:iCs/>
          <w:sz w:val="20"/>
          <w:szCs w:val="20"/>
        </w:rPr>
        <w:t xml:space="preserve">Trichoderma </w:t>
      </w:r>
      <w:proofErr w:type="spellStart"/>
      <w:r w:rsidRPr="00E342A1">
        <w:rPr>
          <w:rFonts w:ascii="Arial" w:hAnsi="Arial" w:cs="Arial"/>
          <w:i/>
          <w:iCs/>
          <w:sz w:val="20"/>
          <w:szCs w:val="20"/>
        </w:rPr>
        <w:t>harzianum</w:t>
      </w:r>
      <w:proofErr w:type="spellEnd"/>
      <w:r w:rsidRPr="00E342A1">
        <w:rPr>
          <w:rFonts w:ascii="Arial" w:hAnsi="Arial" w:cs="Arial"/>
          <w:sz w:val="20"/>
          <w:szCs w:val="20"/>
        </w:rPr>
        <w:t xml:space="preserve"> and </w:t>
      </w:r>
      <w:r w:rsidRPr="00E342A1">
        <w:rPr>
          <w:rFonts w:ascii="Arial" w:hAnsi="Arial" w:cs="Arial"/>
          <w:i/>
          <w:iCs/>
          <w:sz w:val="20"/>
          <w:szCs w:val="20"/>
        </w:rPr>
        <w:t>Pseudomonas fluorescens</w:t>
      </w:r>
      <w:r w:rsidRPr="00E342A1">
        <w:rPr>
          <w:rFonts w:ascii="Arial" w:hAnsi="Arial" w:cs="Arial"/>
          <w:sz w:val="20"/>
          <w:szCs w:val="20"/>
        </w:rPr>
        <w:t xml:space="preserve"> isolates for their antagonistic potential against </w:t>
      </w:r>
      <w:proofErr w:type="spellStart"/>
      <w:r w:rsidRPr="00E342A1">
        <w:rPr>
          <w:rFonts w:ascii="Arial" w:hAnsi="Arial" w:cs="Arial"/>
          <w:i/>
          <w:iCs/>
          <w:sz w:val="20"/>
          <w:szCs w:val="20"/>
        </w:rPr>
        <w:t>Exserohilum</w:t>
      </w:r>
      <w:proofErr w:type="spellEnd"/>
      <w:r w:rsidRPr="00E342A1">
        <w:rPr>
          <w:rFonts w:ascii="Arial" w:hAnsi="Arial" w:cs="Arial"/>
          <w:i/>
          <w:iCs/>
          <w:sz w:val="20"/>
          <w:szCs w:val="20"/>
        </w:rPr>
        <w:t xml:space="preserve"> </w:t>
      </w:r>
      <w:proofErr w:type="spellStart"/>
      <w:r w:rsidRPr="00E342A1">
        <w:rPr>
          <w:rFonts w:ascii="Arial" w:hAnsi="Arial" w:cs="Arial"/>
          <w:i/>
          <w:iCs/>
          <w:sz w:val="20"/>
          <w:szCs w:val="20"/>
        </w:rPr>
        <w:t>turcicum</w:t>
      </w:r>
      <w:proofErr w:type="spellEnd"/>
      <w:r w:rsidRPr="00E342A1">
        <w:rPr>
          <w:rFonts w:ascii="Arial" w:hAnsi="Arial" w:cs="Arial"/>
          <w:sz w:val="20"/>
          <w:szCs w:val="20"/>
        </w:rPr>
        <w:t xml:space="preserve"> causing leaf blight of sorghum. </w:t>
      </w:r>
      <w:r w:rsidRPr="00E342A1">
        <w:rPr>
          <w:rFonts w:ascii="Arial" w:hAnsi="Arial" w:cs="Arial"/>
          <w:i/>
          <w:iCs/>
          <w:sz w:val="20"/>
          <w:szCs w:val="20"/>
        </w:rPr>
        <w:t>The Bioscan</w:t>
      </w:r>
      <w:r w:rsidRPr="00E342A1">
        <w:rPr>
          <w:rFonts w:ascii="Arial" w:hAnsi="Arial" w:cs="Arial"/>
          <w:sz w:val="20"/>
          <w:szCs w:val="20"/>
        </w:rPr>
        <w:t xml:space="preserve">, </w:t>
      </w:r>
      <w:r w:rsidRPr="00E342A1">
        <w:rPr>
          <w:rFonts w:ascii="Arial" w:hAnsi="Arial" w:cs="Arial"/>
          <w:b/>
          <w:bCs/>
          <w:sz w:val="20"/>
          <w:szCs w:val="20"/>
        </w:rPr>
        <w:t>9</w:t>
      </w:r>
      <w:r w:rsidRPr="00E342A1">
        <w:rPr>
          <w:rFonts w:ascii="Arial" w:hAnsi="Arial" w:cs="Arial"/>
          <w:sz w:val="20"/>
          <w:szCs w:val="20"/>
        </w:rPr>
        <w:t>(3): 1171-1175.</w:t>
      </w:r>
    </w:p>
    <w:p w14:paraId="69CEBE18" w14:textId="77777777" w:rsidR="005428CF" w:rsidRDefault="005428CF" w:rsidP="000F6F40">
      <w:pPr>
        <w:spacing w:after="0" w:line="360" w:lineRule="auto"/>
        <w:ind w:left="1440" w:right="20" w:hanging="1260"/>
        <w:jc w:val="both"/>
        <w:rPr>
          <w:rFonts w:ascii="Arial" w:hAnsi="Arial" w:cs="Arial"/>
          <w:color w:val="000000" w:themeColor="text1"/>
          <w:sz w:val="20"/>
          <w:szCs w:val="20"/>
        </w:rPr>
      </w:pPr>
      <w:proofErr w:type="spellStart"/>
      <w:r w:rsidRPr="00E342A1">
        <w:rPr>
          <w:rFonts w:ascii="Arial" w:hAnsi="Arial" w:cs="Arial"/>
          <w:color w:val="000000" w:themeColor="text1"/>
          <w:sz w:val="20"/>
          <w:szCs w:val="20"/>
        </w:rPr>
        <w:t>Wani</w:t>
      </w:r>
      <w:proofErr w:type="spellEnd"/>
      <w:r w:rsidRPr="00E342A1">
        <w:rPr>
          <w:rFonts w:ascii="Arial" w:hAnsi="Arial" w:cs="Arial"/>
          <w:color w:val="000000" w:themeColor="text1"/>
          <w:sz w:val="20"/>
          <w:szCs w:val="20"/>
        </w:rPr>
        <w:t xml:space="preserve">, T. A.; Ahmad, M. and Anwar, A. (2017). Evaluation of Fungicides, Bioagents and Plant Extracts against </w:t>
      </w:r>
      <w:proofErr w:type="spellStart"/>
      <w:r w:rsidRPr="00E342A1">
        <w:rPr>
          <w:rFonts w:ascii="Arial" w:hAnsi="Arial" w:cs="Arial"/>
          <w:i/>
          <w:iCs/>
          <w:color w:val="000000" w:themeColor="text1"/>
          <w:sz w:val="20"/>
          <w:szCs w:val="20"/>
        </w:rPr>
        <w:t>Exserohilum</w:t>
      </w:r>
      <w:proofErr w:type="spellEnd"/>
      <w:r w:rsidRPr="00E342A1">
        <w:rPr>
          <w:rFonts w:ascii="Arial" w:hAnsi="Arial" w:cs="Arial"/>
          <w:i/>
          <w:iCs/>
          <w:color w:val="000000" w:themeColor="text1"/>
          <w:sz w:val="20"/>
          <w:szCs w:val="20"/>
        </w:rPr>
        <w:t xml:space="preserve"> </w:t>
      </w:r>
      <w:proofErr w:type="spellStart"/>
      <w:r w:rsidRPr="00E342A1">
        <w:rPr>
          <w:rFonts w:ascii="Arial" w:hAnsi="Arial" w:cs="Arial"/>
          <w:i/>
          <w:iCs/>
          <w:color w:val="000000" w:themeColor="text1"/>
          <w:sz w:val="20"/>
          <w:szCs w:val="20"/>
        </w:rPr>
        <w:t>turcicum</w:t>
      </w:r>
      <w:proofErr w:type="spellEnd"/>
      <w:r w:rsidRPr="00E342A1">
        <w:rPr>
          <w:rFonts w:ascii="Arial" w:hAnsi="Arial" w:cs="Arial"/>
          <w:color w:val="000000" w:themeColor="text1"/>
          <w:sz w:val="20"/>
          <w:szCs w:val="20"/>
        </w:rPr>
        <w:t xml:space="preserve"> causing </w:t>
      </w:r>
      <w:proofErr w:type="spellStart"/>
      <w:r w:rsidRPr="00E342A1">
        <w:rPr>
          <w:rFonts w:ascii="Arial" w:hAnsi="Arial" w:cs="Arial"/>
          <w:color w:val="000000" w:themeColor="text1"/>
          <w:sz w:val="20"/>
          <w:szCs w:val="20"/>
        </w:rPr>
        <w:t>Turcicum</w:t>
      </w:r>
      <w:proofErr w:type="spellEnd"/>
      <w:r w:rsidRPr="00E342A1">
        <w:rPr>
          <w:rFonts w:ascii="Arial" w:hAnsi="Arial" w:cs="Arial"/>
          <w:color w:val="000000" w:themeColor="text1"/>
          <w:sz w:val="20"/>
          <w:szCs w:val="20"/>
        </w:rPr>
        <w:t xml:space="preserve"> leaf blight in Maize. </w:t>
      </w:r>
      <w:r w:rsidRPr="00E342A1">
        <w:rPr>
          <w:rFonts w:ascii="Arial" w:hAnsi="Arial" w:cs="Arial"/>
          <w:i/>
          <w:iCs/>
          <w:color w:val="000000" w:themeColor="text1"/>
          <w:sz w:val="20"/>
          <w:szCs w:val="20"/>
        </w:rPr>
        <w:t>International Journal of Current Microbiology and Applied Science,</w:t>
      </w:r>
      <w:r w:rsidRPr="00E342A1">
        <w:rPr>
          <w:rFonts w:ascii="Arial" w:hAnsi="Arial" w:cs="Arial"/>
          <w:color w:val="000000" w:themeColor="text1"/>
          <w:sz w:val="20"/>
          <w:szCs w:val="20"/>
        </w:rPr>
        <w:t xml:space="preserve"> </w:t>
      </w:r>
      <w:r w:rsidRPr="00E342A1">
        <w:rPr>
          <w:rFonts w:ascii="Arial" w:hAnsi="Arial" w:cs="Arial"/>
          <w:b/>
          <w:bCs/>
          <w:color w:val="000000" w:themeColor="text1"/>
          <w:sz w:val="20"/>
          <w:szCs w:val="20"/>
        </w:rPr>
        <w:t>6</w:t>
      </w:r>
      <w:r w:rsidRPr="00E342A1">
        <w:rPr>
          <w:rFonts w:ascii="Arial" w:hAnsi="Arial" w:cs="Arial"/>
          <w:color w:val="000000" w:themeColor="text1"/>
          <w:sz w:val="20"/>
          <w:szCs w:val="20"/>
        </w:rPr>
        <w:t>(8): 2754-2762.</w:t>
      </w:r>
    </w:p>
    <w:p w14:paraId="3B5F8825" w14:textId="77777777" w:rsidR="000C6890" w:rsidRDefault="000C6890" w:rsidP="000F6F40">
      <w:pPr>
        <w:spacing w:after="0" w:line="360" w:lineRule="auto"/>
        <w:ind w:left="1440" w:right="20" w:hanging="1260"/>
        <w:jc w:val="both"/>
        <w:rPr>
          <w:rFonts w:ascii="Arial" w:hAnsi="Arial" w:cs="Arial"/>
          <w:color w:val="000000" w:themeColor="text1"/>
          <w:sz w:val="20"/>
          <w:szCs w:val="20"/>
        </w:rPr>
      </w:pPr>
    </w:p>
    <w:p w14:paraId="5AF6BCB8" w14:textId="77777777" w:rsidR="000C6890" w:rsidRPr="00E342A1" w:rsidRDefault="000C6890" w:rsidP="005428CF">
      <w:pPr>
        <w:spacing w:after="0" w:line="360" w:lineRule="auto"/>
        <w:ind w:right="20"/>
        <w:jc w:val="both"/>
        <w:rPr>
          <w:rFonts w:ascii="Arial" w:hAnsi="Arial" w:cs="Arial"/>
          <w:color w:val="000000" w:themeColor="text1"/>
          <w:sz w:val="20"/>
          <w:szCs w:val="20"/>
        </w:rPr>
      </w:pPr>
    </w:p>
    <w:p w14:paraId="46B2D169" w14:textId="5ACB847F" w:rsidR="00DA04DC" w:rsidRPr="00E342A1" w:rsidRDefault="00DA04DC" w:rsidP="00DA04DC">
      <w:pPr>
        <w:spacing w:after="0" w:line="360" w:lineRule="auto"/>
        <w:ind w:left="1170" w:hanging="1080"/>
        <w:jc w:val="both"/>
        <w:rPr>
          <w:rFonts w:ascii="Arial" w:hAnsi="Arial" w:cs="Arial"/>
          <w:b/>
          <w:bCs/>
          <w:i/>
          <w:iCs/>
        </w:rPr>
      </w:pPr>
      <w:r w:rsidRPr="00E342A1">
        <w:rPr>
          <w:rFonts w:ascii="Arial" w:hAnsi="Arial" w:cs="Arial"/>
          <w:b/>
          <w:bCs/>
        </w:rPr>
        <w:t xml:space="preserve">Table </w:t>
      </w:r>
      <w:r w:rsidR="006348F2">
        <w:rPr>
          <w:rFonts w:ascii="Arial" w:hAnsi="Arial" w:cs="Arial"/>
          <w:b/>
          <w:bCs/>
        </w:rPr>
        <w:t>3</w:t>
      </w:r>
      <w:r w:rsidRPr="00E342A1">
        <w:rPr>
          <w:rFonts w:ascii="Arial" w:hAnsi="Arial" w:cs="Arial"/>
          <w:b/>
          <w:bCs/>
        </w:rPr>
        <w:t xml:space="preserve">. Effect of bio control agents on the mycelial growth and per </w:t>
      </w:r>
      <w:proofErr w:type="gramStart"/>
      <w:r w:rsidRPr="00E342A1">
        <w:rPr>
          <w:rFonts w:ascii="Arial" w:hAnsi="Arial" w:cs="Arial"/>
          <w:b/>
          <w:bCs/>
        </w:rPr>
        <w:t>cent  growth</w:t>
      </w:r>
      <w:proofErr w:type="gramEnd"/>
      <w:r w:rsidRPr="00E342A1">
        <w:rPr>
          <w:rFonts w:ascii="Arial" w:hAnsi="Arial" w:cs="Arial"/>
          <w:b/>
          <w:bCs/>
        </w:rPr>
        <w:t xml:space="preserve"> inhibition of </w:t>
      </w:r>
      <w:r w:rsidRPr="00E342A1">
        <w:rPr>
          <w:rFonts w:ascii="Arial" w:hAnsi="Arial" w:cs="Arial"/>
          <w:b/>
          <w:bCs/>
          <w:i/>
          <w:iCs/>
        </w:rPr>
        <w:t xml:space="preserve">E. </w:t>
      </w:r>
      <w:proofErr w:type="spellStart"/>
      <w:r w:rsidRPr="00E342A1">
        <w:rPr>
          <w:rFonts w:ascii="Arial" w:hAnsi="Arial" w:cs="Arial"/>
          <w:b/>
          <w:bCs/>
          <w:i/>
          <w:iCs/>
        </w:rPr>
        <w:t>turcicum</w:t>
      </w:r>
      <w:proofErr w:type="spellEnd"/>
      <w:r w:rsidRPr="00E342A1">
        <w:rPr>
          <w:rFonts w:ascii="Arial" w:hAnsi="Arial" w:cs="Arial"/>
          <w:b/>
          <w:bCs/>
        </w:rPr>
        <w:t xml:space="preserve"> </w:t>
      </w:r>
      <w:r w:rsidRPr="00E342A1">
        <w:rPr>
          <w:rFonts w:ascii="Arial" w:hAnsi="Arial" w:cs="Arial"/>
          <w:b/>
          <w:bCs/>
          <w:i/>
          <w:iCs/>
        </w:rPr>
        <w:t>in vitro</w:t>
      </w:r>
    </w:p>
    <w:tbl>
      <w:tblPr>
        <w:tblpPr w:leftFromText="180" w:rightFromText="180" w:vertAnchor="text" w:horzAnchor="margin" w:tblpXSpec="center" w:tblpY="11"/>
        <w:tblW w:w="89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17"/>
        <w:gridCol w:w="3960"/>
        <w:gridCol w:w="1800"/>
        <w:gridCol w:w="2436"/>
      </w:tblGrid>
      <w:tr w:rsidR="00DA04DC" w:rsidRPr="00203668" w14:paraId="5A35B224" w14:textId="77777777" w:rsidTr="000F6F40">
        <w:trPr>
          <w:trHeight w:val="316"/>
        </w:trPr>
        <w:tc>
          <w:tcPr>
            <w:tcW w:w="717" w:type="dxa"/>
            <w:vAlign w:val="center"/>
          </w:tcPr>
          <w:p w14:paraId="55187891" w14:textId="77777777" w:rsidR="00DA04DC" w:rsidRPr="00E342A1" w:rsidRDefault="00DA04DC" w:rsidP="000F6F40">
            <w:pPr>
              <w:pStyle w:val="TableParagraph"/>
              <w:spacing w:line="276" w:lineRule="auto"/>
              <w:ind w:left="33" w:right="32"/>
              <w:jc w:val="center"/>
              <w:rPr>
                <w:rFonts w:ascii="Arial" w:hAnsi="Arial" w:cs="Arial"/>
                <w:b/>
                <w:bCs/>
                <w:color w:val="000000" w:themeColor="text1"/>
                <w:sz w:val="20"/>
                <w:szCs w:val="20"/>
              </w:rPr>
            </w:pPr>
            <w:r w:rsidRPr="00E342A1">
              <w:rPr>
                <w:rFonts w:ascii="Arial" w:hAnsi="Arial" w:cs="Arial"/>
                <w:b/>
                <w:bCs/>
                <w:color w:val="000000" w:themeColor="text1"/>
                <w:sz w:val="20"/>
                <w:szCs w:val="20"/>
              </w:rPr>
              <w:t>Sr. No.</w:t>
            </w:r>
          </w:p>
        </w:tc>
        <w:tc>
          <w:tcPr>
            <w:tcW w:w="3960" w:type="dxa"/>
            <w:vAlign w:val="center"/>
          </w:tcPr>
          <w:p w14:paraId="26D64132" w14:textId="77777777" w:rsidR="00DA04DC" w:rsidRPr="00E342A1" w:rsidRDefault="00DA04DC" w:rsidP="000F6F40">
            <w:pPr>
              <w:pStyle w:val="TableParagraph"/>
              <w:spacing w:line="276" w:lineRule="auto"/>
              <w:ind w:left="79"/>
              <w:jc w:val="center"/>
              <w:rPr>
                <w:rFonts w:ascii="Arial" w:hAnsi="Arial" w:cs="Arial"/>
                <w:b/>
                <w:bCs/>
                <w:color w:val="000000" w:themeColor="text1"/>
                <w:sz w:val="20"/>
                <w:szCs w:val="20"/>
              </w:rPr>
            </w:pPr>
            <w:r w:rsidRPr="00E342A1">
              <w:rPr>
                <w:rFonts w:ascii="Arial" w:hAnsi="Arial" w:cs="Arial"/>
                <w:b/>
                <w:bCs/>
                <w:color w:val="000000" w:themeColor="text1"/>
                <w:sz w:val="20"/>
                <w:szCs w:val="20"/>
              </w:rPr>
              <w:t>Technical name</w:t>
            </w:r>
          </w:p>
        </w:tc>
        <w:tc>
          <w:tcPr>
            <w:tcW w:w="1800" w:type="dxa"/>
            <w:vAlign w:val="center"/>
          </w:tcPr>
          <w:p w14:paraId="048FF1EF" w14:textId="77777777" w:rsidR="00DA04DC" w:rsidRPr="00E342A1" w:rsidRDefault="00DA04DC" w:rsidP="000F6F40">
            <w:pPr>
              <w:pStyle w:val="TableParagraph"/>
              <w:spacing w:line="276" w:lineRule="auto"/>
              <w:ind w:left="90" w:right="-15"/>
              <w:jc w:val="center"/>
              <w:rPr>
                <w:rFonts w:ascii="Arial" w:hAnsi="Arial" w:cs="Arial"/>
                <w:b/>
                <w:bCs/>
                <w:color w:val="000000" w:themeColor="text1"/>
                <w:sz w:val="20"/>
                <w:szCs w:val="20"/>
              </w:rPr>
            </w:pPr>
            <w:r w:rsidRPr="00E342A1">
              <w:rPr>
                <w:rFonts w:ascii="Arial" w:hAnsi="Arial" w:cs="Arial"/>
                <w:b/>
                <w:bCs/>
                <w:color w:val="000000" w:themeColor="text1"/>
                <w:sz w:val="20"/>
                <w:szCs w:val="20"/>
              </w:rPr>
              <w:t>Fungal growth diameter 7 DAI (mm)</w:t>
            </w:r>
          </w:p>
        </w:tc>
        <w:tc>
          <w:tcPr>
            <w:tcW w:w="2436" w:type="dxa"/>
            <w:vAlign w:val="center"/>
          </w:tcPr>
          <w:p w14:paraId="21411E57" w14:textId="77777777" w:rsidR="00DA04DC" w:rsidRPr="00E342A1" w:rsidRDefault="00DA04DC" w:rsidP="000F6F40">
            <w:pPr>
              <w:pStyle w:val="TableParagraph"/>
              <w:spacing w:line="276" w:lineRule="auto"/>
              <w:ind w:left="90" w:right="96"/>
              <w:jc w:val="center"/>
              <w:rPr>
                <w:rFonts w:ascii="Arial" w:hAnsi="Arial" w:cs="Arial"/>
                <w:b/>
                <w:bCs/>
                <w:color w:val="000000" w:themeColor="text1"/>
                <w:sz w:val="20"/>
                <w:szCs w:val="20"/>
              </w:rPr>
            </w:pPr>
            <w:r w:rsidRPr="00E342A1">
              <w:rPr>
                <w:rFonts w:ascii="Arial" w:hAnsi="Arial" w:cs="Arial"/>
                <w:b/>
                <w:bCs/>
                <w:color w:val="000000" w:themeColor="text1"/>
                <w:sz w:val="20"/>
                <w:szCs w:val="20"/>
              </w:rPr>
              <w:t>Per Cent Growth Inhibition (%)</w:t>
            </w:r>
          </w:p>
        </w:tc>
      </w:tr>
      <w:tr w:rsidR="00DA04DC" w:rsidRPr="00203668" w14:paraId="4A5AC396" w14:textId="77777777" w:rsidTr="000F6F40">
        <w:trPr>
          <w:trHeight w:val="316"/>
        </w:trPr>
        <w:tc>
          <w:tcPr>
            <w:tcW w:w="717" w:type="dxa"/>
            <w:vAlign w:val="center"/>
          </w:tcPr>
          <w:p w14:paraId="58FFF44E"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1</w:t>
            </w:r>
          </w:p>
        </w:tc>
        <w:tc>
          <w:tcPr>
            <w:tcW w:w="3960" w:type="dxa"/>
            <w:vAlign w:val="center"/>
          </w:tcPr>
          <w:p w14:paraId="6E4C3D62"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i/>
                <w:iCs/>
                <w:color w:val="000000" w:themeColor="text1"/>
                <w:kern w:val="24"/>
                <w:sz w:val="20"/>
                <w:szCs w:val="20"/>
                <w:lang w:val="en-IN" w:eastAsia="en-GB"/>
              </w:rPr>
              <w:t xml:space="preserve">Trichoderma </w:t>
            </w:r>
            <w:proofErr w:type="spellStart"/>
            <w:r w:rsidRPr="00E342A1">
              <w:rPr>
                <w:rFonts w:ascii="Arial" w:hAnsi="Arial" w:cs="Arial"/>
                <w:i/>
                <w:iCs/>
                <w:color w:val="000000" w:themeColor="text1"/>
                <w:kern w:val="24"/>
                <w:sz w:val="20"/>
                <w:szCs w:val="20"/>
                <w:lang w:val="en-IN" w:eastAsia="en-GB"/>
              </w:rPr>
              <w:t>viride</w:t>
            </w:r>
            <w:proofErr w:type="spellEnd"/>
            <w:r w:rsidRPr="00E342A1">
              <w:rPr>
                <w:rFonts w:ascii="Arial" w:hAnsi="Arial" w:cs="Arial"/>
                <w:i/>
                <w:iCs/>
                <w:color w:val="000000" w:themeColor="text1"/>
                <w:kern w:val="24"/>
                <w:sz w:val="20"/>
                <w:szCs w:val="20"/>
                <w:lang w:val="en-IN" w:eastAsia="en-GB"/>
              </w:rPr>
              <w:t xml:space="preserve"> </w:t>
            </w:r>
            <w:r w:rsidRPr="00E342A1">
              <w:rPr>
                <w:rFonts w:ascii="Arial" w:hAnsi="Arial" w:cs="Arial"/>
                <w:color w:val="000000" w:themeColor="text1"/>
                <w:kern w:val="24"/>
                <w:sz w:val="20"/>
                <w:szCs w:val="20"/>
                <w:lang w:val="en-IN" w:eastAsia="en-GB"/>
              </w:rPr>
              <w:t>NAU isolate</w:t>
            </w:r>
          </w:p>
        </w:tc>
        <w:tc>
          <w:tcPr>
            <w:tcW w:w="1800" w:type="dxa"/>
            <w:vAlign w:val="center"/>
          </w:tcPr>
          <w:p w14:paraId="7DDBCBC3"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3.80 (14.00)a</w:t>
            </w:r>
          </w:p>
        </w:tc>
        <w:tc>
          <w:tcPr>
            <w:tcW w:w="2436" w:type="dxa"/>
            <w:vAlign w:val="center"/>
          </w:tcPr>
          <w:p w14:paraId="7424FF15"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84.44</w:t>
            </w:r>
          </w:p>
        </w:tc>
      </w:tr>
      <w:tr w:rsidR="00DA04DC" w:rsidRPr="00203668" w14:paraId="2F54DA1E" w14:textId="77777777" w:rsidTr="000F6F40">
        <w:trPr>
          <w:trHeight w:val="316"/>
        </w:trPr>
        <w:tc>
          <w:tcPr>
            <w:tcW w:w="717" w:type="dxa"/>
            <w:vAlign w:val="center"/>
          </w:tcPr>
          <w:p w14:paraId="170E2E2E"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2</w:t>
            </w:r>
          </w:p>
        </w:tc>
        <w:tc>
          <w:tcPr>
            <w:tcW w:w="3960" w:type="dxa"/>
            <w:vAlign w:val="center"/>
          </w:tcPr>
          <w:p w14:paraId="160E68A4"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i/>
                <w:iCs/>
                <w:color w:val="000000" w:themeColor="text1"/>
                <w:kern w:val="24"/>
                <w:sz w:val="20"/>
                <w:szCs w:val="20"/>
                <w:lang w:val="it-IT" w:eastAsia="en-GB"/>
              </w:rPr>
              <w:t xml:space="preserve">Trichoderma harzianum  </w:t>
            </w:r>
            <w:r w:rsidRPr="00E342A1">
              <w:rPr>
                <w:rFonts w:ascii="Arial" w:hAnsi="Arial" w:cs="Arial"/>
                <w:color w:val="000000" w:themeColor="text1"/>
                <w:kern w:val="24"/>
                <w:sz w:val="20"/>
                <w:szCs w:val="20"/>
                <w:lang w:val="it-IT" w:eastAsia="en-GB"/>
              </w:rPr>
              <w:t>NAU isolate</w:t>
            </w:r>
          </w:p>
        </w:tc>
        <w:tc>
          <w:tcPr>
            <w:tcW w:w="1800" w:type="dxa"/>
            <w:vAlign w:val="center"/>
          </w:tcPr>
          <w:p w14:paraId="41D10B75"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4.70 (21.63)b</w:t>
            </w:r>
          </w:p>
        </w:tc>
        <w:tc>
          <w:tcPr>
            <w:tcW w:w="2436" w:type="dxa"/>
            <w:vAlign w:val="center"/>
          </w:tcPr>
          <w:p w14:paraId="0BB163F8"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75.97</w:t>
            </w:r>
          </w:p>
        </w:tc>
      </w:tr>
      <w:tr w:rsidR="00DA04DC" w:rsidRPr="00203668" w14:paraId="75D10EFC" w14:textId="77777777" w:rsidTr="000F6F40">
        <w:trPr>
          <w:trHeight w:val="316"/>
        </w:trPr>
        <w:tc>
          <w:tcPr>
            <w:tcW w:w="717" w:type="dxa"/>
            <w:vAlign w:val="center"/>
          </w:tcPr>
          <w:p w14:paraId="65406D24"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lastRenderedPageBreak/>
              <w:t>T</w:t>
            </w:r>
            <w:r w:rsidRPr="00E342A1">
              <w:rPr>
                <w:rFonts w:ascii="Arial" w:hAnsi="Arial" w:cs="Arial"/>
                <w:color w:val="000000" w:themeColor="text1"/>
                <w:sz w:val="20"/>
                <w:szCs w:val="20"/>
                <w:vertAlign w:val="subscript"/>
              </w:rPr>
              <w:t>3</w:t>
            </w:r>
          </w:p>
        </w:tc>
        <w:tc>
          <w:tcPr>
            <w:tcW w:w="3960" w:type="dxa"/>
            <w:vAlign w:val="center"/>
          </w:tcPr>
          <w:p w14:paraId="73A7D96A"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i/>
                <w:iCs/>
                <w:color w:val="000000" w:themeColor="text1"/>
                <w:kern w:val="24"/>
                <w:sz w:val="20"/>
                <w:szCs w:val="20"/>
                <w:lang w:val="it-IT" w:eastAsia="en-GB"/>
              </w:rPr>
              <w:t xml:space="preserve">Trichoderma fasciculatum </w:t>
            </w:r>
            <w:r w:rsidRPr="00E342A1">
              <w:rPr>
                <w:rFonts w:ascii="Arial" w:hAnsi="Arial" w:cs="Arial"/>
                <w:color w:val="000000" w:themeColor="text1"/>
                <w:kern w:val="24"/>
                <w:sz w:val="20"/>
                <w:szCs w:val="20"/>
                <w:lang w:val="it-IT" w:eastAsia="en-GB"/>
              </w:rPr>
              <w:t xml:space="preserve"> NAU isolate</w:t>
            </w:r>
          </w:p>
        </w:tc>
        <w:tc>
          <w:tcPr>
            <w:tcW w:w="1800" w:type="dxa"/>
            <w:vAlign w:val="center"/>
          </w:tcPr>
          <w:p w14:paraId="094CA176"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4.82 (22.75)c</w:t>
            </w:r>
          </w:p>
        </w:tc>
        <w:tc>
          <w:tcPr>
            <w:tcW w:w="2436" w:type="dxa"/>
            <w:vAlign w:val="center"/>
          </w:tcPr>
          <w:p w14:paraId="5BDAD959"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74.72</w:t>
            </w:r>
          </w:p>
        </w:tc>
      </w:tr>
      <w:tr w:rsidR="00DA04DC" w:rsidRPr="00203668" w14:paraId="1D790594" w14:textId="77777777" w:rsidTr="000F6F40">
        <w:trPr>
          <w:trHeight w:val="316"/>
        </w:trPr>
        <w:tc>
          <w:tcPr>
            <w:tcW w:w="717" w:type="dxa"/>
            <w:vAlign w:val="center"/>
          </w:tcPr>
          <w:p w14:paraId="7038C9B6"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4</w:t>
            </w:r>
          </w:p>
        </w:tc>
        <w:tc>
          <w:tcPr>
            <w:tcW w:w="3960" w:type="dxa"/>
            <w:vAlign w:val="center"/>
          </w:tcPr>
          <w:p w14:paraId="4D9F482C"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i/>
                <w:iCs/>
                <w:color w:val="000000" w:themeColor="text1"/>
                <w:kern w:val="24"/>
                <w:sz w:val="20"/>
                <w:szCs w:val="20"/>
                <w:lang w:val="en-IN" w:eastAsia="en-GB"/>
              </w:rPr>
              <w:t xml:space="preserve">Pseudomonas fluorescens </w:t>
            </w:r>
            <w:r w:rsidRPr="00E342A1">
              <w:rPr>
                <w:rFonts w:ascii="Arial" w:hAnsi="Arial" w:cs="Arial"/>
                <w:color w:val="000000" w:themeColor="text1"/>
                <w:kern w:val="24"/>
                <w:sz w:val="20"/>
                <w:szCs w:val="20"/>
                <w:lang w:val="en-IN" w:eastAsia="en-GB"/>
              </w:rPr>
              <w:t>NAU isolate</w:t>
            </w:r>
          </w:p>
        </w:tc>
        <w:tc>
          <w:tcPr>
            <w:tcW w:w="1800" w:type="dxa"/>
            <w:vAlign w:val="center"/>
          </w:tcPr>
          <w:p w14:paraId="72A09FF7"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5.96 (35.00)e</w:t>
            </w:r>
          </w:p>
        </w:tc>
        <w:tc>
          <w:tcPr>
            <w:tcW w:w="2436" w:type="dxa"/>
            <w:vAlign w:val="center"/>
          </w:tcPr>
          <w:p w14:paraId="1725BAB9"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61.11</w:t>
            </w:r>
          </w:p>
        </w:tc>
      </w:tr>
      <w:tr w:rsidR="00DA04DC" w:rsidRPr="00203668" w14:paraId="101A4C6A" w14:textId="77777777" w:rsidTr="000F6F40">
        <w:trPr>
          <w:trHeight w:val="318"/>
        </w:trPr>
        <w:tc>
          <w:tcPr>
            <w:tcW w:w="717" w:type="dxa"/>
            <w:vAlign w:val="center"/>
          </w:tcPr>
          <w:p w14:paraId="46D7C559"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5</w:t>
            </w:r>
          </w:p>
        </w:tc>
        <w:tc>
          <w:tcPr>
            <w:tcW w:w="3960" w:type="dxa"/>
            <w:vAlign w:val="center"/>
          </w:tcPr>
          <w:p w14:paraId="5EBAC537"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i/>
                <w:iCs/>
                <w:color w:val="000000" w:themeColor="text1"/>
                <w:kern w:val="24"/>
                <w:sz w:val="20"/>
                <w:szCs w:val="20"/>
                <w:lang w:val="fr-FR" w:eastAsia="en-GB"/>
              </w:rPr>
              <w:t xml:space="preserve">Bacillus subtilis </w:t>
            </w:r>
            <w:r w:rsidRPr="00E342A1">
              <w:rPr>
                <w:rFonts w:ascii="Arial" w:hAnsi="Arial" w:cs="Arial"/>
                <w:color w:val="000000" w:themeColor="text1"/>
                <w:kern w:val="24"/>
                <w:sz w:val="20"/>
                <w:szCs w:val="20"/>
                <w:lang w:val="fr-FR" w:eastAsia="en-GB"/>
              </w:rPr>
              <w:t xml:space="preserve">NAU </w:t>
            </w:r>
            <w:proofErr w:type="spellStart"/>
            <w:r w:rsidRPr="00E342A1">
              <w:rPr>
                <w:rFonts w:ascii="Arial" w:hAnsi="Arial" w:cs="Arial"/>
                <w:color w:val="000000" w:themeColor="text1"/>
                <w:kern w:val="24"/>
                <w:sz w:val="20"/>
                <w:szCs w:val="20"/>
                <w:lang w:val="fr-FR" w:eastAsia="en-GB"/>
              </w:rPr>
              <w:t>isolate</w:t>
            </w:r>
            <w:proofErr w:type="spellEnd"/>
          </w:p>
        </w:tc>
        <w:tc>
          <w:tcPr>
            <w:tcW w:w="1800" w:type="dxa"/>
            <w:vAlign w:val="center"/>
          </w:tcPr>
          <w:p w14:paraId="3E2CBFAC"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5.12 (25.75)d</w:t>
            </w:r>
          </w:p>
        </w:tc>
        <w:tc>
          <w:tcPr>
            <w:tcW w:w="2436" w:type="dxa"/>
            <w:vAlign w:val="center"/>
          </w:tcPr>
          <w:p w14:paraId="55C20A84"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71.39</w:t>
            </w:r>
          </w:p>
        </w:tc>
      </w:tr>
      <w:tr w:rsidR="00DA04DC" w:rsidRPr="00203668" w14:paraId="3462BA0D" w14:textId="77777777" w:rsidTr="000F6F40">
        <w:trPr>
          <w:trHeight w:val="314"/>
        </w:trPr>
        <w:tc>
          <w:tcPr>
            <w:tcW w:w="717" w:type="dxa"/>
            <w:vAlign w:val="center"/>
          </w:tcPr>
          <w:p w14:paraId="5BF2258B"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6</w:t>
            </w:r>
          </w:p>
        </w:tc>
        <w:tc>
          <w:tcPr>
            <w:tcW w:w="3960" w:type="dxa"/>
            <w:vAlign w:val="center"/>
          </w:tcPr>
          <w:p w14:paraId="739737AF"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color w:val="000000" w:themeColor="text1"/>
                <w:spacing w:val="20"/>
                <w:kern w:val="24"/>
                <w:sz w:val="20"/>
                <w:szCs w:val="20"/>
                <w:lang w:val="en-IN" w:eastAsia="en-GB"/>
              </w:rPr>
              <w:t>Control</w:t>
            </w:r>
          </w:p>
        </w:tc>
        <w:tc>
          <w:tcPr>
            <w:tcW w:w="1800" w:type="dxa"/>
            <w:vAlign w:val="center"/>
          </w:tcPr>
          <w:p w14:paraId="0B402DE3"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9.51 (90.00)f</w:t>
            </w:r>
          </w:p>
        </w:tc>
        <w:tc>
          <w:tcPr>
            <w:tcW w:w="2436" w:type="dxa"/>
            <w:vAlign w:val="center"/>
          </w:tcPr>
          <w:p w14:paraId="382D13F0"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0.00</w:t>
            </w:r>
          </w:p>
        </w:tc>
      </w:tr>
      <w:tr w:rsidR="00DA04DC" w:rsidRPr="00203668" w14:paraId="5A7365D4" w14:textId="77777777" w:rsidTr="000F6F40">
        <w:trPr>
          <w:trHeight w:val="321"/>
        </w:trPr>
        <w:tc>
          <w:tcPr>
            <w:tcW w:w="717" w:type="dxa"/>
          </w:tcPr>
          <w:p w14:paraId="4A8852B9" w14:textId="77777777" w:rsidR="00DA04DC" w:rsidRPr="00E342A1" w:rsidRDefault="00DA04DC" w:rsidP="000F6F40">
            <w:pPr>
              <w:pStyle w:val="TableParagraph"/>
              <w:spacing w:line="276" w:lineRule="auto"/>
              <w:ind w:left="33" w:right="21"/>
              <w:jc w:val="center"/>
              <w:rPr>
                <w:rFonts w:ascii="Arial" w:hAnsi="Arial" w:cs="Arial"/>
                <w:color w:val="000000" w:themeColor="text1"/>
                <w:position w:val="2"/>
                <w:sz w:val="20"/>
                <w:szCs w:val="20"/>
              </w:rPr>
            </w:pPr>
          </w:p>
        </w:tc>
        <w:tc>
          <w:tcPr>
            <w:tcW w:w="3960" w:type="dxa"/>
            <w:vAlign w:val="center"/>
          </w:tcPr>
          <w:p w14:paraId="6ADA606A" w14:textId="77777777" w:rsidR="00DA04DC" w:rsidRPr="00E342A1" w:rsidRDefault="00DA04DC" w:rsidP="000F6F40">
            <w:pPr>
              <w:pStyle w:val="TableParagraph"/>
              <w:spacing w:line="276" w:lineRule="auto"/>
              <w:ind w:left="79" w:right="90"/>
              <w:jc w:val="right"/>
              <w:rPr>
                <w:rFonts w:ascii="Arial" w:hAnsi="Arial" w:cs="Arial"/>
                <w:color w:val="000000" w:themeColor="text1"/>
                <w:sz w:val="20"/>
                <w:szCs w:val="20"/>
              </w:rPr>
            </w:pPr>
            <w:proofErr w:type="spellStart"/>
            <w:r w:rsidRPr="00E342A1">
              <w:rPr>
                <w:rFonts w:ascii="Arial" w:hAnsi="Arial" w:cs="Arial"/>
                <w:color w:val="000000" w:themeColor="text1"/>
                <w:sz w:val="20"/>
                <w:szCs w:val="20"/>
              </w:rPr>
              <w:t>S.Em</w:t>
            </w:r>
            <w:proofErr w:type="spellEnd"/>
            <w:r w:rsidRPr="00E342A1">
              <w:rPr>
                <w:rFonts w:ascii="Arial" w:hAnsi="Arial" w:cs="Arial"/>
                <w:color w:val="000000" w:themeColor="text1"/>
                <w:sz w:val="20"/>
                <w:szCs w:val="20"/>
              </w:rPr>
              <w:t>. ±</w:t>
            </w:r>
          </w:p>
        </w:tc>
        <w:tc>
          <w:tcPr>
            <w:tcW w:w="1800" w:type="dxa"/>
            <w:vAlign w:val="center"/>
          </w:tcPr>
          <w:p w14:paraId="56B1C136"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0.06</w:t>
            </w:r>
          </w:p>
        </w:tc>
        <w:tc>
          <w:tcPr>
            <w:tcW w:w="2436" w:type="dxa"/>
            <w:vAlign w:val="center"/>
          </w:tcPr>
          <w:p w14:paraId="7C4E1472"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p>
        </w:tc>
      </w:tr>
      <w:tr w:rsidR="00DA04DC" w:rsidRPr="00203668" w14:paraId="7DB83CC3" w14:textId="77777777" w:rsidTr="000F6F40">
        <w:trPr>
          <w:trHeight w:val="321"/>
        </w:trPr>
        <w:tc>
          <w:tcPr>
            <w:tcW w:w="717" w:type="dxa"/>
          </w:tcPr>
          <w:p w14:paraId="18165F25" w14:textId="77777777" w:rsidR="00DA04DC" w:rsidRPr="00E342A1" w:rsidRDefault="00DA04DC" w:rsidP="000F6F40">
            <w:pPr>
              <w:pStyle w:val="TableParagraph"/>
              <w:spacing w:line="276" w:lineRule="auto"/>
              <w:ind w:left="33" w:right="21"/>
              <w:jc w:val="center"/>
              <w:rPr>
                <w:rFonts w:ascii="Arial" w:hAnsi="Arial" w:cs="Arial"/>
                <w:color w:val="000000" w:themeColor="text1"/>
                <w:position w:val="2"/>
                <w:sz w:val="20"/>
                <w:szCs w:val="20"/>
              </w:rPr>
            </w:pPr>
          </w:p>
        </w:tc>
        <w:tc>
          <w:tcPr>
            <w:tcW w:w="3960" w:type="dxa"/>
            <w:vAlign w:val="center"/>
          </w:tcPr>
          <w:p w14:paraId="2D4CBBD9" w14:textId="77777777" w:rsidR="00DA04DC" w:rsidRPr="00E342A1" w:rsidRDefault="00DA04DC" w:rsidP="000F6F40">
            <w:pPr>
              <w:pStyle w:val="TableParagraph"/>
              <w:spacing w:line="276" w:lineRule="auto"/>
              <w:ind w:left="79" w:right="90"/>
              <w:jc w:val="right"/>
              <w:rPr>
                <w:rFonts w:ascii="Arial" w:hAnsi="Arial" w:cs="Arial"/>
                <w:color w:val="000000" w:themeColor="text1"/>
                <w:sz w:val="20"/>
                <w:szCs w:val="20"/>
              </w:rPr>
            </w:pPr>
            <w:r w:rsidRPr="00E342A1">
              <w:rPr>
                <w:rFonts w:ascii="Arial" w:hAnsi="Arial" w:cs="Arial"/>
                <w:color w:val="000000" w:themeColor="text1"/>
                <w:sz w:val="20"/>
                <w:szCs w:val="20"/>
              </w:rPr>
              <w:t>CD at 5 %</w:t>
            </w:r>
          </w:p>
        </w:tc>
        <w:tc>
          <w:tcPr>
            <w:tcW w:w="1800" w:type="dxa"/>
            <w:vAlign w:val="center"/>
          </w:tcPr>
          <w:p w14:paraId="73CF5084"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0.18</w:t>
            </w:r>
          </w:p>
        </w:tc>
        <w:tc>
          <w:tcPr>
            <w:tcW w:w="2436" w:type="dxa"/>
            <w:vAlign w:val="center"/>
          </w:tcPr>
          <w:p w14:paraId="7350CC3D"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p>
        </w:tc>
      </w:tr>
      <w:tr w:rsidR="00DA04DC" w:rsidRPr="00203668" w14:paraId="632A733D" w14:textId="77777777" w:rsidTr="000F6F40">
        <w:trPr>
          <w:trHeight w:val="321"/>
        </w:trPr>
        <w:tc>
          <w:tcPr>
            <w:tcW w:w="717" w:type="dxa"/>
          </w:tcPr>
          <w:p w14:paraId="200007BE" w14:textId="77777777" w:rsidR="00DA04DC" w:rsidRPr="00E342A1" w:rsidRDefault="00DA04DC" w:rsidP="000F6F40">
            <w:pPr>
              <w:pStyle w:val="TableParagraph"/>
              <w:spacing w:line="276" w:lineRule="auto"/>
              <w:ind w:left="33" w:right="21"/>
              <w:jc w:val="center"/>
              <w:rPr>
                <w:rFonts w:ascii="Arial" w:hAnsi="Arial" w:cs="Arial"/>
                <w:color w:val="000000" w:themeColor="text1"/>
                <w:position w:val="2"/>
                <w:sz w:val="20"/>
                <w:szCs w:val="20"/>
              </w:rPr>
            </w:pPr>
          </w:p>
        </w:tc>
        <w:tc>
          <w:tcPr>
            <w:tcW w:w="3960" w:type="dxa"/>
            <w:vAlign w:val="center"/>
          </w:tcPr>
          <w:p w14:paraId="3C35C416" w14:textId="77777777" w:rsidR="00DA04DC" w:rsidRPr="00E342A1" w:rsidRDefault="00DA04DC" w:rsidP="000F6F40">
            <w:pPr>
              <w:pStyle w:val="TableParagraph"/>
              <w:spacing w:line="276" w:lineRule="auto"/>
              <w:ind w:left="79" w:right="90"/>
              <w:jc w:val="right"/>
              <w:rPr>
                <w:rFonts w:ascii="Arial" w:hAnsi="Arial" w:cs="Arial"/>
                <w:color w:val="000000" w:themeColor="text1"/>
                <w:sz w:val="20"/>
                <w:szCs w:val="20"/>
              </w:rPr>
            </w:pPr>
            <w:r w:rsidRPr="00E342A1">
              <w:rPr>
                <w:rFonts w:ascii="Arial" w:hAnsi="Arial" w:cs="Arial"/>
                <w:color w:val="000000" w:themeColor="text1"/>
                <w:sz w:val="20"/>
                <w:szCs w:val="20"/>
              </w:rPr>
              <w:t>CV %</w:t>
            </w:r>
          </w:p>
        </w:tc>
        <w:tc>
          <w:tcPr>
            <w:tcW w:w="1800" w:type="dxa"/>
            <w:vAlign w:val="center"/>
          </w:tcPr>
          <w:p w14:paraId="75B06571"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2.11</w:t>
            </w:r>
          </w:p>
        </w:tc>
        <w:tc>
          <w:tcPr>
            <w:tcW w:w="2436" w:type="dxa"/>
            <w:vAlign w:val="center"/>
          </w:tcPr>
          <w:p w14:paraId="0B309E02"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p>
        </w:tc>
      </w:tr>
    </w:tbl>
    <w:p w14:paraId="6E93D40F" w14:textId="77777777" w:rsidR="00DA04DC" w:rsidRDefault="00DA04DC" w:rsidP="00DA04DC">
      <w:pPr>
        <w:spacing w:after="0" w:line="360" w:lineRule="auto"/>
        <w:jc w:val="both"/>
        <w:rPr>
          <w:rFonts w:ascii="Times New Roman" w:hAnsi="Times New Roman" w:cs="Times New Roman"/>
          <w:color w:val="000000" w:themeColor="text1"/>
          <w:sz w:val="20"/>
          <w:szCs w:val="20"/>
        </w:rPr>
      </w:pPr>
    </w:p>
    <w:p w14:paraId="383B28AE" w14:textId="77777777" w:rsidR="00DA04DC" w:rsidRPr="00E342A1" w:rsidRDefault="00DA04DC" w:rsidP="00DA04DC">
      <w:pPr>
        <w:spacing w:after="0" w:line="360" w:lineRule="auto"/>
        <w:jc w:val="both"/>
        <w:rPr>
          <w:rFonts w:ascii="Arial" w:hAnsi="Arial" w:cs="Arial"/>
          <w:sz w:val="20"/>
          <w:szCs w:val="20"/>
        </w:rPr>
      </w:pPr>
      <w:r w:rsidRPr="00E342A1">
        <w:rPr>
          <w:rFonts w:ascii="Arial" w:hAnsi="Arial" w:cs="Arial"/>
          <w:color w:val="000000" w:themeColor="text1"/>
          <w:sz w:val="20"/>
          <w:szCs w:val="20"/>
        </w:rPr>
        <w:t>*</w:t>
      </w:r>
      <w:r w:rsidRPr="00E342A1">
        <w:rPr>
          <w:rFonts w:ascii="Arial" w:hAnsi="Arial" w:cs="Arial"/>
          <w:sz w:val="20"/>
          <w:szCs w:val="20"/>
        </w:rPr>
        <w:t>Figures outside the parentheses are √X+0.5 transformation values whereas figures in parentheses indicate original values</w:t>
      </w:r>
    </w:p>
    <w:p w14:paraId="50945DF9" w14:textId="77777777" w:rsidR="00DA04DC" w:rsidRPr="00E342A1" w:rsidRDefault="00DA04DC" w:rsidP="00DA04DC">
      <w:pPr>
        <w:spacing w:after="0" w:line="360" w:lineRule="auto"/>
        <w:jc w:val="both"/>
        <w:rPr>
          <w:rFonts w:ascii="Arial" w:hAnsi="Arial" w:cs="Arial"/>
          <w:sz w:val="20"/>
          <w:szCs w:val="20"/>
        </w:rPr>
      </w:pPr>
      <w:r w:rsidRPr="00E342A1">
        <w:rPr>
          <w:rFonts w:ascii="Arial" w:hAnsi="Arial" w:cs="Arial"/>
          <w:sz w:val="20"/>
          <w:szCs w:val="20"/>
        </w:rPr>
        <w:t>Means followed by a common letter are not significantly different at the 5% level by DNMRT</w:t>
      </w:r>
    </w:p>
    <w:p w14:paraId="3D8F5EDC" w14:textId="5D5CD577" w:rsidR="00FD67C6" w:rsidRPr="009F140B" w:rsidRDefault="00DA04DC" w:rsidP="009F140B">
      <w:pPr>
        <w:spacing w:line="360" w:lineRule="auto"/>
        <w:ind w:left="1440" w:right="20" w:hanging="1260"/>
        <w:jc w:val="both"/>
        <w:rPr>
          <w:rFonts w:ascii="Arial" w:hAnsi="Arial" w:cs="Arial"/>
          <w:sz w:val="20"/>
          <w:szCs w:val="20"/>
        </w:rPr>
      </w:pPr>
      <w:r w:rsidRPr="00E342A1">
        <w:rPr>
          <w:rFonts w:ascii="Arial" w:hAnsi="Arial" w:cs="Arial"/>
          <w:sz w:val="20"/>
          <w:szCs w:val="20"/>
        </w:rPr>
        <w:t>DAI: Days after inoculation</w:t>
      </w:r>
    </w:p>
    <w:p w14:paraId="4036EDF0" w14:textId="77777777" w:rsidR="00DD4808" w:rsidRDefault="00065196" w:rsidP="00C519DE">
      <w:pPr>
        <w:tabs>
          <w:tab w:val="left" w:pos="939"/>
        </w:tabs>
        <w:rPr>
          <w:rFonts w:ascii="Times New Roman" w:hAnsi="Times New Roman" w:cs="Times New Roman"/>
          <w:sz w:val="24"/>
          <w:szCs w:val="24"/>
        </w:rPr>
      </w:pPr>
      <w:r>
        <w:rPr>
          <w:rFonts w:ascii="Times New Roman" w:hAnsi="Times New Roman" w:cs="Times New Roman"/>
          <w:sz w:val="24"/>
          <w:szCs w:val="24"/>
        </w:rPr>
        <w:t xml:space="preserve"> </w:t>
      </w:r>
    </w:p>
    <w:p w14:paraId="1652DA72" w14:textId="3934B4EE" w:rsidR="00DD4808" w:rsidRPr="00203668" w:rsidRDefault="00DD4808" w:rsidP="00DD4808">
      <w:pPr>
        <w:tabs>
          <w:tab w:val="left" w:pos="1484"/>
        </w:tabs>
        <w:spacing w:line="360" w:lineRule="auto"/>
        <w:rPr>
          <w:rFonts w:ascii="Times New Roman" w:hAnsi="Times New Roman" w:cs="Times New Roman"/>
          <w:b/>
          <w:bCs/>
          <w:i/>
          <w:iCs/>
          <w:color w:val="FF0000"/>
          <w:sz w:val="24"/>
          <w:szCs w:val="24"/>
        </w:rPr>
      </w:pPr>
      <w:r w:rsidRPr="00E342A1">
        <w:rPr>
          <w:rFonts w:ascii="Arial" w:hAnsi="Arial" w:cs="Arial"/>
          <w:b/>
          <w:bCs/>
        </w:rPr>
        <w:t xml:space="preserve">Table </w:t>
      </w:r>
      <w:r w:rsidR="006348F2">
        <w:rPr>
          <w:rFonts w:ascii="Arial" w:hAnsi="Arial" w:cs="Arial"/>
          <w:b/>
          <w:bCs/>
        </w:rPr>
        <w:t>4</w:t>
      </w:r>
      <w:r w:rsidRPr="00E342A1">
        <w:rPr>
          <w:rFonts w:ascii="Arial" w:hAnsi="Arial" w:cs="Arial"/>
          <w:b/>
          <w:bCs/>
        </w:rPr>
        <w:t xml:space="preserve">. </w:t>
      </w:r>
      <w:r w:rsidRPr="001D2448">
        <w:rPr>
          <w:rFonts w:ascii="Times New Roman" w:hAnsi="Times New Roman" w:cs="Times New Roman"/>
          <w:b/>
          <w:bCs/>
          <w:sz w:val="24"/>
          <w:szCs w:val="24"/>
        </w:rPr>
        <w:t xml:space="preserve">Effect of fungicides on the mycelial growth of </w:t>
      </w:r>
      <w:r w:rsidRPr="001D2448">
        <w:rPr>
          <w:rFonts w:ascii="Times New Roman" w:hAnsi="Times New Roman" w:cs="Times New Roman"/>
          <w:b/>
          <w:bCs/>
          <w:i/>
          <w:iCs/>
          <w:sz w:val="24"/>
          <w:szCs w:val="24"/>
        </w:rPr>
        <w:t xml:space="preserve">E. </w:t>
      </w:r>
      <w:proofErr w:type="spellStart"/>
      <w:r w:rsidRPr="001D2448">
        <w:rPr>
          <w:rFonts w:ascii="Times New Roman" w:hAnsi="Times New Roman" w:cs="Times New Roman"/>
          <w:b/>
          <w:bCs/>
          <w:i/>
          <w:iCs/>
          <w:sz w:val="24"/>
          <w:szCs w:val="24"/>
        </w:rPr>
        <w:t>turcicum</w:t>
      </w:r>
      <w:proofErr w:type="spellEnd"/>
      <w:r w:rsidRPr="001D2448">
        <w:rPr>
          <w:rFonts w:ascii="Times New Roman" w:hAnsi="Times New Roman" w:cs="Times New Roman"/>
          <w:b/>
          <w:bCs/>
          <w:i/>
          <w:iCs/>
          <w:sz w:val="24"/>
          <w:szCs w:val="24"/>
        </w:rPr>
        <w:t xml:space="preserve"> in vitro</w:t>
      </w:r>
    </w:p>
    <w:tbl>
      <w:tblPr>
        <w:tblpPr w:leftFromText="180" w:rightFromText="180" w:vertAnchor="text" w:horzAnchor="margin" w:tblpY="67"/>
        <w:tblW w:w="84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23"/>
        <w:gridCol w:w="3420"/>
        <w:gridCol w:w="1074"/>
        <w:gridCol w:w="1170"/>
        <w:gridCol w:w="1170"/>
      </w:tblGrid>
      <w:tr w:rsidR="00DD4808" w:rsidRPr="00203668" w14:paraId="3FDF32A9" w14:textId="77777777" w:rsidTr="002F26D3">
        <w:trPr>
          <w:trHeight w:val="316"/>
        </w:trPr>
        <w:tc>
          <w:tcPr>
            <w:tcW w:w="1623" w:type="dxa"/>
            <w:vAlign w:val="center"/>
          </w:tcPr>
          <w:p w14:paraId="0392FB1E" w14:textId="77777777" w:rsidR="00DD4808" w:rsidRPr="001D2448" w:rsidRDefault="00DD4808" w:rsidP="002F26D3">
            <w:pPr>
              <w:pStyle w:val="TableParagraph"/>
              <w:spacing w:line="312" w:lineRule="auto"/>
              <w:ind w:left="33" w:right="32"/>
              <w:jc w:val="center"/>
              <w:rPr>
                <w:b/>
                <w:bCs/>
                <w:sz w:val="23"/>
                <w:szCs w:val="23"/>
              </w:rPr>
            </w:pPr>
            <w:r>
              <w:rPr>
                <w:b/>
                <w:bCs/>
                <w:sz w:val="23"/>
                <w:szCs w:val="23"/>
              </w:rPr>
              <w:t xml:space="preserve">Sr. </w:t>
            </w:r>
            <w:r w:rsidRPr="001D2448">
              <w:rPr>
                <w:b/>
                <w:bCs/>
                <w:sz w:val="23"/>
                <w:szCs w:val="23"/>
              </w:rPr>
              <w:t>No.</w:t>
            </w:r>
          </w:p>
        </w:tc>
        <w:tc>
          <w:tcPr>
            <w:tcW w:w="3420" w:type="dxa"/>
            <w:vAlign w:val="center"/>
          </w:tcPr>
          <w:p w14:paraId="38B86E1D" w14:textId="77777777" w:rsidR="00DD4808" w:rsidRPr="001D2448" w:rsidRDefault="00DD4808" w:rsidP="002F26D3">
            <w:pPr>
              <w:pStyle w:val="TableParagraph"/>
              <w:spacing w:line="312" w:lineRule="auto"/>
              <w:ind w:left="79"/>
              <w:jc w:val="center"/>
              <w:rPr>
                <w:b/>
                <w:bCs/>
                <w:sz w:val="23"/>
                <w:szCs w:val="23"/>
              </w:rPr>
            </w:pPr>
            <w:r w:rsidRPr="001D2448">
              <w:rPr>
                <w:b/>
                <w:bCs/>
                <w:sz w:val="23"/>
                <w:szCs w:val="23"/>
              </w:rPr>
              <w:t>Technical name</w:t>
            </w:r>
          </w:p>
        </w:tc>
        <w:tc>
          <w:tcPr>
            <w:tcW w:w="3414" w:type="dxa"/>
            <w:gridSpan w:val="3"/>
            <w:vAlign w:val="center"/>
          </w:tcPr>
          <w:p w14:paraId="16651B90" w14:textId="77777777" w:rsidR="00DD4808" w:rsidRPr="001D2448" w:rsidRDefault="00DD4808" w:rsidP="002F26D3">
            <w:pPr>
              <w:pStyle w:val="TableParagraph"/>
              <w:spacing w:line="312" w:lineRule="auto"/>
              <w:ind w:left="90" w:right="-15"/>
              <w:jc w:val="center"/>
              <w:rPr>
                <w:b/>
                <w:bCs/>
                <w:sz w:val="23"/>
                <w:szCs w:val="23"/>
              </w:rPr>
            </w:pPr>
            <w:r w:rsidRPr="001D2448">
              <w:rPr>
                <w:b/>
                <w:bCs/>
                <w:sz w:val="23"/>
                <w:szCs w:val="23"/>
              </w:rPr>
              <w:t>Fungal growth diameter 7 DAI (mm)</w:t>
            </w:r>
          </w:p>
        </w:tc>
      </w:tr>
      <w:tr w:rsidR="00DD4808" w:rsidRPr="00203668" w14:paraId="3DCC0919" w14:textId="77777777" w:rsidTr="002F26D3">
        <w:trPr>
          <w:trHeight w:val="316"/>
        </w:trPr>
        <w:tc>
          <w:tcPr>
            <w:tcW w:w="5043" w:type="dxa"/>
            <w:gridSpan w:val="2"/>
          </w:tcPr>
          <w:p w14:paraId="70A764F1" w14:textId="77777777" w:rsidR="00DD4808" w:rsidRPr="001D2448" w:rsidRDefault="00DD4808" w:rsidP="002F26D3">
            <w:pPr>
              <w:pStyle w:val="TableParagraph"/>
              <w:spacing w:line="312" w:lineRule="auto"/>
              <w:ind w:left="79"/>
              <w:rPr>
                <w:b/>
                <w:bCs/>
                <w:sz w:val="23"/>
                <w:szCs w:val="23"/>
              </w:rPr>
            </w:pPr>
            <w:r w:rsidRPr="001D2448">
              <w:rPr>
                <w:b/>
                <w:bCs/>
                <w:sz w:val="23"/>
                <w:szCs w:val="23"/>
              </w:rPr>
              <w:t>Concentration (ppm)</w:t>
            </w:r>
          </w:p>
        </w:tc>
        <w:tc>
          <w:tcPr>
            <w:tcW w:w="1074" w:type="dxa"/>
          </w:tcPr>
          <w:p w14:paraId="60D872CD" w14:textId="77777777" w:rsidR="00DD4808" w:rsidRPr="001D2448" w:rsidRDefault="00DD4808" w:rsidP="002F26D3">
            <w:pPr>
              <w:pStyle w:val="TableParagraph"/>
              <w:spacing w:line="312" w:lineRule="auto"/>
              <w:ind w:left="90"/>
              <w:jc w:val="center"/>
              <w:rPr>
                <w:b/>
                <w:bCs/>
                <w:sz w:val="23"/>
                <w:szCs w:val="23"/>
              </w:rPr>
            </w:pPr>
            <w:r w:rsidRPr="001D2448">
              <w:rPr>
                <w:b/>
                <w:bCs/>
                <w:sz w:val="23"/>
                <w:szCs w:val="23"/>
              </w:rPr>
              <w:t>1000</w:t>
            </w:r>
          </w:p>
        </w:tc>
        <w:tc>
          <w:tcPr>
            <w:tcW w:w="1170" w:type="dxa"/>
          </w:tcPr>
          <w:p w14:paraId="6AB9090C" w14:textId="77777777" w:rsidR="00DD4808" w:rsidRPr="001D2448" w:rsidRDefault="00DD4808" w:rsidP="002F26D3">
            <w:pPr>
              <w:pStyle w:val="TableParagraph"/>
              <w:spacing w:line="312" w:lineRule="auto"/>
              <w:ind w:left="90" w:right="-5"/>
              <w:jc w:val="center"/>
              <w:rPr>
                <w:b/>
                <w:bCs/>
                <w:sz w:val="23"/>
                <w:szCs w:val="23"/>
              </w:rPr>
            </w:pPr>
            <w:r w:rsidRPr="001D2448">
              <w:rPr>
                <w:b/>
                <w:bCs/>
                <w:sz w:val="23"/>
                <w:szCs w:val="23"/>
              </w:rPr>
              <w:t>1500</w:t>
            </w:r>
          </w:p>
        </w:tc>
        <w:tc>
          <w:tcPr>
            <w:tcW w:w="1170" w:type="dxa"/>
          </w:tcPr>
          <w:p w14:paraId="579D04BF" w14:textId="77777777" w:rsidR="00DD4808" w:rsidRPr="001D2448" w:rsidRDefault="00DD4808" w:rsidP="002F26D3">
            <w:pPr>
              <w:pStyle w:val="TableParagraph"/>
              <w:spacing w:line="312" w:lineRule="auto"/>
              <w:ind w:left="90" w:right="-15"/>
              <w:jc w:val="center"/>
              <w:rPr>
                <w:b/>
                <w:bCs/>
                <w:sz w:val="23"/>
                <w:szCs w:val="23"/>
              </w:rPr>
            </w:pPr>
            <w:r w:rsidRPr="001D2448">
              <w:rPr>
                <w:b/>
                <w:bCs/>
                <w:sz w:val="23"/>
                <w:szCs w:val="23"/>
              </w:rPr>
              <w:t>2000</w:t>
            </w:r>
          </w:p>
        </w:tc>
      </w:tr>
      <w:tr w:rsidR="00DD4808" w:rsidRPr="00203668" w14:paraId="1A3F2778" w14:textId="77777777" w:rsidTr="002F26D3">
        <w:trPr>
          <w:trHeight w:val="316"/>
        </w:trPr>
        <w:tc>
          <w:tcPr>
            <w:tcW w:w="1623" w:type="dxa"/>
            <w:vAlign w:val="center"/>
          </w:tcPr>
          <w:p w14:paraId="5785EBA2"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1</w:t>
            </w:r>
            <w:r w:rsidRPr="00272683">
              <w:rPr>
                <w:b/>
                <w:sz w:val="24"/>
                <w:szCs w:val="24"/>
              </w:rPr>
              <w:t>, T</w:t>
            </w:r>
            <w:r w:rsidRPr="00272683">
              <w:rPr>
                <w:b/>
                <w:sz w:val="24"/>
                <w:szCs w:val="24"/>
                <w:vertAlign w:val="subscript"/>
              </w:rPr>
              <w:t>2</w:t>
            </w:r>
            <w:r w:rsidRPr="00272683">
              <w:rPr>
                <w:b/>
                <w:sz w:val="24"/>
                <w:szCs w:val="24"/>
              </w:rPr>
              <w:t>, T</w:t>
            </w:r>
            <w:r w:rsidRPr="00272683">
              <w:rPr>
                <w:b/>
                <w:sz w:val="24"/>
                <w:szCs w:val="24"/>
                <w:vertAlign w:val="subscript"/>
              </w:rPr>
              <w:t>3</w:t>
            </w:r>
          </w:p>
        </w:tc>
        <w:tc>
          <w:tcPr>
            <w:tcW w:w="3420" w:type="dxa"/>
            <w:vAlign w:val="center"/>
          </w:tcPr>
          <w:p w14:paraId="47AD80BD" w14:textId="77777777" w:rsidR="00DD4808" w:rsidRPr="00272683" w:rsidRDefault="00DD4808" w:rsidP="002F26D3">
            <w:pPr>
              <w:pStyle w:val="TableParagraph"/>
              <w:spacing w:line="312" w:lineRule="auto"/>
              <w:ind w:left="79"/>
              <w:rPr>
                <w:sz w:val="24"/>
                <w:szCs w:val="24"/>
              </w:rPr>
            </w:pPr>
            <w:bookmarkStart w:id="7" w:name="_Hlk165378492"/>
            <w:r w:rsidRPr="00272683">
              <w:rPr>
                <w:sz w:val="24"/>
                <w:szCs w:val="24"/>
              </w:rPr>
              <w:t>Azoxystrobin</w:t>
            </w:r>
            <w:bookmarkEnd w:id="7"/>
            <w:r w:rsidRPr="00272683">
              <w:rPr>
                <w:sz w:val="24"/>
                <w:szCs w:val="24"/>
              </w:rPr>
              <w:t xml:space="preserve"> 23 SC</w:t>
            </w:r>
          </w:p>
        </w:tc>
        <w:tc>
          <w:tcPr>
            <w:tcW w:w="1074" w:type="dxa"/>
            <w:vAlign w:val="center"/>
          </w:tcPr>
          <w:p w14:paraId="6630B929" w14:textId="77777777" w:rsidR="00DD4808" w:rsidRPr="00272683" w:rsidRDefault="00DD4808" w:rsidP="002F26D3">
            <w:pPr>
              <w:pStyle w:val="TableParagraph"/>
              <w:spacing w:line="312" w:lineRule="auto"/>
              <w:ind w:left="80"/>
              <w:jc w:val="center"/>
              <w:rPr>
                <w:sz w:val="24"/>
                <w:szCs w:val="24"/>
              </w:rPr>
            </w:pPr>
            <w:r w:rsidRPr="00272683">
              <w:rPr>
                <w:sz w:val="24"/>
                <w:szCs w:val="24"/>
              </w:rPr>
              <w:t>6.52</w:t>
            </w:r>
          </w:p>
          <w:p w14:paraId="763C4650" w14:textId="77777777" w:rsidR="00DD4808" w:rsidRPr="00272683" w:rsidRDefault="00DD4808" w:rsidP="002F26D3">
            <w:pPr>
              <w:pStyle w:val="TableParagraph"/>
              <w:spacing w:line="312" w:lineRule="auto"/>
              <w:ind w:left="80"/>
              <w:jc w:val="center"/>
              <w:rPr>
                <w:sz w:val="24"/>
                <w:szCs w:val="24"/>
              </w:rPr>
            </w:pPr>
            <w:r w:rsidRPr="00272683">
              <w:rPr>
                <w:sz w:val="24"/>
                <w:szCs w:val="24"/>
              </w:rPr>
              <w:t>(42.00)j</w:t>
            </w:r>
          </w:p>
        </w:tc>
        <w:tc>
          <w:tcPr>
            <w:tcW w:w="1170" w:type="dxa"/>
            <w:vAlign w:val="center"/>
          </w:tcPr>
          <w:p w14:paraId="016264E6" w14:textId="77777777" w:rsidR="00DD4808" w:rsidRPr="00272683" w:rsidRDefault="00DD4808" w:rsidP="002F26D3">
            <w:pPr>
              <w:pStyle w:val="TableParagraph"/>
              <w:spacing w:line="312" w:lineRule="auto"/>
              <w:ind w:left="76"/>
              <w:jc w:val="center"/>
              <w:rPr>
                <w:sz w:val="24"/>
                <w:szCs w:val="24"/>
              </w:rPr>
            </w:pPr>
            <w:r w:rsidRPr="00272683">
              <w:rPr>
                <w:sz w:val="24"/>
                <w:szCs w:val="24"/>
              </w:rPr>
              <w:t>6.49</w:t>
            </w:r>
          </w:p>
          <w:p w14:paraId="36C58C85" w14:textId="77777777" w:rsidR="00DD4808" w:rsidRPr="00272683" w:rsidRDefault="00DD4808" w:rsidP="002F26D3">
            <w:pPr>
              <w:pStyle w:val="TableParagraph"/>
              <w:spacing w:line="312" w:lineRule="auto"/>
              <w:ind w:left="76"/>
              <w:jc w:val="center"/>
              <w:rPr>
                <w:sz w:val="24"/>
                <w:szCs w:val="24"/>
              </w:rPr>
            </w:pPr>
            <w:r w:rsidRPr="00272683">
              <w:rPr>
                <w:sz w:val="24"/>
                <w:szCs w:val="24"/>
              </w:rPr>
              <w:t>(41.67)</w:t>
            </w:r>
            <w:r w:rsidRPr="00272683">
              <w:rPr>
                <w:sz w:val="24"/>
                <w:szCs w:val="24"/>
                <w:vertAlign w:val="superscript"/>
              </w:rPr>
              <w:t>i</w:t>
            </w:r>
          </w:p>
        </w:tc>
        <w:tc>
          <w:tcPr>
            <w:tcW w:w="1170" w:type="dxa"/>
            <w:vAlign w:val="center"/>
          </w:tcPr>
          <w:p w14:paraId="53AC904D" w14:textId="77777777" w:rsidR="00DD4808" w:rsidRPr="00272683" w:rsidRDefault="00DD4808" w:rsidP="002F26D3">
            <w:pPr>
              <w:pStyle w:val="TableParagraph"/>
              <w:spacing w:line="312" w:lineRule="auto"/>
              <w:ind w:left="76"/>
              <w:jc w:val="center"/>
              <w:rPr>
                <w:sz w:val="24"/>
                <w:szCs w:val="24"/>
              </w:rPr>
            </w:pPr>
            <w:r w:rsidRPr="00272683">
              <w:rPr>
                <w:sz w:val="24"/>
                <w:szCs w:val="24"/>
              </w:rPr>
              <w:t>6.10*</w:t>
            </w:r>
          </w:p>
          <w:p w14:paraId="1E28B1F1" w14:textId="77777777" w:rsidR="00DD4808" w:rsidRPr="00272683" w:rsidRDefault="00DD4808" w:rsidP="002F26D3">
            <w:pPr>
              <w:pStyle w:val="TableParagraph"/>
              <w:spacing w:line="312" w:lineRule="auto"/>
              <w:ind w:left="76"/>
              <w:jc w:val="center"/>
              <w:rPr>
                <w:sz w:val="24"/>
                <w:szCs w:val="24"/>
              </w:rPr>
            </w:pPr>
            <w:r w:rsidRPr="00272683">
              <w:rPr>
                <w:sz w:val="24"/>
                <w:szCs w:val="24"/>
              </w:rPr>
              <w:t>(36.67)</w:t>
            </w:r>
            <w:r w:rsidRPr="00272683">
              <w:rPr>
                <w:sz w:val="24"/>
                <w:szCs w:val="24"/>
                <w:vertAlign w:val="superscript"/>
              </w:rPr>
              <w:t>j</w:t>
            </w:r>
          </w:p>
        </w:tc>
      </w:tr>
      <w:tr w:rsidR="00DD4808" w:rsidRPr="00203668" w14:paraId="7D7FC9FE" w14:textId="77777777" w:rsidTr="002F26D3">
        <w:trPr>
          <w:trHeight w:val="316"/>
        </w:trPr>
        <w:tc>
          <w:tcPr>
            <w:tcW w:w="1623" w:type="dxa"/>
            <w:vAlign w:val="center"/>
          </w:tcPr>
          <w:p w14:paraId="03D9F3EC"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4</w:t>
            </w:r>
            <w:r w:rsidRPr="00272683">
              <w:rPr>
                <w:b/>
                <w:sz w:val="24"/>
                <w:szCs w:val="24"/>
              </w:rPr>
              <w:t>, T</w:t>
            </w:r>
            <w:r w:rsidRPr="00272683">
              <w:rPr>
                <w:b/>
                <w:sz w:val="24"/>
                <w:szCs w:val="24"/>
                <w:vertAlign w:val="subscript"/>
              </w:rPr>
              <w:t>5</w:t>
            </w:r>
            <w:r w:rsidRPr="00272683">
              <w:rPr>
                <w:b/>
                <w:sz w:val="24"/>
                <w:szCs w:val="24"/>
              </w:rPr>
              <w:t>, T</w:t>
            </w:r>
            <w:r w:rsidRPr="00272683">
              <w:rPr>
                <w:b/>
                <w:sz w:val="24"/>
                <w:szCs w:val="24"/>
                <w:vertAlign w:val="subscript"/>
              </w:rPr>
              <w:t>6</w:t>
            </w:r>
          </w:p>
        </w:tc>
        <w:tc>
          <w:tcPr>
            <w:tcW w:w="3420" w:type="dxa"/>
            <w:vAlign w:val="center"/>
          </w:tcPr>
          <w:p w14:paraId="5B6F6998" w14:textId="77777777" w:rsidR="00DD4808" w:rsidRPr="00272683" w:rsidRDefault="00DD4808" w:rsidP="002F26D3">
            <w:pPr>
              <w:pStyle w:val="TableParagraph"/>
              <w:spacing w:line="312" w:lineRule="auto"/>
              <w:ind w:left="79"/>
              <w:rPr>
                <w:sz w:val="24"/>
                <w:szCs w:val="24"/>
              </w:rPr>
            </w:pPr>
            <w:bookmarkStart w:id="8" w:name="_Hlk165365648"/>
            <w:r w:rsidRPr="00272683">
              <w:rPr>
                <w:sz w:val="24"/>
                <w:szCs w:val="24"/>
              </w:rPr>
              <w:t xml:space="preserve">Carbendazim </w:t>
            </w:r>
            <w:bookmarkEnd w:id="8"/>
            <w:r w:rsidRPr="00272683">
              <w:rPr>
                <w:sz w:val="24"/>
                <w:szCs w:val="24"/>
              </w:rPr>
              <w:t>50 WP</w:t>
            </w:r>
          </w:p>
        </w:tc>
        <w:tc>
          <w:tcPr>
            <w:tcW w:w="1074" w:type="dxa"/>
            <w:vAlign w:val="center"/>
          </w:tcPr>
          <w:p w14:paraId="5C32C349" w14:textId="77777777" w:rsidR="00DD4808" w:rsidRPr="00272683" w:rsidRDefault="00DD4808" w:rsidP="002F26D3">
            <w:pPr>
              <w:pStyle w:val="TableParagraph"/>
              <w:spacing w:line="312" w:lineRule="auto"/>
              <w:ind w:left="80"/>
              <w:jc w:val="center"/>
              <w:rPr>
                <w:sz w:val="24"/>
                <w:szCs w:val="24"/>
              </w:rPr>
            </w:pPr>
            <w:r w:rsidRPr="00272683">
              <w:rPr>
                <w:sz w:val="24"/>
                <w:szCs w:val="24"/>
              </w:rPr>
              <w:t>6.36</w:t>
            </w:r>
          </w:p>
          <w:p w14:paraId="227AA3E9" w14:textId="77777777" w:rsidR="00DD4808" w:rsidRPr="00272683" w:rsidRDefault="00DD4808" w:rsidP="002F26D3">
            <w:pPr>
              <w:pStyle w:val="TableParagraph"/>
              <w:spacing w:line="312" w:lineRule="auto"/>
              <w:ind w:left="80"/>
              <w:jc w:val="center"/>
              <w:rPr>
                <w:sz w:val="24"/>
                <w:szCs w:val="24"/>
              </w:rPr>
            </w:pPr>
            <w:r w:rsidRPr="00272683">
              <w:rPr>
                <w:sz w:val="24"/>
                <w:szCs w:val="24"/>
              </w:rPr>
              <w:t>(40.00)</w:t>
            </w:r>
            <w:r w:rsidRPr="00272683">
              <w:rPr>
                <w:sz w:val="24"/>
                <w:szCs w:val="24"/>
                <w:vertAlign w:val="superscript"/>
              </w:rPr>
              <w:t>hi</w:t>
            </w:r>
          </w:p>
        </w:tc>
        <w:tc>
          <w:tcPr>
            <w:tcW w:w="1170" w:type="dxa"/>
            <w:vAlign w:val="center"/>
          </w:tcPr>
          <w:p w14:paraId="55EED3B2" w14:textId="77777777" w:rsidR="00DD4808" w:rsidRPr="00272683" w:rsidRDefault="00DD4808" w:rsidP="002F26D3">
            <w:pPr>
              <w:pStyle w:val="TableParagraph"/>
              <w:spacing w:line="312" w:lineRule="auto"/>
              <w:ind w:left="76"/>
              <w:jc w:val="center"/>
              <w:rPr>
                <w:sz w:val="24"/>
                <w:szCs w:val="24"/>
              </w:rPr>
            </w:pPr>
            <w:r w:rsidRPr="00272683">
              <w:rPr>
                <w:sz w:val="24"/>
                <w:szCs w:val="24"/>
              </w:rPr>
              <w:t>6.26</w:t>
            </w:r>
          </w:p>
          <w:p w14:paraId="463C3A64" w14:textId="77777777" w:rsidR="00DD4808" w:rsidRPr="00272683" w:rsidRDefault="00DD4808" w:rsidP="002F26D3">
            <w:pPr>
              <w:pStyle w:val="TableParagraph"/>
              <w:spacing w:line="312" w:lineRule="auto"/>
              <w:ind w:left="76"/>
              <w:jc w:val="center"/>
              <w:rPr>
                <w:sz w:val="24"/>
                <w:szCs w:val="24"/>
              </w:rPr>
            </w:pPr>
            <w:r w:rsidRPr="00272683">
              <w:rPr>
                <w:sz w:val="24"/>
                <w:szCs w:val="24"/>
              </w:rPr>
              <w:t>(38.67)</w:t>
            </w:r>
            <w:r w:rsidRPr="00272683">
              <w:rPr>
                <w:sz w:val="24"/>
                <w:szCs w:val="24"/>
                <w:vertAlign w:val="superscript"/>
              </w:rPr>
              <w:t>g</w:t>
            </w:r>
          </w:p>
        </w:tc>
        <w:tc>
          <w:tcPr>
            <w:tcW w:w="1170" w:type="dxa"/>
            <w:vAlign w:val="center"/>
          </w:tcPr>
          <w:p w14:paraId="0F98E94B" w14:textId="77777777" w:rsidR="00DD4808" w:rsidRPr="00272683" w:rsidRDefault="00DD4808" w:rsidP="002F26D3">
            <w:pPr>
              <w:pStyle w:val="TableParagraph"/>
              <w:spacing w:line="312" w:lineRule="auto"/>
              <w:ind w:left="76"/>
              <w:jc w:val="center"/>
              <w:rPr>
                <w:sz w:val="24"/>
                <w:szCs w:val="24"/>
              </w:rPr>
            </w:pPr>
            <w:r w:rsidRPr="00272683">
              <w:rPr>
                <w:sz w:val="24"/>
                <w:szCs w:val="24"/>
              </w:rPr>
              <w:t>5.87</w:t>
            </w:r>
          </w:p>
          <w:p w14:paraId="783AA95A" w14:textId="77777777" w:rsidR="00DD4808" w:rsidRPr="00272683" w:rsidRDefault="00DD4808" w:rsidP="002F26D3">
            <w:pPr>
              <w:pStyle w:val="TableParagraph"/>
              <w:spacing w:line="312" w:lineRule="auto"/>
              <w:ind w:left="76"/>
              <w:jc w:val="center"/>
              <w:rPr>
                <w:sz w:val="24"/>
                <w:szCs w:val="24"/>
              </w:rPr>
            </w:pPr>
            <w:r w:rsidRPr="00272683">
              <w:rPr>
                <w:sz w:val="24"/>
                <w:szCs w:val="24"/>
              </w:rPr>
              <w:t>(34.00)</w:t>
            </w:r>
            <w:r w:rsidRPr="00272683">
              <w:rPr>
                <w:sz w:val="24"/>
                <w:szCs w:val="24"/>
                <w:vertAlign w:val="superscript"/>
              </w:rPr>
              <w:t>hi</w:t>
            </w:r>
          </w:p>
        </w:tc>
      </w:tr>
      <w:tr w:rsidR="00DD4808" w:rsidRPr="00203668" w14:paraId="573E133F" w14:textId="77777777" w:rsidTr="002F26D3">
        <w:trPr>
          <w:trHeight w:val="316"/>
        </w:trPr>
        <w:tc>
          <w:tcPr>
            <w:tcW w:w="1623" w:type="dxa"/>
            <w:vAlign w:val="center"/>
          </w:tcPr>
          <w:p w14:paraId="2A750F7C"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7</w:t>
            </w:r>
            <w:r w:rsidRPr="00272683">
              <w:rPr>
                <w:b/>
                <w:sz w:val="24"/>
                <w:szCs w:val="24"/>
              </w:rPr>
              <w:t>, T</w:t>
            </w:r>
            <w:r w:rsidRPr="00272683">
              <w:rPr>
                <w:b/>
                <w:sz w:val="24"/>
                <w:szCs w:val="24"/>
                <w:vertAlign w:val="subscript"/>
              </w:rPr>
              <w:t>8</w:t>
            </w:r>
            <w:r w:rsidRPr="00272683">
              <w:rPr>
                <w:b/>
                <w:sz w:val="24"/>
                <w:szCs w:val="24"/>
              </w:rPr>
              <w:t>, T</w:t>
            </w:r>
            <w:r w:rsidRPr="00272683">
              <w:rPr>
                <w:b/>
                <w:sz w:val="24"/>
                <w:szCs w:val="24"/>
                <w:vertAlign w:val="subscript"/>
              </w:rPr>
              <w:t>9</w:t>
            </w:r>
          </w:p>
        </w:tc>
        <w:tc>
          <w:tcPr>
            <w:tcW w:w="3420" w:type="dxa"/>
            <w:vAlign w:val="center"/>
          </w:tcPr>
          <w:p w14:paraId="67DFC569" w14:textId="77777777" w:rsidR="00DD4808" w:rsidRPr="00272683" w:rsidRDefault="00DD4808" w:rsidP="002F26D3">
            <w:pPr>
              <w:pStyle w:val="TableParagraph"/>
              <w:spacing w:line="312" w:lineRule="auto"/>
              <w:ind w:left="79"/>
              <w:rPr>
                <w:sz w:val="24"/>
                <w:szCs w:val="24"/>
              </w:rPr>
            </w:pPr>
            <w:bookmarkStart w:id="9" w:name="_Hlk165368064"/>
            <w:r w:rsidRPr="00272683">
              <w:rPr>
                <w:sz w:val="24"/>
                <w:szCs w:val="24"/>
              </w:rPr>
              <w:t xml:space="preserve">Copper oxychloride </w:t>
            </w:r>
            <w:bookmarkEnd w:id="9"/>
            <w:r w:rsidRPr="00272683">
              <w:rPr>
                <w:sz w:val="24"/>
                <w:szCs w:val="24"/>
              </w:rPr>
              <w:t>50 WG</w:t>
            </w:r>
          </w:p>
        </w:tc>
        <w:tc>
          <w:tcPr>
            <w:tcW w:w="1074" w:type="dxa"/>
            <w:vAlign w:val="center"/>
          </w:tcPr>
          <w:p w14:paraId="0EA54449" w14:textId="77777777" w:rsidR="00DD4808" w:rsidRPr="00272683" w:rsidRDefault="00DD4808" w:rsidP="002F26D3">
            <w:pPr>
              <w:pStyle w:val="TableParagraph"/>
              <w:spacing w:line="312" w:lineRule="auto"/>
              <w:ind w:left="80"/>
              <w:jc w:val="center"/>
              <w:rPr>
                <w:sz w:val="24"/>
                <w:szCs w:val="24"/>
              </w:rPr>
            </w:pPr>
            <w:r w:rsidRPr="00272683">
              <w:rPr>
                <w:sz w:val="24"/>
                <w:szCs w:val="24"/>
              </w:rPr>
              <w:t>5.58</w:t>
            </w:r>
          </w:p>
          <w:p w14:paraId="753950A6" w14:textId="77777777" w:rsidR="00DD4808" w:rsidRPr="00272683" w:rsidRDefault="00DD4808" w:rsidP="002F26D3">
            <w:pPr>
              <w:pStyle w:val="TableParagraph"/>
              <w:spacing w:line="312" w:lineRule="auto"/>
              <w:ind w:left="80"/>
              <w:jc w:val="center"/>
              <w:rPr>
                <w:sz w:val="24"/>
                <w:szCs w:val="24"/>
              </w:rPr>
            </w:pPr>
            <w:r w:rsidRPr="00272683">
              <w:rPr>
                <w:sz w:val="24"/>
                <w:szCs w:val="24"/>
              </w:rPr>
              <w:t>(30.67)</w:t>
            </w:r>
            <w:r w:rsidRPr="00272683">
              <w:rPr>
                <w:sz w:val="24"/>
                <w:szCs w:val="24"/>
                <w:vertAlign w:val="superscript"/>
              </w:rPr>
              <w:t>g</w:t>
            </w:r>
          </w:p>
        </w:tc>
        <w:tc>
          <w:tcPr>
            <w:tcW w:w="1170" w:type="dxa"/>
            <w:vAlign w:val="center"/>
          </w:tcPr>
          <w:p w14:paraId="32D7EFFC" w14:textId="77777777" w:rsidR="00DD4808" w:rsidRPr="00272683" w:rsidRDefault="00DD4808" w:rsidP="002F26D3">
            <w:pPr>
              <w:pStyle w:val="TableParagraph"/>
              <w:spacing w:line="312" w:lineRule="auto"/>
              <w:ind w:left="76"/>
              <w:jc w:val="center"/>
              <w:rPr>
                <w:sz w:val="24"/>
                <w:szCs w:val="24"/>
              </w:rPr>
            </w:pPr>
            <w:r w:rsidRPr="00272683">
              <w:rPr>
                <w:sz w:val="24"/>
                <w:szCs w:val="24"/>
              </w:rPr>
              <w:t>5.40</w:t>
            </w:r>
          </w:p>
          <w:p w14:paraId="211E5DCE" w14:textId="77777777" w:rsidR="00DD4808" w:rsidRPr="00272683" w:rsidRDefault="00DD4808" w:rsidP="002F26D3">
            <w:pPr>
              <w:pStyle w:val="TableParagraph"/>
              <w:spacing w:line="312" w:lineRule="auto"/>
              <w:ind w:left="76"/>
              <w:jc w:val="center"/>
              <w:rPr>
                <w:sz w:val="24"/>
                <w:szCs w:val="24"/>
              </w:rPr>
            </w:pPr>
            <w:r w:rsidRPr="00272683">
              <w:rPr>
                <w:sz w:val="24"/>
                <w:szCs w:val="24"/>
              </w:rPr>
              <w:t>(28.67)</w:t>
            </w:r>
            <w:r w:rsidRPr="00272683">
              <w:rPr>
                <w:sz w:val="24"/>
                <w:szCs w:val="24"/>
                <w:vertAlign w:val="superscript"/>
              </w:rPr>
              <w:t>f</w:t>
            </w:r>
          </w:p>
        </w:tc>
        <w:tc>
          <w:tcPr>
            <w:tcW w:w="1170" w:type="dxa"/>
            <w:vAlign w:val="center"/>
          </w:tcPr>
          <w:p w14:paraId="250177B6" w14:textId="77777777" w:rsidR="00DD4808" w:rsidRPr="00272683" w:rsidRDefault="00DD4808" w:rsidP="002F26D3">
            <w:pPr>
              <w:pStyle w:val="TableParagraph"/>
              <w:spacing w:line="312" w:lineRule="auto"/>
              <w:ind w:left="76"/>
              <w:jc w:val="center"/>
              <w:rPr>
                <w:sz w:val="24"/>
                <w:szCs w:val="24"/>
              </w:rPr>
            </w:pPr>
            <w:r w:rsidRPr="00272683">
              <w:rPr>
                <w:sz w:val="24"/>
                <w:szCs w:val="24"/>
              </w:rPr>
              <w:t>4.60</w:t>
            </w:r>
          </w:p>
          <w:p w14:paraId="445A4CB8" w14:textId="77777777" w:rsidR="00DD4808" w:rsidRPr="00272683" w:rsidRDefault="00DD4808" w:rsidP="002F26D3">
            <w:pPr>
              <w:pStyle w:val="TableParagraph"/>
              <w:spacing w:line="312" w:lineRule="auto"/>
              <w:ind w:left="76"/>
              <w:jc w:val="center"/>
              <w:rPr>
                <w:sz w:val="24"/>
                <w:szCs w:val="24"/>
              </w:rPr>
            </w:pPr>
            <w:r w:rsidRPr="00272683">
              <w:rPr>
                <w:sz w:val="24"/>
                <w:szCs w:val="24"/>
              </w:rPr>
              <w:t>(20.67)</w:t>
            </w:r>
            <w:r w:rsidRPr="00272683">
              <w:rPr>
                <w:sz w:val="24"/>
                <w:szCs w:val="24"/>
                <w:vertAlign w:val="superscript"/>
              </w:rPr>
              <w:t>g</w:t>
            </w:r>
          </w:p>
        </w:tc>
      </w:tr>
      <w:tr w:rsidR="00DD4808" w:rsidRPr="00203668" w14:paraId="36651929" w14:textId="77777777" w:rsidTr="002F26D3">
        <w:trPr>
          <w:trHeight w:val="316"/>
        </w:trPr>
        <w:tc>
          <w:tcPr>
            <w:tcW w:w="1623" w:type="dxa"/>
            <w:vAlign w:val="center"/>
          </w:tcPr>
          <w:p w14:paraId="03754104"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10</w:t>
            </w:r>
            <w:r w:rsidRPr="00272683">
              <w:rPr>
                <w:b/>
                <w:sz w:val="24"/>
                <w:szCs w:val="24"/>
              </w:rPr>
              <w:t>, T</w:t>
            </w:r>
            <w:r w:rsidRPr="00272683">
              <w:rPr>
                <w:b/>
                <w:sz w:val="24"/>
                <w:szCs w:val="24"/>
                <w:vertAlign w:val="subscript"/>
              </w:rPr>
              <w:t>11</w:t>
            </w:r>
            <w:r w:rsidRPr="00272683">
              <w:rPr>
                <w:b/>
                <w:sz w:val="24"/>
                <w:szCs w:val="24"/>
              </w:rPr>
              <w:t>, T</w:t>
            </w:r>
            <w:r w:rsidRPr="00272683">
              <w:rPr>
                <w:b/>
                <w:sz w:val="24"/>
                <w:szCs w:val="24"/>
                <w:vertAlign w:val="subscript"/>
              </w:rPr>
              <w:t>12</w:t>
            </w:r>
          </w:p>
        </w:tc>
        <w:tc>
          <w:tcPr>
            <w:tcW w:w="3420" w:type="dxa"/>
            <w:vAlign w:val="center"/>
          </w:tcPr>
          <w:p w14:paraId="444BE3DC" w14:textId="77777777" w:rsidR="00DD4808" w:rsidRPr="00272683" w:rsidRDefault="00DD4808" w:rsidP="002F26D3">
            <w:pPr>
              <w:pStyle w:val="TableParagraph"/>
              <w:spacing w:line="312" w:lineRule="auto"/>
              <w:ind w:left="79"/>
              <w:rPr>
                <w:sz w:val="24"/>
                <w:szCs w:val="24"/>
              </w:rPr>
            </w:pPr>
            <w:bookmarkStart w:id="10" w:name="_Hlk165367896"/>
            <w:r w:rsidRPr="00272683">
              <w:rPr>
                <w:sz w:val="24"/>
                <w:szCs w:val="24"/>
              </w:rPr>
              <w:t>Hexaconazole</w:t>
            </w:r>
            <w:bookmarkEnd w:id="10"/>
            <w:r w:rsidRPr="00272683">
              <w:rPr>
                <w:sz w:val="24"/>
                <w:szCs w:val="24"/>
              </w:rPr>
              <w:t xml:space="preserve"> 5 EC</w:t>
            </w:r>
          </w:p>
        </w:tc>
        <w:tc>
          <w:tcPr>
            <w:tcW w:w="1074" w:type="dxa"/>
            <w:vAlign w:val="center"/>
          </w:tcPr>
          <w:p w14:paraId="2E714B9C" w14:textId="77777777" w:rsidR="00DD4808" w:rsidRPr="00272683" w:rsidRDefault="00DD4808" w:rsidP="002F26D3">
            <w:pPr>
              <w:pStyle w:val="TableParagraph"/>
              <w:spacing w:line="312" w:lineRule="auto"/>
              <w:ind w:left="80"/>
              <w:jc w:val="center"/>
              <w:rPr>
                <w:sz w:val="24"/>
                <w:szCs w:val="24"/>
              </w:rPr>
            </w:pPr>
            <w:r w:rsidRPr="00272683">
              <w:rPr>
                <w:sz w:val="24"/>
                <w:szCs w:val="24"/>
              </w:rPr>
              <w:t>3.72</w:t>
            </w:r>
          </w:p>
          <w:p w14:paraId="4B6E6D99" w14:textId="77777777" w:rsidR="00DD4808" w:rsidRPr="00272683" w:rsidRDefault="00DD4808" w:rsidP="002F26D3">
            <w:pPr>
              <w:pStyle w:val="TableParagraph"/>
              <w:spacing w:line="312" w:lineRule="auto"/>
              <w:ind w:left="80"/>
              <w:jc w:val="center"/>
              <w:rPr>
                <w:sz w:val="24"/>
                <w:szCs w:val="24"/>
              </w:rPr>
            </w:pPr>
            <w:r w:rsidRPr="00272683">
              <w:rPr>
                <w:sz w:val="24"/>
                <w:szCs w:val="24"/>
              </w:rPr>
              <w:t>(13.33)</w:t>
            </w:r>
            <w:r w:rsidRPr="00272683">
              <w:rPr>
                <w:sz w:val="24"/>
                <w:szCs w:val="24"/>
                <w:vertAlign w:val="superscript"/>
              </w:rPr>
              <w:t>d</w:t>
            </w:r>
          </w:p>
        </w:tc>
        <w:tc>
          <w:tcPr>
            <w:tcW w:w="1170" w:type="dxa"/>
            <w:vAlign w:val="center"/>
          </w:tcPr>
          <w:p w14:paraId="666F5CD3" w14:textId="77777777" w:rsidR="00DD4808" w:rsidRPr="00272683" w:rsidRDefault="00DD4808" w:rsidP="002F26D3">
            <w:pPr>
              <w:pStyle w:val="TableParagraph"/>
              <w:spacing w:line="312" w:lineRule="auto"/>
              <w:ind w:left="76"/>
              <w:jc w:val="center"/>
              <w:rPr>
                <w:sz w:val="24"/>
                <w:szCs w:val="24"/>
              </w:rPr>
            </w:pPr>
            <w:r w:rsidRPr="00272683">
              <w:rPr>
                <w:sz w:val="24"/>
                <w:szCs w:val="24"/>
              </w:rPr>
              <w:t>3.49</w:t>
            </w:r>
          </w:p>
          <w:p w14:paraId="5948E71D" w14:textId="77777777" w:rsidR="00DD4808" w:rsidRPr="00272683" w:rsidRDefault="00DD4808" w:rsidP="002F26D3">
            <w:pPr>
              <w:pStyle w:val="TableParagraph"/>
              <w:spacing w:line="312" w:lineRule="auto"/>
              <w:ind w:left="76"/>
              <w:jc w:val="center"/>
              <w:rPr>
                <w:sz w:val="24"/>
                <w:szCs w:val="24"/>
              </w:rPr>
            </w:pPr>
            <w:r w:rsidRPr="00272683">
              <w:rPr>
                <w:sz w:val="24"/>
                <w:szCs w:val="24"/>
              </w:rPr>
              <w:t>(11.67)</w:t>
            </w:r>
            <w:r w:rsidRPr="00272683">
              <w:rPr>
                <w:sz w:val="24"/>
                <w:szCs w:val="24"/>
                <w:vertAlign w:val="superscript"/>
              </w:rPr>
              <w:t>c</w:t>
            </w:r>
          </w:p>
        </w:tc>
        <w:tc>
          <w:tcPr>
            <w:tcW w:w="1170" w:type="dxa"/>
            <w:vAlign w:val="center"/>
          </w:tcPr>
          <w:p w14:paraId="5CD722EB" w14:textId="77777777" w:rsidR="00DD4808" w:rsidRPr="00272683" w:rsidRDefault="00DD4808" w:rsidP="002F26D3">
            <w:pPr>
              <w:pStyle w:val="TableParagraph"/>
              <w:spacing w:line="312" w:lineRule="auto"/>
              <w:ind w:left="76"/>
              <w:jc w:val="center"/>
              <w:rPr>
                <w:sz w:val="24"/>
                <w:szCs w:val="24"/>
              </w:rPr>
            </w:pPr>
            <w:r w:rsidRPr="00272683">
              <w:rPr>
                <w:sz w:val="24"/>
                <w:szCs w:val="24"/>
              </w:rPr>
              <w:t>3.12</w:t>
            </w:r>
          </w:p>
          <w:p w14:paraId="446373FA" w14:textId="77777777" w:rsidR="00DD4808" w:rsidRPr="00272683" w:rsidRDefault="00DD4808" w:rsidP="002F26D3">
            <w:pPr>
              <w:pStyle w:val="TableParagraph"/>
              <w:spacing w:line="312" w:lineRule="auto"/>
              <w:ind w:left="76"/>
              <w:jc w:val="center"/>
              <w:rPr>
                <w:sz w:val="24"/>
                <w:szCs w:val="24"/>
              </w:rPr>
            </w:pPr>
            <w:r w:rsidRPr="00272683">
              <w:rPr>
                <w:sz w:val="24"/>
                <w:szCs w:val="24"/>
              </w:rPr>
              <w:t>(9.27)</w:t>
            </w:r>
            <w:r w:rsidRPr="00272683">
              <w:rPr>
                <w:sz w:val="24"/>
                <w:szCs w:val="24"/>
                <w:vertAlign w:val="superscript"/>
              </w:rPr>
              <w:t>d</w:t>
            </w:r>
          </w:p>
        </w:tc>
      </w:tr>
      <w:tr w:rsidR="00DD4808" w:rsidRPr="00203668" w14:paraId="74B633B3" w14:textId="77777777" w:rsidTr="002F26D3">
        <w:trPr>
          <w:trHeight w:val="318"/>
        </w:trPr>
        <w:tc>
          <w:tcPr>
            <w:tcW w:w="1623" w:type="dxa"/>
            <w:vAlign w:val="center"/>
          </w:tcPr>
          <w:p w14:paraId="5F82FD7A"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13</w:t>
            </w:r>
            <w:r w:rsidRPr="00272683">
              <w:rPr>
                <w:b/>
                <w:sz w:val="24"/>
                <w:szCs w:val="24"/>
              </w:rPr>
              <w:t>, T</w:t>
            </w:r>
            <w:r w:rsidRPr="00272683">
              <w:rPr>
                <w:b/>
                <w:sz w:val="24"/>
                <w:szCs w:val="24"/>
                <w:vertAlign w:val="subscript"/>
              </w:rPr>
              <w:t>14</w:t>
            </w:r>
            <w:r w:rsidRPr="00272683">
              <w:rPr>
                <w:b/>
                <w:sz w:val="24"/>
                <w:szCs w:val="24"/>
              </w:rPr>
              <w:t>,T</w:t>
            </w:r>
            <w:r w:rsidRPr="00272683">
              <w:rPr>
                <w:b/>
                <w:sz w:val="24"/>
                <w:szCs w:val="24"/>
                <w:vertAlign w:val="subscript"/>
              </w:rPr>
              <w:t>15</w:t>
            </w:r>
          </w:p>
        </w:tc>
        <w:tc>
          <w:tcPr>
            <w:tcW w:w="3420" w:type="dxa"/>
            <w:vAlign w:val="center"/>
          </w:tcPr>
          <w:p w14:paraId="3F432B61" w14:textId="77777777" w:rsidR="00DD4808" w:rsidRPr="00272683" w:rsidRDefault="00DD4808" w:rsidP="002F26D3">
            <w:pPr>
              <w:pStyle w:val="TableParagraph"/>
              <w:spacing w:line="312" w:lineRule="auto"/>
              <w:ind w:left="79"/>
              <w:rPr>
                <w:sz w:val="24"/>
                <w:szCs w:val="24"/>
              </w:rPr>
            </w:pPr>
            <w:bookmarkStart w:id="11" w:name="_Hlk165365665"/>
            <w:r w:rsidRPr="00272683">
              <w:rPr>
                <w:sz w:val="24"/>
                <w:szCs w:val="24"/>
              </w:rPr>
              <w:t>Propiconazole</w:t>
            </w:r>
            <w:bookmarkEnd w:id="11"/>
            <w:r w:rsidRPr="00272683">
              <w:rPr>
                <w:sz w:val="24"/>
                <w:szCs w:val="24"/>
              </w:rPr>
              <w:t xml:space="preserve"> 25 EC</w:t>
            </w:r>
          </w:p>
        </w:tc>
        <w:tc>
          <w:tcPr>
            <w:tcW w:w="1074" w:type="dxa"/>
            <w:vAlign w:val="center"/>
          </w:tcPr>
          <w:p w14:paraId="0EE3FDF6" w14:textId="77777777" w:rsidR="00DD4808" w:rsidRPr="00272683" w:rsidRDefault="00DD4808" w:rsidP="002F26D3">
            <w:pPr>
              <w:pStyle w:val="TableParagraph"/>
              <w:spacing w:line="312" w:lineRule="auto"/>
              <w:ind w:left="80"/>
              <w:jc w:val="center"/>
              <w:rPr>
                <w:sz w:val="24"/>
                <w:szCs w:val="24"/>
              </w:rPr>
            </w:pPr>
            <w:r w:rsidRPr="00272683">
              <w:rPr>
                <w:sz w:val="24"/>
                <w:szCs w:val="24"/>
              </w:rPr>
              <w:t>3.89</w:t>
            </w:r>
          </w:p>
          <w:p w14:paraId="5B92720D" w14:textId="77777777" w:rsidR="00DD4808" w:rsidRPr="00272683" w:rsidRDefault="00DD4808" w:rsidP="002F26D3">
            <w:pPr>
              <w:pStyle w:val="TableParagraph"/>
              <w:spacing w:line="312" w:lineRule="auto"/>
              <w:ind w:left="80"/>
              <w:jc w:val="center"/>
              <w:rPr>
                <w:sz w:val="24"/>
                <w:szCs w:val="24"/>
              </w:rPr>
            </w:pPr>
            <w:r w:rsidRPr="00272683">
              <w:rPr>
                <w:sz w:val="24"/>
                <w:szCs w:val="24"/>
              </w:rPr>
              <w:t>(14.67)</w:t>
            </w:r>
            <w:r w:rsidRPr="00272683">
              <w:rPr>
                <w:sz w:val="24"/>
                <w:szCs w:val="24"/>
                <w:vertAlign w:val="superscript"/>
              </w:rPr>
              <w:t>e</w:t>
            </w:r>
          </w:p>
        </w:tc>
        <w:tc>
          <w:tcPr>
            <w:tcW w:w="1170" w:type="dxa"/>
            <w:vAlign w:val="center"/>
          </w:tcPr>
          <w:p w14:paraId="1C2E3298" w14:textId="77777777" w:rsidR="00DD4808" w:rsidRPr="00272683" w:rsidRDefault="00DD4808" w:rsidP="002F26D3">
            <w:pPr>
              <w:pStyle w:val="TableParagraph"/>
              <w:spacing w:line="312" w:lineRule="auto"/>
              <w:ind w:left="76"/>
              <w:jc w:val="center"/>
              <w:rPr>
                <w:sz w:val="24"/>
                <w:szCs w:val="24"/>
              </w:rPr>
            </w:pPr>
            <w:r w:rsidRPr="00272683">
              <w:rPr>
                <w:sz w:val="24"/>
                <w:szCs w:val="24"/>
              </w:rPr>
              <w:t>3.76</w:t>
            </w:r>
          </w:p>
          <w:p w14:paraId="3357AAD7" w14:textId="77777777" w:rsidR="00DD4808" w:rsidRPr="00272683" w:rsidRDefault="00DD4808" w:rsidP="002F26D3">
            <w:pPr>
              <w:pStyle w:val="TableParagraph"/>
              <w:spacing w:line="312" w:lineRule="auto"/>
              <w:ind w:left="76"/>
              <w:jc w:val="center"/>
              <w:rPr>
                <w:sz w:val="24"/>
                <w:szCs w:val="24"/>
              </w:rPr>
            </w:pPr>
            <w:r w:rsidRPr="00272683">
              <w:rPr>
                <w:sz w:val="24"/>
                <w:szCs w:val="24"/>
              </w:rPr>
              <w:t>(13.67)</w:t>
            </w:r>
            <w:r w:rsidRPr="00272683">
              <w:rPr>
                <w:sz w:val="24"/>
                <w:szCs w:val="24"/>
                <w:vertAlign w:val="superscript"/>
              </w:rPr>
              <w:t>e</w:t>
            </w:r>
          </w:p>
        </w:tc>
        <w:tc>
          <w:tcPr>
            <w:tcW w:w="1170" w:type="dxa"/>
            <w:vAlign w:val="center"/>
          </w:tcPr>
          <w:p w14:paraId="4541C7BB" w14:textId="77777777" w:rsidR="00DD4808" w:rsidRPr="00272683" w:rsidRDefault="00DD4808" w:rsidP="002F26D3">
            <w:pPr>
              <w:pStyle w:val="TableParagraph"/>
              <w:spacing w:line="312" w:lineRule="auto"/>
              <w:ind w:left="76"/>
              <w:jc w:val="center"/>
              <w:rPr>
                <w:sz w:val="24"/>
                <w:szCs w:val="24"/>
              </w:rPr>
            </w:pPr>
            <w:r w:rsidRPr="00272683">
              <w:rPr>
                <w:sz w:val="24"/>
                <w:szCs w:val="24"/>
              </w:rPr>
              <w:t>3.28</w:t>
            </w:r>
          </w:p>
          <w:p w14:paraId="079831AB" w14:textId="77777777" w:rsidR="00DD4808" w:rsidRPr="00272683" w:rsidRDefault="00DD4808" w:rsidP="002F26D3">
            <w:pPr>
              <w:pStyle w:val="TableParagraph"/>
              <w:spacing w:line="312" w:lineRule="auto"/>
              <w:ind w:left="76"/>
              <w:jc w:val="center"/>
              <w:rPr>
                <w:sz w:val="24"/>
                <w:szCs w:val="24"/>
              </w:rPr>
            </w:pPr>
            <w:r w:rsidRPr="00272683">
              <w:rPr>
                <w:sz w:val="24"/>
                <w:szCs w:val="24"/>
              </w:rPr>
              <w:t>(10.27)</w:t>
            </w:r>
            <w:r w:rsidRPr="00272683">
              <w:rPr>
                <w:sz w:val="24"/>
                <w:szCs w:val="24"/>
                <w:vertAlign w:val="superscript"/>
              </w:rPr>
              <w:t>de</w:t>
            </w:r>
          </w:p>
        </w:tc>
      </w:tr>
      <w:tr w:rsidR="00DD4808" w:rsidRPr="00203668" w14:paraId="42531204" w14:textId="77777777" w:rsidTr="002F26D3">
        <w:trPr>
          <w:trHeight w:val="314"/>
        </w:trPr>
        <w:tc>
          <w:tcPr>
            <w:tcW w:w="1623" w:type="dxa"/>
            <w:vAlign w:val="center"/>
          </w:tcPr>
          <w:p w14:paraId="0CEA5E47"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16</w:t>
            </w:r>
            <w:r w:rsidRPr="00272683">
              <w:rPr>
                <w:b/>
                <w:sz w:val="24"/>
                <w:szCs w:val="24"/>
              </w:rPr>
              <w:t>,T</w:t>
            </w:r>
            <w:r w:rsidRPr="00272683">
              <w:rPr>
                <w:b/>
                <w:sz w:val="24"/>
                <w:szCs w:val="24"/>
                <w:vertAlign w:val="subscript"/>
              </w:rPr>
              <w:t>17</w:t>
            </w:r>
            <w:r w:rsidRPr="00272683">
              <w:rPr>
                <w:b/>
                <w:sz w:val="24"/>
                <w:szCs w:val="24"/>
              </w:rPr>
              <w:t>, T</w:t>
            </w:r>
            <w:r w:rsidRPr="00272683">
              <w:rPr>
                <w:b/>
                <w:sz w:val="24"/>
                <w:szCs w:val="24"/>
                <w:vertAlign w:val="subscript"/>
              </w:rPr>
              <w:t>18</w:t>
            </w:r>
          </w:p>
        </w:tc>
        <w:tc>
          <w:tcPr>
            <w:tcW w:w="3420" w:type="dxa"/>
            <w:vAlign w:val="center"/>
          </w:tcPr>
          <w:p w14:paraId="162F9433" w14:textId="77777777" w:rsidR="00DD4808" w:rsidRPr="00272683" w:rsidRDefault="00DD4808" w:rsidP="002F26D3">
            <w:pPr>
              <w:pStyle w:val="TableParagraph"/>
              <w:spacing w:line="312" w:lineRule="auto"/>
              <w:ind w:left="79"/>
              <w:rPr>
                <w:sz w:val="24"/>
                <w:szCs w:val="24"/>
              </w:rPr>
            </w:pPr>
            <w:bookmarkStart w:id="12" w:name="_Hlk165377500"/>
            <w:bookmarkStart w:id="13" w:name="_Hlk165369384"/>
            <w:r w:rsidRPr="00272683">
              <w:rPr>
                <w:sz w:val="24"/>
                <w:szCs w:val="24"/>
              </w:rPr>
              <w:t>Sulphur</w:t>
            </w:r>
            <w:bookmarkEnd w:id="12"/>
            <w:r w:rsidRPr="00272683">
              <w:rPr>
                <w:sz w:val="24"/>
                <w:szCs w:val="24"/>
              </w:rPr>
              <w:t xml:space="preserve"> </w:t>
            </w:r>
            <w:bookmarkEnd w:id="13"/>
            <w:r w:rsidRPr="00272683">
              <w:rPr>
                <w:sz w:val="24"/>
                <w:szCs w:val="24"/>
              </w:rPr>
              <w:t>80 WP</w:t>
            </w:r>
          </w:p>
        </w:tc>
        <w:tc>
          <w:tcPr>
            <w:tcW w:w="1074" w:type="dxa"/>
            <w:vAlign w:val="center"/>
          </w:tcPr>
          <w:p w14:paraId="3A552A2A" w14:textId="77777777" w:rsidR="00DD4808" w:rsidRPr="00272683" w:rsidRDefault="00DD4808" w:rsidP="002F26D3">
            <w:pPr>
              <w:pStyle w:val="TableParagraph"/>
              <w:spacing w:line="312" w:lineRule="auto"/>
              <w:ind w:left="80"/>
              <w:jc w:val="center"/>
              <w:rPr>
                <w:sz w:val="24"/>
                <w:szCs w:val="24"/>
              </w:rPr>
            </w:pPr>
            <w:r w:rsidRPr="00272683">
              <w:rPr>
                <w:sz w:val="24"/>
                <w:szCs w:val="24"/>
              </w:rPr>
              <w:t>6.31</w:t>
            </w:r>
          </w:p>
          <w:p w14:paraId="703F6B97" w14:textId="77777777" w:rsidR="00DD4808" w:rsidRPr="00272683" w:rsidRDefault="00DD4808" w:rsidP="002F26D3">
            <w:pPr>
              <w:pStyle w:val="TableParagraph"/>
              <w:spacing w:line="312" w:lineRule="auto"/>
              <w:ind w:left="80"/>
              <w:jc w:val="center"/>
              <w:rPr>
                <w:sz w:val="24"/>
                <w:szCs w:val="24"/>
              </w:rPr>
            </w:pPr>
            <w:r w:rsidRPr="00272683">
              <w:rPr>
                <w:sz w:val="24"/>
                <w:szCs w:val="24"/>
              </w:rPr>
              <w:t>(39.33)</w:t>
            </w:r>
            <w:r w:rsidRPr="00272683">
              <w:rPr>
                <w:sz w:val="24"/>
                <w:szCs w:val="24"/>
                <w:vertAlign w:val="superscript"/>
              </w:rPr>
              <w:t>h</w:t>
            </w:r>
          </w:p>
        </w:tc>
        <w:tc>
          <w:tcPr>
            <w:tcW w:w="1170" w:type="dxa"/>
            <w:vAlign w:val="center"/>
          </w:tcPr>
          <w:p w14:paraId="4C0F73FE" w14:textId="77777777" w:rsidR="00DD4808" w:rsidRPr="00272683" w:rsidRDefault="00DD4808" w:rsidP="002F26D3">
            <w:pPr>
              <w:pStyle w:val="TableParagraph"/>
              <w:spacing w:line="312" w:lineRule="auto"/>
              <w:ind w:left="76"/>
              <w:jc w:val="center"/>
              <w:rPr>
                <w:sz w:val="24"/>
                <w:szCs w:val="24"/>
              </w:rPr>
            </w:pPr>
            <w:r w:rsidRPr="00272683">
              <w:rPr>
                <w:sz w:val="24"/>
                <w:szCs w:val="24"/>
              </w:rPr>
              <w:t>6.28</w:t>
            </w:r>
          </w:p>
          <w:p w14:paraId="07E1C619" w14:textId="77777777" w:rsidR="00DD4808" w:rsidRPr="00272683" w:rsidRDefault="00DD4808" w:rsidP="002F26D3">
            <w:pPr>
              <w:pStyle w:val="TableParagraph"/>
              <w:spacing w:line="312" w:lineRule="auto"/>
              <w:ind w:left="76"/>
              <w:jc w:val="center"/>
              <w:rPr>
                <w:sz w:val="24"/>
                <w:szCs w:val="24"/>
              </w:rPr>
            </w:pPr>
            <w:r w:rsidRPr="00272683">
              <w:rPr>
                <w:sz w:val="24"/>
                <w:szCs w:val="24"/>
              </w:rPr>
              <w:t>(39.00)</w:t>
            </w:r>
            <w:proofErr w:type="spellStart"/>
            <w:r w:rsidRPr="00272683">
              <w:rPr>
                <w:sz w:val="24"/>
                <w:szCs w:val="24"/>
                <w:vertAlign w:val="superscript"/>
              </w:rPr>
              <w:t>gh</w:t>
            </w:r>
            <w:proofErr w:type="spellEnd"/>
          </w:p>
        </w:tc>
        <w:tc>
          <w:tcPr>
            <w:tcW w:w="1170" w:type="dxa"/>
            <w:vAlign w:val="center"/>
          </w:tcPr>
          <w:p w14:paraId="7B7952FE" w14:textId="77777777" w:rsidR="00DD4808" w:rsidRPr="00272683" w:rsidRDefault="00DD4808" w:rsidP="002F26D3">
            <w:pPr>
              <w:pStyle w:val="TableParagraph"/>
              <w:spacing w:line="312" w:lineRule="auto"/>
              <w:ind w:left="76"/>
              <w:jc w:val="center"/>
              <w:rPr>
                <w:sz w:val="24"/>
                <w:szCs w:val="24"/>
              </w:rPr>
            </w:pPr>
            <w:r w:rsidRPr="00272683">
              <w:rPr>
                <w:sz w:val="24"/>
                <w:szCs w:val="24"/>
              </w:rPr>
              <w:t>5.76</w:t>
            </w:r>
          </w:p>
          <w:p w14:paraId="7871D707" w14:textId="77777777" w:rsidR="00DD4808" w:rsidRPr="00272683" w:rsidRDefault="00DD4808" w:rsidP="002F26D3">
            <w:pPr>
              <w:pStyle w:val="TableParagraph"/>
              <w:spacing w:line="312" w:lineRule="auto"/>
              <w:ind w:left="76"/>
              <w:jc w:val="center"/>
              <w:rPr>
                <w:sz w:val="24"/>
                <w:szCs w:val="24"/>
              </w:rPr>
            </w:pPr>
            <w:r w:rsidRPr="00272683">
              <w:rPr>
                <w:sz w:val="24"/>
                <w:szCs w:val="24"/>
              </w:rPr>
              <w:t>(32.67)</w:t>
            </w:r>
            <w:r w:rsidRPr="00272683">
              <w:rPr>
                <w:sz w:val="24"/>
                <w:szCs w:val="24"/>
                <w:vertAlign w:val="superscript"/>
              </w:rPr>
              <w:t>h</w:t>
            </w:r>
          </w:p>
        </w:tc>
      </w:tr>
      <w:tr w:rsidR="00DD4808" w:rsidRPr="00203668" w14:paraId="7460B809" w14:textId="77777777" w:rsidTr="002F26D3">
        <w:trPr>
          <w:trHeight w:val="316"/>
        </w:trPr>
        <w:tc>
          <w:tcPr>
            <w:tcW w:w="1623" w:type="dxa"/>
            <w:vAlign w:val="center"/>
          </w:tcPr>
          <w:p w14:paraId="07E701A4"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19</w:t>
            </w:r>
            <w:r w:rsidRPr="00272683">
              <w:rPr>
                <w:b/>
                <w:sz w:val="24"/>
                <w:szCs w:val="24"/>
              </w:rPr>
              <w:t>,T</w:t>
            </w:r>
            <w:r w:rsidRPr="00272683">
              <w:rPr>
                <w:b/>
                <w:sz w:val="24"/>
                <w:szCs w:val="24"/>
                <w:vertAlign w:val="subscript"/>
              </w:rPr>
              <w:t>20</w:t>
            </w:r>
            <w:r w:rsidRPr="00272683">
              <w:rPr>
                <w:b/>
                <w:sz w:val="24"/>
                <w:szCs w:val="24"/>
              </w:rPr>
              <w:t>, T</w:t>
            </w:r>
            <w:r w:rsidRPr="00272683">
              <w:rPr>
                <w:b/>
                <w:sz w:val="24"/>
                <w:szCs w:val="24"/>
                <w:vertAlign w:val="subscript"/>
              </w:rPr>
              <w:t>21</w:t>
            </w:r>
          </w:p>
        </w:tc>
        <w:tc>
          <w:tcPr>
            <w:tcW w:w="3420" w:type="dxa"/>
            <w:vAlign w:val="center"/>
          </w:tcPr>
          <w:p w14:paraId="4436B06B" w14:textId="77777777" w:rsidR="00DD4808" w:rsidRPr="00272683" w:rsidRDefault="00DD4808" w:rsidP="002F26D3">
            <w:pPr>
              <w:pStyle w:val="TableParagraph"/>
              <w:spacing w:line="312" w:lineRule="auto"/>
              <w:ind w:left="79"/>
              <w:rPr>
                <w:sz w:val="24"/>
                <w:szCs w:val="24"/>
              </w:rPr>
            </w:pPr>
            <w:bookmarkStart w:id="14" w:name="_Hlk165365682"/>
            <w:r w:rsidRPr="00272683">
              <w:rPr>
                <w:sz w:val="24"/>
                <w:szCs w:val="24"/>
              </w:rPr>
              <w:t xml:space="preserve">Carbendazim 12% + Mancozeb 63% </w:t>
            </w:r>
            <w:bookmarkEnd w:id="14"/>
            <w:r w:rsidRPr="00272683">
              <w:rPr>
                <w:sz w:val="24"/>
                <w:szCs w:val="24"/>
              </w:rPr>
              <w:t>WP</w:t>
            </w:r>
          </w:p>
        </w:tc>
        <w:tc>
          <w:tcPr>
            <w:tcW w:w="1074" w:type="dxa"/>
            <w:vAlign w:val="center"/>
          </w:tcPr>
          <w:p w14:paraId="011AC96C" w14:textId="77777777" w:rsidR="00DD4808" w:rsidRPr="00272683" w:rsidRDefault="00DD4808" w:rsidP="002F26D3">
            <w:pPr>
              <w:pStyle w:val="TableParagraph"/>
              <w:spacing w:line="312" w:lineRule="auto"/>
              <w:ind w:left="80"/>
              <w:jc w:val="center"/>
              <w:rPr>
                <w:sz w:val="24"/>
                <w:szCs w:val="24"/>
              </w:rPr>
            </w:pPr>
            <w:r w:rsidRPr="00272683">
              <w:rPr>
                <w:sz w:val="24"/>
                <w:szCs w:val="24"/>
              </w:rPr>
              <w:t>4.78</w:t>
            </w:r>
          </w:p>
          <w:p w14:paraId="7BADF1D2" w14:textId="77777777" w:rsidR="00DD4808" w:rsidRPr="00272683" w:rsidRDefault="00DD4808" w:rsidP="002F26D3">
            <w:pPr>
              <w:pStyle w:val="TableParagraph"/>
              <w:spacing w:line="312" w:lineRule="auto"/>
              <w:ind w:left="80"/>
              <w:jc w:val="center"/>
              <w:rPr>
                <w:sz w:val="24"/>
                <w:szCs w:val="24"/>
              </w:rPr>
            </w:pPr>
            <w:r w:rsidRPr="00272683">
              <w:rPr>
                <w:sz w:val="24"/>
                <w:szCs w:val="24"/>
              </w:rPr>
              <w:t>(22.33)</w:t>
            </w:r>
            <w:r w:rsidRPr="00272683">
              <w:rPr>
                <w:sz w:val="24"/>
                <w:szCs w:val="24"/>
                <w:vertAlign w:val="superscript"/>
              </w:rPr>
              <w:t>f</w:t>
            </w:r>
          </w:p>
        </w:tc>
        <w:tc>
          <w:tcPr>
            <w:tcW w:w="1170" w:type="dxa"/>
            <w:vAlign w:val="center"/>
          </w:tcPr>
          <w:p w14:paraId="5B231154" w14:textId="77777777" w:rsidR="00DD4808" w:rsidRPr="00272683" w:rsidRDefault="00DD4808" w:rsidP="002F26D3">
            <w:pPr>
              <w:pStyle w:val="TableParagraph"/>
              <w:spacing w:line="312" w:lineRule="auto"/>
              <w:ind w:left="76"/>
              <w:jc w:val="center"/>
              <w:rPr>
                <w:sz w:val="24"/>
                <w:szCs w:val="24"/>
              </w:rPr>
            </w:pPr>
            <w:r w:rsidRPr="00272683">
              <w:rPr>
                <w:sz w:val="24"/>
                <w:szCs w:val="24"/>
              </w:rPr>
              <w:t>3.57</w:t>
            </w:r>
          </w:p>
          <w:p w14:paraId="6B5CBBA0" w14:textId="77777777" w:rsidR="00DD4808" w:rsidRPr="00272683" w:rsidRDefault="00DD4808" w:rsidP="002F26D3">
            <w:pPr>
              <w:pStyle w:val="TableParagraph"/>
              <w:spacing w:line="312" w:lineRule="auto"/>
              <w:ind w:left="76"/>
              <w:jc w:val="center"/>
              <w:rPr>
                <w:sz w:val="24"/>
                <w:szCs w:val="24"/>
              </w:rPr>
            </w:pPr>
            <w:r w:rsidRPr="00272683">
              <w:rPr>
                <w:sz w:val="24"/>
                <w:szCs w:val="24"/>
              </w:rPr>
              <w:t>(12.33)</w:t>
            </w:r>
            <w:r w:rsidRPr="00272683">
              <w:rPr>
                <w:sz w:val="24"/>
                <w:szCs w:val="24"/>
                <w:vertAlign w:val="superscript"/>
              </w:rPr>
              <w:t>cd</w:t>
            </w:r>
          </w:p>
        </w:tc>
        <w:tc>
          <w:tcPr>
            <w:tcW w:w="1170" w:type="dxa"/>
            <w:vAlign w:val="center"/>
          </w:tcPr>
          <w:p w14:paraId="5F96C97B" w14:textId="77777777" w:rsidR="00DD4808" w:rsidRPr="00272683" w:rsidRDefault="00DD4808" w:rsidP="002F26D3">
            <w:pPr>
              <w:pStyle w:val="TableParagraph"/>
              <w:spacing w:line="312" w:lineRule="auto"/>
              <w:ind w:left="76"/>
              <w:jc w:val="center"/>
              <w:rPr>
                <w:sz w:val="24"/>
                <w:szCs w:val="24"/>
              </w:rPr>
            </w:pPr>
            <w:r w:rsidRPr="00272683">
              <w:rPr>
                <w:sz w:val="24"/>
                <w:szCs w:val="24"/>
              </w:rPr>
              <w:t>2.86</w:t>
            </w:r>
          </w:p>
          <w:p w14:paraId="36BC644D" w14:textId="77777777" w:rsidR="00DD4808" w:rsidRPr="00272683" w:rsidRDefault="00DD4808" w:rsidP="002F26D3">
            <w:pPr>
              <w:pStyle w:val="TableParagraph"/>
              <w:spacing w:line="312" w:lineRule="auto"/>
              <w:ind w:left="76"/>
              <w:jc w:val="center"/>
              <w:rPr>
                <w:sz w:val="24"/>
                <w:szCs w:val="24"/>
              </w:rPr>
            </w:pPr>
            <w:r w:rsidRPr="00272683">
              <w:rPr>
                <w:sz w:val="24"/>
                <w:szCs w:val="24"/>
              </w:rPr>
              <w:t>(7.67)</w:t>
            </w:r>
            <w:r w:rsidRPr="00272683">
              <w:rPr>
                <w:sz w:val="24"/>
                <w:szCs w:val="24"/>
                <w:vertAlign w:val="superscript"/>
              </w:rPr>
              <w:t>c</w:t>
            </w:r>
          </w:p>
        </w:tc>
      </w:tr>
      <w:tr w:rsidR="00DD4808" w:rsidRPr="00203668" w14:paraId="40FBCF29" w14:textId="77777777" w:rsidTr="002F26D3">
        <w:trPr>
          <w:trHeight w:val="319"/>
        </w:trPr>
        <w:tc>
          <w:tcPr>
            <w:tcW w:w="1623" w:type="dxa"/>
            <w:vAlign w:val="center"/>
          </w:tcPr>
          <w:p w14:paraId="3D8117D9"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22</w:t>
            </w:r>
            <w:r w:rsidRPr="00272683">
              <w:rPr>
                <w:b/>
                <w:sz w:val="24"/>
                <w:szCs w:val="24"/>
              </w:rPr>
              <w:t>,T</w:t>
            </w:r>
            <w:r w:rsidRPr="00272683">
              <w:rPr>
                <w:b/>
                <w:sz w:val="24"/>
                <w:szCs w:val="24"/>
                <w:vertAlign w:val="subscript"/>
              </w:rPr>
              <w:t>23</w:t>
            </w:r>
            <w:r w:rsidRPr="00272683">
              <w:rPr>
                <w:b/>
                <w:sz w:val="24"/>
                <w:szCs w:val="24"/>
              </w:rPr>
              <w:t>, T</w:t>
            </w:r>
            <w:r w:rsidRPr="00272683">
              <w:rPr>
                <w:b/>
                <w:sz w:val="24"/>
                <w:szCs w:val="24"/>
                <w:vertAlign w:val="subscript"/>
              </w:rPr>
              <w:t>24</w:t>
            </w:r>
          </w:p>
        </w:tc>
        <w:tc>
          <w:tcPr>
            <w:tcW w:w="3420" w:type="dxa"/>
            <w:vAlign w:val="center"/>
          </w:tcPr>
          <w:p w14:paraId="1C7CACF0" w14:textId="77777777" w:rsidR="00DD4808" w:rsidRPr="00272683" w:rsidRDefault="00DD4808" w:rsidP="002F26D3">
            <w:pPr>
              <w:pStyle w:val="TableParagraph"/>
              <w:spacing w:line="312" w:lineRule="auto"/>
              <w:ind w:left="79"/>
              <w:rPr>
                <w:sz w:val="24"/>
                <w:szCs w:val="24"/>
              </w:rPr>
            </w:pPr>
            <w:bookmarkStart w:id="15" w:name="_Hlk165377483"/>
            <w:r w:rsidRPr="00272683">
              <w:rPr>
                <w:sz w:val="24"/>
                <w:szCs w:val="24"/>
              </w:rPr>
              <w:t xml:space="preserve">Tebuconazole 50% + </w:t>
            </w:r>
            <w:proofErr w:type="spellStart"/>
            <w:r w:rsidRPr="00272683">
              <w:rPr>
                <w:sz w:val="24"/>
                <w:szCs w:val="24"/>
              </w:rPr>
              <w:t>Trifloxystrobin</w:t>
            </w:r>
            <w:proofErr w:type="spellEnd"/>
            <w:r w:rsidRPr="00272683">
              <w:rPr>
                <w:sz w:val="24"/>
                <w:szCs w:val="24"/>
              </w:rPr>
              <w:t xml:space="preserve"> 25% </w:t>
            </w:r>
            <w:bookmarkEnd w:id="15"/>
            <w:r w:rsidRPr="00272683">
              <w:rPr>
                <w:sz w:val="24"/>
                <w:szCs w:val="24"/>
              </w:rPr>
              <w:t>WG</w:t>
            </w:r>
          </w:p>
        </w:tc>
        <w:tc>
          <w:tcPr>
            <w:tcW w:w="1074" w:type="dxa"/>
            <w:vAlign w:val="center"/>
          </w:tcPr>
          <w:p w14:paraId="76032323" w14:textId="77777777" w:rsidR="00DD4808" w:rsidRPr="00272683" w:rsidRDefault="00DD4808" w:rsidP="002F26D3">
            <w:pPr>
              <w:pStyle w:val="TableParagraph"/>
              <w:spacing w:line="312" w:lineRule="auto"/>
              <w:ind w:left="80"/>
              <w:jc w:val="center"/>
              <w:rPr>
                <w:sz w:val="24"/>
                <w:szCs w:val="24"/>
              </w:rPr>
            </w:pPr>
            <w:r w:rsidRPr="00272683">
              <w:rPr>
                <w:sz w:val="24"/>
                <w:szCs w:val="24"/>
              </w:rPr>
              <w:t>2.48</w:t>
            </w:r>
          </w:p>
          <w:p w14:paraId="7167FF81" w14:textId="77777777" w:rsidR="00DD4808" w:rsidRPr="00272683" w:rsidRDefault="00DD4808" w:rsidP="002F26D3">
            <w:pPr>
              <w:pStyle w:val="TableParagraph"/>
              <w:spacing w:line="312" w:lineRule="auto"/>
              <w:ind w:left="80"/>
              <w:jc w:val="center"/>
              <w:rPr>
                <w:sz w:val="24"/>
                <w:szCs w:val="24"/>
              </w:rPr>
            </w:pPr>
            <w:r w:rsidRPr="00272683">
              <w:rPr>
                <w:sz w:val="24"/>
                <w:szCs w:val="24"/>
              </w:rPr>
              <w:t>(5.67)</w:t>
            </w:r>
            <w:r w:rsidRPr="00272683">
              <w:rPr>
                <w:sz w:val="24"/>
                <w:szCs w:val="24"/>
                <w:vertAlign w:val="superscript"/>
              </w:rPr>
              <w:t>b</w:t>
            </w:r>
          </w:p>
        </w:tc>
        <w:tc>
          <w:tcPr>
            <w:tcW w:w="1170" w:type="dxa"/>
            <w:vAlign w:val="center"/>
          </w:tcPr>
          <w:p w14:paraId="3DC1F991" w14:textId="77777777" w:rsidR="00DD4808" w:rsidRPr="00272683" w:rsidRDefault="00DD4808" w:rsidP="002F26D3">
            <w:pPr>
              <w:pStyle w:val="TableParagraph"/>
              <w:spacing w:line="312" w:lineRule="auto"/>
              <w:ind w:left="76"/>
              <w:jc w:val="center"/>
              <w:rPr>
                <w:sz w:val="24"/>
                <w:szCs w:val="24"/>
              </w:rPr>
            </w:pPr>
            <w:r w:rsidRPr="00272683">
              <w:rPr>
                <w:sz w:val="24"/>
                <w:szCs w:val="24"/>
              </w:rPr>
              <w:t>2.20</w:t>
            </w:r>
          </w:p>
          <w:p w14:paraId="558FF356" w14:textId="77777777" w:rsidR="00DD4808" w:rsidRPr="00272683" w:rsidRDefault="00DD4808" w:rsidP="002F26D3">
            <w:pPr>
              <w:pStyle w:val="TableParagraph"/>
              <w:spacing w:line="312" w:lineRule="auto"/>
              <w:ind w:left="76"/>
              <w:jc w:val="center"/>
              <w:rPr>
                <w:sz w:val="24"/>
                <w:szCs w:val="24"/>
              </w:rPr>
            </w:pPr>
            <w:r w:rsidRPr="00272683">
              <w:rPr>
                <w:sz w:val="24"/>
                <w:szCs w:val="24"/>
              </w:rPr>
              <w:t>(4.33)</w:t>
            </w:r>
            <w:r w:rsidRPr="00272683">
              <w:rPr>
                <w:sz w:val="24"/>
                <w:szCs w:val="24"/>
                <w:vertAlign w:val="superscript"/>
              </w:rPr>
              <w:t>b</w:t>
            </w:r>
          </w:p>
        </w:tc>
        <w:tc>
          <w:tcPr>
            <w:tcW w:w="1170" w:type="dxa"/>
            <w:vAlign w:val="center"/>
          </w:tcPr>
          <w:p w14:paraId="0E7704E9" w14:textId="77777777" w:rsidR="00DD4808" w:rsidRPr="00272683" w:rsidRDefault="00DD4808" w:rsidP="002F26D3">
            <w:pPr>
              <w:pStyle w:val="TableParagraph"/>
              <w:spacing w:line="312" w:lineRule="auto"/>
              <w:ind w:left="76"/>
              <w:jc w:val="center"/>
              <w:rPr>
                <w:sz w:val="24"/>
                <w:szCs w:val="24"/>
              </w:rPr>
            </w:pPr>
            <w:r w:rsidRPr="00272683">
              <w:rPr>
                <w:sz w:val="24"/>
                <w:szCs w:val="24"/>
              </w:rPr>
              <w:t>1.82</w:t>
            </w:r>
          </w:p>
          <w:p w14:paraId="070409E2" w14:textId="77777777" w:rsidR="00DD4808" w:rsidRPr="00272683" w:rsidRDefault="00DD4808" w:rsidP="002F26D3">
            <w:pPr>
              <w:pStyle w:val="TableParagraph"/>
              <w:spacing w:line="312" w:lineRule="auto"/>
              <w:ind w:left="76"/>
              <w:jc w:val="center"/>
              <w:rPr>
                <w:sz w:val="24"/>
                <w:szCs w:val="24"/>
              </w:rPr>
            </w:pPr>
            <w:r w:rsidRPr="00272683">
              <w:rPr>
                <w:sz w:val="24"/>
                <w:szCs w:val="24"/>
              </w:rPr>
              <w:t>(2.83)</w:t>
            </w:r>
            <w:r w:rsidRPr="00272683">
              <w:rPr>
                <w:sz w:val="24"/>
                <w:szCs w:val="24"/>
                <w:vertAlign w:val="superscript"/>
              </w:rPr>
              <w:t>b</w:t>
            </w:r>
          </w:p>
        </w:tc>
      </w:tr>
      <w:tr w:rsidR="00DD4808" w:rsidRPr="00203668" w14:paraId="312BF7D2" w14:textId="77777777" w:rsidTr="002F26D3">
        <w:trPr>
          <w:trHeight w:val="317"/>
        </w:trPr>
        <w:tc>
          <w:tcPr>
            <w:tcW w:w="1623" w:type="dxa"/>
            <w:vAlign w:val="center"/>
          </w:tcPr>
          <w:p w14:paraId="17472A3E"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25</w:t>
            </w:r>
            <w:r w:rsidRPr="00272683">
              <w:rPr>
                <w:b/>
                <w:sz w:val="24"/>
                <w:szCs w:val="24"/>
              </w:rPr>
              <w:t>,T</w:t>
            </w:r>
            <w:r w:rsidRPr="00272683">
              <w:rPr>
                <w:b/>
                <w:sz w:val="24"/>
                <w:szCs w:val="24"/>
                <w:vertAlign w:val="subscript"/>
              </w:rPr>
              <w:t>26</w:t>
            </w:r>
            <w:r w:rsidRPr="00272683">
              <w:rPr>
                <w:b/>
                <w:sz w:val="24"/>
                <w:szCs w:val="24"/>
              </w:rPr>
              <w:t>, T</w:t>
            </w:r>
            <w:r w:rsidRPr="00272683">
              <w:rPr>
                <w:b/>
                <w:sz w:val="24"/>
                <w:szCs w:val="24"/>
                <w:vertAlign w:val="subscript"/>
              </w:rPr>
              <w:t>27</w:t>
            </w:r>
          </w:p>
        </w:tc>
        <w:tc>
          <w:tcPr>
            <w:tcW w:w="3420" w:type="dxa"/>
            <w:vAlign w:val="center"/>
          </w:tcPr>
          <w:p w14:paraId="202C57E7" w14:textId="77777777" w:rsidR="00DD4808" w:rsidRPr="00272683" w:rsidRDefault="00DD4808" w:rsidP="002F26D3">
            <w:pPr>
              <w:pStyle w:val="TableParagraph"/>
              <w:spacing w:line="312" w:lineRule="auto"/>
              <w:ind w:left="79" w:right="-15"/>
              <w:rPr>
                <w:sz w:val="24"/>
                <w:szCs w:val="24"/>
              </w:rPr>
            </w:pPr>
            <w:bookmarkStart w:id="16" w:name="_Hlk165369435"/>
            <w:r w:rsidRPr="00272683">
              <w:rPr>
                <w:sz w:val="24"/>
                <w:szCs w:val="24"/>
              </w:rPr>
              <w:t xml:space="preserve">Azoxystrobin 18.2%+ </w:t>
            </w:r>
            <w:proofErr w:type="spellStart"/>
            <w:r w:rsidRPr="00272683">
              <w:rPr>
                <w:sz w:val="24"/>
                <w:szCs w:val="24"/>
              </w:rPr>
              <w:t>Difeonconazole</w:t>
            </w:r>
            <w:proofErr w:type="spellEnd"/>
            <w:r w:rsidRPr="00272683">
              <w:rPr>
                <w:sz w:val="24"/>
                <w:szCs w:val="24"/>
              </w:rPr>
              <w:t xml:space="preserve"> 11.4% </w:t>
            </w:r>
            <w:bookmarkEnd w:id="16"/>
            <w:r w:rsidRPr="00272683">
              <w:rPr>
                <w:sz w:val="24"/>
                <w:szCs w:val="24"/>
              </w:rPr>
              <w:t>SC</w:t>
            </w:r>
          </w:p>
        </w:tc>
        <w:tc>
          <w:tcPr>
            <w:tcW w:w="1074" w:type="dxa"/>
            <w:vAlign w:val="center"/>
          </w:tcPr>
          <w:p w14:paraId="6035086A" w14:textId="77777777" w:rsidR="00DD4808" w:rsidRPr="00272683" w:rsidRDefault="00DD4808" w:rsidP="002F26D3">
            <w:pPr>
              <w:pStyle w:val="TableParagraph"/>
              <w:spacing w:line="312" w:lineRule="auto"/>
              <w:ind w:left="80"/>
              <w:jc w:val="center"/>
              <w:rPr>
                <w:sz w:val="24"/>
                <w:szCs w:val="24"/>
              </w:rPr>
            </w:pPr>
            <w:r w:rsidRPr="00272683">
              <w:rPr>
                <w:sz w:val="24"/>
                <w:szCs w:val="24"/>
              </w:rPr>
              <w:t>3.34</w:t>
            </w:r>
          </w:p>
          <w:p w14:paraId="6D90BFFE" w14:textId="77777777" w:rsidR="00DD4808" w:rsidRPr="00272683" w:rsidRDefault="00DD4808" w:rsidP="002F26D3">
            <w:pPr>
              <w:pStyle w:val="TableParagraph"/>
              <w:spacing w:line="312" w:lineRule="auto"/>
              <w:ind w:left="80"/>
              <w:jc w:val="center"/>
              <w:rPr>
                <w:sz w:val="24"/>
                <w:szCs w:val="24"/>
              </w:rPr>
            </w:pPr>
            <w:r w:rsidRPr="00272683">
              <w:rPr>
                <w:sz w:val="24"/>
                <w:szCs w:val="24"/>
              </w:rPr>
              <w:t>(10.67)</w:t>
            </w:r>
            <w:r w:rsidRPr="00272683">
              <w:rPr>
                <w:sz w:val="24"/>
                <w:szCs w:val="24"/>
                <w:vertAlign w:val="superscript"/>
              </w:rPr>
              <w:t>c</w:t>
            </w:r>
          </w:p>
        </w:tc>
        <w:tc>
          <w:tcPr>
            <w:tcW w:w="1170" w:type="dxa"/>
            <w:vAlign w:val="center"/>
          </w:tcPr>
          <w:p w14:paraId="65226C48" w14:textId="77777777" w:rsidR="00DD4808" w:rsidRPr="00272683" w:rsidRDefault="00DD4808" w:rsidP="002F26D3">
            <w:pPr>
              <w:pStyle w:val="TableParagraph"/>
              <w:spacing w:line="312" w:lineRule="auto"/>
              <w:ind w:left="76"/>
              <w:jc w:val="center"/>
              <w:rPr>
                <w:sz w:val="24"/>
                <w:szCs w:val="24"/>
              </w:rPr>
            </w:pPr>
            <w:r w:rsidRPr="00272683">
              <w:rPr>
                <w:sz w:val="24"/>
                <w:szCs w:val="24"/>
              </w:rPr>
              <w:t>3.58</w:t>
            </w:r>
          </w:p>
          <w:p w14:paraId="74A0ED7B" w14:textId="77777777" w:rsidR="00DD4808" w:rsidRPr="00272683" w:rsidRDefault="00DD4808" w:rsidP="002F26D3">
            <w:pPr>
              <w:pStyle w:val="TableParagraph"/>
              <w:spacing w:line="312" w:lineRule="auto"/>
              <w:ind w:left="76"/>
              <w:jc w:val="center"/>
              <w:rPr>
                <w:sz w:val="24"/>
                <w:szCs w:val="24"/>
              </w:rPr>
            </w:pPr>
            <w:r w:rsidRPr="00272683">
              <w:rPr>
                <w:sz w:val="24"/>
                <w:szCs w:val="24"/>
              </w:rPr>
              <w:t>(12.33)</w:t>
            </w:r>
            <w:proofErr w:type="spellStart"/>
            <w:r w:rsidRPr="00272683">
              <w:rPr>
                <w:sz w:val="24"/>
                <w:szCs w:val="24"/>
                <w:vertAlign w:val="superscript"/>
              </w:rPr>
              <w:t>cde</w:t>
            </w:r>
            <w:proofErr w:type="spellEnd"/>
          </w:p>
        </w:tc>
        <w:tc>
          <w:tcPr>
            <w:tcW w:w="1170" w:type="dxa"/>
            <w:vAlign w:val="center"/>
          </w:tcPr>
          <w:p w14:paraId="5CC37407" w14:textId="77777777" w:rsidR="00DD4808" w:rsidRPr="00272683" w:rsidRDefault="00DD4808" w:rsidP="002F26D3">
            <w:pPr>
              <w:pStyle w:val="TableParagraph"/>
              <w:spacing w:line="312" w:lineRule="auto"/>
              <w:ind w:left="76"/>
              <w:jc w:val="center"/>
              <w:rPr>
                <w:sz w:val="24"/>
                <w:szCs w:val="24"/>
              </w:rPr>
            </w:pPr>
            <w:r w:rsidRPr="00272683">
              <w:rPr>
                <w:sz w:val="24"/>
                <w:szCs w:val="24"/>
              </w:rPr>
              <w:t>3.48</w:t>
            </w:r>
          </w:p>
          <w:p w14:paraId="5147238F" w14:textId="77777777" w:rsidR="00DD4808" w:rsidRPr="00272683" w:rsidRDefault="00DD4808" w:rsidP="002F26D3">
            <w:pPr>
              <w:pStyle w:val="TableParagraph"/>
              <w:spacing w:line="312" w:lineRule="auto"/>
              <w:ind w:left="76"/>
              <w:jc w:val="center"/>
              <w:rPr>
                <w:sz w:val="24"/>
                <w:szCs w:val="24"/>
              </w:rPr>
            </w:pPr>
            <w:r w:rsidRPr="00272683">
              <w:rPr>
                <w:sz w:val="24"/>
                <w:szCs w:val="24"/>
              </w:rPr>
              <w:t>(11.67)</w:t>
            </w:r>
            <w:r w:rsidRPr="00272683">
              <w:rPr>
                <w:sz w:val="24"/>
                <w:szCs w:val="24"/>
                <w:vertAlign w:val="superscript"/>
              </w:rPr>
              <w:t>f</w:t>
            </w:r>
          </w:p>
        </w:tc>
      </w:tr>
      <w:tr w:rsidR="00DD4808" w:rsidRPr="00203668" w14:paraId="5A7813D5" w14:textId="77777777" w:rsidTr="002F26D3">
        <w:trPr>
          <w:trHeight w:val="316"/>
        </w:trPr>
        <w:tc>
          <w:tcPr>
            <w:tcW w:w="1623" w:type="dxa"/>
            <w:vAlign w:val="center"/>
          </w:tcPr>
          <w:p w14:paraId="7ECF0914" w14:textId="77777777" w:rsidR="00DD4808" w:rsidRPr="00272683" w:rsidRDefault="00DD4808" w:rsidP="002F26D3">
            <w:pPr>
              <w:pStyle w:val="TableParagraph"/>
              <w:spacing w:line="312" w:lineRule="auto"/>
              <w:ind w:left="33" w:right="21"/>
              <w:jc w:val="center"/>
              <w:rPr>
                <w:sz w:val="24"/>
                <w:szCs w:val="24"/>
              </w:rPr>
            </w:pPr>
            <w:r w:rsidRPr="00272683">
              <w:rPr>
                <w:b/>
                <w:sz w:val="24"/>
                <w:szCs w:val="24"/>
              </w:rPr>
              <w:lastRenderedPageBreak/>
              <w:t>T</w:t>
            </w:r>
            <w:r w:rsidRPr="00272683">
              <w:rPr>
                <w:b/>
                <w:sz w:val="24"/>
                <w:szCs w:val="24"/>
                <w:vertAlign w:val="subscript"/>
              </w:rPr>
              <w:t>28</w:t>
            </w:r>
            <w:r w:rsidRPr="00272683">
              <w:rPr>
                <w:b/>
                <w:sz w:val="24"/>
                <w:szCs w:val="24"/>
              </w:rPr>
              <w:t>,T</w:t>
            </w:r>
            <w:r w:rsidRPr="00272683">
              <w:rPr>
                <w:b/>
                <w:sz w:val="24"/>
                <w:szCs w:val="24"/>
                <w:vertAlign w:val="subscript"/>
              </w:rPr>
              <w:t>29</w:t>
            </w:r>
            <w:r w:rsidRPr="00272683">
              <w:rPr>
                <w:b/>
                <w:sz w:val="24"/>
                <w:szCs w:val="24"/>
              </w:rPr>
              <w:t>, T</w:t>
            </w:r>
            <w:r w:rsidRPr="00272683">
              <w:rPr>
                <w:b/>
                <w:sz w:val="24"/>
                <w:szCs w:val="24"/>
                <w:vertAlign w:val="subscript"/>
              </w:rPr>
              <w:t>30</w:t>
            </w:r>
          </w:p>
        </w:tc>
        <w:tc>
          <w:tcPr>
            <w:tcW w:w="3420" w:type="dxa"/>
            <w:vAlign w:val="center"/>
          </w:tcPr>
          <w:p w14:paraId="679C43A4" w14:textId="77777777" w:rsidR="00DD4808" w:rsidRPr="00272683" w:rsidRDefault="00DD4808" w:rsidP="002F26D3">
            <w:pPr>
              <w:pStyle w:val="TableParagraph"/>
              <w:spacing w:line="312" w:lineRule="auto"/>
              <w:ind w:left="79"/>
              <w:rPr>
                <w:sz w:val="24"/>
                <w:szCs w:val="24"/>
              </w:rPr>
            </w:pPr>
            <w:bookmarkStart w:id="17" w:name="_Hlk165365706"/>
            <w:r w:rsidRPr="00272683">
              <w:rPr>
                <w:sz w:val="24"/>
                <w:szCs w:val="24"/>
              </w:rPr>
              <w:t xml:space="preserve">Carbendazim 25% + Flusilazole 12.5% </w:t>
            </w:r>
            <w:bookmarkEnd w:id="17"/>
            <w:r w:rsidRPr="00272683">
              <w:rPr>
                <w:sz w:val="24"/>
                <w:szCs w:val="24"/>
              </w:rPr>
              <w:t>SE</w:t>
            </w:r>
          </w:p>
        </w:tc>
        <w:tc>
          <w:tcPr>
            <w:tcW w:w="1074" w:type="dxa"/>
            <w:vAlign w:val="center"/>
          </w:tcPr>
          <w:p w14:paraId="70DBE2AF" w14:textId="77777777" w:rsidR="00DD4808" w:rsidRPr="00272683" w:rsidRDefault="00DD4808" w:rsidP="002F26D3">
            <w:pPr>
              <w:pStyle w:val="TableParagraph"/>
              <w:spacing w:line="312" w:lineRule="auto"/>
              <w:ind w:left="80"/>
              <w:jc w:val="center"/>
              <w:rPr>
                <w:sz w:val="24"/>
                <w:szCs w:val="24"/>
              </w:rPr>
            </w:pPr>
            <w:r w:rsidRPr="00272683">
              <w:rPr>
                <w:sz w:val="24"/>
                <w:szCs w:val="24"/>
              </w:rPr>
              <w:t>00.71*</w:t>
            </w:r>
          </w:p>
          <w:p w14:paraId="3E945A4C" w14:textId="77777777" w:rsidR="00DD4808" w:rsidRPr="00272683" w:rsidRDefault="00DD4808" w:rsidP="002F26D3">
            <w:pPr>
              <w:pStyle w:val="TableParagraph"/>
              <w:spacing w:line="312" w:lineRule="auto"/>
              <w:ind w:left="80"/>
              <w:jc w:val="center"/>
              <w:rPr>
                <w:sz w:val="24"/>
                <w:szCs w:val="24"/>
              </w:rPr>
            </w:pPr>
            <w:r w:rsidRPr="00272683">
              <w:rPr>
                <w:sz w:val="24"/>
                <w:szCs w:val="24"/>
              </w:rPr>
              <w:t>(0.00)</w:t>
            </w:r>
            <w:r w:rsidRPr="00272683">
              <w:rPr>
                <w:sz w:val="24"/>
                <w:szCs w:val="24"/>
                <w:vertAlign w:val="superscript"/>
              </w:rPr>
              <w:t>a</w:t>
            </w:r>
          </w:p>
        </w:tc>
        <w:tc>
          <w:tcPr>
            <w:tcW w:w="1170" w:type="dxa"/>
            <w:vAlign w:val="center"/>
          </w:tcPr>
          <w:p w14:paraId="5C58DFDD" w14:textId="77777777" w:rsidR="00DD4808" w:rsidRPr="00272683" w:rsidRDefault="00DD4808" w:rsidP="002F26D3">
            <w:pPr>
              <w:pStyle w:val="TableParagraph"/>
              <w:spacing w:line="312" w:lineRule="auto"/>
              <w:ind w:left="76"/>
              <w:jc w:val="center"/>
              <w:rPr>
                <w:sz w:val="24"/>
                <w:szCs w:val="24"/>
              </w:rPr>
            </w:pPr>
            <w:r w:rsidRPr="00272683">
              <w:rPr>
                <w:sz w:val="24"/>
                <w:szCs w:val="24"/>
              </w:rPr>
              <w:t>0.71*</w:t>
            </w:r>
          </w:p>
          <w:p w14:paraId="5890FB59" w14:textId="77777777" w:rsidR="00DD4808" w:rsidRPr="00272683" w:rsidRDefault="00DD4808" w:rsidP="002F26D3">
            <w:pPr>
              <w:pStyle w:val="TableParagraph"/>
              <w:spacing w:line="312" w:lineRule="auto"/>
              <w:ind w:left="76"/>
              <w:jc w:val="center"/>
              <w:rPr>
                <w:sz w:val="24"/>
                <w:szCs w:val="24"/>
              </w:rPr>
            </w:pPr>
            <w:r w:rsidRPr="00272683">
              <w:rPr>
                <w:sz w:val="24"/>
                <w:szCs w:val="24"/>
              </w:rPr>
              <w:t>(0.00)</w:t>
            </w:r>
            <w:r w:rsidRPr="00272683">
              <w:rPr>
                <w:sz w:val="24"/>
                <w:szCs w:val="24"/>
                <w:vertAlign w:val="superscript"/>
              </w:rPr>
              <w:t>a</w:t>
            </w:r>
          </w:p>
        </w:tc>
        <w:tc>
          <w:tcPr>
            <w:tcW w:w="1170" w:type="dxa"/>
            <w:vAlign w:val="center"/>
          </w:tcPr>
          <w:p w14:paraId="4D076BE9" w14:textId="77777777" w:rsidR="00DD4808" w:rsidRPr="00272683" w:rsidRDefault="00DD4808" w:rsidP="002F26D3">
            <w:pPr>
              <w:pStyle w:val="TableParagraph"/>
              <w:spacing w:line="312" w:lineRule="auto"/>
              <w:ind w:left="76"/>
              <w:jc w:val="center"/>
              <w:rPr>
                <w:sz w:val="24"/>
                <w:szCs w:val="24"/>
              </w:rPr>
            </w:pPr>
            <w:r w:rsidRPr="00272683">
              <w:rPr>
                <w:sz w:val="24"/>
                <w:szCs w:val="24"/>
              </w:rPr>
              <w:t>0.71*</w:t>
            </w:r>
          </w:p>
          <w:p w14:paraId="30C396AC" w14:textId="77777777" w:rsidR="00DD4808" w:rsidRPr="00272683" w:rsidRDefault="00DD4808" w:rsidP="002F26D3">
            <w:pPr>
              <w:pStyle w:val="TableParagraph"/>
              <w:spacing w:line="312" w:lineRule="auto"/>
              <w:ind w:left="76"/>
              <w:jc w:val="center"/>
              <w:rPr>
                <w:sz w:val="24"/>
                <w:szCs w:val="24"/>
              </w:rPr>
            </w:pPr>
            <w:r w:rsidRPr="00272683">
              <w:rPr>
                <w:sz w:val="24"/>
                <w:szCs w:val="24"/>
              </w:rPr>
              <w:t>(0.00)</w:t>
            </w:r>
            <w:r w:rsidRPr="00272683">
              <w:rPr>
                <w:sz w:val="24"/>
                <w:szCs w:val="24"/>
                <w:vertAlign w:val="superscript"/>
              </w:rPr>
              <w:t>a</w:t>
            </w:r>
          </w:p>
        </w:tc>
      </w:tr>
      <w:tr w:rsidR="00DD4808" w:rsidRPr="00203668" w14:paraId="0C42A2F2" w14:textId="77777777" w:rsidTr="002F26D3">
        <w:trPr>
          <w:trHeight w:val="314"/>
        </w:trPr>
        <w:tc>
          <w:tcPr>
            <w:tcW w:w="1623" w:type="dxa"/>
            <w:vAlign w:val="center"/>
          </w:tcPr>
          <w:p w14:paraId="4B9DB9EE" w14:textId="77777777" w:rsidR="00DD4808" w:rsidRPr="00272683" w:rsidRDefault="00DD4808" w:rsidP="002F26D3">
            <w:pPr>
              <w:pStyle w:val="TableParagraph"/>
              <w:spacing w:line="312" w:lineRule="auto"/>
              <w:ind w:left="33" w:right="21"/>
              <w:jc w:val="center"/>
              <w:rPr>
                <w:sz w:val="24"/>
                <w:szCs w:val="24"/>
              </w:rPr>
            </w:pPr>
            <w:r w:rsidRPr="00272683">
              <w:rPr>
                <w:b/>
                <w:sz w:val="24"/>
                <w:szCs w:val="24"/>
              </w:rPr>
              <w:t>T</w:t>
            </w:r>
            <w:r w:rsidRPr="00272683">
              <w:rPr>
                <w:b/>
                <w:sz w:val="24"/>
                <w:szCs w:val="24"/>
                <w:vertAlign w:val="subscript"/>
              </w:rPr>
              <w:t>31</w:t>
            </w:r>
            <w:r w:rsidRPr="00272683">
              <w:rPr>
                <w:b/>
                <w:sz w:val="24"/>
                <w:szCs w:val="24"/>
              </w:rPr>
              <w:t>,T</w:t>
            </w:r>
            <w:r w:rsidRPr="00272683">
              <w:rPr>
                <w:b/>
                <w:sz w:val="24"/>
                <w:szCs w:val="24"/>
                <w:vertAlign w:val="subscript"/>
              </w:rPr>
              <w:t>32</w:t>
            </w:r>
            <w:r w:rsidRPr="00272683">
              <w:rPr>
                <w:b/>
                <w:sz w:val="24"/>
                <w:szCs w:val="24"/>
              </w:rPr>
              <w:t>, T</w:t>
            </w:r>
            <w:r w:rsidRPr="00272683">
              <w:rPr>
                <w:b/>
                <w:sz w:val="24"/>
                <w:szCs w:val="24"/>
                <w:vertAlign w:val="subscript"/>
              </w:rPr>
              <w:t>33</w:t>
            </w:r>
          </w:p>
        </w:tc>
        <w:tc>
          <w:tcPr>
            <w:tcW w:w="3420" w:type="dxa"/>
            <w:vAlign w:val="center"/>
          </w:tcPr>
          <w:p w14:paraId="7CF2BA58" w14:textId="77777777" w:rsidR="00DD4808" w:rsidRPr="00272683" w:rsidRDefault="00DD4808" w:rsidP="002F26D3">
            <w:pPr>
              <w:pStyle w:val="TableParagraph"/>
              <w:spacing w:line="312" w:lineRule="auto"/>
              <w:ind w:left="79"/>
              <w:rPr>
                <w:sz w:val="24"/>
                <w:szCs w:val="24"/>
              </w:rPr>
            </w:pPr>
            <w:bookmarkStart w:id="18" w:name="_Hlk165367459"/>
            <w:proofErr w:type="spellStart"/>
            <w:r w:rsidRPr="00272683">
              <w:rPr>
                <w:sz w:val="24"/>
                <w:szCs w:val="24"/>
              </w:rPr>
              <w:t>Fluopyram</w:t>
            </w:r>
            <w:proofErr w:type="spellEnd"/>
            <w:r w:rsidRPr="00272683">
              <w:rPr>
                <w:sz w:val="24"/>
                <w:szCs w:val="24"/>
              </w:rPr>
              <w:t xml:space="preserve"> 17.7% + Tebuconazole 17.7% </w:t>
            </w:r>
            <w:bookmarkEnd w:id="18"/>
            <w:r w:rsidRPr="00272683">
              <w:rPr>
                <w:sz w:val="24"/>
                <w:szCs w:val="24"/>
              </w:rPr>
              <w:t>SC</w:t>
            </w:r>
          </w:p>
        </w:tc>
        <w:tc>
          <w:tcPr>
            <w:tcW w:w="1074" w:type="dxa"/>
            <w:vAlign w:val="center"/>
          </w:tcPr>
          <w:p w14:paraId="06E3CED6" w14:textId="77777777" w:rsidR="00DD4808" w:rsidRPr="00272683" w:rsidRDefault="00DD4808" w:rsidP="002F26D3">
            <w:pPr>
              <w:pStyle w:val="TableParagraph"/>
              <w:spacing w:line="312" w:lineRule="auto"/>
              <w:ind w:left="80"/>
              <w:jc w:val="center"/>
              <w:rPr>
                <w:sz w:val="24"/>
                <w:szCs w:val="24"/>
              </w:rPr>
            </w:pPr>
            <w:r w:rsidRPr="00272683">
              <w:rPr>
                <w:sz w:val="24"/>
                <w:szCs w:val="24"/>
              </w:rPr>
              <w:t>00.71*</w:t>
            </w:r>
          </w:p>
          <w:p w14:paraId="6C82ADCC" w14:textId="77777777" w:rsidR="00DD4808" w:rsidRPr="00272683" w:rsidRDefault="00DD4808" w:rsidP="002F26D3">
            <w:pPr>
              <w:pStyle w:val="TableParagraph"/>
              <w:spacing w:line="312" w:lineRule="auto"/>
              <w:ind w:left="80"/>
              <w:jc w:val="center"/>
              <w:rPr>
                <w:sz w:val="24"/>
                <w:szCs w:val="24"/>
              </w:rPr>
            </w:pPr>
            <w:r w:rsidRPr="00272683">
              <w:rPr>
                <w:sz w:val="24"/>
                <w:szCs w:val="24"/>
              </w:rPr>
              <w:t>(00.00)</w:t>
            </w:r>
            <w:r w:rsidRPr="00272683">
              <w:rPr>
                <w:sz w:val="24"/>
                <w:szCs w:val="24"/>
                <w:vertAlign w:val="superscript"/>
              </w:rPr>
              <w:t>a</w:t>
            </w:r>
          </w:p>
        </w:tc>
        <w:tc>
          <w:tcPr>
            <w:tcW w:w="1170" w:type="dxa"/>
            <w:vAlign w:val="center"/>
          </w:tcPr>
          <w:p w14:paraId="6C5264F1" w14:textId="77777777" w:rsidR="00DD4808" w:rsidRPr="00272683" w:rsidRDefault="00DD4808" w:rsidP="002F26D3">
            <w:pPr>
              <w:pStyle w:val="TableParagraph"/>
              <w:spacing w:line="312" w:lineRule="auto"/>
              <w:ind w:left="76"/>
              <w:jc w:val="center"/>
              <w:rPr>
                <w:sz w:val="24"/>
                <w:szCs w:val="24"/>
              </w:rPr>
            </w:pPr>
            <w:r w:rsidRPr="00272683">
              <w:rPr>
                <w:sz w:val="24"/>
                <w:szCs w:val="24"/>
              </w:rPr>
              <w:t>0.71*</w:t>
            </w:r>
          </w:p>
          <w:p w14:paraId="2FF758E1" w14:textId="77777777" w:rsidR="00DD4808" w:rsidRPr="00272683" w:rsidRDefault="00DD4808" w:rsidP="002F26D3">
            <w:pPr>
              <w:pStyle w:val="TableParagraph"/>
              <w:spacing w:line="312" w:lineRule="auto"/>
              <w:ind w:left="76"/>
              <w:jc w:val="center"/>
              <w:rPr>
                <w:sz w:val="24"/>
                <w:szCs w:val="24"/>
              </w:rPr>
            </w:pPr>
            <w:r w:rsidRPr="00272683">
              <w:rPr>
                <w:sz w:val="24"/>
                <w:szCs w:val="24"/>
              </w:rPr>
              <w:t>(0.00)</w:t>
            </w:r>
            <w:r w:rsidRPr="00272683">
              <w:rPr>
                <w:sz w:val="24"/>
                <w:szCs w:val="24"/>
                <w:vertAlign w:val="superscript"/>
              </w:rPr>
              <w:t>a</w:t>
            </w:r>
          </w:p>
        </w:tc>
        <w:tc>
          <w:tcPr>
            <w:tcW w:w="1170" w:type="dxa"/>
            <w:vAlign w:val="center"/>
          </w:tcPr>
          <w:p w14:paraId="3F1975CC" w14:textId="77777777" w:rsidR="00DD4808" w:rsidRPr="00272683" w:rsidRDefault="00DD4808" w:rsidP="002F26D3">
            <w:pPr>
              <w:pStyle w:val="TableParagraph"/>
              <w:spacing w:line="312" w:lineRule="auto"/>
              <w:ind w:left="76"/>
              <w:jc w:val="center"/>
              <w:rPr>
                <w:sz w:val="24"/>
                <w:szCs w:val="24"/>
              </w:rPr>
            </w:pPr>
            <w:r w:rsidRPr="00272683">
              <w:rPr>
                <w:sz w:val="24"/>
                <w:szCs w:val="24"/>
              </w:rPr>
              <w:t>0.71*</w:t>
            </w:r>
          </w:p>
          <w:p w14:paraId="4EC8E694" w14:textId="77777777" w:rsidR="00DD4808" w:rsidRPr="00272683" w:rsidRDefault="00DD4808" w:rsidP="002F26D3">
            <w:pPr>
              <w:pStyle w:val="TableParagraph"/>
              <w:spacing w:line="312" w:lineRule="auto"/>
              <w:ind w:left="76"/>
              <w:jc w:val="center"/>
              <w:rPr>
                <w:sz w:val="24"/>
                <w:szCs w:val="24"/>
              </w:rPr>
            </w:pPr>
            <w:r w:rsidRPr="00272683">
              <w:rPr>
                <w:sz w:val="24"/>
                <w:szCs w:val="24"/>
              </w:rPr>
              <w:t>(0.00)</w:t>
            </w:r>
            <w:r w:rsidRPr="00272683">
              <w:rPr>
                <w:sz w:val="24"/>
                <w:szCs w:val="24"/>
                <w:vertAlign w:val="superscript"/>
              </w:rPr>
              <w:t>a</w:t>
            </w:r>
          </w:p>
        </w:tc>
      </w:tr>
      <w:tr w:rsidR="00DD4808" w:rsidRPr="00203668" w14:paraId="6DDB4431" w14:textId="77777777" w:rsidTr="002F26D3">
        <w:trPr>
          <w:trHeight w:val="321"/>
        </w:trPr>
        <w:tc>
          <w:tcPr>
            <w:tcW w:w="1623" w:type="dxa"/>
            <w:vAlign w:val="center"/>
          </w:tcPr>
          <w:p w14:paraId="7371D5F5" w14:textId="77777777" w:rsidR="00DD4808" w:rsidRPr="00272683" w:rsidRDefault="00DD4808" w:rsidP="002F26D3">
            <w:pPr>
              <w:pStyle w:val="TableParagraph"/>
              <w:spacing w:line="312" w:lineRule="auto"/>
              <w:ind w:left="33" w:right="21"/>
              <w:jc w:val="center"/>
              <w:rPr>
                <w:sz w:val="24"/>
                <w:szCs w:val="24"/>
              </w:rPr>
            </w:pPr>
            <w:r w:rsidRPr="00272683">
              <w:rPr>
                <w:b/>
                <w:sz w:val="24"/>
                <w:szCs w:val="24"/>
              </w:rPr>
              <w:t>T</w:t>
            </w:r>
            <w:r w:rsidRPr="00272683">
              <w:rPr>
                <w:b/>
                <w:sz w:val="24"/>
                <w:szCs w:val="24"/>
                <w:vertAlign w:val="subscript"/>
              </w:rPr>
              <w:t>34</w:t>
            </w:r>
          </w:p>
        </w:tc>
        <w:tc>
          <w:tcPr>
            <w:tcW w:w="3420" w:type="dxa"/>
            <w:vAlign w:val="center"/>
          </w:tcPr>
          <w:p w14:paraId="712A131C" w14:textId="77777777" w:rsidR="00DD4808" w:rsidRPr="00272683" w:rsidRDefault="00DD4808" w:rsidP="002F26D3">
            <w:pPr>
              <w:pStyle w:val="TableParagraph"/>
              <w:spacing w:line="312" w:lineRule="auto"/>
              <w:ind w:left="79"/>
              <w:rPr>
                <w:sz w:val="24"/>
                <w:szCs w:val="24"/>
              </w:rPr>
            </w:pPr>
            <w:r w:rsidRPr="00272683">
              <w:rPr>
                <w:sz w:val="24"/>
                <w:szCs w:val="24"/>
              </w:rPr>
              <w:t>Control</w:t>
            </w:r>
          </w:p>
        </w:tc>
        <w:tc>
          <w:tcPr>
            <w:tcW w:w="1074" w:type="dxa"/>
            <w:vAlign w:val="center"/>
          </w:tcPr>
          <w:p w14:paraId="762C03CB" w14:textId="77777777" w:rsidR="00DD4808" w:rsidRPr="00272683" w:rsidRDefault="00DD4808" w:rsidP="002F26D3">
            <w:pPr>
              <w:pStyle w:val="TableParagraph"/>
              <w:spacing w:line="312" w:lineRule="auto"/>
              <w:ind w:left="80"/>
              <w:jc w:val="center"/>
              <w:rPr>
                <w:sz w:val="24"/>
                <w:szCs w:val="24"/>
              </w:rPr>
            </w:pPr>
            <w:r w:rsidRPr="00272683">
              <w:rPr>
                <w:sz w:val="24"/>
                <w:szCs w:val="24"/>
              </w:rPr>
              <w:t>9.51</w:t>
            </w:r>
          </w:p>
          <w:p w14:paraId="119A6EDF" w14:textId="77777777" w:rsidR="00DD4808" w:rsidRPr="00272683" w:rsidRDefault="00DD4808" w:rsidP="002F26D3">
            <w:pPr>
              <w:pStyle w:val="TableParagraph"/>
              <w:spacing w:line="312" w:lineRule="auto"/>
              <w:ind w:left="80"/>
              <w:jc w:val="center"/>
              <w:rPr>
                <w:sz w:val="24"/>
                <w:szCs w:val="24"/>
              </w:rPr>
            </w:pPr>
            <w:r w:rsidRPr="00272683">
              <w:rPr>
                <w:sz w:val="24"/>
                <w:szCs w:val="24"/>
              </w:rPr>
              <w:t>(90.00)</w:t>
            </w:r>
            <w:r w:rsidRPr="00272683">
              <w:rPr>
                <w:sz w:val="24"/>
                <w:szCs w:val="24"/>
                <w:vertAlign w:val="superscript"/>
              </w:rPr>
              <w:t>k</w:t>
            </w:r>
          </w:p>
        </w:tc>
        <w:tc>
          <w:tcPr>
            <w:tcW w:w="1170" w:type="dxa"/>
            <w:vAlign w:val="center"/>
          </w:tcPr>
          <w:p w14:paraId="6C9C18AE" w14:textId="77777777" w:rsidR="00DD4808" w:rsidRPr="00272683" w:rsidRDefault="00DD4808" w:rsidP="002F26D3">
            <w:pPr>
              <w:pStyle w:val="TableParagraph"/>
              <w:spacing w:line="312" w:lineRule="auto"/>
              <w:ind w:left="76"/>
              <w:jc w:val="center"/>
              <w:rPr>
                <w:sz w:val="24"/>
                <w:szCs w:val="24"/>
              </w:rPr>
            </w:pPr>
            <w:r w:rsidRPr="00272683">
              <w:rPr>
                <w:sz w:val="24"/>
                <w:szCs w:val="24"/>
              </w:rPr>
              <w:t>9.51</w:t>
            </w:r>
          </w:p>
          <w:p w14:paraId="3B6BC9D7" w14:textId="77777777" w:rsidR="00DD4808" w:rsidRPr="00272683" w:rsidRDefault="00DD4808" w:rsidP="002F26D3">
            <w:pPr>
              <w:pStyle w:val="TableParagraph"/>
              <w:spacing w:line="312" w:lineRule="auto"/>
              <w:ind w:left="76"/>
              <w:jc w:val="center"/>
              <w:rPr>
                <w:sz w:val="24"/>
                <w:szCs w:val="24"/>
              </w:rPr>
            </w:pPr>
            <w:r w:rsidRPr="00272683">
              <w:rPr>
                <w:sz w:val="24"/>
                <w:szCs w:val="24"/>
              </w:rPr>
              <w:t>(90.00)</w:t>
            </w:r>
            <w:r w:rsidRPr="00272683">
              <w:rPr>
                <w:sz w:val="24"/>
                <w:szCs w:val="24"/>
                <w:vertAlign w:val="superscript"/>
              </w:rPr>
              <w:t>j</w:t>
            </w:r>
          </w:p>
        </w:tc>
        <w:tc>
          <w:tcPr>
            <w:tcW w:w="1170" w:type="dxa"/>
            <w:vAlign w:val="center"/>
          </w:tcPr>
          <w:p w14:paraId="312B160C" w14:textId="77777777" w:rsidR="00DD4808" w:rsidRPr="00272683" w:rsidRDefault="00DD4808" w:rsidP="002F26D3">
            <w:pPr>
              <w:pStyle w:val="TableParagraph"/>
              <w:spacing w:line="312" w:lineRule="auto"/>
              <w:ind w:left="76"/>
              <w:jc w:val="center"/>
              <w:rPr>
                <w:sz w:val="24"/>
                <w:szCs w:val="24"/>
              </w:rPr>
            </w:pPr>
            <w:r w:rsidRPr="00272683">
              <w:rPr>
                <w:sz w:val="24"/>
                <w:szCs w:val="24"/>
              </w:rPr>
              <w:t>9.51</w:t>
            </w:r>
          </w:p>
          <w:p w14:paraId="5CF99523" w14:textId="77777777" w:rsidR="00DD4808" w:rsidRPr="00272683" w:rsidRDefault="00DD4808" w:rsidP="002F26D3">
            <w:pPr>
              <w:pStyle w:val="TableParagraph"/>
              <w:spacing w:line="312" w:lineRule="auto"/>
              <w:ind w:left="76"/>
              <w:jc w:val="center"/>
              <w:rPr>
                <w:sz w:val="24"/>
                <w:szCs w:val="24"/>
              </w:rPr>
            </w:pPr>
            <w:r w:rsidRPr="00272683">
              <w:rPr>
                <w:sz w:val="24"/>
                <w:szCs w:val="24"/>
              </w:rPr>
              <w:t>(90.00)</w:t>
            </w:r>
            <w:r w:rsidRPr="00272683">
              <w:rPr>
                <w:sz w:val="24"/>
                <w:szCs w:val="24"/>
                <w:vertAlign w:val="superscript"/>
              </w:rPr>
              <w:t>k</w:t>
            </w:r>
          </w:p>
        </w:tc>
      </w:tr>
      <w:tr w:rsidR="00DD4808" w:rsidRPr="00203668" w14:paraId="59479D0B" w14:textId="77777777" w:rsidTr="002F26D3">
        <w:trPr>
          <w:trHeight w:val="321"/>
        </w:trPr>
        <w:tc>
          <w:tcPr>
            <w:tcW w:w="1623" w:type="dxa"/>
          </w:tcPr>
          <w:p w14:paraId="0FD3FBE6" w14:textId="77777777" w:rsidR="00DD4808" w:rsidRPr="00272683" w:rsidRDefault="00DD4808" w:rsidP="002F26D3">
            <w:pPr>
              <w:pStyle w:val="TableParagraph"/>
              <w:spacing w:line="312" w:lineRule="auto"/>
              <w:ind w:left="33" w:right="21"/>
              <w:jc w:val="center"/>
              <w:rPr>
                <w:position w:val="2"/>
                <w:sz w:val="24"/>
                <w:szCs w:val="24"/>
              </w:rPr>
            </w:pPr>
          </w:p>
        </w:tc>
        <w:tc>
          <w:tcPr>
            <w:tcW w:w="3420" w:type="dxa"/>
          </w:tcPr>
          <w:p w14:paraId="52734FD7" w14:textId="77777777" w:rsidR="00DD4808" w:rsidRPr="00272683" w:rsidRDefault="00DD4808" w:rsidP="002F26D3">
            <w:pPr>
              <w:pStyle w:val="TableParagraph"/>
              <w:spacing w:line="312" w:lineRule="auto"/>
              <w:ind w:left="79" w:right="78"/>
              <w:jc w:val="right"/>
              <w:rPr>
                <w:sz w:val="24"/>
                <w:szCs w:val="24"/>
              </w:rPr>
            </w:pPr>
            <w:proofErr w:type="spellStart"/>
            <w:r w:rsidRPr="00272683">
              <w:rPr>
                <w:sz w:val="24"/>
                <w:szCs w:val="24"/>
              </w:rPr>
              <w:t>SEm</w:t>
            </w:r>
            <w:proofErr w:type="spellEnd"/>
            <w:r w:rsidRPr="00272683">
              <w:rPr>
                <w:sz w:val="24"/>
                <w:szCs w:val="24"/>
              </w:rPr>
              <w:t xml:space="preserve"> ±</w:t>
            </w:r>
          </w:p>
        </w:tc>
        <w:tc>
          <w:tcPr>
            <w:tcW w:w="1074" w:type="dxa"/>
            <w:vAlign w:val="center"/>
          </w:tcPr>
          <w:p w14:paraId="2CCAC82B" w14:textId="77777777" w:rsidR="00DD4808" w:rsidRPr="00272683" w:rsidRDefault="00DD4808" w:rsidP="002F26D3">
            <w:pPr>
              <w:pStyle w:val="TableParagraph"/>
              <w:spacing w:line="312" w:lineRule="auto"/>
              <w:ind w:left="80"/>
              <w:jc w:val="center"/>
              <w:rPr>
                <w:sz w:val="24"/>
                <w:szCs w:val="24"/>
              </w:rPr>
            </w:pPr>
            <w:r w:rsidRPr="00272683">
              <w:rPr>
                <w:sz w:val="24"/>
                <w:szCs w:val="24"/>
              </w:rPr>
              <w:t>0.04</w:t>
            </w:r>
          </w:p>
        </w:tc>
        <w:tc>
          <w:tcPr>
            <w:tcW w:w="1170" w:type="dxa"/>
            <w:vAlign w:val="center"/>
          </w:tcPr>
          <w:p w14:paraId="7A6DE406" w14:textId="77777777" w:rsidR="00DD4808" w:rsidRPr="00272683" w:rsidRDefault="00DD4808" w:rsidP="002F26D3">
            <w:pPr>
              <w:pStyle w:val="TableParagraph"/>
              <w:spacing w:line="312" w:lineRule="auto"/>
              <w:ind w:left="76"/>
              <w:jc w:val="center"/>
              <w:rPr>
                <w:sz w:val="24"/>
                <w:szCs w:val="24"/>
              </w:rPr>
            </w:pPr>
            <w:r w:rsidRPr="00272683">
              <w:rPr>
                <w:sz w:val="24"/>
                <w:szCs w:val="24"/>
              </w:rPr>
              <w:t>0.07</w:t>
            </w:r>
          </w:p>
        </w:tc>
        <w:tc>
          <w:tcPr>
            <w:tcW w:w="1170" w:type="dxa"/>
            <w:vAlign w:val="center"/>
          </w:tcPr>
          <w:p w14:paraId="64D1A22E" w14:textId="77777777" w:rsidR="00DD4808" w:rsidRPr="00272683" w:rsidRDefault="00DD4808" w:rsidP="002F26D3">
            <w:pPr>
              <w:pStyle w:val="TableParagraph"/>
              <w:spacing w:line="312" w:lineRule="auto"/>
              <w:ind w:left="76"/>
              <w:jc w:val="center"/>
              <w:rPr>
                <w:sz w:val="24"/>
                <w:szCs w:val="24"/>
              </w:rPr>
            </w:pPr>
            <w:r w:rsidRPr="00272683">
              <w:rPr>
                <w:sz w:val="24"/>
                <w:szCs w:val="24"/>
              </w:rPr>
              <w:t>0.07</w:t>
            </w:r>
          </w:p>
        </w:tc>
      </w:tr>
      <w:tr w:rsidR="00DD4808" w:rsidRPr="00203668" w14:paraId="05E18770" w14:textId="77777777" w:rsidTr="002F26D3">
        <w:trPr>
          <w:trHeight w:val="321"/>
        </w:trPr>
        <w:tc>
          <w:tcPr>
            <w:tcW w:w="1623" w:type="dxa"/>
          </w:tcPr>
          <w:p w14:paraId="2B60A323" w14:textId="77777777" w:rsidR="00DD4808" w:rsidRPr="00272683" w:rsidRDefault="00DD4808" w:rsidP="002F26D3">
            <w:pPr>
              <w:pStyle w:val="TableParagraph"/>
              <w:spacing w:line="312" w:lineRule="auto"/>
              <w:ind w:left="33" w:right="21"/>
              <w:jc w:val="center"/>
              <w:rPr>
                <w:position w:val="2"/>
                <w:sz w:val="24"/>
                <w:szCs w:val="24"/>
              </w:rPr>
            </w:pPr>
          </w:p>
        </w:tc>
        <w:tc>
          <w:tcPr>
            <w:tcW w:w="3420" w:type="dxa"/>
          </w:tcPr>
          <w:p w14:paraId="355F3E06" w14:textId="77777777" w:rsidR="00DD4808" w:rsidRPr="00272683" w:rsidRDefault="00DD4808" w:rsidP="002F26D3">
            <w:pPr>
              <w:pStyle w:val="TableParagraph"/>
              <w:spacing w:line="312" w:lineRule="auto"/>
              <w:ind w:left="79" w:right="78"/>
              <w:jc w:val="right"/>
              <w:rPr>
                <w:sz w:val="24"/>
                <w:szCs w:val="24"/>
              </w:rPr>
            </w:pPr>
            <w:r w:rsidRPr="00272683">
              <w:rPr>
                <w:sz w:val="24"/>
                <w:szCs w:val="24"/>
              </w:rPr>
              <w:t>CD at 5 %</w:t>
            </w:r>
          </w:p>
        </w:tc>
        <w:tc>
          <w:tcPr>
            <w:tcW w:w="1074" w:type="dxa"/>
            <w:vAlign w:val="center"/>
          </w:tcPr>
          <w:p w14:paraId="21DB2A86" w14:textId="77777777" w:rsidR="00DD4808" w:rsidRPr="00272683" w:rsidRDefault="00DD4808" w:rsidP="002F26D3">
            <w:pPr>
              <w:pStyle w:val="TableParagraph"/>
              <w:spacing w:line="312" w:lineRule="auto"/>
              <w:ind w:left="80"/>
              <w:jc w:val="center"/>
              <w:rPr>
                <w:sz w:val="24"/>
                <w:szCs w:val="24"/>
              </w:rPr>
            </w:pPr>
            <w:r w:rsidRPr="00272683">
              <w:rPr>
                <w:sz w:val="24"/>
                <w:szCs w:val="24"/>
              </w:rPr>
              <w:t>0.11</w:t>
            </w:r>
          </w:p>
        </w:tc>
        <w:tc>
          <w:tcPr>
            <w:tcW w:w="1170" w:type="dxa"/>
            <w:vAlign w:val="center"/>
          </w:tcPr>
          <w:p w14:paraId="6FFB0EF3" w14:textId="77777777" w:rsidR="00DD4808" w:rsidRPr="00272683" w:rsidRDefault="00DD4808" w:rsidP="002F26D3">
            <w:pPr>
              <w:pStyle w:val="TableParagraph"/>
              <w:spacing w:line="312" w:lineRule="auto"/>
              <w:ind w:left="76"/>
              <w:jc w:val="center"/>
              <w:rPr>
                <w:sz w:val="24"/>
                <w:szCs w:val="24"/>
              </w:rPr>
            </w:pPr>
            <w:r w:rsidRPr="00272683">
              <w:rPr>
                <w:sz w:val="24"/>
                <w:szCs w:val="24"/>
              </w:rPr>
              <w:t>0.19</w:t>
            </w:r>
          </w:p>
        </w:tc>
        <w:tc>
          <w:tcPr>
            <w:tcW w:w="1170" w:type="dxa"/>
            <w:vAlign w:val="center"/>
          </w:tcPr>
          <w:p w14:paraId="0D7969EE" w14:textId="77777777" w:rsidR="00DD4808" w:rsidRPr="00272683" w:rsidRDefault="00DD4808" w:rsidP="002F26D3">
            <w:pPr>
              <w:pStyle w:val="TableParagraph"/>
              <w:spacing w:line="312" w:lineRule="auto"/>
              <w:ind w:left="76"/>
              <w:jc w:val="center"/>
              <w:rPr>
                <w:sz w:val="24"/>
                <w:szCs w:val="24"/>
              </w:rPr>
            </w:pPr>
            <w:r w:rsidRPr="00272683">
              <w:rPr>
                <w:sz w:val="24"/>
                <w:szCs w:val="24"/>
              </w:rPr>
              <w:t>0.20</w:t>
            </w:r>
          </w:p>
        </w:tc>
      </w:tr>
      <w:tr w:rsidR="00DD4808" w:rsidRPr="00203668" w14:paraId="18C8DAF4" w14:textId="77777777" w:rsidTr="002F26D3">
        <w:trPr>
          <w:trHeight w:val="194"/>
        </w:trPr>
        <w:tc>
          <w:tcPr>
            <w:tcW w:w="1623" w:type="dxa"/>
          </w:tcPr>
          <w:p w14:paraId="38157B1A" w14:textId="77777777" w:rsidR="00DD4808" w:rsidRPr="00272683" w:rsidRDefault="00DD4808" w:rsidP="002F26D3">
            <w:pPr>
              <w:pStyle w:val="TableParagraph"/>
              <w:spacing w:line="312" w:lineRule="auto"/>
              <w:ind w:left="33" w:right="21"/>
              <w:jc w:val="center"/>
              <w:rPr>
                <w:position w:val="2"/>
                <w:sz w:val="24"/>
                <w:szCs w:val="24"/>
              </w:rPr>
            </w:pPr>
          </w:p>
        </w:tc>
        <w:tc>
          <w:tcPr>
            <w:tcW w:w="3420" w:type="dxa"/>
          </w:tcPr>
          <w:p w14:paraId="2B205CC1" w14:textId="77777777" w:rsidR="00DD4808" w:rsidRPr="00272683" w:rsidRDefault="00DD4808" w:rsidP="002F26D3">
            <w:pPr>
              <w:pStyle w:val="TableParagraph"/>
              <w:spacing w:line="312" w:lineRule="auto"/>
              <w:ind w:left="79" w:right="78"/>
              <w:jc w:val="right"/>
              <w:rPr>
                <w:sz w:val="24"/>
                <w:szCs w:val="24"/>
              </w:rPr>
            </w:pPr>
            <w:r w:rsidRPr="00272683">
              <w:rPr>
                <w:sz w:val="24"/>
                <w:szCs w:val="24"/>
              </w:rPr>
              <w:t>CV %</w:t>
            </w:r>
          </w:p>
        </w:tc>
        <w:tc>
          <w:tcPr>
            <w:tcW w:w="1074" w:type="dxa"/>
            <w:vAlign w:val="center"/>
          </w:tcPr>
          <w:p w14:paraId="13931675" w14:textId="77777777" w:rsidR="00DD4808" w:rsidRPr="00272683" w:rsidRDefault="00DD4808" w:rsidP="002F26D3">
            <w:pPr>
              <w:pStyle w:val="TableParagraph"/>
              <w:spacing w:line="312" w:lineRule="auto"/>
              <w:ind w:left="80"/>
              <w:jc w:val="center"/>
              <w:rPr>
                <w:sz w:val="24"/>
                <w:szCs w:val="24"/>
              </w:rPr>
            </w:pPr>
            <w:r w:rsidRPr="00272683">
              <w:rPr>
                <w:sz w:val="24"/>
                <w:szCs w:val="24"/>
              </w:rPr>
              <w:t>1.40</w:t>
            </w:r>
          </w:p>
        </w:tc>
        <w:tc>
          <w:tcPr>
            <w:tcW w:w="1170" w:type="dxa"/>
            <w:vAlign w:val="center"/>
          </w:tcPr>
          <w:p w14:paraId="0CD13EC7" w14:textId="77777777" w:rsidR="00DD4808" w:rsidRPr="00272683" w:rsidRDefault="00DD4808" w:rsidP="002F26D3">
            <w:pPr>
              <w:pStyle w:val="TableParagraph"/>
              <w:spacing w:line="312" w:lineRule="auto"/>
              <w:ind w:left="76"/>
              <w:jc w:val="center"/>
              <w:rPr>
                <w:sz w:val="24"/>
                <w:szCs w:val="24"/>
              </w:rPr>
            </w:pPr>
            <w:r w:rsidRPr="00272683">
              <w:rPr>
                <w:sz w:val="24"/>
                <w:szCs w:val="24"/>
              </w:rPr>
              <w:t>2.63</w:t>
            </w:r>
          </w:p>
        </w:tc>
        <w:tc>
          <w:tcPr>
            <w:tcW w:w="1170" w:type="dxa"/>
            <w:vAlign w:val="center"/>
          </w:tcPr>
          <w:p w14:paraId="52621B94" w14:textId="77777777" w:rsidR="00DD4808" w:rsidRPr="00272683" w:rsidRDefault="00DD4808" w:rsidP="002F26D3">
            <w:pPr>
              <w:pStyle w:val="TableParagraph"/>
              <w:spacing w:line="312" w:lineRule="auto"/>
              <w:ind w:left="76"/>
              <w:jc w:val="center"/>
              <w:rPr>
                <w:sz w:val="24"/>
                <w:szCs w:val="24"/>
              </w:rPr>
            </w:pPr>
            <w:r w:rsidRPr="00272683">
              <w:rPr>
                <w:sz w:val="24"/>
                <w:szCs w:val="24"/>
              </w:rPr>
              <w:t>2.97</w:t>
            </w:r>
          </w:p>
        </w:tc>
      </w:tr>
    </w:tbl>
    <w:p w14:paraId="6C84827A" w14:textId="77777777" w:rsidR="00DD4808" w:rsidRDefault="00DD4808" w:rsidP="00DD4808">
      <w:pPr>
        <w:spacing w:after="0" w:line="360" w:lineRule="auto"/>
        <w:jc w:val="both"/>
        <w:rPr>
          <w:rFonts w:ascii="Times New Roman" w:hAnsi="Times New Roman" w:cs="Times New Roman"/>
          <w:sz w:val="18"/>
          <w:szCs w:val="18"/>
        </w:rPr>
      </w:pPr>
    </w:p>
    <w:p w14:paraId="328E793C" w14:textId="77777777" w:rsidR="00DD4808" w:rsidRDefault="00DD4808" w:rsidP="00DD4808">
      <w:pPr>
        <w:spacing w:after="0" w:line="360" w:lineRule="auto"/>
        <w:jc w:val="both"/>
        <w:rPr>
          <w:rFonts w:ascii="Times New Roman" w:hAnsi="Times New Roman" w:cs="Times New Roman"/>
          <w:sz w:val="18"/>
          <w:szCs w:val="18"/>
        </w:rPr>
      </w:pPr>
    </w:p>
    <w:p w14:paraId="1ECDB077" w14:textId="77777777" w:rsidR="00DD4808" w:rsidRDefault="00DD4808" w:rsidP="00DD4808">
      <w:pPr>
        <w:spacing w:after="0" w:line="360" w:lineRule="auto"/>
        <w:jc w:val="both"/>
        <w:rPr>
          <w:rFonts w:ascii="Times New Roman" w:hAnsi="Times New Roman" w:cs="Times New Roman"/>
          <w:sz w:val="18"/>
          <w:szCs w:val="18"/>
        </w:rPr>
      </w:pPr>
    </w:p>
    <w:p w14:paraId="53F78B83" w14:textId="77777777" w:rsidR="00DD4808" w:rsidRDefault="00DD4808" w:rsidP="00DD4808">
      <w:pPr>
        <w:spacing w:after="0" w:line="360" w:lineRule="auto"/>
        <w:jc w:val="both"/>
        <w:rPr>
          <w:rFonts w:ascii="Times New Roman" w:hAnsi="Times New Roman" w:cs="Times New Roman"/>
          <w:sz w:val="18"/>
          <w:szCs w:val="18"/>
        </w:rPr>
      </w:pPr>
    </w:p>
    <w:p w14:paraId="5AB008F7" w14:textId="77777777" w:rsidR="00DD4808" w:rsidRDefault="00DD4808" w:rsidP="00DD4808">
      <w:pPr>
        <w:spacing w:after="0" w:line="360" w:lineRule="auto"/>
        <w:jc w:val="both"/>
        <w:rPr>
          <w:rFonts w:ascii="Times New Roman" w:hAnsi="Times New Roman" w:cs="Times New Roman"/>
          <w:sz w:val="18"/>
          <w:szCs w:val="18"/>
        </w:rPr>
      </w:pPr>
    </w:p>
    <w:p w14:paraId="2E54C68C" w14:textId="77777777" w:rsidR="00DD4808" w:rsidRDefault="00DD4808" w:rsidP="00DD4808">
      <w:pPr>
        <w:spacing w:after="0" w:line="360" w:lineRule="auto"/>
        <w:jc w:val="both"/>
        <w:rPr>
          <w:rFonts w:ascii="Times New Roman" w:hAnsi="Times New Roman" w:cs="Times New Roman"/>
          <w:sz w:val="18"/>
          <w:szCs w:val="18"/>
        </w:rPr>
      </w:pPr>
    </w:p>
    <w:p w14:paraId="0551A209" w14:textId="77777777" w:rsidR="00DD4808" w:rsidRDefault="00DD4808" w:rsidP="00DD4808">
      <w:pPr>
        <w:spacing w:after="0" w:line="360" w:lineRule="auto"/>
        <w:jc w:val="both"/>
        <w:rPr>
          <w:rFonts w:ascii="Times New Roman" w:hAnsi="Times New Roman" w:cs="Times New Roman"/>
          <w:sz w:val="18"/>
          <w:szCs w:val="18"/>
        </w:rPr>
      </w:pPr>
    </w:p>
    <w:p w14:paraId="27C1D716" w14:textId="77777777" w:rsidR="00DD4808" w:rsidRDefault="00DD4808" w:rsidP="00DD4808">
      <w:pPr>
        <w:spacing w:after="0" w:line="360" w:lineRule="auto"/>
        <w:jc w:val="both"/>
        <w:rPr>
          <w:rFonts w:ascii="Times New Roman" w:hAnsi="Times New Roman" w:cs="Times New Roman"/>
          <w:sz w:val="18"/>
          <w:szCs w:val="18"/>
        </w:rPr>
      </w:pPr>
    </w:p>
    <w:p w14:paraId="52653A16" w14:textId="77777777" w:rsidR="005428CF" w:rsidRDefault="005428CF" w:rsidP="00DD4808">
      <w:pPr>
        <w:spacing w:after="0" w:line="360" w:lineRule="auto"/>
        <w:jc w:val="both"/>
        <w:rPr>
          <w:rFonts w:ascii="Times New Roman" w:hAnsi="Times New Roman" w:cs="Times New Roman"/>
          <w:sz w:val="18"/>
          <w:szCs w:val="18"/>
        </w:rPr>
      </w:pPr>
    </w:p>
    <w:p w14:paraId="107248B1" w14:textId="77777777" w:rsidR="005428CF" w:rsidRDefault="005428CF" w:rsidP="00DD4808">
      <w:pPr>
        <w:spacing w:after="0" w:line="360" w:lineRule="auto"/>
        <w:jc w:val="both"/>
        <w:rPr>
          <w:rFonts w:ascii="Times New Roman" w:hAnsi="Times New Roman" w:cs="Times New Roman"/>
          <w:sz w:val="18"/>
          <w:szCs w:val="18"/>
        </w:rPr>
      </w:pPr>
    </w:p>
    <w:p w14:paraId="0B5B7AF5" w14:textId="77777777" w:rsidR="005428CF" w:rsidRDefault="005428CF" w:rsidP="00DD4808">
      <w:pPr>
        <w:spacing w:after="0" w:line="360" w:lineRule="auto"/>
        <w:jc w:val="both"/>
        <w:rPr>
          <w:rFonts w:ascii="Times New Roman" w:hAnsi="Times New Roman" w:cs="Times New Roman"/>
          <w:sz w:val="18"/>
          <w:szCs w:val="18"/>
        </w:rPr>
      </w:pPr>
    </w:p>
    <w:p w14:paraId="4F88B583" w14:textId="77777777" w:rsidR="005428CF" w:rsidRDefault="005428CF" w:rsidP="00DD4808">
      <w:pPr>
        <w:spacing w:after="0" w:line="360" w:lineRule="auto"/>
        <w:jc w:val="both"/>
        <w:rPr>
          <w:rFonts w:ascii="Times New Roman" w:hAnsi="Times New Roman" w:cs="Times New Roman"/>
          <w:sz w:val="18"/>
          <w:szCs w:val="18"/>
        </w:rPr>
      </w:pPr>
    </w:p>
    <w:p w14:paraId="2AD8DE02" w14:textId="77777777" w:rsidR="00ED386D" w:rsidRDefault="00ED386D" w:rsidP="00DD4808">
      <w:pPr>
        <w:spacing w:after="0" w:line="360" w:lineRule="auto"/>
        <w:jc w:val="both"/>
        <w:rPr>
          <w:rFonts w:ascii="Times New Roman" w:hAnsi="Times New Roman" w:cs="Times New Roman"/>
          <w:sz w:val="18"/>
          <w:szCs w:val="18"/>
        </w:rPr>
      </w:pPr>
    </w:p>
    <w:p w14:paraId="5EF1EDA8" w14:textId="77777777" w:rsidR="00DD4808" w:rsidRDefault="00DD4808" w:rsidP="00DD4808">
      <w:pPr>
        <w:spacing w:after="0" w:line="360" w:lineRule="auto"/>
        <w:jc w:val="both"/>
        <w:rPr>
          <w:rFonts w:ascii="Times New Roman" w:hAnsi="Times New Roman" w:cs="Times New Roman"/>
          <w:sz w:val="18"/>
          <w:szCs w:val="18"/>
        </w:rPr>
      </w:pPr>
      <w:r w:rsidRPr="005A583D">
        <w:rPr>
          <w:rFonts w:ascii="Times New Roman" w:hAnsi="Times New Roman" w:cs="Times New Roman"/>
          <w:sz w:val="18"/>
          <w:szCs w:val="18"/>
        </w:rPr>
        <w:t>*Figures outside the parentheses are √X+0.5 transformation values whereas figures in parent</w:t>
      </w:r>
      <w:r>
        <w:rPr>
          <w:rFonts w:ascii="Times New Roman" w:hAnsi="Times New Roman" w:cs="Times New Roman"/>
          <w:sz w:val="18"/>
          <w:szCs w:val="18"/>
        </w:rPr>
        <w:t>heses indicate original values</w:t>
      </w:r>
    </w:p>
    <w:p w14:paraId="02371F33" w14:textId="77777777" w:rsidR="00DD4808" w:rsidRDefault="00DD4808" w:rsidP="00DD4808">
      <w:pPr>
        <w:spacing w:after="0" w:line="360" w:lineRule="auto"/>
        <w:jc w:val="both"/>
        <w:rPr>
          <w:rFonts w:ascii="Times New Roman" w:hAnsi="Times New Roman" w:cs="Times New Roman"/>
          <w:sz w:val="18"/>
          <w:szCs w:val="18"/>
        </w:rPr>
      </w:pPr>
      <w:r w:rsidRPr="005A583D">
        <w:rPr>
          <w:rFonts w:ascii="Times New Roman" w:hAnsi="Times New Roman" w:cs="Times New Roman"/>
          <w:sz w:val="18"/>
          <w:szCs w:val="18"/>
        </w:rPr>
        <w:t>Means followed by a common letter are not significantly dif</w:t>
      </w:r>
      <w:r>
        <w:rPr>
          <w:rFonts w:ascii="Times New Roman" w:hAnsi="Times New Roman" w:cs="Times New Roman"/>
          <w:sz w:val="18"/>
          <w:szCs w:val="18"/>
        </w:rPr>
        <w:t>ferent at the 5% level by DNMRT</w:t>
      </w:r>
      <w:r w:rsidRPr="005A583D">
        <w:rPr>
          <w:rFonts w:ascii="Times New Roman" w:hAnsi="Times New Roman" w:cs="Times New Roman"/>
          <w:sz w:val="18"/>
          <w:szCs w:val="18"/>
        </w:rPr>
        <w:t xml:space="preserve"> </w:t>
      </w:r>
    </w:p>
    <w:p w14:paraId="17B4A0DA" w14:textId="77777777" w:rsidR="00DD4808" w:rsidRDefault="00DD4808" w:rsidP="00DD4808">
      <w:pPr>
        <w:spacing w:after="0" w:line="360" w:lineRule="auto"/>
        <w:ind w:left="1170" w:hanging="1080"/>
        <w:jc w:val="both"/>
        <w:rPr>
          <w:rFonts w:ascii="Times New Roman" w:hAnsi="Times New Roman" w:cs="Times New Roman"/>
          <w:sz w:val="18"/>
          <w:szCs w:val="18"/>
        </w:rPr>
      </w:pPr>
      <w:r w:rsidRPr="005A583D">
        <w:rPr>
          <w:rFonts w:ascii="Times New Roman" w:hAnsi="Times New Roman" w:cs="Times New Roman"/>
          <w:sz w:val="18"/>
          <w:szCs w:val="18"/>
        </w:rPr>
        <w:t>DAI: Days after inoculation</w:t>
      </w:r>
    </w:p>
    <w:p w14:paraId="078B7CF4" w14:textId="77777777" w:rsidR="00DD4808" w:rsidRDefault="00DD4808" w:rsidP="00DD4808">
      <w:pPr>
        <w:spacing w:after="0" w:line="360" w:lineRule="auto"/>
        <w:ind w:left="1170" w:hanging="1080"/>
        <w:jc w:val="both"/>
        <w:rPr>
          <w:rFonts w:ascii="Times New Roman" w:hAnsi="Times New Roman" w:cs="Times New Roman"/>
          <w:sz w:val="24"/>
          <w:szCs w:val="24"/>
        </w:rPr>
      </w:pPr>
    </w:p>
    <w:p w14:paraId="5CC9BBA1" w14:textId="77777777" w:rsidR="00ED386D" w:rsidRDefault="00ED386D" w:rsidP="00DD4808">
      <w:pPr>
        <w:spacing w:after="0" w:line="360" w:lineRule="auto"/>
        <w:ind w:left="1170" w:hanging="1080"/>
        <w:jc w:val="both"/>
        <w:rPr>
          <w:rFonts w:ascii="Times New Roman" w:hAnsi="Times New Roman" w:cs="Times New Roman"/>
          <w:sz w:val="24"/>
          <w:szCs w:val="24"/>
        </w:rPr>
      </w:pPr>
    </w:p>
    <w:p w14:paraId="42300593" w14:textId="77777777" w:rsidR="00ED386D" w:rsidRDefault="00ED386D" w:rsidP="00DD4808">
      <w:pPr>
        <w:spacing w:after="0" w:line="360" w:lineRule="auto"/>
        <w:ind w:left="1170" w:hanging="1080"/>
        <w:jc w:val="both"/>
        <w:rPr>
          <w:rFonts w:ascii="Times New Roman" w:hAnsi="Times New Roman" w:cs="Times New Roman"/>
          <w:sz w:val="24"/>
          <w:szCs w:val="24"/>
        </w:rPr>
      </w:pPr>
    </w:p>
    <w:p w14:paraId="4752BC6E" w14:textId="77777777" w:rsidR="00ED386D" w:rsidRDefault="00ED386D" w:rsidP="00DD4808">
      <w:pPr>
        <w:spacing w:after="0" w:line="360" w:lineRule="auto"/>
        <w:ind w:left="1170" w:hanging="1080"/>
        <w:jc w:val="both"/>
        <w:rPr>
          <w:rFonts w:ascii="Times New Roman" w:hAnsi="Times New Roman" w:cs="Times New Roman"/>
          <w:sz w:val="24"/>
          <w:szCs w:val="24"/>
        </w:rPr>
      </w:pPr>
    </w:p>
    <w:p w14:paraId="0D455823" w14:textId="4E0E89B9" w:rsidR="00DD4808" w:rsidRDefault="00DD4808" w:rsidP="00DD4808">
      <w:pPr>
        <w:tabs>
          <w:tab w:val="left" w:pos="1484"/>
        </w:tabs>
        <w:spacing w:line="360" w:lineRule="auto"/>
        <w:rPr>
          <w:rFonts w:ascii="Times New Roman" w:hAnsi="Times New Roman" w:cs="Times New Roman"/>
          <w:b/>
          <w:bCs/>
          <w:i/>
          <w:iCs/>
          <w:sz w:val="24"/>
          <w:szCs w:val="24"/>
        </w:rPr>
      </w:pPr>
      <w:r w:rsidRPr="00E342A1">
        <w:rPr>
          <w:rFonts w:ascii="Arial" w:hAnsi="Arial" w:cs="Arial"/>
          <w:b/>
          <w:bCs/>
        </w:rPr>
        <w:t xml:space="preserve">Table </w:t>
      </w:r>
      <w:r w:rsidR="006348F2">
        <w:rPr>
          <w:rFonts w:ascii="Arial" w:hAnsi="Arial" w:cs="Arial"/>
          <w:b/>
          <w:bCs/>
        </w:rPr>
        <w:t>5</w:t>
      </w:r>
      <w:r w:rsidRPr="00E342A1">
        <w:rPr>
          <w:rFonts w:ascii="Arial" w:hAnsi="Arial" w:cs="Arial"/>
          <w:b/>
          <w:bCs/>
        </w:rPr>
        <w:t xml:space="preserve">. </w:t>
      </w:r>
      <w:r w:rsidRPr="00A864F5">
        <w:rPr>
          <w:rFonts w:ascii="Times New Roman" w:hAnsi="Times New Roman" w:cs="Times New Roman"/>
          <w:b/>
          <w:bCs/>
          <w:sz w:val="24"/>
          <w:szCs w:val="24"/>
        </w:rPr>
        <w:t xml:space="preserve">Per cent growth inhibition of </w:t>
      </w:r>
      <w:proofErr w:type="spellStart"/>
      <w:r w:rsidRPr="00A864F5">
        <w:rPr>
          <w:rFonts w:ascii="Times New Roman" w:hAnsi="Times New Roman" w:cs="Times New Roman"/>
          <w:b/>
          <w:bCs/>
          <w:i/>
          <w:iCs/>
          <w:sz w:val="24"/>
          <w:szCs w:val="24"/>
        </w:rPr>
        <w:t>Exserohilum</w:t>
      </w:r>
      <w:proofErr w:type="spellEnd"/>
      <w:r w:rsidRPr="00A864F5">
        <w:rPr>
          <w:rFonts w:ascii="Times New Roman" w:hAnsi="Times New Roman" w:cs="Times New Roman"/>
          <w:b/>
          <w:bCs/>
          <w:i/>
          <w:iCs/>
          <w:sz w:val="24"/>
          <w:szCs w:val="24"/>
        </w:rPr>
        <w:t xml:space="preserve"> </w:t>
      </w:r>
      <w:proofErr w:type="spellStart"/>
      <w:r w:rsidRPr="00A864F5">
        <w:rPr>
          <w:rFonts w:ascii="Times New Roman" w:hAnsi="Times New Roman" w:cs="Times New Roman"/>
          <w:b/>
          <w:bCs/>
          <w:i/>
          <w:iCs/>
          <w:sz w:val="24"/>
          <w:szCs w:val="24"/>
        </w:rPr>
        <w:t>turcicum</w:t>
      </w:r>
      <w:proofErr w:type="spellEnd"/>
      <w:r w:rsidRPr="00A864F5">
        <w:rPr>
          <w:rFonts w:ascii="Times New Roman" w:hAnsi="Times New Roman" w:cs="Times New Roman"/>
          <w:bCs/>
          <w:iCs/>
          <w:sz w:val="24"/>
          <w:szCs w:val="24"/>
        </w:rPr>
        <w:t xml:space="preserve"> </w:t>
      </w:r>
      <w:r w:rsidRPr="00A864F5">
        <w:rPr>
          <w:rFonts w:ascii="Times New Roman" w:hAnsi="Times New Roman" w:cs="Times New Roman"/>
          <w:b/>
          <w:bCs/>
          <w:sz w:val="24"/>
          <w:szCs w:val="24"/>
        </w:rPr>
        <w:t xml:space="preserve">by fungicides </w:t>
      </w:r>
      <w:r w:rsidRPr="00A864F5">
        <w:rPr>
          <w:rFonts w:ascii="Times New Roman" w:hAnsi="Times New Roman" w:cs="Times New Roman"/>
          <w:b/>
          <w:bCs/>
          <w:i/>
          <w:iCs/>
          <w:sz w:val="24"/>
          <w:szCs w:val="24"/>
        </w:rPr>
        <w:t>in vitro</w:t>
      </w:r>
    </w:p>
    <w:tbl>
      <w:tblPr>
        <w:tblpPr w:leftFromText="180" w:rightFromText="180" w:vertAnchor="text" w:horzAnchor="margin" w:tblpY="67"/>
        <w:tblW w:w="84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13"/>
        <w:gridCol w:w="4320"/>
        <w:gridCol w:w="720"/>
        <w:gridCol w:w="900"/>
        <w:gridCol w:w="804"/>
      </w:tblGrid>
      <w:tr w:rsidR="00DD4808" w:rsidRPr="00203668" w14:paraId="0120CDAD" w14:textId="77777777" w:rsidTr="002F26D3">
        <w:trPr>
          <w:trHeight w:val="316"/>
        </w:trPr>
        <w:tc>
          <w:tcPr>
            <w:tcW w:w="1713" w:type="dxa"/>
            <w:vAlign w:val="center"/>
          </w:tcPr>
          <w:p w14:paraId="3852F2BC" w14:textId="77777777" w:rsidR="00DD4808" w:rsidRPr="00272683" w:rsidRDefault="00DD4808" w:rsidP="002F26D3">
            <w:pPr>
              <w:pStyle w:val="TableParagraph"/>
              <w:spacing w:line="360" w:lineRule="auto"/>
              <w:ind w:left="33" w:right="32"/>
              <w:jc w:val="center"/>
              <w:rPr>
                <w:b/>
                <w:bCs/>
                <w:sz w:val="24"/>
                <w:szCs w:val="24"/>
              </w:rPr>
            </w:pPr>
            <w:r w:rsidRPr="00272683">
              <w:rPr>
                <w:b/>
                <w:bCs/>
                <w:sz w:val="24"/>
                <w:szCs w:val="24"/>
              </w:rPr>
              <w:t>Sr. No.</w:t>
            </w:r>
          </w:p>
        </w:tc>
        <w:tc>
          <w:tcPr>
            <w:tcW w:w="4320" w:type="dxa"/>
            <w:vAlign w:val="center"/>
          </w:tcPr>
          <w:p w14:paraId="6136DCBA" w14:textId="77777777" w:rsidR="00DD4808" w:rsidRPr="00272683" w:rsidRDefault="00DD4808" w:rsidP="002F26D3">
            <w:pPr>
              <w:pStyle w:val="TableParagraph"/>
              <w:spacing w:line="360" w:lineRule="auto"/>
              <w:ind w:left="79"/>
              <w:jc w:val="center"/>
              <w:rPr>
                <w:b/>
                <w:bCs/>
                <w:sz w:val="24"/>
                <w:szCs w:val="24"/>
              </w:rPr>
            </w:pPr>
            <w:r w:rsidRPr="00272683">
              <w:rPr>
                <w:b/>
                <w:bCs/>
                <w:sz w:val="24"/>
                <w:szCs w:val="24"/>
              </w:rPr>
              <w:t>Technical name</w:t>
            </w:r>
          </w:p>
        </w:tc>
        <w:tc>
          <w:tcPr>
            <w:tcW w:w="2424" w:type="dxa"/>
            <w:gridSpan w:val="3"/>
            <w:vAlign w:val="center"/>
          </w:tcPr>
          <w:p w14:paraId="10BEC1E3" w14:textId="77777777" w:rsidR="00DD4808" w:rsidRPr="00272683" w:rsidRDefault="00DD4808" w:rsidP="002F26D3">
            <w:pPr>
              <w:pStyle w:val="TableParagraph"/>
              <w:spacing w:line="360" w:lineRule="auto"/>
              <w:ind w:left="90" w:right="-15"/>
              <w:jc w:val="center"/>
              <w:rPr>
                <w:b/>
                <w:bCs/>
                <w:sz w:val="24"/>
                <w:szCs w:val="24"/>
              </w:rPr>
            </w:pPr>
            <w:r w:rsidRPr="00272683">
              <w:rPr>
                <w:b/>
                <w:bCs/>
                <w:sz w:val="24"/>
                <w:szCs w:val="24"/>
              </w:rPr>
              <w:t>Per Cent Growth Inhibition (%)</w:t>
            </w:r>
          </w:p>
        </w:tc>
      </w:tr>
      <w:tr w:rsidR="00DD4808" w:rsidRPr="00203668" w14:paraId="6B460376" w14:textId="77777777" w:rsidTr="002F26D3">
        <w:trPr>
          <w:trHeight w:val="316"/>
        </w:trPr>
        <w:tc>
          <w:tcPr>
            <w:tcW w:w="6033" w:type="dxa"/>
            <w:gridSpan w:val="2"/>
          </w:tcPr>
          <w:p w14:paraId="627F1FC4" w14:textId="77777777" w:rsidR="00DD4808" w:rsidRPr="00272683" w:rsidRDefault="00DD4808" w:rsidP="002F26D3">
            <w:pPr>
              <w:pStyle w:val="TableParagraph"/>
              <w:spacing w:line="360" w:lineRule="auto"/>
              <w:ind w:left="79"/>
              <w:rPr>
                <w:b/>
                <w:bCs/>
                <w:sz w:val="24"/>
                <w:szCs w:val="24"/>
              </w:rPr>
            </w:pPr>
            <w:r w:rsidRPr="00272683">
              <w:rPr>
                <w:b/>
                <w:bCs/>
                <w:sz w:val="24"/>
                <w:szCs w:val="24"/>
              </w:rPr>
              <w:t>Concentration (ppm)</w:t>
            </w:r>
          </w:p>
        </w:tc>
        <w:tc>
          <w:tcPr>
            <w:tcW w:w="720" w:type="dxa"/>
            <w:vAlign w:val="center"/>
          </w:tcPr>
          <w:p w14:paraId="41F28BB4" w14:textId="77777777" w:rsidR="00DD4808" w:rsidRPr="00272683" w:rsidRDefault="00DD4808" w:rsidP="002F26D3">
            <w:pPr>
              <w:pStyle w:val="TableParagraph"/>
              <w:spacing w:line="360" w:lineRule="auto"/>
              <w:ind w:left="90"/>
              <w:jc w:val="center"/>
              <w:rPr>
                <w:b/>
                <w:bCs/>
                <w:sz w:val="24"/>
                <w:szCs w:val="24"/>
              </w:rPr>
            </w:pPr>
            <w:r w:rsidRPr="00272683">
              <w:rPr>
                <w:b/>
                <w:bCs/>
                <w:sz w:val="24"/>
                <w:szCs w:val="24"/>
              </w:rPr>
              <w:t>1000</w:t>
            </w:r>
          </w:p>
        </w:tc>
        <w:tc>
          <w:tcPr>
            <w:tcW w:w="900" w:type="dxa"/>
            <w:vAlign w:val="center"/>
          </w:tcPr>
          <w:p w14:paraId="10E6541B" w14:textId="77777777" w:rsidR="00DD4808" w:rsidRPr="00272683" w:rsidRDefault="00DD4808" w:rsidP="002F26D3">
            <w:pPr>
              <w:pStyle w:val="TableParagraph"/>
              <w:spacing w:line="360" w:lineRule="auto"/>
              <w:ind w:left="90" w:right="-5"/>
              <w:jc w:val="center"/>
              <w:rPr>
                <w:b/>
                <w:bCs/>
                <w:sz w:val="24"/>
                <w:szCs w:val="24"/>
              </w:rPr>
            </w:pPr>
            <w:r w:rsidRPr="00272683">
              <w:rPr>
                <w:b/>
                <w:bCs/>
                <w:sz w:val="24"/>
                <w:szCs w:val="24"/>
              </w:rPr>
              <w:t>1500</w:t>
            </w:r>
          </w:p>
        </w:tc>
        <w:tc>
          <w:tcPr>
            <w:tcW w:w="804" w:type="dxa"/>
            <w:vAlign w:val="center"/>
          </w:tcPr>
          <w:p w14:paraId="6F354FDF" w14:textId="77777777" w:rsidR="00DD4808" w:rsidRPr="00272683" w:rsidRDefault="00DD4808" w:rsidP="002F26D3">
            <w:pPr>
              <w:pStyle w:val="TableParagraph"/>
              <w:spacing w:line="360" w:lineRule="auto"/>
              <w:ind w:left="90" w:right="-15"/>
              <w:jc w:val="center"/>
              <w:rPr>
                <w:b/>
                <w:bCs/>
                <w:sz w:val="24"/>
                <w:szCs w:val="24"/>
              </w:rPr>
            </w:pPr>
            <w:r w:rsidRPr="00272683">
              <w:rPr>
                <w:b/>
                <w:bCs/>
                <w:sz w:val="24"/>
                <w:szCs w:val="24"/>
              </w:rPr>
              <w:t>2000</w:t>
            </w:r>
          </w:p>
        </w:tc>
      </w:tr>
      <w:tr w:rsidR="00DD4808" w:rsidRPr="00203668" w14:paraId="1B9B219B" w14:textId="77777777" w:rsidTr="002F26D3">
        <w:trPr>
          <w:trHeight w:val="316"/>
        </w:trPr>
        <w:tc>
          <w:tcPr>
            <w:tcW w:w="1713" w:type="dxa"/>
            <w:vAlign w:val="center"/>
          </w:tcPr>
          <w:p w14:paraId="77FFC3F8"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1</w:t>
            </w:r>
            <w:r w:rsidRPr="00272683">
              <w:rPr>
                <w:b/>
                <w:sz w:val="24"/>
                <w:szCs w:val="24"/>
              </w:rPr>
              <w:t>, T</w:t>
            </w:r>
            <w:r w:rsidRPr="00272683">
              <w:rPr>
                <w:b/>
                <w:sz w:val="24"/>
                <w:szCs w:val="24"/>
                <w:vertAlign w:val="subscript"/>
              </w:rPr>
              <w:t>2</w:t>
            </w:r>
            <w:r w:rsidRPr="00272683">
              <w:rPr>
                <w:b/>
                <w:sz w:val="24"/>
                <w:szCs w:val="24"/>
              </w:rPr>
              <w:t>, T</w:t>
            </w:r>
            <w:r w:rsidRPr="00272683">
              <w:rPr>
                <w:b/>
                <w:sz w:val="24"/>
                <w:szCs w:val="24"/>
                <w:vertAlign w:val="subscript"/>
              </w:rPr>
              <w:t>3</w:t>
            </w:r>
          </w:p>
        </w:tc>
        <w:tc>
          <w:tcPr>
            <w:tcW w:w="4320" w:type="dxa"/>
            <w:vAlign w:val="center"/>
          </w:tcPr>
          <w:p w14:paraId="2A0DF5E9" w14:textId="77777777" w:rsidR="00DD4808" w:rsidRPr="00272683" w:rsidRDefault="00DD4808" w:rsidP="002F26D3">
            <w:pPr>
              <w:pStyle w:val="TableParagraph"/>
              <w:spacing w:line="360" w:lineRule="auto"/>
              <w:ind w:left="79"/>
              <w:rPr>
                <w:sz w:val="24"/>
                <w:szCs w:val="24"/>
              </w:rPr>
            </w:pPr>
            <w:r w:rsidRPr="00272683">
              <w:rPr>
                <w:sz w:val="24"/>
                <w:szCs w:val="24"/>
              </w:rPr>
              <w:t>Azoxystrobin 23 SC</w:t>
            </w:r>
          </w:p>
        </w:tc>
        <w:tc>
          <w:tcPr>
            <w:tcW w:w="720" w:type="dxa"/>
            <w:vAlign w:val="center"/>
          </w:tcPr>
          <w:p w14:paraId="749FA603" w14:textId="77777777" w:rsidR="00DD4808" w:rsidRPr="00272683" w:rsidRDefault="00DD4808" w:rsidP="002F26D3">
            <w:pPr>
              <w:pStyle w:val="TableParagraph"/>
              <w:spacing w:line="360" w:lineRule="auto"/>
              <w:ind w:left="76"/>
              <w:jc w:val="center"/>
              <w:rPr>
                <w:sz w:val="24"/>
                <w:szCs w:val="24"/>
              </w:rPr>
            </w:pPr>
            <w:r w:rsidRPr="00272683">
              <w:rPr>
                <w:sz w:val="24"/>
                <w:szCs w:val="24"/>
              </w:rPr>
              <w:t>53.33</w:t>
            </w:r>
          </w:p>
        </w:tc>
        <w:tc>
          <w:tcPr>
            <w:tcW w:w="900" w:type="dxa"/>
            <w:vAlign w:val="center"/>
          </w:tcPr>
          <w:p w14:paraId="2BB0AE0A" w14:textId="77777777" w:rsidR="00DD4808" w:rsidRPr="00272683" w:rsidRDefault="00DD4808" w:rsidP="002F26D3">
            <w:pPr>
              <w:pStyle w:val="TableParagraph"/>
              <w:spacing w:line="360" w:lineRule="auto"/>
              <w:ind w:left="76"/>
              <w:jc w:val="center"/>
              <w:rPr>
                <w:sz w:val="24"/>
                <w:szCs w:val="24"/>
              </w:rPr>
            </w:pPr>
            <w:r w:rsidRPr="00272683">
              <w:rPr>
                <w:sz w:val="24"/>
                <w:szCs w:val="24"/>
              </w:rPr>
              <w:t>53.7</w:t>
            </w:r>
          </w:p>
        </w:tc>
        <w:tc>
          <w:tcPr>
            <w:tcW w:w="804" w:type="dxa"/>
            <w:vAlign w:val="center"/>
          </w:tcPr>
          <w:p w14:paraId="34116D4E"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59.26</w:t>
            </w:r>
          </w:p>
        </w:tc>
      </w:tr>
      <w:tr w:rsidR="00DD4808" w:rsidRPr="00203668" w14:paraId="743B4465" w14:textId="77777777" w:rsidTr="002F26D3">
        <w:trPr>
          <w:trHeight w:val="316"/>
        </w:trPr>
        <w:tc>
          <w:tcPr>
            <w:tcW w:w="1713" w:type="dxa"/>
            <w:vAlign w:val="center"/>
          </w:tcPr>
          <w:p w14:paraId="2964E9BD"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4</w:t>
            </w:r>
            <w:r w:rsidRPr="00272683">
              <w:rPr>
                <w:b/>
                <w:sz w:val="24"/>
                <w:szCs w:val="24"/>
              </w:rPr>
              <w:t>, T</w:t>
            </w:r>
            <w:r w:rsidRPr="00272683">
              <w:rPr>
                <w:b/>
                <w:sz w:val="24"/>
                <w:szCs w:val="24"/>
                <w:vertAlign w:val="subscript"/>
              </w:rPr>
              <w:t>5</w:t>
            </w:r>
            <w:r w:rsidRPr="00272683">
              <w:rPr>
                <w:b/>
                <w:sz w:val="24"/>
                <w:szCs w:val="24"/>
              </w:rPr>
              <w:t>, T</w:t>
            </w:r>
            <w:r w:rsidRPr="00272683">
              <w:rPr>
                <w:b/>
                <w:sz w:val="24"/>
                <w:szCs w:val="24"/>
                <w:vertAlign w:val="subscript"/>
              </w:rPr>
              <w:t>6</w:t>
            </w:r>
          </w:p>
        </w:tc>
        <w:tc>
          <w:tcPr>
            <w:tcW w:w="4320" w:type="dxa"/>
            <w:vAlign w:val="center"/>
          </w:tcPr>
          <w:p w14:paraId="1F67B481" w14:textId="77777777" w:rsidR="00DD4808" w:rsidRPr="00272683" w:rsidRDefault="00DD4808" w:rsidP="002F26D3">
            <w:pPr>
              <w:pStyle w:val="TableParagraph"/>
              <w:spacing w:line="360" w:lineRule="auto"/>
              <w:ind w:left="79"/>
              <w:rPr>
                <w:sz w:val="24"/>
                <w:szCs w:val="24"/>
              </w:rPr>
            </w:pPr>
            <w:r w:rsidRPr="00272683">
              <w:rPr>
                <w:sz w:val="24"/>
                <w:szCs w:val="24"/>
              </w:rPr>
              <w:t>Carbendazim 50 WP</w:t>
            </w:r>
          </w:p>
        </w:tc>
        <w:tc>
          <w:tcPr>
            <w:tcW w:w="720" w:type="dxa"/>
            <w:vAlign w:val="center"/>
          </w:tcPr>
          <w:p w14:paraId="68847F38" w14:textId="77777777" w:rsidR="00DD4808" w:rsidRPr="00272683" w:rsidRDefault="00DD4808" w:rsidP="002F26D3">
            <w:pPr>
              <w:pStyle w:val="TableParagraph"/>
              <w:spacing w:line="360" w:lineRule="auto"/>
              <w:ind w:left="76"/>
              <w:jc w:val="center"/>
              <w:rPr>
                <w:sz w:val="24"/>
                <w:szCs w:val="24"/>
              </w:rPr>
            </w:pPr>
            <w:r w:rsidRPr="00272683">
              <w:rPr>
                <w:sz w:val="24"/>
                <w:szCs w:val="24"/>
              </w:rPr>
              <w:t>55.56</w:t>
            </w:r>
          </w:p>
        </w:tc>
        <w:tc>
          <w:tcPr>
            <w:tcW w:w="900" w:type="dxa"/>
            <w:vAlign w:val="center"/>
          </w:tcPr>
          <w:p w14:paraId="3E1176B0" w14:textId="77777777" w:rsidR="00DD4808" w:rsidRPr="00272683" w:rsidRDefault="00DD4808" w:rsidP="002F26D3">
            <w:pPr>
              <w:pStyle w:val="TableParagraph"/>
              <w:spacing w:line="360" w:lineRule="auto"/>
              <w:ind w:left="76"/>
              <w:jc w:val="center"/>
              <w:rPr>
                <w:sz w:val="24"/>
                <w:szCs w:val="24"/>
              </w:rPr>
            </w:pPr>
            <w:r w:rsidRPr="00272683">
              <w:rPr>
                <w:sz w:val="24"/>
                <w:szCs w:val="24"/>
              </w:rPr>
              <w:t>57.04</w:t>
            </w:r>
          </w:p>
        </w:tc>
        <w:tc>
          <w:tcPr>
            <w:tcW w:w="804" w:type="dxa"/>
            <w:vAlign w:val="center"/>
          </w:tcPr>
          <w:p w14:paraId="3F0314A1"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62.22</w:t>
            </w:r>
          </w:p>
        </w:tc>
      </w:tr>
      <w:tr w:rsidR="00DD4808" w:rsidRPr="00203668" w14:paraId="72160253" w14:textId="77777777" w:rsidTr="002F26D3">
        <w:trPr>
          <w:trHeight w:val="316"/>
        </w:trPr>
        <w:tc>
          <w:tcPr>
            <w:tcW w:w="1713" w:type="dxa"/>
            <w:vAlign w:val="center"/>
          </w:tcPr>
          <w:p w14:paraId="20BBC3B7"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7</w:t>
            </w:r>
            <w:r w:rsidRPr="00272683">
              <w:rPr>
                <w:b/>
                <w:sz w:val="24"/>
                <w:szCs w:val="24"/>
              </w:rPr>
              <w:t>, T</w:t>
            </w:r>
            <w:r w:rsidRPr="00272683">
              <w:rPr>
                <w:b/>
                <w:sz w:val="24"/>
                <w:szCs w:val="24"/>
                <w:vertAlign w:val="subscript"/>
              </w:rPr>
              <w:t>8</w:t>
            </w:r>
            <w:r w:rsidRPr="00272683">
              <w:rPr>
                <w:b/>
                <w:sz w:val="24"/>
                <w:szCs w:val="24"/>
              </w:rPr>
              <w:t>, T</w:t>
            </w:r>
            <w:r w:rsidRPr="00272683">
              <w:rPr>
                <w:b/>
                <w:sz w:val="24"/>
                <w:szCs w:val="24"/>
                <w:vertAlign w:val="subscript"/>
              </w:rPr>
              <w:t>9</w:t>
            </w:r>
          </w:p>
        </w:tc>
        <w:tc>
          <w:tcPr>
            <w:tcW w:w="4320" w:type="dxa"/>
            <w:vAlign w:val="center"/>
          </w:tcPr>
          <w:p w14:paraId="5E50020B" w14:textId="77777777" w:rsidR="00DD4808" w:rsidRPr="00272683" w:rsidRDefault="00DD4808" w:rsidP="002F26D3">
            <w:pPr>
              <w:pStyle w:val="TableParagraph"/>
              <w:spacing w:line="360" w:lineRule="auto"/>
              <w:ind w:left="79"/>
              <w:rPr>
                <w:sz w:val="24"/>
                <w:szCs w:val="24"/>
              </w:rPr>
            </w:pPr>
            <w:r w:rsidRPr="00272683">
              <w:rPr>
                <w:sz w:val="24"/>
                <w:szCs w:val="24"/>
              </w:rPr>
              <w:t>Copper oxychloride 50 WG</w:t>
            </w:r>
          </w:p>
        </w:tc>
        <w:tc>
          <w:tcPr>
            <w:tcW w:w="720" w:type="dxa"/>
            <w:vAlign w:val="center"/>
          </w:tcPr>
          <w:p w14:paraId="3E6B5389" w14:textId="77777777" w:rsidR="00DD4808" w:rsidRPr="00272683" w:rsidRDefault="00DD4808" w:rsidP="002F26D3">
            <w:pPr>
              <w:pStyle w:val="TableParagraph"/>
              <w:spacing w:line="360" w:lineRule="auto"/>
              <w:ind w:left="76"/>
              <w:jc w:val="center"/>
              <w:rPr>
                <w:sz w:val="24"/>
                <w:szCs w:val="24"/>
              </w:rPr>
            </w:pPr>
            <w:r w:rsidRPr="00272683">
              <w:rPr>
                <w:sz w:val="24"/>
                <w:szCs w:val="24"/>
              </w:rPr>
              <w:t>65.93</w:t>
            </w:r>
          </w:p>
        </w:tc>
        <w:tc>
          <w:tcPr>
            <w:tcW w:w="900" w:type="dxa"/>
            <w:vAlign w:val="center"/>
          </w:tcPr>
          <w:p w14:paraId="36708C0E" w14:textId="77777777" w:rsidR="00DD4808" w:rsidRPr="00272683" w:rsidRDefault="00DD4808" w:rsidP="002F26D3">
            <w:pPr>
              <w:pStyle w:val="TableParagraph"/>
              <w:spacing w:line="360" w:lineRule="auto"/>
              <w:ind w:left="76"/>
              <w:jc w:val="center"/>
              <w:rPr>
                <w:sz w:val="24"/>
                <w:szCs w:val="24"/>
              </w:rPr>
            </w:pPr>
            <w:r w:rsidRPr="00272683">
              <w:rPr>
                <w:sz w:val="24"/>
                <w:szCs w:val="24"/>
              </w:rPr>
              <w:t>68.15</w:t>
            </w:r>
          </w:p>
        </w:tc>
        <w:tc>
          <w:tcPr>
            <w:tcW w:w="804" w:type="dxa"/>
            <w:vAlign w:val="center"/>
          </w:tcPr>
          <w:p w14:paraId="16B9D466"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77.04</w:t>
            </w:r>
          </w:p>
        </w:tc>
      </w:tr>
      <w:tr w:rsidR="00DD4808" w:rsidRPr="00203668" w14:paraId="6E4347F8" w14:textId="77777777" w:rsidTr="002F26D3">
        <w:trPr>
          <w:trHeight w:val="316"/>
        </w:trPr>
        <w:tc>
          <w:tcPr>
            <w:tcW w:w="1713" w:type="dxa"/>
            <w:vAlign w:val="center"/>
          </w:tcPr>
          <w:p w14:paraId="51642FF9"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10</w:t>
            </w:r>
            <w:r w:rsidRPr="00272683">
              <w:rPr>
                <w:b/>
                <w:sz w:val="24"/>
                <w:szCs w:val="24"/>
              </w:rPr>
              <w:t>, T</w:t>
            </w:r>
            <w:r w:rsidRPr="00272683">
              <w:rPr>
                <w:b/>
                <w:sz w:val="24"/>
                <w:szCs w:val="24"/>
                <w:vertAlign w:val="subscript"/>
              </w:rPr>
              <w:t>11</w:t>
            </w:r>
            <w:r w:rsidRPr="00272683">
              <w:rPr>
                <w:b/>
                <w:sz w:val="24"/>
                <w:szCs w:val="24"/>
              </w:rPr>
              <w:t>, T</w:t>
            </w:r>
            <w:r w:rsidRPr="00272683">
              <w:rPr>
                <w:b/>
                <w:sz w:val="24"/>
                <w:szCs w:val="24"/>
                <w:vertAlign w:val="subscript"/>
              </w:rPr>
              <w:t>12</w:t>
            </w:r>
          </w:p>
        </w:tc>
        <w:tc>
          <w:tcPr>
            <w:tcW w:w="4320" w:type="dxa"/>
            <w:vAlign w:val="center"/>
          </w:tcPr>
          <w:p w14:paraId="0B914D2F" w14:textId="77777777" w:rsidR="00DD4808" w:rsidRPr="00272683" w:rsidRDefault="00DD4808" w:rsidP="002F26D3">
            <w:pPr>
              <w:pStyle w:val="TableParagraph"/>
              <w:spacing w:line="360" w:lineRule="auto"/>
              <w:ind w:left="79"/>
              <w:rPr>
                <w:sz w:val="24"/>
                <w:szCs w:val="24"/>
              </w:rPr>
            </w:pPr>
            <w:r w:rsidRPr="00272683">
              <w:rPr>
                <w:sz w:val="24"/>
                <w:szCs w:val="24"/>
              </w:rPr>
              <w:t>Hexaconazole 5 EC</w:t>
            </w:r>
          </w:p>
        </w:tc>
        <w:tc>
          <w:tcPr>
            <w:tcW w:w="720" w:type="dxa"/>
            <w:vAlign w:val="center"/>
          </w:tcPr>
          <w:p w14:paraId="604AC2DD" w14:textId="77777777" w:rsidR="00DD4808" w:rsidRPr="00272683" w:rsidRDefault="00DD4808" w:rsidP="002F26D3">
            <w:pPr>
              <w:pStyle w:val="TableParagraph"/>
              <w:spacing w:line="360" w:lineRule="auto"/>
              <w:ind w:left="76"/>
              <w:jc w:val="center"/>
              <w:rPr>
                <w:sz w:val="24"/>
                <w:szCs w:val="24"/>
              </w:rPr>
            </w:pPr>
            <w:r w:rsidRPr="00272683">
              <w:rPr>
                <w:sz w:val="24"/>
                <w:szCs w:val="24"/>
              </w:rPr>
              <w:t>85.19</w:t>
            </w:r>
          </w:p>
        </w:tc>
        <w:tc>
          <w:tcPr>
            <w:tcW w:w="900" w:type="dxa"/>
            <w:vAlign w:val="center"/>
          </w:tcPr>
          <w:p w14:paraId="2F227A5E" w14:textId="77777777" w:rsidR="00DD4808" w:rsidRPr="00272683" w:rsidRDefault="00DD4808" w:rsidP="002F26D3">
            <w:pPr>
              <w:pStyle w:val="TableParagraph"/>
              <w:spacing w:line="360" w:lineRule="auto"/>
              <w:ind w:left="76"/>
              <w:jc w:val="center"/>
              <w:rPr>
                <w:sz w:val="24"/>
                <w:szCs w:val="24"/>
              </w:rPr>
            </w:pPr>
            <w:r w:rsidRPr="00272683">
              <w:rPr>
                <w:sz w:val="24"/>
                <w:szCs w:val="24"/>
              </w:rPr>
              <w:t>87.04</w:t>
            </w:r>
          </w:p>
        </w:tc>
        <w:tc>
          <w:tcPr>
            <w:tcW w:w="804" w:type="dxa"/>
            <w:vAlign w:val="center"/>
          </w:tcPr>
          <w:p w14:paraId="58BD3912"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89.70</w:t>
            </w:r>
          </w:p>
        </w:tc>
      </w:tr>
      <w:tr w:rsidR="00DD4808" w:rsidRPr="00203668" w14:paraId="354BF70D" w14:textId="77777777" w:rsidTr="002F26D3">
        <w:trPr>
          <w:trHeight w:val="318"/>
        </w:trPr>
        <w:tc>
          <w:tcPr>
            <w:tcW w:w="1713" w:type="dxa"/>
            <w:vAlign w:val="center"/>
          </w:tcPr>
          <w:p w14:paraId="262CEC88"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13</w:t>
            </w:r>
            <w:r w:rsidRPr="00272683">
              <w:rPr>
                <w:b/>
                <w:sz w:val="24"/>
                <w:szCs w:val="24"/>
              </w:rPr>
              <w:t>, T</w:t>
            </w:r>
            <w:r w:rsidRPr="00272683">
              <w:rPr>
                <w:b/>
                <w:sz w:val="24"/>
                <w:szCs w:val="24"/>
                <w:vertAlign w:val="subscript"/>
              </w:rPr>
              <w:t>14</w:t>
            </w:r>
            <w:r w:rsidRPr="00272683">
              <w:rPr>
                <w:b/>
                <w:sz w:val="24"/>
                <w:szCs w:val="24"/>
              </w:rPr>
              <w:t>,T</w:t>
            </w:r>
            <w:r w:rsidRPr="00272683">
              <w:rPr>
                <w:b/>
                <w:sz w:val="24"/>
                <w:szCs w:val="24"/>
                <w:vertAlign w:val="subscript"/>
              </w:rPr>
              <w:t>15</w:t>
            </w:r>
          </w:p>
        </w:tc>
        <w:tc>
          <w:tcPr>
            <w:tcW w:w="4320" w:type="dxa"/>
            <w:vAlign w:val="center"/>
          </w:tcPr>
          <w:p w14:paraId="247AE590" w14:textId="77777777" w:rsidR="00DD4808" w:rsidRPr="00272683" w:rsidRDefault="00DD4808" w:rsidP="002F26D3">
            <w:pPr>
              <w:pStyle w:val="TableParagraph"/>
              <w:spacing w:line="360" w:lineRule="auto"/>
              <w:ind w:left="79"/>
              <w:rPr>
                <w:sz w:val="24"/>
                <w:szCs w:val="24"/>
              </w:rPr>
            </w:pPr>
            <w:r w:rsidRPr="00272683">
              <w:rPr>
                <w:sz w:val="24"/>
                <w:szCs w:val="24"/>
              </w:rPr>
              <w:t>Propiconazole 25 EC</w:t>
            </w:r>
          </w:p>
        </w:tc>
        <w:tc>
          <w:tcPr>
            <w:tcW w:w="720" w:type="dxa"/>
            <w:vAlign w:val="center"/>
          </w:tcPr>
          <w:p w14:paraId="19C59C15" w14:textId="77777777" w:rsidR="00DD4808" w:rsidRPr="00272683" w:rsidRDefault="00DD4808" w:rsidP="002F26D3">
            <w:pPr>
              <w:pStyle w:val="TableParagraph"/>
              <w:spacing w:line="360" w:lineRule="auto"/>
              <w:ind w:left="76"/>
              <w:jc w:val="center"/>
              <w:rPr>
                <w:sz w:val="24"/>
                <w:szCs w:val="24"/>
              </w:rPr>
            </w:pPr>
            <w:r w:rsidRPr="00272683">
              <w:rPr>
                <w:sz w:val="24"/>
                <w:szCs w:val="24"/>
              </w:rPr>
              <w:t>83.70</w:t>
            </w:r>
          </w:p>
        </w:tc>
        <w:tc>
          <w:tcPr>
            <w:tcW w:w="900" w:type="dxa"/>
            <w:vAlign w:val="center"/>
          </w:tcPr>
          <w:p w14:paraId="4D019224" w14:textId="77777777" w:rsidR="00DD4808" w:rsidRPr="00272683" w:rsidRDefault="00DD4808" w:rsidP="002F26D3">
            <w:pPr>
              <w:pStyle w:val="TableParagraph"/>
              <w:spacing w:line="360" w:lineRule="auto"/>
              <w:ind w:left="76"/>
              <w:jc w:val="center"/>
              <w:rPr>
                <w:sz w:val="24"/>
                <w:szCs w:val="24"/>
              </w:rPr>
            </w:pPr>
            <w:r w:rsidRPr="00272683">
              <w:rPr>
                <w:sz w:val="24"/>
                <w:szCs w:val="24"/>
              </w:rPr>
              <w:t>84.81</w:t>
            </w:r>
          </w:p>
        </w:tc>
        <w:tc>
          <w:tcPr>
            <w:tcW w:w="804" w:type="dxa"/>
            <w:vAlign w:val="center"/>
          </w:tcPr>
          <w:p w14:paraId="505057FA"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88.59</w:t>
            </w:r>
          </w:p>
        </w:tc>
      </w:tr>
      <w:tr w:rsidR="00DD4808" w:rsidRPr="00203668" w14:paraId="3ED5733A" w14:textId="77777777" w:rsidTr="002F26D3">
        <w:trPr>
          <w:trHeight w:val="314"/>
        </w:trPr>
        <w:tc>
          <w:tcPr>
            <w:tcW w:w="1713" w:type="dxa"/>
            <w:vAlign w:val="center"/>
          </w:tcPr>
          <w:p w14:paraId="3E517069"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16</w:t>
            </w:r>
            <w:r w:rsidRPr="00272683">
              <w:rPr>
                <w:b/>
                <w:sz w:val="24"/>
                <w:szCs w:val="24"/>
              </w:rPr>
              <w:t>,T</w:t>
            </w:r>
            <w:r w:rsidRPr="00272683">
              <w:rPr>
                <w:b/>
                <w:sz w:val="24"/>
                <w:szCs w:val="24"/>
                <w:vertAlign w:val="subscript"/>
              </w:rPr>
              <w:t>17</w:t>
            </w:r>
            <w:r w:rsidRPr="00272683">
              <w:rPr>
                <w:b/>
                <w:sz w:val="24"/>
                <w:szCs w:val="24"/>
              </w:rPr>
              <w:t>, T</w:t>
            </w:r>
            <w:r w:rsidRPr="00272683">
              <w:rPr>
                <w:b/>
                <w:sz w:val="24"/>
                <w:szCs w:val="24"/>
                <w:vertAlign w:val="subscript"/>
              </w:rPr>
              <w:t>18</w:t>
            </w:r>
          </w:p>
        </w:tc>
        <w:tc>
          <w:tcPr>
            <w:tcW w:w="4320" w:type="dxa"/>
            <w:vAlign w:val="center"/>
          </w:tcPr>
          <w:p w14:paraId="555238F2" w14:textId="77777777" w:rsidR="00DD4808" w:rsidRPr="00272683" w:rsidRDefault="00DD4808" w:rsidP="002F26D3">
            <w:pPr>
              <w:pStyle w:val="TableParagraph"/>
              <w:spacing w:line="360" w:lineRule="auto"/>
              <w:ind w:left="79"/>
              <w:rPr>
                <w:sz w:val="24"/>
                <w:szCs w:val="24"/>
              </w:rPr>
            </w:pPr>
            <w:r w:rsidRPr="00272683">
              <w:rPr>
                <w:sz w:val="24"/>
                <w:szCs w:val="24"/>
              </w:rPr>
              <w:t>Sulphur 80 WP</w:t>
            </w:r>
          </w:p>
        </w:tc>
        <w:tc>
          <w:tcPr>
            <w:tcW w:w="720" w:type="dxa"/>
            <w:vAlign w:val="center"/>
          </w:tcPr>
          <w:p w14:paraId="4E5F7CB9" w14:textId="77777777" w:rsidR="00DD4808" w:rsidRPr="00272683" w:rsidRDefault="00DD4808" w:rsidP="002F26D3">
            <w:pPr>
              <w:pStyle w:val="TableParagraph"/>
              <w:spacing w:line="360" w:lineRule="auto"/>
              <w:ind w:left="76"/>
              <w:jc w:val="center"/>
              <w:rPr>
                <w:sz w:val="24"/>
                <w:szCs w:val="24"/>
              </w:rPr>
            </w:pPr>
            <w:r w:rsidRPr="00272683">
              <w:rPr>
                <w:sz w:val="24"/>
                <w:szCs w:val="24"/>
              </w:rPr>
              <w:t>56.30</w:t>
            </w:r>
          </w:p>
        </w:tc>
        <w:tc>
          <w:tcPr>
            <w:tcW w:w="900" w:type="dxa"/>
            <w:vAlign w:val="center"/>
          </w:tcPr>
          <w:p w14:paraId="404092C2" w14:textId="77777777" w:rsidR="00DD4808" w:rsidRPr="00272683" w:rsidRDefault="00DD4808" w:rsidP="002F26D3">
            <w:pPr>
              <w:pStyle w:val="TableParagraph"/>
              <w:spacing w:line="360" w:lineRule="auto"/>
              <w:ind w:left="76"/>
              <w:jc w:val="center"/>
              <w:rPr>
                <w:sz w:val="24"/>
                <w:szCs w:val="24"/>
              </w:rPr>
            </w:pPr>
            <w:r w:rsidRPr="00272683">
              <w:rPr>
                <w:sz w:val="24"/>
                <w:szCs w:val="24"/>
              </w:rPr>
              <w:t>56.67</w:t>
            </w:r>
          </w:p>
        </w:tc>
        <w:tc>
          <w:tcPr>
            <w:tcW w:w="804" w:type="dxa"/>
            <w:vAlign w:val="center"/>
          </w:tcPr>
          <w:p w14:paraId="084AF63F"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63.7</w:t>
            </w:r>
          </w:p>
        </w:tc>
      </w:tr>
      <w:tr w:rsidR="00DD4808" w:rsidRPr="00203668" w14:paraId="0089B422" w14:textId="77777777" w:rsidTr="002F26D3">
        <w:trPr>
          <w:trHeight w:val="316"/>
        </w:trPr>
        <w:tc>
          <w:tcPr>
            <w:tcW w:w="1713" w:type="dxa"/>
            <w:vAlign w:val="center"/>
          </w:tcPr>
          <w:p w14:paraId="1DB25595"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19</w:t>
            </w:r>
            <w:r w:rsidRPr="00272683">
              <w:rPr>
                <w:b/>
                <w:sz w:val="24"/>
                <w:szCs w:val="24"/>
              </w:rPr>
              <w:t>,T</w:t>
            </w:r>
            <w:r w:rsidRPr="00272683">
              <w:rPr>
                <w:b/>
                <w:sz w:val="24"/>
                <w:szCs w:val="24"/>
                <w:vertAlign w:val="subscript"/>
              </w:rPr>
              <w:t>20</w:t>
            </w:r>
            <w:r w:rsidRPr="00272683">
              <w:rPr>
                <w:b/>
                <w:sz w:val="24"/>
                <w:szCs w:val="24"/>
              </w:rPr>
              <w:t>, T</w:t>
            </w:r>
            <w:r w:rsidRPr="00272683">
              <w:rPr>
                <w:b/>
                <w:sz w:val="24"/>
                <w:szCs w:val="24"/>
                <w:vertAlign w:val="subscript"/>
              </w:rPr>
              <w:t>21</w:t>
            </w:r>
          </w:p>
        </w:tc>
        <w:tc>
          <w:tcPr>
            <w:tcW w:w="4320" w:type="dxa"/>
            <w:vAlign w:val="center"/>
          </w:tcPr>
          <w:p w14:paraId="5D8A02FA" w14:textId="77777777" w:rsidR="00DD4808" w:rsidRPr="00272683" w:rsidRDefault="00DD4808" w:rsidP="002F26D3">
            <w:pPr>
              <w:pStyle w:val="TableParagraph"/>
              <w:spacing w:line="360" w:lineRule="auto"/>
              <w:ind w:left="79"/>
              <w:rPr>
                <w:sz w:val="24"/>
                <w:szCs w:val="24"/>
              </w:rPr>
            </w:pPr>
            <w:r w:rsidRPr="00272683">
              <w:rPr>
                <w:sz w:val="24"/>
                <w:szCs w:val="24"/>
              </w:rPr>
              <w:t>Carbendazim 12% + Mancozeb 63% WP</w:t>
            </w:r>
          </w:p>
        </w:tc>
        <w:tc>
          <w:tcPr>
            <w:tcW w:w="720" w:type="dxa"/>
            <w:vAlign w:val="center"/>
          </w:tcPr>
          <w:p w14:paraId="12A12676" w14:textId="77777777" w:rsidR="00DD4808" w:rsidRPr="00272683" w:rsidRDefault="00DD4808" w:rsidP="002F26D3">
            <w:pPr>
              <w:pStyle w:val="TableParagraph"/>
              <w:spacing w:line="360" w:lineRule="auto"/>
              <w:ind w:left="76"/>
              <w:jc w:val="center"/>
              <w:rPr>
                <w:sz w:val="24"/>
                <w:szCs w:val="24"/>
              </w:rPr>
            </w:pPr>
            <w:r w:rsidRPr="00272683">
              <w:rPr>
                <w:sz w:val="24"/>
                <w:szCs w:val="24"/>
              </w:rPr>
              <w:t>75.19</w:t>
            </w:r>
          </w:p>
        </w:tc>
        <w:tc>
          <w:tcPr>
            <w:tcW w:w="900" w:type="dxa"/>
            <w:vAlign w:val="center"/>
          </w:tcPr>
          <w:p w14:paraId="4B4D3716" w14:textId="77777777" w:rsidR="00DD4808" w:rsidRPr="00272683" w:rsidRDefault="00DD4808" w:rsidP="002F26D3">
            <w:pPr>
              <w:pStyle w:val="TableParagraph"/>
              <w:spacing w:line="360" w:lineRule="auto"/>
              <w:ind w:left="76"/>
              <w:jc w:val="center"/>
              <w:rPr>
                <w:sz w:val="24"/>
                <w:szCs w:val="24"/>
              </w:rPr>
            </w:pPr>
            <w:r w:rsidRPr="00272683">
              <w:rPr>
                <w:sz w:val="24"/>
                <w:szCs w:val="24"/>
              </w:rPr>
              <w:t>86.30</w:t>
            </w:r>
          </w:p>
        </w:tc>
        <w:tc>
          <w:tcPr>
            <w:tcW w:w="804" w:type="dxa"/>
            <w:vAlign w:val="center"/>
          </w:tcPr>
          <w:p w14:paraId="6C472600"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91.48</w:t>
            </w:r>
          </w:p>
        </w:tc>
      </w:tr>
      <w:tr w:rsidR="00DD4808" w:rsidRPr="00203668" w14:paraId="0F303B49" w14:textId="77777777" w:rsidTr="002F26D3">
        <w:trPr>
          <w:trHeight w:val="319"/>
        </w:trPr>
        <w:tc>
          <w:tcPr>
            <w:tcW w:w="1713" w:type="dxa"/>
            <w:vAlign w:val="center"/>
          </w:tcPr>
          <w:p w14:paraId="3DD01FA5"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22</w:t>
            </w:r>
            <w:r w:rsidRPr="00272683">
              <w:rPr>
                <w:b/>
                <w:sz w:val="24"/>
                <w:szCs w:val="24"/>
              </w:rPr>
              <w:t>,T</w:t>
            </w:r>
            <w:r w:rsidRPr="00272683">
              <w:rPr>
                <w:b/>
                <w:sz w:val="24"/>
                <w:szCs w:val="24"/>
                <w:vertAlign w:val="subscript"/>
              </w:rPr>
              <w:t>23</w:t>
            </w:r>
            <w:r w:rsidRPr="00272683">
              <w:rPr>
                <w:b/>
                <w:sz w:val="24"/>
                <w:szCs w:val="24"/>
              </w:rPr>
              <w:t>, T</w:t>
            </w:r>
            <w:r w:rsidRPr="00272683">
              <w:rPr>
                <w:b/>
                <w:sz w:val="24"/>
                <w:szCs w:val="24"/>
                <w:vertAlign w:val="subscript"/>
              </w:rPr>
              <w:t>24</w:t>
            </w:r>
          </w:p>
        </w:tc>
        <w:tc>
          <w:tcPr>
            <w:tcW w:w="4320" w:type="dxa"/>
            <w:vAlign w:val="center"/>
          </w:tcPr>
          <w:p w14:paraId="745AC59F" w14:textId="77777777" w:rsidR="00DD4808" w:rsidRPr="00272683" w:rsidRDefault="00DD4808" w:rsidP="002F26D3">
            <w:pPr>
              <w:pStyle w:val="TableParagraph"/>
              <w:spacing w:line="360" w:lineRule="auto"/>
              <w:ind w:left="79"/>
              <w:rPr>
                <w:sz w:val="24"/>
                <w:szCs w:val="24"/>
              </w:rPr>
            </w:pPr>
            <w:r w:rsidRPr="00272683">
              <w:rPr>
                <w:sz w:val="24"/>
                <w:szCs w:val="24"/>
              </w:rPr>
              <w:t xml:space="preserve">Tebuconazole 50% + </w:t>
            </w:r>
            <w:proofErr w:type="spellStart"/>
            <w:r w:rsidRPr="00272683">
              <w:rPr>
                <w:sz w:val="24"/>
                <w:szCs w:val="24"/>
              </w:rPr>
              <w:t>Trifloxystrobin</w:t>
            </w:r>
            <w:proofErr w:type="spellEnd"/>
            <w:r w:rsidRPr="00272683">
              <w:rPr>
                <w:sz w:val="24"/>
                <w:szCs w:val="24"/>
              </w:rPr>
              <w:t xml:space="preserve"> 25% WG</w:t>
            </w:r>
          </w:p>
        </w:tc>
        <w:tc>
          <w:tcPr>
            <w:tcW w:w="720" w:type="dxa"/>
            <w:vAlign w:val="center"/>
          </w:tcPr>
          <w:p w14:paraId="595C5168" w14:textId="77777777" w:rsidR="00DD4808" w:rsidRPr="00272683" w:rsidRDefault="00DD4808" w:rsidP="002F26D3">
            <w:pPr>
              <w:pStyle w:val="TableParagraph"/>
              <w:spacing w:line="360" w:lineRule="auto"/>
              <w:ind w:left="76"/>
              <w:jc w:val="center"/>
              <w:rPr>
                <w:sz w:val="24"/>
                <w:szCs w:val="24"/>
              </w:rPr>
            </w:pPr>
            <w:r w:rsidRPr="00272683">
              <w:rPr>
                <w:sz w:val="24"/>
                <w:szCs w:val="24"/>
              </w:rPr>
              <w:t>93.70</w:t>
            </w:r>
          </w:p>
        </w:tc>
        <w:tc>
          <w:tcPr>
            <w:tcW w:w="900" w:type="dxa"/>
            <w:vAlign w:val="center"/>
          </w:tcPr>
          <w:p w14:paraId="45ABEB4E" w14:textId="77777777" w:rsidR="00DD4808" w:rsidRPr="00272683" w:rsidRDefault="00DD4808" w:rsidP="002F26D3">
            <w:pPr>
              <w:pStyle w:val="TableParagraph"/>
              <w:spacing w:line="360" w:lineRule="auto"/>
              <w:ind w:left="76"/>
              <w:jc w:val="center"/>
              <w:rPr>
                <w:sz w:val="24"/>
                <w:szCs w:val="24"/>
              </w:rPr>
            </w:pPr>
            <w:r w:rsidRPr="00272683">
              <w:rPr>
                <w:sz w:val="24"/>
                <w:szCs w:val="24"/>
              </w:rPr>
              <w:t>95.19</w:t>
            </w:r>
          </w:p>
        </w:tc>
        <w:tc>
          <w:tcPr>
            <w:tcW w:w="804" w:type="dxa"/>
            <w:vAlign w:val="center"/>
          </w:tcPr>
          <w:p w14:paraId="6F6EF815"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96.85</w:t>
            </w:r>
          </w:p>
        </w:tc>
      </w:tr>
      <w:tr w:rsidR="00DD4808" w:rsidRPr="00203668" w14:paraId="2513DFB4" w14:textId="77777777" w:rsidTr="002F26D3">
        <w:trPr>
          <w:trHeight w:val="317"/>
        </w:trPr>
        <w:tc>
          <w:tcPr>
            <w:tcW w:w="1713" w:type="dxa"/>
            <w:vAlign w:val="center"/>
          </w:tcPr>
          <w:p w14:paraId="485F2A86"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25</w:t>
            </w:r>
            <w:r w:rsidRPr="00272683">
              <w:rPr>
                <w:b/>
                <w:sz w:val="24"/>
                <w:szCs w:val="24"/>
              </w:rPr>
              <w:t>,T</w:t>
            </w:r>
            <w:r w:rsidRPr="00272683">
              <w:rPr>
                <w:b/>
                <w:sz w:val="24"/>
                <w:szCs w:val="24"/>
                <w:vertAlign w:val="subscript"/>
              </w:rPr>
              <w:t>26</w:t>
            </w:r>
            <w:r w:rsidRPr="00272683">
              <w:rPr>
                <w:b/>
                <w:sz w:val="24"/>
                <w:szCs w:val="24"/>
              </w:rPr>
              <w:t>, T</w:t>
            </w:r>
            <w:r w:rsidRPr="00272683">
              <w:rPr>
                <w:b/>
                <w:sz w:val="24"/>
                <w:szCs w:val="24"/>
                <w:vertAlign w:val="subscript"/>
              </w:rPr>
              <w:t>27</w:t>
            </w:r>
          </w:p>
        </w:tc>
        <w:tc>
          <w:tcPr>
            <w:tcW w:w="4320" w:type="dxa"/>
            <w:vAlign w:val="center"/>
          </w:tcPr>
          <w:p w14:paraId="05EF29B4" w14:textId="77777777" w:rsidR="00DD4808" w:rsidRPr="00272683" w:rsidRDefault="00DD4808" w:rsidP="002F26D3">
            <w:pPr>
              <w:pStyle w:val="TableParagraph"/>
              <w:spacing w:line="360" w:lineRule="auto"/>
              <w:ind w:left="79" w:right="-15"/>
              <w:rPr>
                <w:sz w:val="24"/>
                <w:szCs w:val="24"/>
              </w:rPr>
            </w:pPr>
            <w:r w:rsidRPr="00272683">
              <w:rPr>
                <w:sz w:val="24"/>
                <w:szCs w:val="24"/>
              </w:rPr>
              <w:t xml:space="preserve">Azoxystrobin 18.2%+ Difenoconazole </w:t>
            </w:r>
            <w:r w:rsidRPr="00272683">
              <w:rPr>
                <w:sz w:val="24"/>
                <w:szCs w:val="24"/>
              </w:rPr>
              <w:lastRenderedPageBreak/>
              <w:t>11.4% SC</w:t>
            </w:r>
          </w:p>
        </w:tc>
        <w:tc>
          <w:tcPr>
            <w:tcW w:w="720" w:type="dxa"/>
            <w:vAlign w:val="center"/>
          </w:tcPr>
          <w:p w14:paraId="431F9BC2" w14:textId="77777777" w:rsidR="00DD4808" w:rsidRPr="00272683" w:rsidRDefault="00DD4808" w:rsidP="002F26D3">
            <w:pPr>
              <w:pStyle w:val="TableParagraph"/>
              <w:spacing w:line="360" w:lineRule="auto"/>
              <w:ind w:left="76"/>
              <w:jc w:val="center"/>
              <w:rPr>
                <w:sz w:val="24"/>
                <w:szCs w:val="24"/>
              </w:rPr>
            </w:pPr>
            <w:r w:rsidRPr="00272683">
              <w:rPr>
                <w:sz w:val="24"/>
                <w:szCs w:val="24"/>
              </w:rPr>
              <w:lastRenderedPageBreak/>
              <w:t>88.15</w:t>
            </w:r>
          </w:p>
        </w:tc>
        <w:tc>
          <w:tcPr>
            <w:tcW w:w="900" w:type="dxa"/>
            <w:vAlign w:val="center"/>
          </w:tcPr>
          <w:p w14:paraId="2EA73240" w14:textId="77777777" w:rsidR="00DD4808" w:rsidRPr="00272683" w:rsidRDefault="00DD4808" w:rsidP="002F26D3">
            <w:pPr>
              <w:pStyle w:val="TableParagraph"/>
              <w:spacing w:line="360" w:lineRule="auto"/>
              <w:ind w:left="76"/>
              <w:jc w:val="center"/>
              <w:rPr>
                <w:sz w:val="24"/>
                <w:szCs w:val="24"/>
              </w:rPr>
            </w:pPr>
            <w:r w:rsidRPr="00272683">
              <w:rPr>
                <w:sz w:val="24"/>
                <w:szCs w:val="24"/>
              </w:rPr>
              <w:t>86.30</w:t>
            </w:r>
          </w:p>
        </w:tc>
        <w:tc>
          <w:tcPr>
            <w:tcW w:w="804" w:type="dxa"/>
            <w:vAlign w:val="center"/>
          </w:tcPr>
          <w:p w14:paraId="5F3F93BF"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87.04</w:t>
            </w:r>
          </w:p>
        </w:tc>
      </w:tr>
      <w:tr w:rsidR="00DD4808" w:rsidRPr="00203668" w14:paraId="4983CCD4" w14:textId="77777777" w:rsidTr="002F26D3">
        <w:trPr>
          <w:trHeight w:val="316"/>
        </w:trPr>
        <w:tc>
          <w:tcPr>
            <w:tcW w:w="1713" w:type="dxa"/>
            <w:vAlign w:val="center"/>
          </w:tcPr>
          <w:p w14:paraId="0679C3A7" w14:textId="77777777" w:rsidR="00DD4808" w:rsidRPr="00272683" w:rsidRDefault="00DD4808" w:rsidP="002F26D3">
            <w:pPr>
              <w:pStyle w:val="TableParagraph"/>
              <w:spacing w:line="360" w:lineRule="auto"/>
              <w:ind w:left="33" w:right="21"/>
              <w:jc w:val="center"/>
              <w:rPr>
                <w:sz w:val="24"/>
                <w:szCs w:val="24"/>
              </w:rPr>
            </w:pPr>
            <w:r w:rsidRPr="00272683">
              <w:rPr>
                <w:b/>
                <w:sz w:val="24"/>
                <w:szCs w:val="24"/>
              </w:rPr>
              <w:t>T</w:t>
            </w:r>
            <w:r w:rsidRPr="00272683">
              <w:rPr>
                <w:b/>
                <w:sz w:val="24"/>
                <w:szCs w:val="24"/>
                <w:vertAlign w:val="subscript"/>
              </w:rPr>
              <w:t>28</w:t>
            </w:r>
            <w:r w:rsidRPr="00272683">
              <w:rPr>
                <w:b/>
                <w:sz w:val="24"/>
                <w:szCs w:val="24"/>
              </w:rPr>
              <w:t>,T</w:t>
            </w:r>
            <w:r w:rsidRPr="00272683">
              <w:rPr>
                <w:b/>
                <w:sz w:val="24"/>
                <w:szCs w:val="24"/>
                <w:vertAlign w:val="subscript"/>
              </w:rPr>
              <w:t>29</w:t>
            </w:r>
            <w:r w:rsidRPr="00272683">
              <w:rPr>
                <w:b/>
                <w:sz w:val="24"/>
                <w:szCs w:val="24"/>
              </w:rPr>
              <w:t>, T</w:t>
            </w:r>
            <w:r w:rsidRPr="00272683">
              <w:rPr>
                <w:b/>
                <w:sz w:val="24"/>
                <w:szCs w:val="24"/>
                <w:vertAlign w:val="subscript"/>
              </w:rPr>
              <w:t>30</w:t>
            </w:r>
          </w:p>
        </w:tc>
        <w:tc>
          <w:tcPr>
            <w:tcW w:w="4320" w:type="dxa"/>
            <w:vAlign w:val="center"/>
          </w:tcPr>
          <w:p w14:paraId="0853872F" w14:textId="77777777" w:rsidR="00DD4808" w:rsidRPr="00272683" w:rsidRDefault="00DD4808" w:rsidP="002F26D3">
            <w:pPr>
              <w:pStyle w:val="TableParagraph"/>
              <w:spacing w:line="360" w:lineRule="auto"/>
              <w:ind w:left="79"/>
              <w:rPr>
                <w:sz w:val="24"/>
                <w:szCs w:val="24"/>
              </w:rPr>
            </w:pPr>
            <w:r w:rsidRPr="00272683">
              <w:rPr>
                <w:sz w:val="24"/>
                <w:szCs w:val="24"/>
              </w:rPr>
              <w:t>Carbendazim 25% + Flusilazole 12.5% SE</w:t>
            </w:r>
          </w:p>
        </w:tc>
        <w:tc>
          <w:tcPr>
            <w:tcW w:w="720" w:type="dxa"/>
            <w:vAlign w:val="center"/>
          </w:tcPr>
          <w:p w14:paraId="0775BB51" w14:textId="77777777" w:rsidR="00DD4808" w:rsidRPr="00272683" w:rsidRDefault="00DD4808" w:rsidP="002F26D3">
            <w:pPr>
              <w:pStyle w:val="TableParagraph"/>
              <w:spacing w:line="360" w:lineRule="auto"/>
              <w:ind w:left="76"/>
              <w:jc w:val="center"/>
              <w:rPr>
                <w:sz w:val="24"/>
                <w:szCs w:val="24"/>
              </w:rPr>
            </w:pPr>
            <w:r w:rsidRPr="00272683">
              <w:rPr>
                <w:sz w:val="24"/>
                <w:szCs w:val="24"/>
              </w:rPr>
              <w:t>100.00</w:t>
            </w:r>
          </w:p>
        </w:tc>
        <w:tc>
          <w:tcPr>
            <w:tcW w:w="900" w:type="dxa"/>
            <w:vAlign w:val="center"/>
          </w:tcPr>
          <w:p w14:paraId="4A9FD077" w14:textId="77777777" w:rsidR="00DD4808" w:rsidRPr="00272683" w:rsidRDefault="00DD4808" w:rsidP="002F26D3">
            <w:pPr>
              <w:pStyle w:val="TableParagraph"/>
              <w:spacing w:line="360" w:lineRule="auto"/>
              <w:ind w:left="76"/>
              <w:jc w:val="center"/>
              <w:rPr>
                <w:sz w:val="24"/>
                <w:szCs w:val="24"/>
              </w:rPr>
            </w:pPr>
            <w:r w:rsidRPr="00272683">
              <w:rPr>
                <w:sz w:val="24"/>
                <w:szCs w:val="24"/>
              </w:rPr>
              <w:t>100.00</w:t>
            </w:r>
          </w:p>
        </w:tc>
        <w:tc>
          <w:tcPr>
            <w:tcW w:w="804" w:type="dxa"/>
            <w:vAlign w:val="center"/>
          </w:tcPr>
          <w:p w14:paraId="700D4E5A"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100.00</w:t>
            </w:r>
          </w:p>
        </w:tc>
      </w:tr>
      <w:tr w:rsidR="00DD4808" w:rsidRPr="00203668" w14:paraId="6DC73A15" w14:textId="77777777" w:rsidTr="002F26D3">
        <w:trPr>
          <w:trHeight w:val="314"/>
        </w:trPr>
        <w:tc>
          <w:tcPr>
            <w:tcW w:w="1713" w:type="dxa"/>
            <w:vAlign w:val="center"/>
          </w:tcPr>
          <w:p w14:paraId="6055BDDA" w14:textId="77777777" w:rsidR="00DD4808" w:rsidRPr="00272683" w:rsidRDefault="00DD4808" w:rsidP="002F26D3">
            <w:pPr>
              <w:pStyle w:val="TableParagraph"/>
              <w:spacing w:line="360" w:lineRule="auto"/>
              <w:ind w:left="33" w:right="21"/>
              <w:jc w:val="center"/>
              <w:rPr>
                <w:sz w:val="24"/>
                <w:szCs w:val="24"/>
              </w:rPr>
            </w:pPr>
            <w:r w:rsidRPr="00272683">
              <w:rPr>
                <w:b/>
                <w:sz w:val="24"/>
                <w:szCs w:val="24"/>
              </w:rPr>
              <w:t>T</w:t>
            </w:r>
            <w:r w:rsidRPr="00272683">
              <w:rPr>
                <w:b/>
                <w:sz w:val="24"/>
                <w:szCs w:val="24"/>
                <w:vertAlign w:val="subscript"/>
              </w:rPr>
              <w:t>31</w:t>
            </w:r>
            <w:r w:rsidRPr="00272683">
              <w:rPr>
                <w:b/>
                <w:sz w:val="24"/>
                <w:szCs w:val="24"/>
              </w:rPr>
              <w:t>,T</w:t>
            </w:r>
            <w:r w:rsidRPr="00272683">
              <w:rPr>
                <w:b/>
                <w:sz w:val="24"/>
                <w:szCs w:val="24"/>
                <w:vertAlign w:val="subscript"/>
              </w:rPr>
              <w:t>32</w:t>
            </w:r>
            <w:r w:rsidRPr="00272683">
              <w:rPr>
                <w:b/>
                <w:sz w:val="24"/>
                <w:szCs w:val="24"/>
              </w:rPr>
              <w:t>, T</w:t>
            </w:r>
            <w:r w:rsidRPr="00272683">
              <w:rPr>
                <w:b/>
                <w:sz w:val="24"/>
                <w:szCs w:val="24"/>
                <w:vertAlign w:val="subscript"/>
              </w:rPr>
              <w:t>33</w:t>
            </w:r>
          </w:p>
        </w:tc>
        <w:tc>
          <w:tcPr>
            <w:tcW w:w="4320" w:type="dxa"/>
            <w:vAlign w:val="center"/>
          </w:tcPr>
          <w:p w14:paraId="5461300E" w14:textId="77777777" w:rsidR="00DD4808" w:rsidRPr="00272683" w:rsidRDefault="00DD4808" w:rsidP="002F26D3">
            <w:pPr>
              <w:pStyle w:val="TableParagraph"/>
              <w:spacing w:line="360" w:lineRule="auto"/>
              <w:ind w:left="79"/>
              <w:rPr>
                <w:sz w:val="24"/>
                <w:szCs w:val="24"/>
              </w:rPr>
            </w:pPr>
            <w:proofErr w:type="spellStart"/>
            <w:r w:rsidRPr="00272683">
              <w:rPr>
                <w:sz w:val="24"/>
                <w:szCs w:val="24"/>
              </w:rPr>
              <w:t>Fluopyram</w:t>
            </w:r>
            <w:proofErr w:type="spellEnd"/>
            <w:r w:rsidRPr="00272683">
              <w:rPr>
                <w:sz w:val="24"/>
                <w:szCs w:val="24"/>
              </w:rPr>
              <w:t xml:space="preserve"> 17.7% + Tebuconazole 17.7% SC</w:t>
            </w:r>
          </w:p>
        </w:tc>
        <w:tc>
          <w:tcPr>
            <w:tcW w:w="720" w:type="dxa"/>
            <w:vAlign w:val="center"/>
          </w:tcPr>
          <w:p w14:paraId="2F7D7D73" w14:textId="77777777" w:rsidR="00DD4808" w:rsidRPr="00272683" w:rsidRDefault="00DD4808" w:rsidP="002F26D3">
            <w:pPr>
              <w:pStyle w:val="TableParagraph"/>
              <w:spacing w:line="360" w:lineRule="auto"/>
              <w:ind w:left="76"/>
              <w:jc w:val="center"/>
              <w:rPr>
                <w:sz w:val="24"/>
                <w:szCs w:val="24"/>
              </w:rPr>
            </w:pPr>
            <w:r w:rsidRPr="00272683">
              <w:rPr>
                <w:sz w:val="24"/>
                <w:szCs w:val="24"/>
              </w:rPr>
              <w:t>100.00</w:t>
            </w:r>
          </w:p>
        </w:tc>
        <w:tc>
          <w:tcPr>
            <w:tcW w:w="900" w:type="dxa"/>
            <w:vAlign w:val="center"/>
          </w:tcPr>
          <w:p w14:paraId="7C4281FC" w14:textId="77777777" w:rsidR="00DD4808" w:rsidRPr="00272683" w:rsidRDefault="00DD4808" w:rsidP="002F26D3">
            <w:pPr>
              <w:pStyle w:val="TableParagraph"/>
              <w:spacing w:line="360" w:lineRule="auto"/>
              <w:ind w:left="76"/>
              <w:jc w:val="center"/>
              <w:rPr>
                <w:sz w:val="24"/>
                <w:szCs w:val="24"/>
              </w:rPr>
            </w:pPr>
            <w:r w:rsidRPr="00272683">
              <w:rPr>
                <w:sz w:val="24"/>
                <w:szCs w:val="24"/>
              </w:rPr>
              <w:t>100.00</w:t>
            </w:r>
          </w:p>
        </w:tc>
        <w:tc>
          <w:tcPr>
            <w:tcW w:w="804" w:type="dxa"/>
            <w:vAlign w:val="center"/>
          </w:tcPr>
          <w:p w14:paraId="1E819F41"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100.00</w:t>
            </w:r>
          </w:p>
        </w:tc>
      </w:tr>
      <w:tr w:rsidR="00DD4808" w:rsidRPr="00203668" w14:paraId="264A8997" w14:textId="77777777" w:rsidTr="002F26D3">
        <w:trPr>
          <w:trHeight w:val="321"/>
        </w:trPr>
        <w:tc>
          <w:tcPr>
            <w:tcW w:w="1713" w:type="dxa"/>
            <w:vAlign w:val="center"/>
          </w:tcPr>
          <w:p w14:paraId="0F0C1DAF" w14:textId="77777777" w:rsidR="00DD4808" w:rsidRPr="00272683" w:rsidRDefault="00DD4808" w:rsidP="002F26D3">
            <w:pPr>
              <w:pStyle w:val="TableParagraph"/>
              <w:spacing w:line="360" w:lineRule="auto"/>
              <w:ind w:left="33" w:right="21"/>
              <w:jc w:val="center"/>
              <w:rPr>
                <w:sz w:val="24"/>
                <w:szCs w:val="24"/>
              </w:rPr>
            </w:pPr>
            <w:r w:rsidRPr="00272683">
              <w:rPr>
                <w:b/>
                <w:sz w:val="24"/>
                <w:szCs w:val="24"/>
              </w:rPr>
              <w:t>T</w:t>
            </w:r>
            <w:r w:rsidRPr="00272683">
              <w:rPr>
                <w:b/>
                <w:sz w:val="24"/>
                <w:szCs w:val="24"/>
                <w:vertAlign w:val="subscript"/>
              </w:rPr>
              <w:t>34</w:t>
            </w:r>
          </w:p>
        </w:tc>
        <w:tc>
          <w:tcPr>
            <w:tcW w:w="4320" w:type="dxa"/>
            <w:vAlign w:val="center"/>
          </w:tcPr>
          <w:p w14:paraId="5EDB8555" w14:textId="77777777" w:rsidR="00DD4808" w:rsidRPr="00272683" w:rsidRDefault="00DD4808" w:rsidP="002F26D3">
            <w:pPr>
              <w:pStyle w:val="TableParagraph"/>
              <w:spacing w:line="360" w:lineRule="auto"/>
              <w:ind w:left="79"/>
              <w:rPr>
                <w:sz w:val="24"/>
                <w:szCs w:val="24"/>
              </w:rPr>
            </w:pPr>
            <w:r w:rsidRPr="00272683">
              <w:rPr>
                <w:sz w:val="24"/>
                <w:szCs w:val="24"/>
              </w:rPr>
              <w:t>Control</w:t>
            </w:r>
          </w:p>
        </w:tc>
        <w:tc>
          <w:tcPr>
            <w:tcW w:w="720" w:type="dxa"/>
            <w:vAlign w:val="center"/>
          </w:tcPr>
          <w:p w14:paraId="26970804" w14:textId="77777777" w:rsidR="00DD4808" w:rsidRPr="00272683" w:rsidRDefault="00DD4808" w:rsidP="002F26D3">
            <w:pPr>
              <w:pStyle w:val="TableParagraph"/>
              <w:spacing w:line="360" w:lineRule="auto"/>
              <w:ind w:left="76"/>
              <w:jc w:val="center"/>
              <w:rPr>
                <w:sz w:val="24"/>
                <w:szCs w:val="24"/>
              </w:rPr>
            </w:pPr>
            <w:r w:rsidRPr="00272683">
              <w:rPr>
                <w:sz w:val="24"/>
                <w:szCs w:val="24"/>
              </w:rPr>
              <w:t>0.00</w:t>
            </w:r>
          </w:p>
        </w:tc>
        <w:tc>
          <w:tcPr>
            <w:tcW w:w="900" w:type="dxa"/>
            <w:vAlign w:val="center"/>
          </w:tcPr>
          <w:p w14:paraId="0B1B37C8" w14:textId="77777777" w:rsidR="00DD4808" w:rsidRPr="00272683" w:rsidRDefault="00DD4808" w:rsidP="002F26D3">
            <w:pPr>
              <w:pStyle w:val="TableParagraph"/>
              <w:spacing w:line="360" w:lineRule="auto"/>
              <w:ind w:left="76"/>
              <w:jc w:val="center"/>
              <w:rPr>
                <w:sz w:val="24"/>
                <w:szCs w:val="24"/>
              </w:rPr>
            </w:pPr>
            <w:r w:rsidRPr="00272683">
              <w:rPr>
                <w:sz w:val="24"/>
                <w:szCs w:val="24"/>
              </w:rPr>
              <w:t>0.00</w:t>
            </w:r>
          </w:p>
        </w:tc>
        <w:tc>
          <w:tcPr>
            <w:tcW w:w="804" w:type="dxa"/>
            <w:vAlign w:val="center"/>
          </w:tcPr>
          <w:p w14:paraId="2E379B38" w14:textId="77777777" w:rsidR="00DD4808" w:rsidRPr="00272683" w:rsidRDefault="00DD4808" w:rsidP="002F26D3">
            <w:pPr>
              <w:pStyle w:val="TableParagraph"/>
              <w:spacing w:line="360" w:lineRule="auto"/>
              <w:ind w:left="76"/>
              <w:jc w:val="center"/>
              <w:rPr>
                <w:sz w:val="24"/>
                <w:szCs w:val="24"/>
              </w:rPr>
            </w:pPr>
            <w:r w:rsidRPr="00272683">
              <w:rPr>
                <w:sz w:val="24"/>
                <w:szCs w:val="24"/>
              </w:rPr>
              <w:t>0.00</w:t>
            </w:r>
          </w:p>
        </w:tc>
      </w:tr>
    </w:tbl>
    <w:p w14:paraId="148D1BF5" w14:textId="77777777" w:rsidR="00DD4808" w:rsidRPr="00DD4808" w:rsidRDefault="00DD4808" w:rsidP="00DD4808">
      <w:pPr>
        <w:tabs>
          <w:tab w:val="left" w:pos="1484"/>
        </w:tabs>
        <w:spacing w:line="360" w:lineRule="auto"/>
        <w:rPr>
          <w:rFonts w:ascii="Times New Roman" w:hAnsi="Times New Roman" w:cs="Times New Roman"/>
          <w:b/>
          <w:bCs/>
          <w:color w:val="FF0000"/>
          <w:sz w:val="24"/>
          <w:szCs w:val="24"/>
        </w:rPr>
      </w:pPr>
    </w:p>
    <w:p w14:paraId="04763F07" w14:textId="77777777" w:rsidR="00DD4808" w:rsidRDefault="00DD4808" w:rsidP="00DD4808">
      <w:pPr>
        <w:spacing w:after="0" w:line="360" w:lineRule="auto"/>
        <w:ind w:left="1170" w:hanging="1080"/>
        <w:jc w:val="both"/>
        <w:rPr>
          <w:rFonts w:ascii="Times New Roman" w:hAnsi="Times New Roman" w:cs="Times New Roman"/>
          <w:sz w:val="24"/>
          <w:szCs w:val="24"/>
        </w:rPr>
      </w:pPr>
    </w:p>
    <w:p w14:paraId="475CABC9"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4937195B"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61D4A201"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3557FA6C"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0B2ED6F5"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1EF920B0"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5667D5CE" w14:textId="77777777" w:rsidR="00C0165F" w:rsidRDefault="00C0165F" w:rsidP="00DD4808">
      <w:pPr>
        <w:spacing w:after="0" w:line="360" w:lineRule="auto"/>
        <w:ind w:left="1170" w:hanging="1080"/>
        <w:jc w:val="both"/>
        <w:rPr>
          <w:rFonts w:ascii="Times New Roman" w:hAnsi="Times New Roman" w:cs="Times New Roman"/>
          <w:sz w:val="24"/>
          <w:szCs w:val="24"/>
        </w:rPr>
      </w:pPr>
    </w:p>
    <w:sectPr w:rsidR="00C016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04E8F" w14:textId="77777777" w:rsidR="00FE412A" w:rsidRDefault="00FE412A" w:rsidP="00E11295">
      <w:pPr>
        <w:spacing w:after="0" w:line="240" w:lineRule="auto"/>
      </w:pPr>
      <w:r>
        <w:separator/>
      </w:r>
    </w:p>
  </w:endnote>
  <w:endnote w:type="continuationSeparator" w:id="0">
    <w:p w14:paraId="7C4BD996" w14:textId="77777777" w:rsidR="00FE412A" w:rsidRDefault="00FE412A" w:rsidP="00E1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4BC7" w14:textId="77777777" w:rsidR="00E11295" w:rsidRDefault="00E11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F313B" w14:textId="77777777" w:rsidR="00E11295" w:rsidRDefault="00E11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B244" w14:textId="77777777" w:rsidR="00E11295" w:rsidRDefault="00E11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B9AE0" w14:textId="77777777" w:rsidR="00FE412A" w:rsidRDefault="00FE412A" w:rsidP="00E11295">
      <w:pPr>
        <w:spacing w:after="0" w:line="240" w:lineRule="auto"/>
      </w:pPr>
      <w:r>
        <w:separator/>
      </w:r>
    </w:p>
  </w:footnote>
  <w:footnote w:type="continuationSeparator" w:id="0">
    <w:p w14:paraId="487A2765" w14:textId="77777777" w:rsidR="00FE412A" w:rsidRDefault="00FE412A" w:rsidP="00E11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78A9A" w14:textId="6525B30F" w:rsidR="00E11295" w:rsidRDefault="00FE412A">
    <w:pPr>
      <w:pStyle w:val="Header"/>
    </w:pPr>
    <w:r>
      <w:rPr>
        <w:noProof/>
      </w:rPr>
      <w:pict w14:anchorId="17EC7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73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67D5" w14:textId="6A5F4977" w:rsidR="00E11295" w:rsidRDefault="00FE412A">
    <w:pPr>
      <w:pStyle w:val="Header"/>
    </w:pPr>
    <w:r>
      <w:rPr>
        <w:noProof/>
      </w:rPr>
      <w:pict w14:anchorId="4A744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73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0894" w14:textId="28DE3F7A" w:rsidR="00E11295" w:rsidRDefault="00FE412A">
    <w:pPr>
      <w:pStyle w:val="Header"/>
    </w:pPr>
    <w:r>
      <w:rPr>
        <w:noProof/>
      </w:rPr>
      <w:pict w14:anchorId="06B35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73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S0MDc1MjU0tDAwMbZU0lEKTi0uzszPAykwrAUAP+PLKywAAAA="/>
  </w:docVars>
  <w:rsids>
    <w:rsidRoot w:val="00891122"/>
    <w:rsid w:val="000503B5"/>
    <w:rsid w:val="0006392F"/>
    <w:rsid w:val="00065196"/>
    <w:rsid w:val="0008104C"/>
    <w:rsid w:val="000C1B7F"/>
    <w:rsid w:val="000C6890"/>
    <w:rsid w:val="000F6F40"/>
    <w:rsid w:val="00190C0B"/>
    <w:rsid w:val="00194330"/>
    <w:rsid w:val="00206667"/>
    <w:rsid w:val="00251913"/>
    <w:rsid w:val="002E2CCC"/>
    <w:rsid w:val="00366F55"/>
    <w:rsid w:val="003833DC"/>
    <w:rsid w:val="003A3945"/>
    <w:rsid w:val="003B5F1D"/>
    <w:rsid w:val="003F6387"/>
    <w:rsid w:val="00525B05"/>
    <w:rsid w:val="00540FAD"/>
    <w:rsid w:val="005428CF"/>
    <w:rsid w:val="0054301D"/>
    <w:rsid w:val="005456CC"/>
    <w:rsid w:val="00581478"/>
    <w:rsid w:val="006348F2"/>
    <w:rsid w:val="00664684"/>
    <w:rsid w:val="007913E7"/>
    <w:rsid w:val="007A54C0"/>
    <w:rsid w:val="007C55E6"/>
    <w:rsid w:val="0081198A"/>
    <w:rsid w:val="00835E3C"/>
    <w:rsid w:val="0086213A"/>
    <w:rsid w:val="00863C95"/>
    <w:rsid w:val="00891122"/>
    <w:rsid w:val="0089311A"/>
    <w:rsid w:val="00985090"/>
    <w:rsid w:val="009F140B"/>
    <w:rsid w:val="00A44882"/>
    <w:rsid w:val="00AA5741"/>
    <w:rsid w:val="00B70F94"/>
    <w:rsid w:val="00C0165F"/>
    <w:rsid w:val="00C519DE"/>
    <w:rsid w:val="00C7742E"/>
    <w:rsid w:val="00C93DBE"/>
    <w:rsid w:val="00D54BB0"/>
    <w:rsid w:val="00D968FB"/>
    <w:rsid w:val="00DA04DC"/>
    <w:rsid w:val="00DD4808"/>
    <w:rsid w:val="00E11295"/>
    <w:rsid w:val="00E163F8"/>
    <w:rsid w:val="00E30857"/>
    <w:rsid w:val="00E342A1"/>
    <w:rsid w:val="00E6748C"/>
    <w:rsid w:val="00E84694"/>
    <w:rsid w:val="00ED386D"/>
    <w:rsid w:val="00F11B68"/>
    <w:rsid w:val="00F41BA3"/>
    <w:rsid w:val="00F43AD2"/>
    <w:rsid w:val="00F60FE7"/>
    <w:rsid w:val="00F611E0"/>
    <w:rsid w:val="00F648D7"/>
    <w:rsid w:val="00FA74BD"/>
    <w:rsid w:val="00FD67C6"/>
    <w:rsid w:val="00FD722B"/>
    <w:rsid w:val="00FE412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1B2BB8"/>
  <w15:docId w15:val="{D6F109F9-2CBD-43F0-B6B4-A305E354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C93DBE"/>
    <w:pPr>
      <w:widowControl w:val="0"/>
      <w:autoSpaceDE w:val="0"/>
      <w:autoSpaceDN w:val="0"/>
      <w:spacing w:after="0" w:line="240" w:lineRule="auto"/>
      <w:ind w:left="100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51913"/>
    <w:rPr>
      <w:i/>
      <w:iCs/>
    </w:rPr>
  </w:style>
  <w:style w:type="paragraph" w:styleId="BodyText">
    <w:name w:val="Body Text"/>
    <w:basedOn w:val="Normal"/>
    <w:link w:val="BodyTextChar"/>
    <w:uiPriority w:val="1"/>
    <w:qFormat/>
    <w:rsid w:val="00251913"/>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5191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0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C0B"/>
    <w:rPr>
      <w:rFonts w:ascii="Tahoma" w:hAnsi="Tahoma" w:cs="Tahoma"/>
      <w:sz w:val="16"/>
      <w:szCs w:val="16"/>
    </w:rPr>
  </w:style>
  <w:style w:type="paragraph" w:customStyle="1" w:styleId="TableParagraph">
    <w:name w:val="Table Paragraph"/>
    <w:basedOn w:val="Normal"/>
    <w:uiPriority w:val="1"/>
    <w:qFormat/>
    <w:rsid w:val="00FD67C6"/>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DA04DC"/>
    <w:rPr>
      <w:color w:val="0000FF" w:themeColor="hyperlink"/>
      <w:u w:val="single"/>
    </w:rPr>
  </w:style>
  <w:style w:type="paragraph" w:styleId="NormalWeb">
    <w:name w:val="Normal (Web)"/>
    <w:basedOn w:val="Normal"/>
    <w:uiPriority w:val="99"/>
    <w:semiHidden/>
    <w:unhideWhenUsed/>
    <w:rsid w:val="00C519DE"/>
    <w:pPr>
      <w:spacing w:before="100" w:beforeAutospacing="1" w:after="100" w:afterAutospacing="1" w:line="240" w:lineRule="auto"/>
    </w:pPr>
    <w:rPr>
      <w:rFonts w:ascii="Times New Roman" w:eastAsia="Times New Roman" w:hAnsi="Times New Roman" w:cs="Times New Roman"/>
      <w:sz w:val="24"/>
      <w:szCs w:val="24"/>
      <w:lang w:bidi="gu-IN"/>
    </w:rPr>
  </w:style>
  <w:style w:type="paragraph" w:styleId="ListParagraph">
    <w:name w:val="List Paragraph"/>
    <w:basedOn w:val="Normal"/>
    <w:uiPriority w:val="1"/>
    <w:qFormat/>
    <w:rsid w:val="000C6890"/>
    <w:pPr>
      <w:widowControl w:val="0"/>
      <w:autoSpaceDE w:val="0"/>
      <w:autoSpaceDN w:val="0"/>
      <w:spacing w:after="0" w:line="240" w:lineRule="auto"/>
      <w:ind w:left="1000" w:hanging="361"/>
    </w:pPr>
    <w:rPr>
      <w:rFonts w:ascii="Times New Roman" w:eastAsia="Times New Roman" w:hAnsi="Times New Roman" w:cs="Times New Roman"/>
    </w:rPr>
  </w:style>
  <w:style w:type="table" w:styleId="TableGrid">
    <w:name w:val="Table Grid"/>
    <w:basedOn w:val="TableNormal"/>
    <w:uiPriority w:val="39"/>
    <w:rsid w:val="000C6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93DBE"/>
    <w:rPr>
      <w:rFonts w:ascii="Times New Roman" w:eastAsia="Times New Roman" w:hAnsi="Times New Roman" w:cs="Times New Roman"/>
      <w:b/>
      <w:bCs/>
      <w:sz w:val="24"/>
      <w:szCs w:val="24"/>
    </w:rPr>
  </w:style>
  <w:style w:type="character" w:customStyle="1" w:styleId="UnresolvedMention1">
    <w:name w:val="Unresolved Mention1"/>
    <w:basedOn w:val="DefaultParagraphFont"/>
    <w:uiPriority w:val="99"/>
    <w:semiHidden/>
    <w:unhideWhenUsed/>
    <w:rsid w:val="005456CC"/>
    <w:rPr>
      <w:color w:val="605E5C"/>
      <w:shd w:val="clear" w:color="auto" w:fill="E1DFDD"/>
    </w:rPr>
  </w:style>
  <w:style w:type="paragraph" w:styleId="Header">
    <w:name w:val="header"/>
    <w:basedOn w:val="Normal"/>
    <w:link w:val="HeaderChar"/>
    <w:uiPriority w:val="99"/>
    <w:unhideWhenUsed/>
    <w:rsid w:val="00E11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295"/>
  </w:style>
  <w:style w:type="paragraph" w:styleId="Footer">
    <w:name w:val="footer"/>
    <w:basedOn w:val="Normal"/>
    <w:link w:val="FooterChar"/>
    <w:uiPriority w:val="99"/>
    <w:unhideWhenUsed/>
    <w:rsid w:val="00E11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09838">
      <w:bodyDiv w:val="1"/>
      <w:marLeft w:val="0"/>
      <w:marRight w:val="0"/>
      <w:marTop w:val="0"/>
      <w:marBottom w:val="0"/>
      <w:divBdr>
        <w:top w:val="none" w:sz="0" w:space="0" w:color="auto"/>
        <w:left w:val="none" w:sz="0" w:space="0" w:color="auto"/>
        <w:bottom w:val="none" w:sz="0" w:space="0" w:color="auto"/>
        <w:right w:val="none" w:sz="0" w:space="0" w:color="auto"/>
      </w:divBdr>
    </w:div>
    <w:div w:id="889536263">
      <w:bodyDiv w:val="1"/>
      <w:marLeft w:val="0"/>
      <w:marRight w:val="0"/>
      <w:marTop w:val="0"/>
      <w:marBottom w:val="0"/>
      <w:divBdr>
        <w:top w:val="none" w:sz="0" w:space="0" w:color="auto"/>
        <w:left w:val="none" w:sz="0" w:space="0" w:color="auto"/>
        <w:bottom w:val="none" w:sz="0" w:space="0" w:color="auto"/>
        <w:right w:val="none" w:sz="0" w:space="0" w:color="auto"/>
      </w:divBdr>
    </w:div>
    <w:div w:id="890073514">
      <w:bodyDiv w:val="1"/>
      <w:marLeft w:val="0"/>
      <w:marRight w:val="0"/>
      <w:marTop w:val="0"/>
      <w:marBottom w:val="0"/>
      <w:divBdr>
        <w:top w:val="none" w:sz="0" w:space="0" w:color="auto"/>
        <w:left w:val="none" w:sz="0" w:space="0" w:color="auto"/>
        <w:bottom w:val="none" w:sz="0" w:space="0" w:color="auto"/>
        <w:right w:val="none" w:sz="0" w:space="0" w:color="auto"/>
      </w:divBdr>
    </w:div>
    <w:div w:id="891309903">
      <w:bodyDiv w:val="1"/>
      <w:marLeft w:val="0"/>
      <w:marRight w:val="0"/>
      <w:marTop w:val="0"/>
      <w:marBottom w:val="0"/>
      <w:divBdr>
        <w:top w:val="none" w:sz="0" w:space="0" w:color="auto"/>
        <w:left w:val="none" w:sz="0" w:space="0" w:color="auto"/>
        <w:bottom w:val="none" w:sz="0" w:space="0" w:color="auto"/>
        <w:right w:val="none" w:sz="0" w:space="0" w:color="auto"/>
      </w:divBdr>
    </w:div>
    <w:div w:id="1601258899">
      <w:bodyDiv w:val="1"/>
      <w:marLeft w:val="0"/>
      <w:marRight w:val="0"/>
      <w:marTop w:val="0"/>
      <w:marBottom w:val="0"/>
      <w:divBdr>
        <w:top w:val="none" w:sz="0" w:space="0" w:color="auto"/>
        <w:left w:val="none" w:sz="0" w:space="0" w:color="auto"/>
        <w:bottom w:val="none" w:sz="0" w:space="0" w:color="auto"/>
        <w:right w:val="none" w:sz="0" w:space="0" w:color="auto"/>
      </w:divBdr>
    </w:div>
    <w:div w:id="21196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11</Pages>
  <Words>3630</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KVK BMV</dc:creator>
  <cp:lastModifiedBy>SDI 1089</cp:lastModifiedBy>
  <cp:revision>48</cp:revision>
  <cp:lastPrinted>2025-08-07T09:53:00Z</cp:lastPrinted>
  <dcterms:created xsi:type="dcterms:W3CDTF">2025-08-06T05:21:00Z</dcterms:created>
  <dcterms:modified xsi:type="dcterms:W3CDTF">2025-08-27T06:33:00Z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fbd62190-5ab2-42bb-8b78-b5c9e396b71c</vt:lpwstr>
  </property>
</Properties>
</file>