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754C9A" w:rsidP="00441B6F">
      <w:pPr>
        <w:pStyle w:val="Title"/>
        <w:spacing w:after="0"/>
        <w:jc w:val="both"/>
        <w:rPr>
          <w:rFonts w:ascii="Arial" w:hAnsi="Arial" w:cs="Arial"/>
        </w:rPr>
      </w:pPr>
    </w:p>
    <w:p w:rsidR="00671EF0" w:rsidRPr="009B18D0" w:rsidRDefault="009012D1" w:rsidP="00671EF0">
      <w:pPr>
        <w:rPr>
          <w:rFonts w:ascii="Arial" w:hAnsi="Arial" w:cs="Arial"/>
          <w:b/>
          <w:bCs/>
          <w:sz w:val="36"/>
          <w:szCs w:val="32"/>
        </w:rPr>
      </w:pPr>
      <w:r w:rsidRPr="00C74D34">
        <w:rPr>
          <w:rFonts w:ascii="Arial" w:hAnsi="Arial" w:cs="Arial"/>
          <w:b/>
          <w:bCs/>
          <w:i/>
          <w:iCs/>
          <w:sz w:val="36"/>
          <w:szCs w:val="32"/>
          <w:highlight w:val="yellow"/>
        </w:rPr>
        <w:t>In vitro</w:t>
      </w:r>
      <w:r>
        <w:rPr>
          <w:rFonts w:ascii="Arial" w:hAnsi="Arial" w:cs="Arial"/>
          <w:b/>
          <w:bCs/>
          <w:sz w:val="36"/>
          <w:szCs w:val="32"/>
        </w:rPr>
        <w:t xml:space="preserve"> e</w:t>
      </w:r>
      <w:r w:rsidR="00671EF0" w:rsidRPr="009B18D0">
        <w:rPr>
          <w:rFonts w:ascii="Arial" w:hAnsi="Arial" w:cs="Arial"/>
          <w:b/>
          <w:bCs/>
          <w:sz w:val="36"/>
          <w:szCs w:val="32"/>
        </w:rPr>
        <w:t xml:space="preserve">fficacy of Fungicides against </w:t>
      </w:r>
      <w:r w:rsidR="00671EF0" w:rsidRPr="009B18D0">
        <w:rPr>
          <w:rFonts w:ascii="Arial" w:hAnsi="Arial" w:cs="Arial"/>
          <w:b/>
          <w:bCs/>
          <w:i/>
          <w:iCs/>
          <w:sz w:val="36"/>
          <w:szCs w:val="32"/>
        </w:rPr>
        <w:t>Phomopsis vexans</w:t>
      </w:r>
      <w:r w:rsidR="00671EF0" w:rsidRPr="009B18D0">
        <w:rPr>
          <w:rFonts w:ascii="Arial" w:hAnsi="Arial" w:cs="Arial"/>
          <w:b/>
          <w:bCs/>
          <w:sz w:val="36"/>
          <w:szCs w:val="32"/>
        </w:rPr>
        <w:t xml:space="preserve"> inciting </w:t>
      </w:r>
      <w:r w:rsidR="00671EF0" w:rsidRPr="009B18D0">
        <w:rPr>
          <w:rFonts w:ascii="Arial" w:hAnsi="Arial" w:cs="Arial"/>
          <w:b/>
          <w:bCs/>
          <w:i/>
          <w:iCs/>
          <w:sz w:val="36"/>
          <w:szCs w:val="32"/>
        </w:rPr>
        <w:t>Phomopsis</w:t>
      </w:r>
      <w:r w:rsidR="00671EF0" w:rsidRPr="009B18D0">
        <w:rPr>
          <w:rFonts w:ascii="Arial" w:hAnsi="Arial" w:cs="Arial"/>
          <w:b/>
          <w:bCs/>
          <w:sz w:val="36"/>
          <w:szCs w:val="32"/>
        </w:rPr>
        <w:t xml:space="preserve"> blight of brinjal</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C13909" w:rsidP="00441B6F">
      <w:pPr>
        <w:pStyle w:val="Copyright"/>
        <w:spacing w:after="0" w:line="240" w:lineRule="auto"/>
        <w:jc w:val="both"/>
        <w:rPr>
          <w:rFonts w:ascii="Arial" w:hAnsi="Arial" w:cs="Arial"/>
        </w:rPr>
        <w:sectPr w:rsidR="00B01FCD" w:rsidRPr="00FB3A86" w:rsidSect="00092FA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bidi="mr-IN"/>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62F6C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5F5025">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50"/>
      </w:tblGrid>
      <w:tr w:rsidR="00296529" w:rsidRPr="001E44FE" w:rsidTr="002F5770">
        <w:tc>
          <w:tcPr>
            <w:tcW w:w="10350" w:type="dxa"/>
            <w:shd w:val="clear" w:color="auto" w:fill="F2F2F2"/>
          </w:tcPr>
          <w:p w:rsidR="00505F06" w:rsidRPr="00BA1B01" w:rsidRDefault="001C24E0" w:rsidP="00D23519">
            <w:pPr>
              <w:pStyle w:val="Body"/>
              <w:spacing w:before="120" w:after="120"/>
              <w:ind w:firstLine="562"/>
              <w:rPr>
                <w:rFonts w:ascii="Arial" w:eastAsia="Calibri" w:hAnsi="Arial" w:cs="Arial"/>
                <w:szCs w:val="22"/>
              </w:rPr>
            </w:pPr>
            <w:r>
              <w:rPr>
                <w:rFonts w:ascii="Arial" w:eastAsia="Calibri" w:hAnsi="Arial" w:cs="Arial"/>
                <w:i/>
                <w:iCs/>
                <w:szCs w:val="22"/>
              </w:rPr>
              <w:t xml:space="preserve">Phomopsis </w:t>
            </w:r>
            <w:r w:rsidRPr="001C24E0">
              <w:rPr>
                <w:rFonts w:ascii="Arial" w:eastAsia="Calibri" w:hAnsi="Arial" w:cs="Arial"/>
                <w:szCs w:val="22"/>
              </w:rPr>
              <w:t>blight</w:t>
            </w:r>
            <w:r>
              <w:rPr>
                <w:rFonts w:ascii="Arial" w:eastAsia="Calibri" w:hAnsi="Arial" w:cs="Arial"/>
                <w:szCs w:val="22"/>
              </w:rPr>
              <w:t xml:space="preserve"> is an important disease of brinjal inflecting heavy losses. The present investigation was carried out to test the</w:t>
            </w:r>
            <w:r w:rsidRPr="001C24E0">
              <w:rPr>
                <w:rFonts w:ascii="Arial" w:eastAsia="Calibri" w:hAnsi="Arial" w:cs="Arial"/>
                <w:szCs w:val="22"/>
              </w:rPr>
              <w:t xml:space="preserve"> </w:t>
            </w:r>
            <w:r>
              <w:rPr>
                <w:rFonts w:ascii="Arial" w:eastAsia="Calibri" w:hAnsi="Arial" w:cs="Arial"/>
                <w:i/>
                <w:iCs/>
                <w:szCs w:val="22"/>
              </w:rPr>
              <w:t>i</w:t>
            </w:r>
            <w:r w:rsidR="000F255E" w:rsidRPr="009B18D0">
              <w:rPr>
                <w:rFonts w:ascii="Arial" w:eastAsia="Calibri" w:hAnsi="Arial" w:cs="Arial"/>
                <w:i/>
                <w:iCs/>
                <w:szCs w:val="22"/>
              </w:rPr>
              <w:t>n vitro</w:t>
            </w:r>
            <w:r w:rsidR="000F255E">
              <w:rPr>
                <w:rFonts w:ascii="Arial" w:eastAsia="Calibri" w:hAnsi="Arial" w:cs="Arial"/>
                <w:szCs w:val="22"/>
              </w:rPr>
              <w:t xml:space="preserve"> efficacy of fungicides against </w:t>
            </w:r>
            <w:r w:rsidR="000F255E" w:rsidRPr="009B18D0">
              <w:rPr>
                <w:rFonts w:ascii="Arial" w:eastAsia="Calibri" w:hAnsi="Arial" w:cs="Arial"/>
                <w:i/>
                <w:iCs/>
                <w:szCs w:val="22"/>
              </w:rPr>
              <w:t>Phomopsis vexans</w:t>
            </w:r>
            <w:r w:rsidR="000F255E">
              <w:rPr>
                <w:rFonts w:ascii="Arial" w:eastAsia="Calibri" w:hAnsi="Arial" w:cs="Arial"/>
                <w:szCs w:val="22"/>
              </w:rPr>
              <w:t xml:space="preserve"> causing </w:t>
            </w:r>
            <w:r w:rsidR="000F255E" w:rsidRPr="009B18D0">
              <w:rPr>
                <w:rFonts w:ascii="Arial" w:eastAsia="Calibri" w:hAnsi="Arial" w:cs="Arial"/>
                <w:i/>
                <w:iCs/>
                <w:szCs w:val="22"/>
              </w:rPr>
              <w:t>Phomopsis</w:t>
            </w:r>
            <w:r w:rsidR="000F255E">
              <w:rPr>
                <w:rFonts w:ascii="Arial" w:eastAsia="Calibri" w:hAnsi="Arial" w:cs="Arial"/>
                <w:szCs w:val="22"/>
              </w:rPr>
              <w:t xml:space="preserve"> blight of brinjal using Poison Food Technique. All seven systemic fungicides</w:t>
            </w:r>
            <w:r w:rsidR="00D23519">
              <w:rPr>
                <w:rFonts w:ascii="Arial" w:eastAsia="Calibri" w:hAnsi="Arial" w:cs="Arial"/>
                <w:szCs w:val="22"/>
              </w:rPr>
              <w:t xml:space="preserve"> </w:t>
            </w:r>
            <w:r w:rsidR="000F255E">
              <w:rPr>
                <w:rFonts w:ascii="Arial" w:eastAsia="Calibri" w:hAnsi="Arial" w:cs="Arial"/>
                <w:szCs w:val="22"/>
              </w:rPr>
              <w:t>tested at 500 and 1000 ppm</w:t>
            </w:r>
            <w:r w:rsidR="004E57AF">
              <w:rPr>
                <w:rFonts w:ascii="Arial" w:eastAsia="Calibri" w:hAnsi="Arial" w:cs="Arial"/>
                <w:szCs w:val="22"/>
              </w:rPr>
              <w:t xml:space="preserve"> concentration</w:t>
            </w:r>
            <w:r w:rsidR="000F255E">
              <w:rPr>
                <w:rFonts w:ascii="Arial" w:eastAsia="Calibri" w:hAnsi="Arial" w:cs="Arial"/>
                <w:szCs w:val="22"/>
              </w:rPr>
              <w:t xml:space="preserve"> were significant in recording minimum mycelial growth and maximum inhibition of </w:t>
            </w:r>
            <w:r w:rsidR="000F255E" w:rsidRPr="009B18D0">
              <w:rPr>
                <w:rFonts w:ascii="Arial" w:eastAsia="Calibri" w:hAnsi="Arial" w:cs="Arial"/>
                <w:i/>
                <w:iCs/>
                <w:szCs w:val="22"/>
              </w:rPr>
              <w:t>Phomopsis vexans</w:t>
            </w:r>
            <w:r w:rsidR="000F255E">
              <w:rPr>
                <w:rFonts w:ascii="Arial" w:eastAsia="Calibri" w:hAnsi="Arial" w:cs="Arial"/>
                <w:szCs w:val="22"/>
              </w:rPr>
              <w:t xml:space="preserve"> over the</w:t>
            </w:r>
            <w:r w:rsidR="004E57AF">
              <w:rPr>
                <w:rFonts w:ascii="Arial" w:eastAsia="Calibri" w:hAnsi="Arial" w:cs="Arial"/>
                <w:szCs w:val="22"/>
              </w:rPr>
              <w:t xml:space="preserve"> untreated</w:t>
            </w:r>
            <w:r w:rsidR="000F255E">
              <w:rPr>
                <w:rFonts w:ascii="Arial" w:eastAsia="Calibri" w:hAnsi="Arial" w:cs="Arial"/>
                <w:szCs w:val="22"/>
              </w:rPr>
              <w:t xml:space="preserve"> control. Among systemic fungicides, </w:t>
            </w:r>
            <w:r w:rsidR="000F255E" w:rsidRPr="000F255E">
              <w:rPr>
                <w:rFonts w:ascii="Arial" w:eastAsia="Calibri" w:hAnsi="Arial" w:cs="Arial"/>
                <w:szCs w:val="22"/>
              </w:rPr>
              <w:t>Propiconazole 25 % EC showed maximum per cent inhibition of pathogen followed by Hexaconazole 5% EC, Carbendazim 50 % WP, Difenconazole 25 % EC, Azoxystrobin 23 % SC, Thiophanate methyl 70 % WP and Metalaxyl 35 % WS</w:t>
            </w:r>
            <w:r w:rsidR="000F255E">
              <w:rPr>
                <w:rFonts w:ascii="Arial" w:eastAsia="Calibri" w:hAnsi="Arial" w:cs="Arial"/>
                <w:szCs w:val="22"/>
              </w:rPr>
              <w:t xml:space="preserve"> at all tested concentration</w:t>
            </w:r>
            <w:r w:rsidR="000F255E" w:rsidRPr="000F255E">
              <w:rPr>
                <w:rFonts w:ascii="Arial" w:eastAsia="Calibri" w:hAnsi="Arial" w:cs="Arial"/>
                <w:szCs w:val="22"/>
              </w:rPr>
              <w:t>.</w:t>
            </w:r>
            <w:r w:rsidR="000F255E">
              <w:rPr>
                <w:rFonts w:ascii="Arial" w:eastAsia="Calibri" w:hAnsi="Arial" w:cs="Arial"/>
                <w:szCs w:val="22"/>
              </w:rPr>
              <w:t xml:space="preserve"> </w:t>
            </w:r>
            <w:r w:rsidR="00D23519" w:rsidRPr="00D23519">
              <w:rPr>
                <w:rFonts w:ascii="Arial" w:eastAsia="Calibri" w:hAnsi="Arial" w:cs="Arial"/>
                <w:szCs w:val="22"/>
                <w:highlight w:val="yellow"/>
              </w:rPr>
              <w:t xml:space="preserve">All seven </w:t>
            </w:r>
            <w:r w:rsidR="00D23519">
              <w:rPr>
                <w:rFonts w:ascii="Arial" w:eastAsia="Calibri" w:hAnsi="Arial" w:cs="Arial"/>
                <w:szCs w:val="22"/>
                <w:highlight w:val="yellow"/>
              </w:rPr>
              <w:t>contact and combi product fungicides tested at 2000 and 25</w:t>
            </w:r>
            <w:r w:rsidR="00D23519" w:rsidRPr="00D23519">
              <w:rPr>
                <w:rFonts w:ascii="Arial" w:eastAsia="Calibri" w:hAnsi="Arial" w:cs="Arial"/>
                <w:szCs w:val="22"/>
                <w:highlight w:val="yellow"/>
              </w:rPr>
              <w:t>00 ppm concentration were significant in recording minimum mycelial growth and maximum inhibition of test pathogen over the untreated control.</w:t>
            </w:r>
            <w:r w:rsidR="00D23519">
              <w:rPr>
                <w:rFonts w:ascii="Arial" w:eastAsia="Calibri" w:hAnsi="Arial" w:cs="Arial"/>
                <w:szCs w:val="22"/>
              </w:rPr>
              <w:t xml:space="preserve"> </w:t>
            </w:r>
            <w:r w:rsidR="002E77DE">
              <w:rPr>
                <w:rFonts w:ascii="Arial" w:eastAsia="Calibri" w:hAnsi="Arial" w:cs="Arial"/>
                <w:szCs w:val="22"/>
              </w:rPr>
              <w:t>Among s</w:t>
            </w:r>
            <w:r w:rsidR="000F255E">
              <w:rPr>
                <w:rFonts w:ascii="Arial" w:eastAsia="Calibri" w:hAnsi="Arial" w:cs="Arial"/>
                <w:szCs w:val="22"/>
              </w:rPr>
              <w:t>even contact and combi fungicides</w:t>
            </w:r>
            <w:r w:rsidR="002E77DE">
              <w:rPr>
                <w:rFonts w:ascii="Arial" w:eastAsia="Calibri" w:hAnsi="Arial" w:cs="Arial"/>
                <w:szCs w:val="22"/>
              </w:rPr>
              <w:t>, complete inhibition of mycelial growth was achieved with</w:t>
            </w:r>
            <w:r w:rsidR="000F255E">
              <w:rPr>
                <w:rFonts w:ascii="Arial" w:eastAsia="Calibri" w:hAnsi="Arial" w:cs="Arial"/>
                <w:szCs w:val="22"/>
              </w:rPr>
              <w:t xml:space="preserve"> </w:t>
            </w:r>
            <w:r w:rsidR="000F255E" w:rsidRPr="00530058">
              <w:rPr>
                <w:rFonts w:ascii="Arial" w:eastAsia="Calibri" w:hAnsi="Arial" w:cs="Arial"/>
                <w:szCs w:val="22"/>
              </w:rPr>
              <w:t>Carboxin 37.5 % +Thiram 37.5 % WP, Carbendazim 12 % + Mancozeb 63 % WP and Tebuconazole 50 % + Trifloxystrobin 25 % WP</w:t>
            </w:r>
            <w:r w:rsidR="00A912C0">
              <w:rPr>
                <w:rFonts w:ascii="Arial" w:eastAsia="Calibri" w:hAnsi="Arial" w:cs="Arial"/>
                <w:szCs w:val="22"/>
              </w:rPr>
              <w:t>.</w:t>
            </w:r>
            <w:r w:rsidR="00AB233C">
              <w:rPr>
                <w:rFonts w:ascii="Arial" w:eastAsia="Calibri" w:hAnsi="Arial" w:cs="Arial"/>
                <w:szCs w:val="22"/>
              </w:rPr>
              <w:t xml:space="preserve"> Rest of fungicide </w:t>
            </w:r>
            <w:r w:rsidR="00AB233C" w:rsidRPr="00AB233C">
              <w:rPr>
                <w:rFonts w:ascii="Arial" w:eastAsia="Calibri" w:hAnsi="Arial" w:cs="Arial"/>
                <w:i/>
                <w:iCs/>
                <w:szCs w:val="22"/>
              </w:rPr>
              <w:t>viz</w:t>
            </w:r>
            <w:r w:rsidR="00AB233C">
              <w:rPr>
                <w:rFonts w:ascii="Arial" w:eastAsia="Calibri" w:hAnsi="Arial" w:cs="Arial"/>
                <w:szCs w:val="22"/>
              </w:rPr>
              <w:t>.,</w:t>
            </w:r>
            <w:r w:rsidR="000F255E" w:rsidRPr="00530058">
              <w:rPr>
                <w:rFonts w:ascii="Arial" w:eastAsia="Calibri" w:hAnsi="Arial" w:cs="Arial"/>
                <w:szCs w:val="22"/>
              </w:rPr>
              <w:t xml:space="preserve"> Pyraclostrobin 13.3 % + Epoxiconazole 5 % SE, Mancozeb 75 % WP, Propineb 70 </w:t>
            </w:r>
            <w:r w:rsidR="009304BC">
              <w:rPr>
                <w:rFonts w:ascii="Arial" w:eastAsia="Calibri" w:hAnsi="Arial" w:cs="Arial"/>
                <w:szCs w:val="22"/>
              </w:rPr>
              <w:t xml:space="preserve">% WP and Chlorothalonil 75 % WP </w:t>
            </w:r>
            <w:r w:rsidR="009304BC" w:rsidRPr="00D23519">
              <w:rPr>
                <w:rFonts w:ascii="Arial" w:eastAsia="Calibri" w:hAnsi="Arial" w:cs="Arial"/>
                <w:szCs w:val="22"/>
                <w:highlight w:val="yellow"/>
              </w:rPr>
              <w:t xml:space="preserve">were </w:t>
            </w:r>
            <w:r w:rsidR="00A912C0" w:rsidRPr="00D23519">
              <w:rPr>
                <w:rFonts w:ascii="Arial" w:eastAsia="Calibri" w:hAnsi="Arial" w:cs="Arial"/>
                <w:szCs w:val="22"/>
                <w:highlight w:val="yellow"/>
              </w:rPr>
              <w:t xml:space="preserve">also </w:t>
            </w:r>
            <w:r w:rsidR="00FF4C1B" w:rsidRPr="00D23519">
              <w:rPr>
                <w:rFonts w:ascii="Arial" w:eastAsia="Calibri" w:hAnsi="Arial" w:cs="Arial"/>
                <w:szCs w:val="22"/>
                <w:highlight w:val="yellow"/>
              </w:rPr>
              <w:t xml:space="preserve">effective </w:t>
            </w:r>
            <w:r w:rsidR="00D23519" w:rsidRPr="00D23519">
              <w:rPr>
                <w:rFonts w:ascii="Arial" w:eastAsia="Calibri" w:hAnsi="Arial" w:cs="Arial"/>
                <w:szCs w:val="22"/>
                <w:highlight w:val="yellow"/>
              </w:rPr>
              <w:t>in</w:t>
            </w:r>
            <w:r w:rsidR="009304BC" w:rsidRPr="00D23519">
              <w:rPr>
                <w:rFonts w:ascii="Arial" w:eastAsia="Calibri" w:hAnsi="Arial" w:cs="Arial"/>
                <w:szCs w:val="22"/>
                <w:highlight w:val="yellow"/>
              </w:rPr>
              <w:t xml:space="preserve"> record</w:t>
            </w:r>
            <w:r w:rsidR="00D23519" w:rsidRPr="00D23519">
              <w:rPr>
                <w:rFonts w:ascii="Arial" w:eastAsia="Calibri" w:hAnsi="Arial" w:cs="Arial"/>
                <w:szCs w:val="22"/>
                <w:highlight w:val="yellow"/>
              </w:rPr>
              <w:t xml:space="preserve">ing </w:t>
            </w:r>
            <w:r w:rsidR="009304BC" w:rsidRPr="00D23519">
              <w:rPr>
                <w:rFonts w:ascii="Arial" w:eastAsia="Calibri" w:hAnsi="Arial" w:cs="Arial"/>
                <w:szCs w:val="22"/>
                <w:highlight w:val="yellow"/>
              </w:rPr>
              <w:t>least mycelial</w:t>
            </w:r>
            <w:r w:rsidR="00FF4C1B" w:rsidRPr="00D23519">
              <w:rPr>
                <w:rFonts w:ascii="Arial" w:eastAsia="Calibri" w:hAnsi="Arial" w:cs="Arial"/>
                <w:szCs w:val="22"/>
                <w:highlight w:val="yellow"/>
              </w:rPr>
              <w:t xml:space="preserve"> growth</w:t>
            </w:r>
            <w:r w:rsidR="004E57AF" w:rsidRPr="00D23519">
              <w:rPr>
                <w:rFonts w:ascii="Arial" w:eastAsia="Calibri" w:hAnsi="Arial" w:cs="Arial"/>
                <w:szCs w:val="22"/>
                <w:highlight w:val="yellow"/>
              </w:rPr>
              <w:t xml:space="preserve"> of test pathogen</w:t>
            </w:r>
            <w:r w:rsidR="00D23519" w:rsidRPr="00D23519">
              <w:rPr>
                <w:rFonts w:ascii="Arial" w:eastAsia="Calibri" w:hAnsi="Arial" w:cs="Arial"/>
                <w:szCs w:val="22"/>
                <w:highlight w:val="yellow"/>
              </w:rPr>
              <w:t xml:space="preserve"> over the control</w:t>
            </w:r>
            <w:r w:rsidR="00FF4C1B">
              <w:rPr>
                <w:rFonts w:ascii="Arial" w:eastAsia="Calibri" w:hAnsi="Arial" w:cs="Arial"/>
                <w:szCs w:val="22"/>
              </w:rPr>
              <w:t>.</w:t>
            </w:r>
          </w:p>
        </w:tc>
      </w:tr>
    </w:tbl>
    <w:p w:rsidR="00636EB2" w:rsidRDefault="00636EB2" w:rsidP="00441B6F">
      <w:pPr>
        <w:pStyle w:val="Body"/>
        <w:spacing w:after="0"/>
        <w:rPr>
          <w:rFonts w:ascii="Arial" w:hAnsi="Arial" w:cs="Arial"/>
          <w:i/>
        </w:rPr>
      </w:pPr>
    </w:p>
    <w:p w:rsidR="00790ADA" w:rsidRDefault="00A24E7E" w:rsidP="002F5770">
      <w:pPr>
        <w:pStyle w:val="Body"/>
        <w:spacing w:after="0"/>
        <w:ind w:left="270"/>
        <w:rPr>
          <w:rFonts w:ascii="Arial" w:hAnsi="Arial" w:cs="Arial"/>
          <w:i/>
        </w:rPr>
      </w:pPr>
      <w:r>
        <w:rPr>
          <w:rFonts w:ascii="Arial" w:hAnsi="Arial" w:cs="Arial"/>
          <w:i/>
        </w:rPr>
        <w:t>Keywords: [</w:t>
      </w:r>
      <w:r w:rsidR="00530058">
        <w:rPr>
          <w:rFonts w:ascii="Arial" w:hAnsi="Arial" w:cs="Arial"/>
          <w:i/>
        </w:rPr>
        <w:t>Brinjal, Phomopsis blight, Phomopsis vexans, Fungicides, in vitro</w:t>
      </w:r>
      <w:r w:rsidR="009B18D0">
        <w:rPr>
          <w:rFonts w:ascii="Arial" w:hAnsi="Arial" w:cs="Arial"/>
          <w:i/>
        </w:rPr>
        <w:t>]</w:t>
      </w:r>
      <w:r w:rsidR="0066510A">
        <w:rPr>
          <w:rFonts w:ascii="Arial" w:hAnsi="Arial" w:cs="Arial"/>
          <w:i/>
        </w:rPr>
        <w:t xml:space="preserve"> </w:t>
      </w:r>
    </w:p>
    <w:p w:rsidR="00530058" w:rsidRDefault="00530058" w:rsidP="00235994">
      <w:pPr>
        <w:pStyle w:val="Body"/>
        <w:spacing w:after="0"/>
        <w:jc w:val="center"/>
        <w:rPr>
          <w:rFonts w:ascii="Arial" w:hAnsi="Arial" w:cs="Arial"/>
          <w:i/>
        </w:rPr>
      </w:pPr>
    </w:p>
    <w:p w:rsidR="00505F06" w:rsidRPr="00A24E7E" w:rsidRDefault="00505F06" w:rsidP="00441B6F">
      <w:pPr>
        <w:pStyle w:val="Body"/>
        <w:spacing w:after="0"/>
        <w:rPr>
          <w:rFonts w:ascii="Arial" w:hAnsi="Arial" w:cs="Arial"/>
          <w:i/>
        </w:rPr>
      </w:pPr>
    </w:p>
    <w:p w:rsidR="00790ADA" w:rsidRPr="00FB3A86" w:rsidRDefault="00902823" w:rsidP="002F5770">
      <w:pPr>
        <w:pStyle w:val="AbstHead"/>
        <w:spacing w:after="0"/>
        <w:ind w:left="27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8C1988" w:rsidRDefault="00530058" w:rsidP="00F1007D">
      <w:pPr>
        <w:pStyle w:val="Body"/>
        <w:spacing w:before="120" w:after="120"/>
        <w:ind w:left="274" w:firstLine="562"/>
        <w:rPr>
          <w:rFonts w:ascii="Arial" w:eastAsia="Calibri" w:hAnsi="Arial" w:cs="Arial"/>
          <w:szCs w:val="22"/>
        </w:rPr>
      </w:pPr>
      <w:r w:rsidRPr="0023159C">
        <w:rPr>
          <w:rFonts w:ascii="Arial" w:eastAsia="Calibri" w:hAnsi="Arial" w:cs="Arial"/>
          <w:szCs w:val="22"/>
        </w:rPr>
        <w:t>Brinjal (</w:t>
      </w:r>
      <w:r w:rsidRPr="0023159C">
        <w:rPr>
          <w:rFonts w:ascii="Arial" w:eastAsia="Calibri" w:hAnsi="Arial" w:cs="Arial"/>
          <w:i/>
          <w:iCs/>
          <w:szCs w:val="22"/>
        </w:rPr>
        <w:t>Solanum melongena</w:t>
      </w:r>
      <w:r w:rsidRPr="0023159C">
        <w:rPr>
          <w:rFonts w:ascii="Arial" w:eastAsia="Calibri" w:hAnsi="Arial" w:cs="Arial"/>
          <w:szCs w:val="22"/>
        </w:rPr>
        <w:t xml:space="preserve"> L.), belonging to the family Solanaceae is commonly known as eggplant and Guinea squash</w:t>
      </w:r>
      <w:r w:rsidR="005A7FEC">
        <w:t>, which is the native of India from where it spread to other parts of the world (</w:t>
      </w:r>
      <w:proofErr w:type="spellStart"/>
      <w:r w:rsidR="005A7FEC">
        <w:t>Yawalkar</w:t>
      </w:r>
      <w:proofErr w:type="spellEnd"/>
      <w:r w:rsidR="005A7FEC">
        <w:t>, 1985). It is one of the most popular and principle fruit vegetable crop grown in the tropical and subtropical regions of India. It is highly productive and usually finds a place as “Poor man’s crop” and also described as “King of Vegetables”, due to its wide usage in Indian foods (</w:t>
      </w:r>
      <w:proofErr w:type="spellStart"/>
      <w:r w:rsidR="005A7FEC">
        <w:t>Rajan</w:t>
      </w:r>
      <w:proofErr w:type="spellEnd"/>
      <w:r w:rsidR="005A7FEC">
        <w:t xml:space="preserve"> and </w:t>
      </w:r>
      <w:proofErr w:type="spellStart"/>
      <w:r w:rsidR="005A7FEC">
        <w:t>Markose</w:t>
      </w:r>
      <w:proofErr w:type="spellEnd"/>
      <w:r w:rsidR="005A7FEC">
        <w:t xml:space="preserve">, 2002; Choudhary and Gaur, 2009). </w:t>
      </w:r>
      <w:r w:rsidRPr="0023159C">
        <w:rPr>
          <w:rFonts w:ascii="Arial" w:eastAsia="Calibri" w:hAnsi="Arial" w:cs="Arial"/>
          <w:szCs w:val="22"/>
        </w:rPr>
        <w:t xml:space="preserve">It is one of the most popular and principle fruit vegetable crop grown in the tropical and subtropical regions of </w:t>
      </w:r>
      <w:r w:rsidR="0023159C" w:rsidRPr="0023159C">
        <w:rPr>
          <w:rFonts w:ascii="Arial" w:eastAsia="Calibri" w:hAnsi="Arial" w:cs="Arial"/>
          <w:szCs w:val="22"/>
        </w:rPr>
        <w:t>India. It</w:t>
      </w:r>
      <w:r w:rsidR="002F5770" w:rsidRPr="0023159C">
        <w:rPr>
          <w:rFonts w:ascii="Arial" w:eastAsia="Calibri" w:hAnsi="Arial" w:cs="Arial"/>
          <w:szCs w:val="22"/>
        </w:rPr>
        <w:t xml:space="preserve"> is mainly grown in Indian states like Orissa, Bihar, Punjab, West Bengal, Karnataka, Maharashtra, Andhra Pradesh and Uttar Pradesh.</w:t>
      </w:r>
      <w:r w:rsidR="0023159C" w:rsidRPr="0023159C">
        <w:rPr>
          <w:rFonts w:ascii="Arial" w:eastAsia="Calibri" w:hAnsi="Arial" w:cs="Arial"/>
          <w:szCs w:val="22"/>
        </w:rPr>
        <w:t xml:space="preserve"> (Akhtar </w:t>
      </w:r>
      <w:r w:rsidR="0023159C" w:rsidRPr="0023159C">
        <w:rPr>
          <w:rFonts w:ascii="Arial" w:eastAsia="Calibri" w:hAnsi="Arial" w:cs="Arial"/>
          <w:i/>
          <w:iCs/>
          <w:szCs w:val="22"/>
        </w:rPr>
        <w:t>et al</w:t>
      </w:r>
      <w:r w:rsidR="0023159C" w:rsidRPr="0023159C">
        <w:rPr>
          <w:rFonts w:ascii="Arial" w:eastAsia="Calibri" w:hAnsi="Arial" w:cs="Arial"/>
          <w:szCs w:val="22"/>
        </w:rPr>
        <w:t>., 2007)</w:t>
      </w:r>
      <w:r w:rsidRPr="0023159C">
        <w:rPr>
          <w:rFonts w:ascii="Arial" w:eastAsia="Calibri" w:hAnsi="Arial" w:cs="Arial"/>
          <w:szCs w:val="22"/>
        </w:rPr>
        <w:t xml:space="preserve"> </w:t>
      </w:r>
    </w:p>
    <w:p w:rsidR="00530058" w:rsidRPr="0023159C" w:rsidRDefault="002F5770" w:rsidP="00F1007D">
      <w:pPr>
        <w:pStyle w:val="Body"/>
        <w:spacing w:before="120" w:after="120"/>
        <w:ind w:left="274" w:firstLine="562"/>
        <w:rPr>
          <w:rFonts w:ascii="Arial" w:eastAsia="Calibri" w:hAnsi="Arial" w:cs="Arial"/>
          <w:szCs w:val="22"/>
        </w:rPr>
      </w:pPr>
      <w:r w:rsidRPr="0023159C">
        <w:rPr>
          <w:rFonts w:ascii="Arial" w:hAnsi="Arial" w:cs="Arial"/>
        </w:rPr>
        <w:t xml:space="preserve">Brinjal suffers from various abiotic stresses like salinity, drought, low and high temperature and heavy-metal as well as biotic stresses including viral, bacterial, fungal, nematodes, </w:t>
      </w:r>
      <w:proofErr w:type="spellStart"/>
      <w:r w:rsidRPr="0023159C">
        <w:rPr>
          <w:rFonts w:ascii="Arial" w:hAnsi="Arial" w:cs="Arial"/>
        </w:rPr>
        <w:t>phytoplasmal</w:t>
      </w:r>
      <w:proofErr w:type="spellEnd"/>
      <w:r w:rsidRPr="0023159C">
        <w:rPr>
          <w:rFonts w:ascii="Arial" w:hAnsi="Arial" w:cs="Arial"/>
        </w:rPr>
        <w:t xml:space="preserve"> pathogens, parasitic plants and insect herbivores, causing enormous qualitative as well as quantitative losses</w:t>
      </w:r>
      <w:r w:rsidR="00530058" w:rsidRPr="0023159C">
        <w:rPr>
          <w:rFonts w:ascii="Arial" w:eastAsia="Calibri" w:hAnsi="Arial" w:cs="Arial"/>
          <w:szCs w:val="22"/>
        </w:rPr>
        <w:t>.</w:t>
      </w:r>
      <w:r w:rsidRPr="0023159C">
        <w:rPr>
          <w:rFonts w:ascii="Arial" w:hAnsi="Arial" w:cs="Arial"/>
        </w:rPr>
        <w:t xml:space="preserve"> Major diseases infecting brinjal are: Damping off (</w:t>
      </w:r>
      <w:proofErr w:type="spellStart"/>
      <w:r w:rsidRPr="0023159C">
        <w:rPr>
          <w:rFonts w:ascii="Arial" w:hAnsi="Arial" w:cs="Arial"/>
          <w:i/>
          <w:iCs/>
        </w:rPr>
        <w:t>Pythium</w:t>
      </w:r>
      <w:proofErr w:type="spellEnd"/>
      <w:r w:rsidRPr="0023159C">
        <w:rPr>
          <w:rFonts w:ascii="Arial" w:hAnsi="Arial" w:cs="Arial"/>
          <w:i/>
          <w:iCs/>
        </w:rPr>
        <w:t xml:space="preserve"> </w:t>
      </w:r>
      <w:proofErr w:type="spellStart"/>
      <w:r w:rsidRPr="0023159C">
        <w:rPr>
          <w:rFonts w:ascii="Arial" w:hAnsi="Arial" w:cs="Arial"/>
          <w:i/>
          <w:iCs/>
        </w:rPr>
        <w:t>aphinidermatum</w:t>
      </w:r>
      <w:proofErr w:type="spellEnd"/>
      <w:r w:rsidRPr="0023159C">
        <w:rPr>
          <w:rFonts w:ascii="Arial" w:hAnsi="Arial" w:cs="Arial"/>
        </w:rPr>
        <w:t xml:space="preserve">, </w:t>
      </w:r>
      <w:proofErr w:type="spellStart"/>
      <w:r w:rsidRPr="0023159C">
        <w:rPr>
          <w:rFonts w:ascii="Arial" w:hAnsi="Arial" w:cs="Arial"/>
          <w:i/>
          <w:iCs/>
        </w:rPr>
        <w:t>Phytophthora</w:t>
      </w:r>
      <w:proofErr w:type="spellEnd"/>
      <w:r w:rsidRPr="0023159C">
        <w:rPr>
          <w:rFonts w:ascii="Arial" w:hAnsi="Arial" w:cs="Arial"/>
          <w:i/>
          <w:iCs/>
        </w:rPr>
        <w:t xml:space="preserve"> </w:t>
      </w:r>
      <w:proofErr w:type="spellStart"/>
      <w:r w:rsidRPr="0023159C">
        <w:rPr>
          <w:rFonts w:ascii="Arial" w:hAnsi="Arial" w:cs="Arial"/>
          <w:i/>
          <w:iCs/>
        </w:rPr>
        <w:t>parasitica</w:t>
      </w:r>
      <w:proofErr w:type="spellEnd"/>
      <w:r w:rsidRPr="0023159C">
        <w:rPr>
          <w:rFonts w:ascii="Arial" w:hAnsi="Arial" w:cs="Arial"/>
        </w:rPr>
        <w:t xml:space="preserve">, </w:t>
      </w:r>
      <w:proofErr w:type="spellStart"/>
      <w:r w:rsidRPr="0023159C">
        <w:rPr>
          <w:rFonts w:ascii="Arial" w:hAnsi="Arial" w:cs="Arial"/>
          <w:i/>
          <w:iCs/>
        </w:rPr>
        <w:t>Rhizoctonia</w:t>
      </w:r>
      <w:proofErr w:type="spellEnd"/>
      <w:r w:rsidRPr="0023159C">
        <w:rPr>
          <w:rFonts w:ascii="Arial" w:hAnsi="Arial" w:cs="Arial"/>
          <w:i/>
          <w:iCs/>
        </w:rPr>
        <w:t xml:space="preserve"> solani</w:t>
      </w:r>
      <w:r w:rsidRPr="0023159C">
        <w:rPr>
          <w:rFonts w:ascii="Arial" w:hAnsi="Arial" w:cs="Arial"/>
        </w:rPr>
        <w:t>), Leaf spots (</w:t>
      </w:r>
      <w:proofErr w:type="spellStart"/>
      <w:r w:rsidRPr="0023159C">
        <w:rPr>
          <w:rFonts w:ascii="Arial" w:hAnsi="Arial" w:cs="Arial"/>
          <w:i/>
          <w:iCs/>
        </w:rPr>
        <w:t>Cercospora</w:t>
      </w:r>
      <w:proofErr w:type="spellEnd"/>
      <w:r w:rsidRPr="0023159C">
        <w:rPr>
          <w:rFonts w:ascii="Arial" w:hAnsi="Arial" w:cs="Arial"/>
          <w:i/>
          <w:iCs/>
        </w:rPr>
        <w:t xml:space="preserve"> </w:t>
      </w:r>
      <w:proofErr w:type="spellStart"/>
      <w:r w:rsidRPr="0023159C">
        <w:rPr>
          <w:rFonts w:ascii="Arial" w:hAnsi="Arial" w:cs="Arial"/>
          <w:i/>
          <w:iCs/>
        </w:rPr>
        <w:t>melongenae</w:t>
      </w:r>
      <w:proofErr w:type="spellEnd"/>
      <w:r w:rsidRPr="0023159C">
        <w:rPr>
          <w:rFonts w:ascii="Arial" w:hAnsi="Arial" w:cs="Arial"/>
        </w:rPr>
        <w:t xml:space="preserve">, </w:t>
      </w:r>
      <w:r w:rsidR="00D23519" w:rsidRPr="00D23519">
        <w:rPr>
          <w:rFonts w:ascii="Arial" w:hAnsi="Arial" w:cs="Arial"/>
          <w:i/>
          <w:iCs/>
          <w:highlight w:val="yellow"/>
        </w:rPr>
        <w:t>Alt</w:t>
      </w:r>
      <w:r w:rsidRPr="00D23519">
        <w:rPr>
          <w:rFonts w:ascii="Arial" w:hAnsi="Arial" w:cs="Arial"/>
          <w:i/>
          <w:iCs/>
          <w:highlight w:val="yellow"/>
        </w:rPr>
        <w:t>e</w:t>
      </w:r>
      <w:r w:rsidR="00D23519" w:rsidRPr="00D23519">
        <w:rPr>
          <w:rFonts w:ascii="Arial" w:hAnsi="Arial" w:cs="Arial"/>
          <w:i/>
          <w:iCs/>
          <w:highlight w:val="yellow"/>
        </w:rPr>
        <w:t>r</w:t>
      </w:r>
      <w:r w:rsidRPr="00D23519">
        <w:rPr>
          <w:rFonts w:ascii="Arial" w:hAnsi="Arial" w:cs="Arial"/>
          <w:i/>
          <w:iCs/>
          <w:highlight w:val="yellow"/>
        </w:rPr>
        <w:t xml:space="preserve">naria </w:t>
      </w:r>
      <w:proofErr w:type="spellStart"/>
      <w:r w:rsidRPr="00D23519">
        <w:rPr>
          <w:rFonts w:ascii="Arial" w:hAnsi="Arial" w:cs="Arial"/>
          <w:i/>
          <w:iCs/>
          <w:highlight w:val="yellow"/>
        </w:rPr>
        <w:t>melongenae</w:t>
      </w:r>
      <w:proofErr w:type="spellEnd"/>
      <w:r w:rsidRPr="0023159C">
        <w:rPr>
          <w:rFonts w:ascii="Arial" w:hAnsi="Arial" w:cs="Arial"/>
        </w:rPr>
        <w:t>), Fruit rots (</w:t>
      </w:r>
      <w:r w:rsidRPr="0023159C">
        <w:rPr>
          <w:rFonts w:ascii="Arial" w:hAnsi="Arial" w:cs="Arial"/>
          <w:i/>
          <w:iCs/>
        </w:rPr>
        <w:t>Phomopsis vexans</w:t>
      </w:r>
      <w:r w:rsidRPr="0023159C">
        <w:rPr>
          <w:rFonts w:ascii="Arial" w:hAnsi="Arial" w:cs="Arial"/>
        </w:rPr>
        <w:t xml:space="preserve">, </w:t>
      </w:r>
      <w:proofErr w:type="spellStart"/>
      <w:r w:rsidRPr="0023159C">
        <w:rPr>
          <w:rFonts w:ascii="Arial" w:hAnsi="Arial" w:cs="Arial"/>
          <w:i/>
          <w:iCs/>
        </w:rPr>
        <w:t>Pythium</w:t>
      </w:r>
      <w:proofErr w:type="spellEnd"/>
      <w:r w:rsidRPr="0023159C">
        <w:rPr>
          <w:rFonts w:ascii="Arial" w:hAnsi="Arial" w:cs="Arial"/>
        </w:rPr>
        <w:t xml:space="preserve"> spp., </w:t>
      </w:r>
      <w:r w:rsidRPr="0023159C">
        <w:rPr>
          <w:rFonts w:ascii="Arial" w:hAnsi="Arial" w:cs="Arial"/>
          <w:i/>
          <w:iCs/>
        </w:rPr>
        <w:t>Fusarium</w:t>
      </w:r>
      <w:r w:rsidRPr="0023159C">
        <w:rPr>
          <w:rFonts w:ascii="Arial" w:hAnsi="Arial" w:cs="Arial"/>
        </w:rPr>
        <w:t xml:space="preserve"> spp., </w:t>
      </w:r>
      <w:r w:rsidRPr="0023159C">
        <w:rPr>
          <w:rFonts w:ascii="Arial" w:hAnsi="Arial" w:cs="Arial"/>
          <w:i/>
          <w:iCs/>
        </w:rPr>
        <w:t>Phytophthora</w:t>
      </w:r>
      <w:r w:rsidRPr="0023159C">
        <w:rPr>
          <w:rFonts w:ascii="Arial" w:hAnsi="Arial" w:cs="Arial"/>
        </w:rPr>
        <w:t xml:space="preserve"> spp., </w:t>
      </w:r>
      <w:r w:rsidRPr="0023159C">
        <w:rPr>
          <w:rFonts w:ascii="Arial" w:hAnsi="Arial" w:cs="Arial"/>
          <w:i/>
          <w:iCs/>
        </w:rPr>
        <w:t>Colletotrichum</w:t>
      </w:r>
      <w:r w:rsidRPr="0023159C">
        <w:rPr>
          <w:rFonts w:ascii="Arial" w:hAnsi="Arial" w:cs="Arial"/>
        </w:rPr>
        <w:t xml:space="preserve"> spp., </w:t>
      </w:r>
      <w:r w:rsidRPr="0023159C">
        <w:rPr>
          <w:rFonts w:ascii="Arial" w:hAnsi="Arial" w:cs="Arial"/>
          <w:i/>
          <w:iCs/>
        </w:rPr>
        <w:t xml:space="preserve">Alternaria </w:t>
      </w:r>
      <w:proofErr w:type="spellStart"/>
      <w:r w:rsidRPr="0023159C">
        <w:rPr>
          <w:rFonts w:ascii="Arial" w:hAnsi="Arial" w:cs="Arial"/>
          <w:i/>
          <w:iCs/>
        </w:rPr>
        <w:t>alternata</w:t>
      </w:r>
      <w:proofErr w:type="spellEnd"/>
      <w:r w:rsidRPr="0023159C">
        <w:rPr>
          <w:rFonts w:ascii="Arial" w:hAnsi="Arial" w:cs="Arial"/>
        </w:rPr>
        <w:t xml:space="preserve">, </w:t>
      </w:r>
      <w:r w:rsidRPr="0023159C">
        <w:rPr>
          <w:rFonts w:ascii="Arial" w:hAnsi="Arial" w:cs="Arial"/>
          <w:i/>
          <w:iCs/>
        </w:rPr>
        <w:t xml:space="preserve">Aspergillus </w:t>
      </w:r>
      <w:proofErr w:type="spellStart"/>
      <w:r w:rsidRPr="0023159C">
        <w:rPr>
          <w:rFonts w:ascii="Arial" w:hAnsi="Arial" w:cs="Arial"/>
          <w:i/>
          <w:iCs/>
        </w:rPr>
        <w:t>flavus</w:t>
      </w:r>
      <w:proofErr w:type="spellEnd"/>
      <w:r w:rsidRPr="0023159C">
        <w:rPr>
          <w:rFonts w:ascii="Arial" w:hAnsi="Arial" w:cs="Arial"/>
        </w:rPr>
        <w:t>), Fungal wilt (</w:t>
      </w:r>
      <w:proofErr w:type="spellStart"/>
      <w:r w:rsidRPr="0023159C">
        <w:rPr>
          <w:rFonts w:ascii="Arial" w:hAnsi="Arial" w:cs="Arial"/>
          <w:i/>
          <w:iCs/>
        </w:rPr>
        <w:t>Fusarium</w:t>
      </w:r>
      <w:proofErr w:type="spellEnd"/>
      <w:r w:rsidRPr="0023159C">
        <w:rPr>
          <w:rFonts w:ascii="Arial" w:hAnsi="Arial" w:cs="Arial"/>
          <w:i/>
          <w:iCs/>
        </w:rPr>
        <w:t xml:space="preserve"> </w:t>
      </w:r>
      <w:proofErr w:type="spellStart"/>
      <w:r w:rsidRPr="0023159C">
        <w:rPr>
          <w:rFonts w:ascii="Arial" w:hAnsi="Arial" w:cs="Arial"/>
          <w:i/>
          <w:iCs/>
        </w:rPr>
        <w:t>oxysporum</w:t>
      </w:r>
      <w:proofErr w:type="spellEnd"/>
      <w:r w:rsidRPr="0023159C">
        <w:rPr>
          <w:rFonts w:ascii="Arial" w:hAnsi="Arial" w:cs="Arial"/>
        </w:rPr>
        <w:t xml:space="preserve"> and </w:t>
      </w:r>
      <w:proofErr w:type="spellStart"/>
      <w:r w:rsidRPr="0023159C">
        <w:rPr>
          <w:rFonts w:ascii="Arial" w:hAnsi="Arial" w:cs="Arial"/>
          <w:i/>
          <w:iCs/>
        </w:rPr>
        <w:t>Verticilium</w:t>
      </w:r>
      <w:proofErr w:type="spellEnd"/>
      <w:r w:rsidRPr="0023159C">
        <w:rPr>
          <w:rFonts w:ascii="Arial" w:hAnsi="Arial" w:cs="Arial"/>
          <w:i/>
          <w:iCs/>
        </w:rPr>
        <w:t xml:space="preserve"> </w:t>
      </w:r>
      <w:proofErr w:type="spellStart"/>
      <w:r w:rsidRPr="0023159C">
        <w:rPr>
          <w:rFonts w:ascii="Arial" w:hAnsi="Arial" w:cs="Arial"/>
          <w:i/>
          <w:iCs/>
        </w:rPr>
        <w:t>dahliae</w:t>
      </w:r>
      <w:proofErr w:type="spellEnd"/>
      <w:r w:rsidRPr="0023159C">
        <w:rPr>
          <w:rFonts w:ascii="Arial" w:hAnsi="Arial" w:cs="Arial"/>
        </w:rPr>
        <w:t>), Bacterial wilt (</w:t>
      </w:r>
      <w:r w:rsidRPr="0023159C">
        <w:rPr>
          <w:rFonts w:ascii="Arial" w:hAnsi="Arial" w:cs="Arial"/>
          <w:i/>
          <w:iCs/>
        </w:rPr>
        <w:t xml:space="preserve">Pseudomonas </w:t>
      </w:r>
      <w:proofErr w:type="spellStart"/>
      <w:r w:rsidRPr="0023159C">
        <w:rPr>
          <w:rFonts w:ascii="Arial" w:hAnsi="Arial" w:cs="Arial"/>
          <w:i/>
          <w:iCs/>
        </w:rPr>
        <w:t>solanacearum</w:t>
      </w:r>
      <w:proofErr w:type="spellEnd"/>
      <w:r w:rsidRPr="0023159C">
        <w:rPr>
          <w:rFonts w:ascii="Arial" w:hAnsi="Arial" w:cs="Arial"/>
        </w:rPr>
        <w:t xml:space="preserve"> / </w:t>
      </w:r>
      <w:proofErr w:type="spellStart"/>
      <w:r w:rsidRPr="0023159C">
        <w:rPr>
          <w:rFonts w:ascii="Arial" w:hAnsi="Arial" w:cs="Arial"/>
          <w:i/>
          <w:iCs/>
        </w:rPr>
        <w:t>Ralstonia</w:t>
      </w:r>
      <w:proofErr w:type="spellEnd"/>
      <w:r w:rsidRPr="0023159C">
        <w:rPr>
          <w:rFonts w:ascii="Arial" w:hAnsi="Arial" w:cs="Arial"/>
          <w:i/>
          <w:iCs/>
        </w:rPr>
        <w:t xml:space="preserve"> </w:t>
      </w:r>
      <w:proofErr w:type="spellStart"/>
      <w:r w:rsidRPr="0023159C">
        <w:rPr>
          <w:rFonts w:ascii="Arial" w:hAnsi="Arial" w:cs="Arial"/>
          <w:i/>
          <w:iCs/>
        </w:rPr>
        <w:t>solanacearum</w:t>
      </w:r>
      <w:proofErr w:type="spellEnd"/>
      <w:r w:rsidRPr="0023159C">
        <w:rPr>
          <w:rFonts w:ascii="Arial" w:hAnsi="Arial" w:cs="Arial"/>
        </w:rPr>
        <w:t>), Collar rot (</w:t>
      </w:r>
      <w:proofErr w:type="spellStart"/>
      <w:r w:rsidRPr="0023159C">
        <w:rPr>
          <w:rFonts w:ascii="Arial" w:hAnsi="Arial" w:cs="Arial"/>
          <w:i/>
          <w:iCs/>
        </w:rPr>
        <w:t>Sclerotium</w:t>
      </w:r>
      <w:proofErr w:type="spellEnd"/>
      <w:r w:rsidRPr="0023159C">
        <w:rPr>
          <w:rFonts w:ascii="Arial" w:hAnsi="Arial" w:cs="Arial"/>
          <w:i/>
          <w:iCs/>
        </w:rPr>
        <w:t xml:space="preserve"> </w:t>
      </w:r>
      <w:proofErr w:type="spellStart"/>
      <w:r w:rsidRPr="0023159C">
        <w:rPr>
          <w:rFonts w:ascii="Arial" w:hAnsi="Arial" w:cs="Arial"/>
          <w:i/>
          <w:iCs/>
        </w:rPr>
        <w:t>rolfsi</w:t>
      </w:r>
      <w:proofErr w:type="spellEnd"/>
      <w:r w:rsidRPr="0023159C">
        <w:rPr>
          <w:rFonts w:ascii="Arial" w:hAnsi="Arial" w:cs="Arial"/>
        </w:rPr>
        <w:t xml:space="preserve">), </w:t>
      </w:r>
      <w:proofErr w:type="spellStart"/>
      <w:r w:rsidRPr="0023159C">
        <w:rPr>
          <w:rFonts w:ascii="Arial" w:hAnsi="Arial" w:cs="Arial"/>
        </w:rPr>
        <w:t>Phytoplasmas</w:t>
      </w:r>
      <w:proofErr w:type="spellEnd"/>
      <w:r w:rsidRPr="0023159C">
        <w:rPr>
          <w:rFonts w:ascii="Arial" w:hAnsi="Arial" w:cs="Arial"/>
        </w:rPr>
        <w:t xml:space="preserve"> and Nematodes (Singh </w:t>
      </w:r>
      <w:r w:rsidRPr="0023159C">
        <w:rPr>
          <w:rFonts w:ascii="Arial" w:hAnsi="Arial" w:cs="Arial"/>
          <w:i/>
          <w:iCs/>
        </w:rPr>
        <w:t>et al</w:t>
      </w:r>
      <w:r w:rsidRPr="0023159C">
        <w:rPr>
          <w:rFonts w:ascii="Arial" w:hAnsi="Arial" w:cs="Arial"/>
        </w:rPr>
        <w:t>., 2014).</w:t>
      </w:r>
      <w:r w:rsidR="00530058" w:rsidRPr="0023159C">
        <w:rPr>
          <w:rFonts w:ascii="Arial" w:eastAsia="Calibri" w:hAnsi="Arial" w:cs="Arial"/>
          <w:szCs w:val="22"/>
        </w:rPr>
        <w:t xml:space="preserve"> Among various</w:t>
      </w:r>
      <w:r w:rsidRPr="0023159C">
        <w:rPr>
          <w:rFonts w:ascii="Arial" w:eastAsia="Calibri" w:hAnsi="Arial" w:cs="Arial"/>
          <w:szCs w:val="22"/>
        </w:rPr>
        <w:t xml:space="preserve"> fungal</w:t>
      </w:r>
      <w:r w:rsidR="00530058" w:rsidRPr="0023159C">
        <w:rPr>
          <w:rFonts w:ascii="Arial" w:eastAsia="Calibri" w:hAnsi="Arial" w:cs="Arial"/>
          <w:szCs w:val="22"/>
        </w:rPr>
        <w:t xml:space="preserve"> diseases, </w:t>
      </w:r>
      <w:r w:rsidR="00530058" w:rsidRPr="0023159C">
        <w:rPr>
          <w:rFonts w:ascii="Arial" w:eastAsia="Calibri" w:hAnsi="Arial" w:cs="Arial"/>
          <w:i/>
          <w:iCs/>
          <w:szCs w:val="22"/>
        </w:rPr>
        <w:t>Phomopsis</w:t>
      </w:r>
      <w:r w:rsidR="00530058" w:rsidRPr="0023159C">
        <w:rPr>
          <w:rFonts w:ascii="Arial" w:eastAsia="Calibri" w:hAnsi="Arial" w:cs="Arial"/>
          <w:szCs w:val="22"/>
        </w:rPr>
        <w:t xml:space="preserve"> blight is most widely occurred disease caused by the fungus </w:t>
      </w:r>
      <w:r w:rsidR="00530058" w:rsidRPr="0023159C">
        <w:rPr>
          <w:rFonts w:ascii="Arial" w:eastAsia="Calibri" w:hAnsi="Arial" w:cs="Arial"/>
          <w:i/>
          <w:iCs/>
          <w:szCs w:val="22"/>
        </w:rPr>
        <w:t>Phomopsis vexans</w:t>
      </w:r>
      <w:r w:rsidR="00530058" w:rsidRPr="0023159C">
        <w:rPr>
          <w:rFonts w:ascii="Arial" w:eastAsia="Calibri" w:hAnsi="Arial" w:cs="Arial"/>
          <w:szCs w:val="22"/>
        </w:rPr>
        <w:t xml:space="preserve"> (Sacc. &amp; Syd.)</w:t>
      </w:r>
      <w:r w:rsidR="00C13909" w:rsidRPr="0023159C">
        <w:rPr>
          <w:rFonts w:ascii="Arial" w:eastAsia="Calibri" w:hAnsi="Arial" w:cs="Arial"/>
          <w:szCs w:val="22"/>
        </w:rPr>
        <w:t>. It affects the seedling, leaves, branches and fruits, leading to significant yield and quality losses.</w:t>
      </w:r>
      <w:r w:rsidR="005A7FEC">
        <w:rPr>
          <w:rFonts w:ascii="Arial" w:eastAsia="Calibri" w:hAnsi="Arial" w:cs="Arial"/>
          <w:szCs w:val="22"/>
        </w:rPr>
        <w:t xml:space="preserve"> </w:t>
      </w:r>
      <w:proofErr w:type="gramStart"/>
      <w:r w:rsidR="00A44E79" w:rsidRPr="0006546E">
        <w:rPr>
          <w:rFonts w:ascii="Arial" w:eastAsia="Calibri" w:hAnsi="Arial" w:cs="Arial"/>
          <w:szCs w:val="22"/>
          <w:highlight w:val="yellow"/>
        </w:rPr>
        <w:t xml:space="preserve">The disease typically </w:t>
      </w:r>
      <w:r w:rsidR="0006546E">
        <w:rPr>
          <w:highlight w:val="yellow"/>
        </w:rPr>
        <w:t>responsible for 30-</w:t>
      </w:r>
      <w:r w:rsidR="0006546E" w:rsidRPr="0006546E">
        <w:rPr>
          <w:highlight w:val="yellow"/>
        </w:rPr>
        <w:t>50</w:t>
      </w:r>
      <w:r w:rsidR="0006546E">
        <w:rPr>
          <w:highlight w:val="yellow"/>
        </w:rPr>
        <w:t xml:space="preserve"> </w:t>
      </w:r>
      <w:r w:rsidR="0006546E" w:rsidRPr="0006546E">
        <w:rPr>
          <w:highlight w:val="yellow"/>
        </w:rPr>
        <w:t xml:space="preserve">% disease </w:t>
      </w:r>
      <w:r w:rsidR="0006546E" w:rsidRPr="0006546E">
        <w:rPr>
          <w:highlight w:val="yellow"/>
        </w:rPr>
        <w:lastRenderedPageBreak/>
        <w:t>severity with 15–20</w:t>
      </w:r>
      <w:r w:rsidR="0006546E">
        <w:rPr>
          <w:highlight w:val="yellow"/>
        </w:rPr>
        <w:t xml:space="preserve"> </w:t>
      </w:r>
      <w:r w:rsidR="0006546E" w:rsidRPr="0006546E">
        <w:rPr>
          <w:highlight w:val="yellow"/>
        </w:rPr>
        <w:t xml:space="preserve">% reduction </w:t>
      </w:r>
      <w:r w:rsidR="0006546E">
        <w:rPr>
          <w:highlight w:val="yellow"/>
        </w:rPr>
        <w:t xml:space="preserve">in the </w:t>
      </w:r>
      <w:r w:rsidR="0006546E" w:rsidRPr="0006546E">
        <w:rPr>
          <w:highlight w:val="yellow"/>
        </w:rPr>
        <w:t xml:space="preserve">yield </w:t>
      </w:r>
      <w:r w:rsidR="0006546E">
        <w:rPr>
          <w:highlight w:val="yellow"/>
        </w:rPr>
        <w:t>of brinjal</w:t>
      </w:r>
      <w:r w:rsidR="00A44E79" w:rsidRPr="0006546E">
        <w:rPr>
          <w:rFonts w:ascii="Arial" w:eastAsia="Calibri" w:hAnsi="Arial" w:cs="Arial"/>
          <w:szCs w:val="22"/>
          <w:highlight w:val="yellow"/>
        </w:rPr>
        <w:t xml:space="preserve"> (</w:t>
      </w:r>
      <w:r w:rsidR="0006546E" w:rsidRPr="0006546E">
        <w:rPr>
          <w:rFonts w:ascii="Arial" w:eastAsia="Calibri" w:hAnsi="Arial" w:cs="Arial"/>
          <w:szCs w:val="22"/>
          <w:highlight w:val="yellow"/>
        </w:rPr>
        <w:t xml:space="preserve">Jakatimath </w:t>
      </w:r>
      <w:r w:rsidR="0006546E" w:rsidRPr="0006546E">
        <w:rPr>
          <w:rFonts w:ascii="Arial" w:eastAsia="Calibri" w:hAnsi="Arial" w:cs="Arial"/>
          <w:i/>
          <w:iCs/>
          <w:szCs w:val="22"/>
          <w:highlight w:val="yellow"/>
        </w:rPr>
        <w:t>et al</w:t>
      </w:r>
      <w:r w:rsidR="0006546E" w:rsidRPr="0006546E">
        <w:rPr>
          <w:rFonts w:ascii="Arial" w:eastAsia="Calibri" w:hAnsi="Arial" w:cs="Arial"/>
          <w:szCs w:val="22"/>
          <w:highlight w:val="yellow"/>
        </w:rPr>
        <w:t>., 2017</w:t>
      </w:r>
      <w:r w:rsidR="0006546E">
        <w:rPr>
          <w:rFonts w:ascii="Arial" w:eastAsia="Calibri" w:hAnsi="Arial" w:cs="Arial"/>
          <w:szCs w:val="22"/>
          <w:highlight w:val="yellow"/>
        </w:rPr>
        <w:t xml:space="preserve">; </w:t>
      </w:r>
      <w:proofErr w:type="spellStart"/>
      <w:r w:rsidR="0006546E" w:rsidRPr="0006546E">
        <w:rPr>
          <w:highlight w:val="yellow"/>
        </w:rPr>
        <w:t>Goutam</w:t>
      </w:r>
      <w:proofErr w:type="spellEnd"/>
      <w:r w:rsidR="0006546E" w:rsidRPr="0006546E">
        <w:rPr>
          <w:highlight w:val="yellow"/>
        </w:rPr>
        <w:t xml:space="preserve"> </w:t>
      </w:r>
      <w:r w:rsidR="0006546E" w:rsidRPr="0006546E">
        <w:rPr>
          <w:i/>
          <w:iCs/>
          <w:highlight w:val="yellow"/>
        </w:rPr>
        <w:t>et al.,</w:t>
      </w:r>
      <w:r w:rsidR="0006546E" w:rsidRPr="0006546E">
        <w:rPr>
          <w:highlight w:val="yellow"/>
        </w:rPr>
        <w:t xml:space="preserve"> 2024)</w:t>
      </w:r>
      <w:r w:rsidR="0006546E">
        <w:t>.</w:t>
      </w:r>
      <w:proofErr w:type="gramEnd"/>
      <w:r w:rsidR="00C13909" w:rsidRPr="0023159C">
        <w:rPr>
          <w:rFonts w:ascii="Arial" w:eastAsia="Calibri" w:hAnsi="Arial" w:cs="Arial"/>
          <w:szCs w:val="22"/>
        </w:rPr>
        <w:t xml:space="preserve"> Hence experiment to find out effective fungicides against </w:t>
      </w:r>
      <w:r w:rsidR="00C13909" w:rsidRPr="0023159C">
        <w:rPr>
          <w:rFonts w:ascii="Arial" w:eastAsia="Calibri" w:hAnsi="Arial" w:cs="Arial"/>
          <w:i/>
          <w:iCs/>
          <w:szCs w:val="22"/>
        </w:rPr>
        <w:t>Phomopsis vexans</w:t>
      </w:r>
      <w:r w:rsidR="003D2C43" w:rsidRPr="0023159C">
        <w:rPr>
          <w:rFonts w:ascii="Arial" w:eastAsia="Calibri" w:hAnsi="Arial" w:cs="Arial"/>
          <w:szCs w:val="22"/>
        </w:rPr>
        <w:t xml:space="preserve"> was</w:t>
      </w:r>
      <w:r w:rsidR="00C13909" w:rsidRPr="0023159C">
        <w:rPr>
          <w:rFonts w:ascii="Arial" w:eastAsia="Calibri" w:hAnsi="Arial" w:cs="Arial"/>
          <w:szCs w:val="22"/>
        </w:rPr>
        <w:t xml:space="preserve"> conducted under </w:t>
      </w:r>
      <w:r w:rsidR="00C13909" w:rsidRPr="0023159C">
        <w:rPr>
          <w:rFonts w:ascii="Arial" w:eastAsia="Calibri" w:hAnsi="Arial" w:cs="Arial"/>
          <w:i/>
          <w:iCs/>
          <w:szCs w:val="22"/>
        </w:rPr>
        <w:t>in vitro</w:t>
      </w:r>
      <w:r w:rsidR="00C13909" w:rsidRPr="0023159C">
        <w:rPr>
          <w:rFonts w:ascii="Arial" w:eastAsia="Calibri" w:hAnsi="Arial" w:cs="Arial"/>
          <w:szCs w:val="22"/>
        </w:rPr>
        <w:t xml:space="preserve"> condition.</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rsidR="00790ADA" w:rsidRPr="000A5833" w:rsidRDefault="009B18D0" w:rsidP="00F1007D">
      <w:pPr>
        <w:pStyle w:val="Body"/>
        <w:spacing w:before="120" w:after="120"/>
        <w:ind w:firstLine="562"/>
        <w:rPr>
          <w:rFonts w:ascii="Arial" w:hAnsi="Arial" w:cs="Arial"/>
        </w:rPr>
      </w:pPr>
      <w:r w:rsidRPr="000A5833">
        <w:rPr>
          <w:rFonts w:ascii="Arial" w:hAnsi="Arial" w:cs="Arial"/>
        </w:rPr>
        <w:t>The efficacy of seven systemic and seven conta</w:t>
      </w:r>
      <w:r w:rsidR="009304BC">
        <w:rPr>
          <w:rFonts w:ascii="Arial" w:hAnsi="Arial" w:cs="Arial"/>
        </w:rPr>
        <w:t xml:space="preserve">ct, </w:t>
      </w:r>
      <w:r w:rsidRPr="000A5833">
        <w:rPr>
          <w:rFonts w:ascii="Arial" w:hAnsi="Arial" w:cs="Arial"/>
        </w:rPr>
        <w:t>combi- product fungicides were assessed using the "Poisoned Food" method, as described by Nene and Thapliyal (1993) by utilizing Potato Dextrose Agar (PDA) as a base cult</w:t>
      </w:r>
      <w:r w:rsidR="004E57AF">
        <w:rPr>
          <w:rFonts w:ascii="Arial" w:hAnsi="Arial" w:cs="Arial"/>
        </w:rPr>
        <w:t xml:space="preserve">ure medium. Systemic fungicide </w:t>
      </w:r>
      <w:r w:rsidR="004E57AF" w:rsidRPr="000A5833">
        <w:rPr>
          <w:rFonts w:ascii="Arial" w:hAnsi="Arial" w:cs="Arial"/>
        </w:rPr>
        <w:t xml:space="preserve">listed in </w:t>
      </w:r>
      <w:r w:rsidR="004E57AF">
        <w:rPr>
          <w:rFonts w:ascii="Arial" w:hAnsi="Arial" w:cs="Arial"/>
        </w:rPr>
        <w:t>Table 1 were</w:t>
      </w:r>
      <w:r w:rsidRPr="000A5833">
        <w:rPr>
          <w:rFonts w:ascii="Arial" w:hAnsi="Arial" w:cs="Arial"/>
        </w:rPr>
        <w:t xml:space="preserve"> tested at 500 ppm and 1000 ppm concentrat</w:t>
      </w:r>
      <w:r w:rsidR="00841255">
        <w:rPr>
          <w:rFonts w:ascii="Arial" w:hAnsi="Arial" w:cs="Arial"/>
        </w:rPr>
        <w:t>ion, whereas contact and combi-</w:t>
      </w:r>
      <w:r w:rsidRPr="000A5833">
        <w:rPr>
          <w:rFonts w:ascii="Arial" w:hAnsi="Arial" w:cs="Arial"/>
        </w:rPr>
        <w:t>product fungicides listed in Table 2 were tested at 2000 ppm and 2500 ppm concentration. The PDA medium containing appropriate quantity of fungicide were poured aseptically into Petri dishes (90 mm in diameter), where it solidifies at room temperature. All of the plates were inoculated aseptically with a 5 mm culture disc made from an actively growing pure culture of a pathogen. The disc was positioned in the m</w:t>
      </w:r>
      <w:r w:rsidR="000A5833" w:rsidRPr="000A5833">
        <w:rPr>
          <w:rFonts w:ascii="Arial" w:hAnsi="Arial" w:cs="Arial"/>
        </w:rPr>
        <w:t>iddle of the petri plate on PDA</w:t>
      </w:r>
      <w:r w:rsidRPr="000A5833">
        <w:rPr>
          <w:rFonts w:ascii="Arial" w:hAnsi="Arial" w:cs="Arial"/>
        </w:rPr>
        <w:t xml:space="preserve"> and the plates then be incubated at a temperature of 27 ± 2 °C. Three </w:t>
      </w:r>
      <w:r w:rsidR="000A5833" w:rsidRPr="000A5833">
        <w:rPr>
          <w:rFonts w:ascii="Arial" w:hAnsi="Arial" w:cs="Arial"/>
        </w:rPr>
        <w:t>replications</w:t>
      </w:r>
      <w:r w:rsidRPr="000A5833">
        <w:rPr>
          <w:rFonts w:ascii="Arial" w:hAnsi="Arial" w:cs="Arial"/>
        </w:rPr>
        <w:t xml:space="preserve"> of each test fungicide's concentration were made. Petri plates with basic PDA (without fungicides) containing the pathogen's culture disc were continued to be used as the untreated control.</w:t>
      </w:r>
    </w:p>
    <w:p w:rsidR="000A5833" w:rsidRPr="000A5833" w:rsidRDefault="000A5833" w:rsidP="004E57AF">
      <w:pPr>
        <w:pStyle w:val="Body"/>
        <w:spacing w:before="120" w:after="120"/>
        <w:rPr>
          <w:rFonts w:ascii="Arial" w:hAnsi="Arial" w:cs="Arial"/>
        </w:rPr>
      </w:pPr>
      <w:r w:rsidRPr="000A5833">
        <w:rPr>
          <w:rFonts w:ascii="Arial" w:hAnsi="Arial" w:cs="Arial"/>
        </w:rPr>
        <w:t xml:space="preserve"> Table 1: List of systemic fungicides</w:t>
      </w:r>
    </w:p>
    <w:tbl>
      <w:tblPr>
        <w:tblStyle w:val="TableGrid"/>
        <w:tblW w:w="0" w:type="auto"/>
        <w:tblLook w:val="04A0" w:firstRow="1" w:lastRow="0" w:firstColumn="1" w:lastColumn="0" w:noHBand="0" w:noVBand="1"/>
      </w:tblPr>
      <w:tblGrid>
        <w:gridCol w:w="828"/>
        <w:gridCol w:w="3330"/>
        <w:gridCol w:w="900"/>
        <w:gridCol w:w="3330"/>
      </w:tblGrid>
      <w:tr w:rsidR="0040709B" w:rsidRPr="0040709B" w:rsidTr="000A5833">
        <w:tc>
          <w:tcPr>
            <w:tcW w:w="828"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30"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c>
          <w:tcPr>
            <w:tcW w:w="900"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30"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r>
      <w:tr w:rsidR="0040709B" w:rsidRPr="0040709B" w:rsidTr="000A5833">
        <w:tc>
          <w:tcPr>
            <w:tcW w:w="828" w:type="dxa"/>
            <w:vAlign w:val="center"/>
          </w:tcPr>
          <w:p w:rsidR="0040709B" w:rsidRPr="0040709B" w:rsidRDefault="0040709B" w:rsidP="00B31FBC">
            <w:pPr>
              <w:pStyle w:val="TableParagraph"/>
              <w:spacing w:before="3"/>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1</w:t>
            </w:r>
          </w:p>
        </w:tc>
        <w:tc>
          <w:tcPr>
            <w:tcW w:w="3330" w:type="dxa"/>
            <w:vAlign w:val="center"/>
          </w:tcPr>
          <w:p w:rsidR="0040709B" w:rsidRPr="0040709B" w:rsidRDefault="0040709B" w:rsidP="0040709B">
            <w:pPr>
              <w:pStyle w:val="TableParagraph"/>
              <w:rPr>
                <w:rFonts w:ascii="Arial" w:hAnsi="Arial" w:cs="Arial"/>
                <w:bCs/>
                <w:sz w:val="20"/>
                <w:szCs w:val="18"/>
              </w:rPr>
            </w:pPr>
            <w:r w:rsidRPr="0040709B">
              <w:rPr>
                <w:rFonts w:ascii="Arial" w:hAnsi="Arial" w:cs="Arial"/>
                <w:bCs/>
                <w:sz w:val="20"/>
                <w:szCs w:val="18"/>
              </w:rPr>
              <w:t>Carbendazim</w:t>
            </w:r>
            <w:r w:rsidRPr="0040709B">
              <w:rPr>
                <w:rFonts w:ascii="Arial" w:hAnsi="Arial" w:cs="Arial"/>
                <w:bCs/>
                <w:spacing w:val="8"/>
                <w:sz w:val="20"/>
                <w:szCs w:val="18"/>
              </w:rPr>
              <w:t xml:space="preserve"> </w:t>
            </w:r>
            <w:r w:rsidRPr="0040709B">
              <w:rPr>
                <w:rFonts w:ascii="Arial" w:hAnsi="Arial" w:cs="Arial"/>
                <w:bCs/>
                <w:sz w:val="20"/>
                <w:szCs w:val="18"/>
              </w:rPr>
              <w:t>50%</w:t>
            </w:r>
            <w:r w:rsidRPr="0040709B">
              <w:rPr>
                <w:rFonts w:ascii="Arial" w:hAnsi="Arial" w:cs="Arial"/>
                <w:bCs/>
                <w:spacing w:val="7"/>
                <w:sz w:val="20"/>
                <w:szCs w:val="18"/>
              </w:rPr>
              <w:t xml:space="preserve"> </w:t>
            </w:r>
            <w:r w:rsidRPr="0040709B">
              <w:rPr>
                <w:rFonts w:ascii="Arial" w:hAnsi="Arial" w:cs="Arial"/>
                <w:bCs/>
                <w:spacing w:val="-5"/>
                <w:sz w:val="20"/>
                <w:szCs w:val="18"/>
              </w:rPr>
              <w:t>WP</w:t>
            </w:r>
          </w:p>
        </w:tc>
        <w:tc>
          <w:tcPr>
            <w:tcW w:w="900" w:type="dxa"/>
            <w:vAlign w:val="center"/>
          </w:tcPr>
          <w:p w:rsidR="0040709B" w:rsidRPr="0040709B" w:rsidRDefault="0040709B" w:rsidP="00B31FBC">
            <w:pPr>
              <w:pStyle w:val="TableParagraph"/>
              <w:spacing w:before="3"/>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5</w:t>
            </w:r>
          </w:p>
        </w:tc>
        <w:tc>
          <w:tcPr>
            <w:tcW w:w="3330" w:type="dxa"/>
            <w:vAlign w:val="center"/>
          </w:tcPr>
          <w:p w:rsidR="0040709B" w:rsidRPr="0040709B" w:rsidRDefault="0040709B" w:rsidP="0040709B">
            <w:pPr>
              <w:pStyle w:val="TableParagraph"/>
              <w:rPr>
                <w:rFonts w:ascii="Arial" w:hAnsi="Arial" w:cs="Arial"/>
                <w:bCs/>
                <w:sz w:val="20"/>
                <w:szCs w:val="18"/>
              </w:rPr>
            </w:pPr>
            <w:r w:rsidRPr="0040709B">
              <w:rPr>
                <w:rFonts w:ascii="Arial" w:hAnsi="Arial" w:cs="Arial"/>
                <w:bCs/>
                <w:sz w:val="20"/>
                <w:szCs w:val="18"/>
              </w:rPr>
              <w:t>Difenconazole 25% EC</w:t>
            </w:r>
          </w:p>
        </w:tc>
      </w:tr>
      <w:tr w:rsidR="0040709B" w:rsidRPr="0040709B" w:rsidTr="000A5833">
        <w:tc>
          <w:tcPr>
            <w:tcW w:w="828" w:type="dxa"/>
            <w:vAlign w:val="center"/>
          </w:tcPr>
          <w:p w:rsidR="0040709B" w:rsidRPr="0040709B" w:rsidRDefault="0040709B" w:rsidP="00B31FBC">
            <w:pPr>
              <w:pStyle w:val="TableParagraph"/>
              <w:spacing w:before="2"/>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2</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Propiconazole 25% EC</w:t>
            </w:r>
          </w:p>
        </w:tc>
        <w:tc>
          <w:tcPr>
            <w:tcW w:w="900" w:type="dxa"/>
            <w:vAlign w:val="center"/>
          </w:tcPr>
          <w:p w:rsidR="0040709B" w:rsidRPr="0040709B" w:rsidRDefault="0040709B" w:rsidP="00B31FBC">
            <w:pPr>
              <w:pStyle w:val="TableParagraph"/>
              <w:spacing w:before="2"/>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6</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lang w:val="en-IN"/>
              </w:rPr>
              <w:t>Hexaconazole 5% EC</w:t>
            </w:r>
          </w:p>
        </w:tc>
      </w:tr>
      <w:tr w:rsidR="0040709B" w:rsidRPr="0040709B" w:rsidTr="000A5833">
        <w:tc>
          <w:tcPr>
            <w:tcW w:w="828" w:type="dxa"/>
            <w:vAlign w:val="center"/>
          </w:tcPr>
          <w:p w:rsidR="0040709B" w:rsidRPr="0040709B" w:rsidRDefault="0040709B" w:rsidP="00B31FBC">
            <w:pPr>
              <w:pStyle w:val="TableParagraph"/>
              <w:spacing w:before="3"/>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3</w:t>
            </w:r>
          </w:p>
        </w:tc>
        <w:tc>
          <w:tcPr>
            <w:tcW w:w="3330" w:type="dxa"/>
            <w:vAlign w:val="center"/>
          </w:tcPr>
          <w:p w:rsidR="0040709B" w:rsidRPr="0040709B" w:rsidRDefault="0040709B" w:rsidP="0040709B">
            <w:pPr>
              <w:pStyle w:val="TableParagraph"/>
              <w:spacing w:before="3"/>
              <w:rPr>
                <w:rFonts w:ascii="Arial" w:hAnsi="Arial" w:cs="Arial"/>
                <w:bCs/>
                <w:sz w:val="20"/>
                <w:szCs w:val="18"/>
              </w:rPr>
            </w:pPr>
            <w:r w:rsidRPr="0040709B">
              <w:rPr>
                <w:rFonts w:ascii="Arial" w:hAnsi="Arial" w:cs="Arial"/>
                <w:bCs/>
                <w:sz w:val="20"/>
                <w:szCs w:val="18"/>
              </w:rPr>
              <w:t>Azoxystrobin 23% SC</w:t>
            </w:r>
          </w:p>
        </w:tc>
        <w:tc>
          <w:tcPr>
            <w:tcW w:w="900" w:type="dxa"/>
            <w:vAlign w:val="center"/>
          </w:tcPr>
          <w:p w:rsidR="0040709B" w:rsidRPr="0040709B" w:rsidRDefault="0040709B" w:rsidP="00B31FBC">
            <w:pPr>
              <w:pStyle w:val="TableParagraph"/>
              <w:spacing w:before="3"/>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7</w:t>
            </w:r>
          </w:p>
        </w:tc>
        <w:tc>
          <w:tcPr>
            <w:tcW w:w="3330" w:type="dxa"/>
            <w:vAlign w:val="center"/>
          </w:tcPr>
          <w:p w:rsidR="0040709B" w:rsidRPr="0040709B" w:rsidRDefault="0040709B" w:rsidP="0040709B">
            <w:pPr>
              <w:pStyle w:val="TableParagraph"/>
              <w:spacing w:before="3"/>
              <w:rPr>
                <w:rFonts w:ascii="Arial" w:hAnsi="Arial" w:cs="Arial"/>
                <w:bCs/>
                <w:sz w:val="20"/>
                <w:szCs w:val="18"/>
              </w:rPr>
            </w:pPr>
            <w:r w:rsidRPr="0040709B">
              <w:rPr>
                <w:rFonts w:ascii="Arial" w:hAnsi="Arial" w:cs="Arial"/>
                <w:bCs/>
                <w:sz w:val="20"/>
                <w:szCs w:val="18"/>
                <w:lang w:val="en-IN"/>
              </w:rPr>
              <w:t>Metalaxyl 35%  WS</w:t>
            </w:r>
          </w:p>
        </w:tc>
      </w:tr>
      <w:tr w:rsidR="0040709B" w:rsidRPr="0040709B" w:rsidTr="000A5833">
        <w:tc>
          <w:tcPr>
            <w:tcW w:w="828" w:type="dxa"/>
            <w:vAlign w:val="center"/>
          </w:tcPr>
          <w:p w:rsidR="0040709B" w:rsidRPr="0040709B" w:rsidRDefault="0040709B" w:rsidP="00B31FBC">
            <w:pPr>
              <w:pStyle w:val="TableParagraph"/>
              <w:spacing w:before="2"/>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4</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Thiophanate methyl 70% WP</w:t>
            </w:r>
          </w:p>
        </w:tc>
        <w:tc>
          <w:tcPr>
            <w:tcW w:w="900" w:type="dxa"/>
            <w:vAlign w:val="center"/>
          </w:tcPr>
          <w:p w:rsidR="0040709B" w:rsidRPr="0040709B" w:rsidRDefault="0040709B" w:rsidP="00B31FBC">
            <w:pPr>
              <w:pStyle w:val="TableParagraph"/>
              <w:spacing w:before="2"/>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8</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Control</w:t>
            </w:r>
            <w:r w:rsidRPr="0040709B">
              <w:rPr>
                <w:rFonts w:ascii="Arial" w:hAnsi="Arial" w:cs="Arial"/>
                <w:bCs/>
                <w:spacing w:val="1"/>
                <w:sz w:val="20"/>
                <w:szCs w:val="18"/>
              </w:rPr>
              <w:t xml:space="preserve"> </w:t>
            </w:r>
            <w:r w:rsidRPr="0040709B">
              <w:rPr>
                <w:rFonts w:ascii="Arial" w:hAnsi="Arial" w:cs="Arial"/>
                <w:bCs/>
                <w:spacing w:val="-2"/>
                <w:sz w:val="20"/>
                <w:szCs w:val="18"/>
              </w:rPr>
              <w:t>(untreated)</w:t>
            </w:r>
          </w:p>
        </w:tc>
      </w:tr>
    </w:tbl>
    <w:p w:rsidR="000A5833" w:rsidRPr="0040709B" w:rsidRDefault="000A5833" w:rsidP="004E57AF">
      <w:pPr>
        <w:pStyle w:val="Body"/>
        <w:spacing w:before="120" w:after="120"/>
      </w:pPr>
      <w:r w:rsidRPr="0040709B">
        <w:t>Table 2: List of contact and combi fungicides</w:t>
      </w:r>
    </w:p>
    <w:tbl>
      <w:tblPr>
        <w:tblStyle w:val="TableGrid"/>
        <w:tblW w:w="0" w:type="auto"/>
        <w:tblLook w:val="04A0" w:firstRow="1" w:lastRow="0" w:firstColumn="1" w:lastColumn="0" w:noHBand="0" w:noVBand="1"/>
      </w:tblPr>
      <w:tblGrid>
        <w:gridCol w:w="828"/>
        <w:gridCol w:w="3384"/>
        <w:gridCol w:w="846"/>
        <w:gridCol w:w="3366"/>
      </w:tblGrid>
      <w:tr w:rsidR="0040709B" w:rsidRPr="0040709B" w:rsidTr="000A5833">
        <w:tc>
          <w:tcPr>
            <w:tcW w:w="828"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84"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c>
          <w:tcPr>
            <w:tcW w:w="846"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66"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r>
      <w:tr w:rsidR="0040709B" w:rsidRPr="0040709B" w:rsidTr="00B31FBC">
        <w:tc>
          <w:tcPr>
            <w:tcW w:w="828" w:type="dxa"/>
            <w:vAlign w:val="center"/>
          </w:tcPr>
          <w:p w:rsidR="0040709B" w:rsidRPr="0040709B" w:rsidRDefault="0040709B" w:rsidP="00B31FBC">
            <w:pPr>
              <w:pStyle w:val="TableParagraph"/>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1</w:t>
            </w:r>
          </w:p>
        </w:tc>
        <w:tc>
          <w:tcPr>
            <w:tcW w:w="3384" w:type="dxa"/>
            <w:vAlign w:val="center"/>
          </w:tcPr>
          <w:p w:rsidR="0040709B" w:rsidRPr="0040709B" w:rsidRDefault="0040709B" w:rsidP="00841255">
            <w:pPr>
              <w:pStyle w:val="TableParagraph"/>
              <w:spacing w:line="265" w:lineRule="exact"/>
              <w:rPr>
                <w:rFonts w:ascii="Arial" w:hAnsi="Arial" w:cs="Arial"/>
                <w:sz w:val="20"/>
                <w:szCs w:val="20"/>
              </w:rPr>
            </w:pPr>
            <w:r w:rsidRPr="0040709B">
              <w:rPr>
                <w:rFonts w:ascii="Arial" w:hAnsi="Arial" w:cs="Arial"/>
                <w:sz w:val="20"/>
                <w:szCs w:val="20"/>
              </w:rPr>
              <w:t>Propineb</w:t>
            </w:r>
            <w:r w:rsidRPr="0040709B">
              <w:rPr>
                <w:rFonts w:ascii="Arial" w:hAnsi="Arial" w:cs="Arial"/>
                <w:spacing w:val="3"/>
                <w:sz w:val="20"/>
                <w:szCs w:val="20"/>
              </w:rPr>
              <w:t xml:space="preserve"> </w:t>
            </w:r>
            <w:r w:rsidRPr="0040709B">
              <w:rPr>
                <w:rFonts w:ascii="Arial" w:hAnsi="Arial" w:cs="Arial"/>
                <w:sz w:val="20"/>
                <w:szCs w:val="20"/>
              </w:rPr>
              <w:t>70%</w:t>
            </w:r>
            <w:r w:rsidRPr="0040709B">
              <w:rPr>
                <w:rFonts w:ascii="Arial" w:hAnsi="Arial" w:cs="Arial"/>
                <w:spacing w:val="7"/>
                <w:sz w:val="20"/>
                <w:szCs w:val="20"/>
              </w:rPr>
              <w:t xml:space="preserve"> </w:t>
            </w:r>
            <w:r w:rsidRPr="0040709B">
              <w:rPr>
                <w:rFonts w:ascii="Arial" w:hAnsi="Arial" w:cs="Arial"/>
                <w:spacing w:val="-5"/>
                <w:sz w:val="20"/>
                <w:szCs w:val="20"/>
              </w:rPr>
              <w:t>WP</w:t>
            </w:r>
          </w:p>
        </w:tc>
        <w:tc>
          <w:tcPr>
            <w:tcW w:w="846" w:type="dxa"/>
            <w:vAlign w:val="center"/>
          </w:tcPr>
          <w:p w:rsidR="0040709B" w:rsidRPr="0040709B" w:rsidRDefault="0040709B" w:rsidP="00B31FBC">
            <w:pPr>
              <w:pStyle w:val="TableParagraph"/>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5</w:t>
            </w:r>
          </w:p>
        </w:tc>
        <w:tc>
          <w:tcPr>
            <w:tcW w:w="3366"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Carbendazim 12% + Mancozeb 63% WP</w:t>
            </w:r>
          </w:p>
        </w:tc>
      </w:tr>
      <w:tr w:rsidR="0040709B" w:rsidRPr="0040709B" w:rsidTr="00B31FBC">
        <w:tc>
          <w:tcPr>
            <w:tcW w:w="828" w:type="dxa"/>
            <w:vAlign w:val="center"/>
          </w:tcPr>
          <w:p w:rsidR="0040709B" w:rsidRPr="0040709B" w:rsidRDefault="0040709B" w:rsidP="00B31FBC">
            <w:pPr>
              <w:pStyle w:val="TableParagraph"/>
              <w:spacing w:before="2"/>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2</w:t>
            </w:r>
          </w:p>
        </w:tc>
        <w:tc>
          <w:tcPr>
            <w:tcW w:w="3384" w:type="dxa"/>
            <w:vAlign w:val="center"/>
          </w:tcPr>
          <w:p w:rsidR="0040709B" w:rsidRPr="0040709B" w:rsidRDefault="0040709B" w:rsidP="00841255">
            <w:pPr>
              <w:pStyle w:val="TableParagraph"/>
              <w:spacing w:line="265" w:lineRule="exact"/>
              <w:rPr>
                <w:rFonts w:ascii="Arial" w:hAnsi="Arial" w:cs="Arial"/>
                <w:spacing w:val="-5"/>
                <w:sz w:val="20"/>
                <w:szCs w:val="20"/>
              </w:rPr>
            </w:pPr>
            <w:r w:rsidRPr="0040709B">
              <w:rPr>
                <w:rFonts w:ascii="Arial" w:hAnsi="Arial" w:cs="Arial"/>
                <w:sz w:val="20"/>
                <w:szCs w:val="20"/>
              </w:rPr>
              <w:t>Mancozeb</w:t>
            </w:r>
            <w:r w:rsidRPr="0040709B">
              <w:rPr>
                <w:rFonts w:ascii="Arial" w:hAnsi="Arial" w:cs="Arial"/>
                <w:spacing w:val="2"/>
                <w:sz w:val="20"/>
                <w:szCs w:val="20"/>
              </w:rPr>
              <w:t xml:space="preserve"> </w:t>
            </w:r>
            <w:r w:rsidRPr="0040709B">
              <w:rPr>
                <w:rFonts w:ascii="Arial" w:hAnsi="Arial" w:cs="Arial"/>
                <w:sz w:val="20"/>
                <w:szCs w:val="20"/>
              </w:rPr>
              <w:t>75%</w:t>
            </w:r>
            <w:r w:rsidRPr="0040709B">
              <w:rPr>
                <w:rFonts w:ascii="Arial" w:hAnsi="Arial" w:cs="Arial"/>
                <w:spacing w:val="7"/>
                <w:sz w:val="20"/>
                <w:szCs w:val="20"/>
              </w:rPr>
              <w:t xml:space="preserve"> </w:t>
            </w:r>
            <w:r w:rsidRPr="0040709B">
              <w:rPr>
                <w:rFonts w:ascii="Arial" w:hAnsi="Arial" w:cs="Arial"/>
                <w:spacing w:val="-5"/>
                <w:sz w:val="20"/>
                <w:szCs w:val="20"/>
              </w:rPr>
              <w:t>WP</w:t>
            </w:r>
          </w:p>
        </w:tc>
        <w:tc>
          <w:tcPr>
            <w:tcW w:w="846" w:type="dxa"/>
            <w:vAlign w:val="center"/>
          </w:tcPr>
          <w:p w:rsidR="0040709B" w:rsidRPr="0040709B" w:rsidRDefault="0040709B" w:rsidP="00B31FBC">
            <w:pPr>
              <w:pStyle w:val="TableParagraph"/>
              <w:spacing w:before="2"/>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6</w:t>
            </w:r>
          </w:p>
        </w:tc>
        <w:tc>
          <w:tcPr>
            <w:tcW w:w="3366"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Pyraclostrobin 13.3% + Epoxiconazole 5 % SE</w:t>
            </w:r>
          </w:p>
        </w:tc>
      </w:tr>
      <w:tr w:rsidR="0040709B" w:rsidRPr="0040709B" w:rsidTr="00B31FBC">
        <w:tc>
          <w:tcPr>
            <w:tcW w:w="828" w:type="dxa"/>
            <w:vAlign w:val="center"/>
          </w:tcPr>
          <w:p w:rsidR="0040709B" w:rsidRPr="0040709B" w:rsidRDefault="0040709B" w:rsidP="00B31FBC">
            <w:pPr>
              <w:pStyle w:val="TableParagraph"/>
              <w:spacing w:before="3"/>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3</w:t>
            </w:r>
          </w:p>
        </w:tc>
        <w:tc>
          <w:tcPr>
            <w:tcW w:w="3384" w:type="dxa"/>
            <w:vAlign w:val="center"/>
          </w:tcPr>
          <w:p w:rsidR="0040709B" w:rsidRPr="0040709B" w:rsidRDefault="0040709B" w:rsidP="00841255">
            <w:pPr>
              <w:pStyle w:val="TableParagraph"/>
              <w:spacing w:line="266" w:lineRule="exact"/>
              <w:rPr>
                <w:rFonts w:ascii="Arial" w:hAnsi="Arial" w:cs="Arial"/>
                <w:sz w:val="20"/>
                <w:szCs w:val="20"/>
              </w:rPr>
            </w:pPr>
            <w:r w:rsidRPr="0040709B">
              <w:rPr>
                <w:rFonts w:ascii="Arial" w:hAnsi="Arial" w:cs="Arial"/>
                <w:sz w:val="20"/>
                <w:szCs w:val="20"/>
              </w:rPr>
              <w:t>Chlorothalonil</w:t>
            </w:r>
            <w:r w:rsidRPr="0040709B">
              <w:rPr>
                <w:rFonts w:ascii="Arial" w:hAnsi="Arial" w:cs="Arial"/>
                <w:spacing w:val="12"/>
                <w:sz w:val="20"/>
                <w:szCs w:val="20"/>
              </w:rPr>
              <w:t xml:space="preserve"> </w:t>
            </w:r>
            <w:r w:rsidRPr="0040709B">
              <w:rPr>
                <w:rFonts w:ascii="Arial" w:hAnsi="Arial" w:cs="Arial"/>
                <w:sz w:val="20"/>
                <w:szCs w:val="20"/>
              </w:rPr>
              <w:t>75%</w:t>
            </w:r>
            <w:r w:rsidRPr="0040709B">
              <w:rPr>
                <w:rFonts w:ascii="Arial" w:hAnsi="Arial" w:cs="Arial"/>
                <w:spacing w:val="13"/>
                <w:sz w:val="20"/>
                <w:szCs w:val="20"/>
              </w:rPr>
              <w:t xml:space="preserve"> </w:t>
            </w:r>
            <w:r w:rsidRPr="0040709B">
              <w:rPr>
                <w:rFonts w:ascii="Arial" w:hAnsi="Arial" w:cs="Arial"/>
                <w:spacing w:val="-5"/>
                <w:sz w:val="20"/>
                <w:szCs w:val="20"/>
              </w:rPr>
              <w:t>WP</w:t>
            </w:r>
          </w:p>
        </w:tc>
        <w:tc>
          <w:tcPr>
            <w:tcW w:w="846" w:type="dxa"/>
            <w:vAlign w:val="center"/>
          </w:tcPr>
          <w:p w:rsidR="0040709B" w:rsidRPr="0040709B" w:rsidRDefault="0040709B" w:rsidP="00B31FBC">
            <w:pPr>
              <w:pStyle w:val="TableParagraph"/>
              <w:spacing w:before="3"/>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7</w:t>
            </w:r>
          </w:p>
        </w:tc>
        <w:tc>
          <w:tcPr>
            <w:tcW w:w="3366"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Tebuconazole 50% + Trifloxytrobin 25% WP</w:t>
            </w:r>
          </w:p>
        </w:tc>
      </w:tr>
      <w:tr w:rsidR="0040709B" w:rsidRPr="0040709B" w:rsidTr="00B31FBC">
        <w:tc>
          <w:tcPr>
            <w:tcW w:w="828" w:type="dxa"/>
            <w:vAlign w:val="center"/>
          </w:tcPr>
          <w:p w:rsidR="0040709B" w:rsidRPr="0040709B" w:rsidRDefault="0040709B" w:rsidP="00B31FBC">
            <w:pPr>
              <w:pStyle w:val="TableParagraph"/>
              <w:spacing w:before="2"/>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4</w:t>
            </w:r>
          </w:p>
        </w:tc>
        <w:tc>
          <w:tcPr>
            <w:tcW w:w="3384"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Carboxin 37.5% + Thiram 37.5% WP</w:t>
            </w:r>
          </w:p>
        </w:tc>
        <w:tc>
          <w:tcPr>
            <w:tcW w:w="846" w:type="dxa"/>
            <w:vAlign w:val="center"/>
          </w:tcPr>
          <w:p w:rsidR="0040709B" w:rsidRPr="0040709B" w:rsidRDefault="0040709B" w:rsidP="00B31FBC">
            <w:pPr>
              <w:pStyle w:val="TableParagraph"/>
              <w:spacing w:before="2"/>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8</w:t>
            </w:r>
          </w:p>
        </w:tc>
        <w:tc>
          <w:tcPr>
            <w:tcW w:w="3366" w:type="dxa"/>
            <w:vAlign w:val="center"/>
          </w:tcPr>
          <w:p w:rsidR="0040709B" w:rsidRPr="0040709B" w:rsidRDefault="0040709B" w:rsidP="00841255">
            <w:pPr>
              <w:pStyle w:val="TableParagraph"/>
              <w:spacing w:line="266" w:lineRule="exact"/>
              <w:rPr>
                <w:rFonts w:ascii="Arial" w:hAnsi="Arial" w:cs="Arial"/>
                <w:bCs/>
                <w:sz w:val="20"/>
                <w:szCs w:val="20"/>
              </w:rPr>
            </w:pPr>
            <w:r w:rsidRPr="0040709B">
              <w:rPr>
                <w:rFonts w:ascii="Arial" w:hAnsi="Arial" w:cs="Arial"/>
                <w:bCs/>
                <w:sz w:val="20"/>
                <w:szCs w:val="20"/>
              </w:rPr>
              <w:t>Control</w:t>
            </w:r>
            <w:r w:rsidRPr="0040709B">
              <w:rPr>
                <w:rFonts w:ascii="Arial" w:hAnsi="Arial" w:cs="Arial"/>
                <w:bCs/>
                <w:spacing w:val="1"/>
                <w:sz w:val="20"/>
                <w:szCs w:val="20"/>
              </w:rPr>
              <w:t xml:space="preserve"> </w:t>
            </w:r>
            <w:r w:rsidRPr="0040709B">
              <w:rPr>
                <w:rFonts w:ascii="Arial" w:hAnsi="Arial" w:cs="Arial"/>
                <w:bCs/>
                <w:spacing w:val="-2"/>
                <w:sz w:val="20"/>
                <w:szCs w:val="20"/>
              </w:rPr>
              <w:t>(untreated)</w:t>
            </w:r>
          </w:p>
        </w:tc>
      </w:tr>
    </w:tbl>
    <w:p w:rsidR="000A5833" w:rsidRDefault="00061293" w:rsidP="00F1007D">
      <w:pPr>
        <w:pStyle w:val="Body"/>
        <w:spacing w:before="120" w:after="120"/>
        <w:ind w:firstLine="562"/>
      </w:pPr>
      <w:r w:rsidRPr="00061293">
        <w:rPr>
          <w:i/>
          <w:iCs/>
          <w:highlight w:val="yellow"/>
        </w:rPr>
        <w:t>In vitro</w:t>
      </w:r>
      <w:r w:rsidRPr="00061293">
        <w:rPr>
          <w:highlight w:val="yellow"/>
        </w:rPr>
        <w:t xml:space="preserve"> o</w:t>
      </w:r>
      <w:r w:rsidR="0040709B" w:rsidRPr="00061293">
        <w:rPr>
          <w:highlight w:val="yellow"/>
        </w:rPr>
        <w:t>bservations</w:t>
      </w:r>
      <w:r w:rsidR="0040709B">
        <w:t xml:space="preserve"> on radial mycelial growth were</w:t>
      </w:r>
      <w:r w:rsidR="000A5833">
        <w:t xml:space="preserve"> recorded after seven days of incubation in all the replicated treatments. Per cent inhibition of the test pathogen was calculated by applying the formula given by Arora and Upadhay (1978) as follows,</w:t>
      </w:r>
    </w:p>
    <w:p w:rsidR="000A5833" w:rsidRPr="000A5833" w:rsidRDefault="005F5025" w:rsidP="005F5025">
      <w:pPr>
        <w:pStyle w:val="BodyText"/>
        <w:spacing w:after="0" w:line="271" w:lineRule="exact"/>
        <w:ind w:left="2880" w:right="104"/>
        <w:rPr>
          <w:rFonts w:ascii="Arial" w:hAnsi="Arial" w:cs="Arial"/>
        </w:rPr>
      </w:pPr>
      <w:r>
        <w:rPr>
          <w:rFonts w:ascii="Arial" w:hAnsi="Arial" w:cs="Arial"/>
        </w:rPr>
        <w:t xml:space="preserve">   </w:t>
      </w:r>
      <w:r w:rsidR="000A5833" w:rsidRPr="000A5833">
        <w:rPr>
          <w:rFonts w:ascii="Arial" w:hAnsi="Arial" w:cs="Arial"/>
        </w:rPr>
        <w:t>C</w:t>
      </w:r>
      <w:r w:rsidR="000A5833" w:rsidRPr="000A5833">
        <w:rPr>
          <w:rFonts w:ascii="Arial" w:hAnsi="Arial" w:cs="Arial"/>
          <w:spacing w:val="-4"/>
        </w:rPr>
        <w:t xml:space="preserve"> </w:t>
      </w:r>
      <w:r w:rsidR="000A5833" w:rsidRPr="000A5833">
        <w:rPr>
          <w:rFonts w:ascii="Arial" w:hAnsi="Arial" w:cs="Arial"/>
        </w:rPr>
        <w:t>-</w:t>
      </w:r>
      <w:r w:rsidR="000A5833" w:rsidRPr="000A5833">
        <w:rPr>
          <w:rFonts w:ascii="Arial" w:hAnsi="Arial" w:cs="Arial"/>
          <w:spacing w:val="3"/>
        </w:rPr>
        <w:t xml:space="preserve"> </w:t>
      </w:r>
      <w:r w:rsidR="000A5833" w:rsidRPr="000A5833">
        <w:rPr>
          <w:rFonts w:ascii="Arial" w:hAnsi="Arial" w:cs="Arial"/>
          <w:spacing w:val="-10"/>
        </w:rPr>
        <w:t>T</w:t>
      </w:r>
    </w:p>
    <w:p w:rsidR="000A5833" w:rsidRPr="000A5833" w:rsidRDefault="000A5833" w:rsidP="000A5833">
      <w:pPr>
        <w:pStyle w:val="Heading2"/>
        <w:tabs>
          <w:tab w:val="left" w:leader="hyphen" w:pos="5458"/>
        </w:tabs>
        <w:spacing w:before="0"/>
        <w:rPr>
          <w:rFonts w:ascii="Arial" w:hAnsi="Arial" w:cs="Arial"/>
          <w:b w:val="0"/>
          <w:color w:val="auto"/>
          <w:sz w:val="20"/>
          <w:szCs w:val="20"/>
        </w:rPr>
      </w:pPr>
      <w:r w:rsidRPr="000A5833">
        <w:rPr>
          <w:rFonts w:ascii="Arial" w:hAnsi="Arial" w:cs="Arial"/>
          <w:color w:val="auto"/>
          <w:sz w:val="20"/>
          <w:szCs w:val="20"/>
        </w:rPr>
        <w:t>Percent</w:t>
      </w:r>
      <w:r w:rsidRPr="000A5833">
        <w:rPr>
          <w:rFonts w:ascii="Arial" w:hAnsi="Arial" w:cs="Arial"/>
          <w:color w:val="auto"/>
          <w:spacing w:val="7"/>
          <w:sz w:val="20"/>
          <w:szCs w:val="20"/>
        </w:rPr>
        <w:t xml:space="preserve"> </w:t>
      </w:r>
      <w:r w:rsidRPr="000A5833">
        <w:rPr>
          <w:rFonts w:ascii="Arial" w:hAnsi="Arial" w:cs="Arial"/>
          <w:color w:val="auto"/>
          <w:sz w:val="20"/>
          <w:szCs w:val="20"/>
        </w:rPr>
        <w:t>growth</w:t>
      </w:r>
      <w:r w:rsidRPr="000A5833">
        <w:rPr>
          <w:rFonts w:ascii="Arial" w:hAnsi="Arial" w:cs="Arial"/>
          <w:color w:val="auto"/>
          <w:spacing w:val="3"/>
          <w:sz w:val="20"/>
          <w:szCs w:val="20"/>
        </w:rPr>
        <w:t xml:space="preserve"> </w:t>
      </w:r>
      <w:r w:rsidRPr="000A5833">
        <w:rPr>
          <w:rFonts w:ascii="Arial" w:hAnsi="Arial" w:cs="Arial"/>
          <w:color w:val="auto"/>
          <w:sz w:val="20"/>
          <w:szCs w:val="20"/>
        </w:rPr>
        <w:t>inhibition</w:t>
      </w:r>
      <w:r w:rsidRPr="000A5833">
        <w:rPr>
          <w:rFonts w:ascii="Arial" w:hAnsi="Arial" w:cs="Arial"/>
          <w:color w:val="auto"/>
          <w:spacing w:val="2"/>
          <w:sz w:val="20"/>
          <w:szCs w:val="20"/>
        </w:rPr>
        <w:t xml:space="preserve"> </w:t>
      </w:r>
      <w:r w:rsidRPr="000A5833">
        <w:rPr>
          <w:rFonts w:ascii="Arial" w:hAnsi="Arial" w:cs="Arial"/>
          <w:color w:val="auto"/>
          <w:sz w:val="20"/>
          <w:szCs w:val="20"/>
        </w:rPr>
        <w:t>(I)</w:t>
      </w:r>
      <w:r w:rsidRPr="000A5833">
        <w:rPr>
          <w:rFonts w:ascii="Arial" w:hAnsi="Arial" w:cs="Arial"/>
          <w:color w:val="auto"/>
          <w:spacing w:val="16"/>
          <w:sz w:val="20"/>
          <w:szCs w:val="20"/>
        </w:rPr>
        <w:t xml:space="preserve"> </w:t>
      </w:r>
      <w:r w:rsidRPr="000A5833">
        <w:rPr>
          <w:rFonts w:ascii="Arial" w:hAnsi="Arial" w:cs="Arial"/>
          <w:b w:val="0"/>
          <w:color w:val="auto"/>
          <w:spacing w:val="-10"/>
          <w:sz w:val="20"/>
          <w:szCs w:val="20"/>
        </w:rPr>
        <w:t>=</w:t>
      </w:r>
      <w:r w:rsidR="005F5025">
        <w:rPr>
          <w:rFonts w:ascii="Arial" w:hAnsi="Arial" w:cs="Arial"/>
          <w:b w:val="0"/>
          <w:color w:val="auto"/>
          <w:sz w:val="20"/>
          <w:szCs w:val="20"/>
        </w:rPr>
        <w:t>------------</w:t>
      </w:r>
      <w:r w:rsidRPr="000A5833">
        <w:rPr>
          <w:rFonts w:ascii="Arial" w:hAnsi="Arial" w:cs="Arial"/>
          <w:b w:val="0"/>
          <w:color w:val="auto"/>
          <w:sz w:val="20"/>
          <w:szCs w:val="20"/>
        </w:rPr>
        <w:t>×</w:t>
      </w:r>
      <w:r w:rsidRPr="000A5833">
        <w:rPr>
          <w:rFonts w:ascii="Arial" w:hAnsi="Arial" w:cs="Arial"/>
          <w:b w:val="0"/>
          <w:color w:val="auto"/>
          <w:spacing w:val="-4"/>
          <w:sz w:val="20"/>
          <w:szCs w:val="20"/>
        </w:rPr>
        <w:t xml:space="preserve"> </w:t>
      </w:r>
      <w:r w:rsidRPr="000A5833">
        <w:rPr>
          <w:rFonts w:ascii="Arial" w:hAnsi="Arial" w:cs="Arial"/>
          <w:b w:val="0"/>
          <w:color w:val="auto"/>
          <w:spacing w:val="-5"/>
          <w:sz w:val="20"/>
          <w:szCs w:val="20"/>
        </w:rPr>
        <w:t>100</w:t>
      </w:r>
    </w:p>
    <w:p w:rsidR="000A5833" w:rsidRPr="000A5833" w:rsidRDefault="005F5025" w:rsidP="005F5025">
      <w:pPr>
        <w:pStyle w:val="BodyText"/>
        <w:spacing w:after="0"/>
        <w:ind w:left="2880" w:right="89"/>
        <w:rPr>
          <w:rFonts w:ascii="Arial" w:hAnsi="Arial" w:cs="Arial"/>
        </w:rPr>
      </w:pPr>
      <w:r>
        <w:rPr>
          <w:rFonts w:ascii="Arial" w:hAnsi="Arial" w:cs="Arial"/>
          <w:spacing w:val="-10"/>
        </w:rPr>
        <w:t xml:space="preserve">  </w:t>
      </w:r>
      <w:r w:rsidR="000A5833" w:rsidRPr="000A5833">
        <w:rPr>
          <w:rFonts w:ascii="Arial" w:hAnsi="Arial" w:cs="Arial"/>
          <w:spacing w:val="-10"/>
        </w:rPr>
        <w:t xml:space="preserve">  </w:t>
      </w:r>
      <w:r>
        <w:rPr>
          <w:rFonts w:ascii="Arial" w:hAnsi="Arial" w:cs="Arial"/>
          <w:spacing w:val="-10"/>
        </w:rPr>
        <w:t xml:space="preserve">    </w:t>
      </w:r>
      <w:r w:rsidR="000A5833" w:rsidRPr="000A5833">
        <w:rPr>
          <w:rFonts w:ascii="Arial" w:hAnsi="Arial" w:cs="Arial"/>
          <w:spacing w:val="-10"/>
        </w:rPr>
        <w:t>C</w:t>
      </w:r>
    </w:p>
    <w:p w:rsidR="000A5833" w:rsidRPr="000A5833" w:rsidRDefault="000A5833" w:rsidP="000A5833">
      <w:pPr>
        <w:pStyle w:val="BodyText"/>
        <w:rPr>
          <w:rFonts w:ascii="Arial" w:hAnsi="Arial" w:cs="Arial"/>
        </w:rPr>
      </w:pPr>
      <w:r w:rsidRPr="000A5833">
        <w:rPr>
          <w:rFonts w:ascii="Arial" w:hAnsi="Arial" w:cs="Arial"/>
          <w:spacing w:val="-2"/>
        </w:rPr>
        <w:t>Where,</w:t>
      </w:r>
    </w:p>
    <w:p w:rsidR="000A5833" w:rsidRPr="000A5833" w:rsidRDefault="000A5833" w:rsidP="000A5833">
      <w:pPr>
        <w:pStyle w:val="BodyText"/>
        <w:tabs>
          <w:tab w:val="left" w:pos="1260"/>
          <w:tab w:val="left" w:pos="1350"/>
        </w:tabs>
        <w:ind w:left="1170" w:right="30" w:hanging="60"/>
      </w:pPr>
      <w:r w:rsidRPr="000A5833">
        <w:t xml:space="preserve">C = Growth (mm) of test fungus in untreated control plate. </w:t>
      </w:r>
    </w:p>
    <w:p w:rsidR="00790ADA" w:rsidRDefault="000A5833" w:rsidP="000A5833">
      <w:pPr>
        <w:pStyle w:val="BodyText"/>
        <w:ind w:left="1110" w:right="30"/>
      </w:pPr>
      <w:r w:rsidRPr="000A5833">
        <w:t>T = Growth (mm) of test fungus in treated plates.</w:t>
      </w:r>
    </w:p>
    <w:p w:rsidR="009012D1" w:rsidRPr="00DC664A" w:rsidRDefault="009012D1" w:rsidP="009012D1">
      <w:pPr>
        <w:pStyle w:val="BodyText"/>
        <w:ind w:right="30"/>
        <w:rPr>
          <w:rFonts w:ascii="Arial" w:hAnsi="Arial" w:cs="Arial"/>
          <w:b/>
          <w:bCs/>
          <w:highlight w:val="yellow"/>
        </w:rPr>
      </w:pPr>
      <w:r w:rsidRPr="00DC664A">
        <w:rPr>
          <w:rFonts w:ascii="Arial" w:hAnsi="Arial" w:cs="Arial"/>
          <w:b/>
          <w:bCs/>
          <w:highlight w:val="yellow"/>
        </w:rPr>
        <w:t xml:space="preserve">Statistical analysis </w:t>
      </w:r>
    </w:p>
    <w:p w:rsidR="009012D1" w:rsidRPr="000C7120" w:rsidRDefault="009012D1" w:rsidP="009012D1">
      <w:pPr>
        <w:pStyle w:val="BodyText"/>
        <w:ind w:right="30"/>
        <w:rPr>
          <w:rFonts w:ascii="Arial" w:hAnsi="Arial" w:cs="Arial"/>
        </w:rPr>
      </w:pPr>
      <w:r w:rsidRPr="00DC664A">
        <w:rPr>
          <w:rFonts w:ascii="Arial" w:hAnsi="Arial" w:cs="Arial"/>
          <w:highlight w:val="yellow"/>
        </w:rPr>
        <w:t>The data obtained in the experiments (</w:t>
      </w:r>
      <w:r w:rsidRPr="00DC664A">
        <w:rPr>
          <w:rFonts w:ascii="Arial" w:hAnsi="Arial" w:cs="Arial"/>
          <w:i/>
          <w:iCs/>
          <w:highlight w:val="yellow"/>
        </w:rPr>
        <w:t>in vitro</w:t>
      </w:r>
      <w:r w:rsidRPr="00DC664A">
        <w:rPr>
          <w:rFonts w:ascii="Arial" w:hAnsi="Arial" w:cs="Arial"/>
          <w:highlight w:val="yellow"/>
        </w:rPr>
        <w:t>) were subjected to statistical analysis. The standard error (S.E.) and critical difference (C.D.) @ 1% level of significance were worked out (Panse and Sukhatme, 1978) and per cent data was transformed into arc sine values.</w:t>
      </w:r>
    </w:p>
    <w:p w:rsidR="009012D1" w:rsidRPr="000A5833" w:rsidRDefault="009012D1" w:rsidP="000A5833">
      <w:pPr>
        <w:pStyle w:val="BodyText"/>
        <w:ind w:left="1110" w:right="30"/>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3A7242" w:rsidP="00441B6F">
      <w:pPr>
        <w:pStyle w:val="Head1"/>
        <w:spacing w:after="0"/>
        <w:jc w:val="both"/>
        <w:rPr>
          <w:rFonts w:ascii="Arial" w:hAnsi="Arial" w:cs="Arial"/>
        </w:rPr>
      </w:pPr>
      <w:r>
        <w:rPr>
          <w:rFonts w:ascii="Arial" w:hAnsi="Arial" w:cs="Arial"/>
          <w:caps w:val="0"/>
        </w:rPr>
        <w:t>3.1 Effect of systemic fungicides on mycelial growth inhibition</w:t>
      </w:r>
    </w:p>
    <w:p w:rsidR="003A7242" w:rsidRDefault="009A0AEB" w:rsidP="00F1007D">
      <w:pPr>
        <w:pStyle w:val="Body"/>
        <w:spacing w:before="120" w:after="120"/>
        <w:ind w:firstLine="562"/>
        <w:rPr>
          <w:rFonts w:ascii="Arial" w:hAnsi="Arial" w:cs="Arial"/>
        </w:rPr>
      </w:pPr>
      <w:r>
        <w:rPr>
          <w:rFonts w:ascii="Arial" w:hAnsi="Arial" w:cs="Arial"/>
        </w:rPr>
        <w:t>Results</w:t>
      </w:r>
      <w:r w:rsidR="0040709B">
        <w:rPr>
          <w:rFonts w:ascii="Arial" w:hAnsi="Arial" w:cs="Arial"/>
        </w:rPr>
        <w:t xml:space="preserve"> (</w:t>
      </w:r>
      <w:r w:rsidR="00755593">
        <w:rPr>
          <w:rFonts w:ascii="Arial" w:hAnsi="Arial" w:cs="Arial"/>
        </w:rPr>
        <w:t>Table 3</w:t>
      </w:r>
      <w:r w:rsidR="009304BC">
        <w:rPr>
          <w:rFonts w:ascii="Arial" w:hAnsi="Arial" w:cs="Arial"/>
        </w:rPr>
        <w:t>, Fig. 1</w:t>
      </w:r>
      <w:r w:rsidR="00755593">
        <w:rPr>
          <w:rFonts w:ascii="Arial" w:hAnsi="Arial" w:cs="Arial"/>
        </w:rPr>
        <w:t>)</w:t>
      </w:r>
      <w:r>
        <w:rPr>
          <w:rFonts w:ascii="Arial" w:hAnsi="Arial" w:cs="Arial"/>
        </w:rPr>
        <w:t xml:space="preserve"> reveled</w:t>
      </w:r>
      <w:r w:rsidR="003A7242" w:rsidRPr="003A7242">
        <w:rPr>
          <w:rFonts w:ascii="Arial" w:hAnsi="Arial" w:cs="Arial"/>
        </w:rPr>
        <w:t xml:space="preserve"> that all the treatments of systemic fungicides at all concentration were significant over the control in recording minimum mycelial growth of </w:t>
      </w:r>
      <w:r w:rsidR="003A7242" w:rsidRPr="003A7242">
        <w:rPr>
          <w:rFonts w:ascii="Arial" w:hAnsi="Arial" w:cs="Arial"/>
          <w:i/>
          <w:iCs/>
        </w:rPr>
        <w:t>Phomopsis vexans</w:t>
      </w:r>
      <w:r w:rsidR="003A7242">
        <w:rPr>
          <w:rFonts w:ascii="Arial" w:hAnsi="Arial" w:cs="Arial"/>
          <w:i/>
          <w:iCs/>
        </w:rPr>
        <w:t>.</w:t>
      </w:r>
      <w:r w:rsidR="002D31E1">
        <w:rPr>
          <w:rFonts w:ascii="Arial" w:hAnsi="Arial" w:cs="Arial"/>
        </w:rPr>
        <w:t xml:space="preserve"> It was found that per cent inhibition of the test pathogen was increased with the increase in concentration of the fungicides tested.</w:t>
      </w:r>
    </w:p>
    <w:p w:rsidR="007C4707" w:rsidRPr="00214115" w:rsidRDefault="007C4707" w:rsidP="007C4707">
      <w:pPr>
        <w:tabs>
          <w:tab w:val="left" w:pos="90"/>
        </w:tabs>
        <w:spacing w:before="120" w:after="120"/>
        <w:ind w:firstLine="562"/>
        <w:jc w:val="both"/>
        <w:outlineLvl w:val="1"/>
        <w:rPr>
          <w:rFonts w:ascii="Arial" w:hAnsi="Arial" w:cs="Arial"/>
          <w:highlight w:val="yellow"/>
        </w:rPr>
      </w:pPr>
      <w:r w:rsidRPr="00214115">
        <w:rPr>
          <w:rFonts w:ascii="Arial" w:hAnsi="Arial" w:cs="Arial"/>
          <w:highlight w:val="yellow"/>
        </w:rPr>
        <w:t>At 500 ppm ,the least mycelial growth was observed in Propiconazole 25 % EC (0.53 mm), followed by Hexaconazole 5 % EC (10.16 mm), Carbendazim 50 % WP (10.38 mm), Difenconazole 25 % EC (16.03 mm), Azoxystrobin 23 % SC (31.16 mm), Thiophanate methyl 70 % WP (31.33 mm) and Metalaxyl 35 % WS (55.87 mm).</w:t>
      </w:r>
      <w:r w:rsidRPr="00214115">
        <w:rPr>
          <w:rFonts w:ascii="Arial" w:hAnsi="Arial" w:cs="Arial"/>
          <w:highlight w:val="yellow"/>
        </w:rPr>
        <w:t xml:space="preserve"> </w:t>
      </w:r>
      <w:r w:rsidRPr="00214115">
        <w:rPr>
          <w:rFonts w:ascii="Arial" w:hAnsi="Arial" w:cs="Arial"/>
          <w:highlight w:val="yellow"/>
        </w:rPr>
        <w:t xml:space="preserve">At </w:t>
      </w:r>
      <w:r w:rsidRPr="00214115">
        <w:rPr>
          <w:rFonts w:ascii="Arial" w:hAnsi="Arial" w:cs="Arial"/>
          <w:highlight w:val="yellow"/>
        </w:rPr>
        <w:lastRenderedPageBreak/>
        <w:t>1000 ppm concentration Carbendazim 50 % WP, Propiconazole 25 % EC and Hexaconazole 5 % EC showed no mycelial growth of pathogen</w:t>
      </w:r>
      <w:r w:rsidR="00484C58" w:rsidRPr="00214115">
        <w:rPr>
          <w:rFonts w:ascii="Arial" w:hAnsi="Arial" w:cs="Arial"/>
          <w:highlight w:val="yellow"/>
        </w:rPr>
        <w:t xml:space="preserve"> </w:t>
      </w:r>
      <w:r w:rsidR="00484C58" w:rsidRPr="00214115">
        <w:rPr>
          <w:rFonts w:ascii="Arial" w:hAnsi="Arial" w:cs="Arial"/>
          <w:highlight w:val="yellow"/>
        </w:rPr>
        <w:t>(00.00 mm)</w:t>
      </w:r>
      <w:r w:rsidRPr="00214115">
        <w:rPr>
          <w:rFonts w:ascii="Arial" w:hAnsi="Arial" w:cs="Arial"/>
          <w:highlight w:val="yellow"/>
        </w:rPr>
        <w:t xml:space="preserve">, whereas Difenconazole 25 % EC was also found effective and recorded mycelial growth </w:t>
      </w:r>
      <w:r w:rsidR="00214115" w:rsidRPr="00214115">
        <w:rPr>
          <w:rFonts w:ascii="Arial" w:hAnsi="Arial" w:cs="Arial"/>
          <w:highlight w:val="yellow"/>
        </w:rPr>
        <w:t>of</w:t>
      </w:r>
      <w:r w:rsidRPr="00214115">
        <w:rPr>
          <w:rFonts w:ascii="Arial" w:hAnsi="Arial" w:cs="Arial"/>
          <w:highlight w:val="yellow"/>
        </w:rPr>
        <w:t xml:space="preserve"> 10.86 mm. Azoxystrobin 23 % SC, Metalaxyl 35 % WS and Thiophanate methyl 70 % WP   recorded 23.33 mm, 25.13 mm and 27.83 mm mycelial growth, respectively as compared to control (87.98 mm).</w:t>
      </w:r>
      <w:r w:rsidRPr="00214115">
        <w:rPr>
          <w:rFonts w:ascii="Arial" w:hAnsi="Arial" w:cs="Arial"/>
          <w:highlight w:val="yellow"/>
        </w:rPr>
        <w:t xml:space="preserve"> </w:t>
      </w:r>
      <w:r w:rsidRPr="00214115">
        <w:rPr>
          <w:rFonts w:ascii="Arial" w:hAnsi="Arial" w:cs="Arial"/>
          <w:highlight w:val="yellow"/>
        </w:rPr>
        <w:t>The average radial mycelial growth of pathogen ranges from 00.26 mm to 40.50 mm. Among these Propiconazole 25 % EC showed least average mycelial growth (00.26 mm) followed by Hexaconazole 5 % EC (05.08 mm), Carbendazim 50 % WP (05.19 mm), Difenconazole 25 % EC (13.44 mm), Azoxystrobin 23 % SC (27.24 mm), Thiophanate methyl 70 % WP (29.58 mm) and Metalaxyl 35 % WS (40.50 mm).</w:t>
      </w:r>
    </w:p>
    <w:p w:rsidR="002D31E1" w:rsidRPr="007C4707" w:rsidRDefault="007C4707" w:rsidP="007C4707">
      <w:pPr>
        <w:tabs>
          <w:tab w:val="left" w:pos="90"/>
        </w:tabs>
        <w:spacing w:before="120" w:after="120"/>
        <w:ind w:firstLine="567"/>
        <w:jc w:val="both"/>
        <w:outlineLvl w:val="1"/>
        <w:rPr>
          <w:rFonts w:ascii="Times New Roman" w:hAnsi="Times New Roman"/>
          <w:sz w:val="24"/>
          <w:szCs w:val="24"/>
        </w:rPr>
      </w:pPr>
      <w:r w:rsidRPr="00214115">
        <w:rPr>
          <w:rFonts w:ascii="Arial" w:hAnsi="Arial" w:cs="Arial"/>
          <w:highlight w:val="yellow"/>
        </w:rPr>
        <w:t>The pathogen treated with Propiconazole 25 % EC showed maximum mycelial growth inhibition</w:t>
      </w:r>
      <w:r w:rsidR="00214115" w:rsidRPr="00214115">
        <w:rPr>
          <w:rFonts w:ascii="Arial" w:hAnsi="Arial" w:cs="Arial"/>
          <w:highlight w:val="yellow"/>
        </w:rPr>
        <w:t>(99.39 %)</w:t>
      </w:r>
      <w:r w:rsidRPr="00214115">
        <w:rPr>
          <w:rFonts w:ascii="Arial" w:hAnsi="Arial" w:cs="Arial"/>
          <w:highlight w:val="yellow"/>
        </w:rPr>
        <w:t>, followed by Hexaconazole 5 % EC (88.44 %), Carbendazim 50 % WP (88.19 %), Difenconazole 25 % EC (81.87 %), Azoxystrobin 23 % SC (64.57 %), Thiophanate methyl 70 % WP (64.39 %) and Metalaxyl 35 % WS (36.50 %) each at 500 ppm concentration.</w:t>
      </w:r>
      <w:r w:rsidRPr="00214115">
        <w:rPr>
          <w:rFonts w:ascii="Arial" w:hAnsi="Arial" w:cs="Arial"/>
          <w:highlight w:val="yellow"/>
        </w:rPr>
        <w:t xml:space="preserve"> </w:t>
      </w:r>
      <w:r w:rsidRPr="00214115">
        <w:rPr>
          <w:rFonts w:ascii="Arial" w:hAnsi="Arial" w:cs="Arial"/>
          <w:highlight w:val="yellow"/>
        </w:rPr>
        <w:t>At 1000 ppm concentration Carbendazim 50 % WP, Propiconazole 25 % EC and Hexaconazole 5 % EC showed hundred per cent mycelial growth inhibition followed by Difenconazole 25 % EC (87.65 %), Azoxystrobin 23% SC (73.48 %), Metalaxyl 35 % WS (71.42 %) and Thiophanate methyl 70 % WP (68.36 %).</w:t>
      </w:r>
      <w:r w:rsidRPr="00214115">
        <w:rPr>
          <w:rFonts w:ascii="Arial" w:hAnsi="Arial" w:cs="Arial"/>
          <w:highlight w:val="yellow"/>
        </w:rPr>
        <w:t xml:space="preserve"> </w:t>
      </w:r>
      <w:r w:rsidRPr="00214115">
        <w:rPr>
          <w:rFonts w:ascii="Arial" w:hAnsi="Arial" w:cs="Arial"/>
          <w:highlight w:val="yellow"/>
        </w:rPr>
        <w:t>The average growth inhibition of the test pathogen ranged from 99.70 % to 53.96 %. Among these Propiconazole 25 % EC showed maximum per cent inhibition of pathogen followed by Hexaconazole 5% EC (94.22%), Carbendazim 50 % WP (94.10 %), Difenconazole 25 % EC (84.72 %), Azoxystrobin 23 % SC (69.03), Thiophanate methyl 70 % WP (66.36 %) and Metalaxyl 35 % WS (53.96 %).</w:t>
      </w:r>
      <w:r w:rsidR="009012D1" w:rsidRPr="00DC664A">
        <w:rPr>
          <w:rFonts w:ascii="Arial" w:hAnsi="Arial" w:cs="Arial"/>
          <w:highlight w:val="yellow"/>
        </w:rPr>
        <w:t>From table 3, it was found that Carbendazim 50 % WP, Propiconazole 25 % EC and Hexaconazole 5 % EC showed better results with increase in their concentration i.e. at 1000 ppm concentration against the pathogen.</w:t>
      </w:r>
    </w:p>
    <w:p w:rsidR="009012D1" w:rsidRDefault="009012D1" w:rsidP="009012D1">
      <w:pPr>
        <w:tabs>
          <w:tab w:val="left" w:pos="90"/>
        </w:tabs>
        <w:spacing w:before="120" w:after="120"/>
        <w:ind w:firstLine="567"/>
        <w:jc w:val="both"/>
        <w:outlineLvl w:val="1"/>
        <w:rPr>
          <w:rFonts w:ascii="Arial" w:hAnsi="Arial" w:cs="Arial"/>
          <w:szCs w:val="18"/>
        </w:rPr>
      </w:pPr>
      <w:r w:rsidRPr="00214115">
        <w:rPr>
          <w:rFonts w:ascii="Arial" w:hAnsi="Arial" w:cs="Arial"/>
          <w:highlight w:val="yellow"/>
        </w:rPr>
        <w:t xml:space="preserve">These results are in consonance with those of </w:t>
      </w:r>
      <w:proofErr w:type="spellStart"/>
      <w:r w:rsidRPr="00214115">
        <w:rPr>
          <w:rFonts w:ascii="Arial" w:hAnsi="Arial" w:cs="Arial"/>
          <w:szCs w:val="18"/>
          <w:highlight w:val="yellow"/>
        </w:rPr>
        <w:t>Hossian</w:t>
      </w:r>
      <w:proofErr w:type="spellEnd"/>
      <w:r w:rsidRPr="00214115">
        <w:rPr>
          <w:rFonts w:ascii="Arial" w:hAnsi="Arial" w:cs="Arial"/>
          <w:szCs w:val="18"/>
          <w:highlight w:val="yellow"/>
        </w:rPr>
        <w:t xml:space="preserve"> </w:t>
      </w:r>
      <w:r w:rsidRPr="00DC664A">
        <w:rPr>
          <w:rFonts w:ascii="Arial" w:hAnsi="Arial" w:cs="Arial"/>
          <w:i/>
          <w:iCs/>
          <w:szCs w:val="18"/>
          <w:highlight w:val="yellow"/>
        </w:rPr>
        <w:t>et al.</w:t>
      </w:r>
      <w:r w:rsidRPr="00DC664A">
        <w:rPr>
          <w:rFonts w:ascii="Arial" w:hAnsi="Arial" w:cs="Arial"/>
          <w:szCs w:val="18"/>
          <w:highlight w:val="yellow"/>
        </w:rPr>
        <w:t xml:space="preserve"> (2013)</w:t>
      </w:r>
      <w:r w:rsidRPr="00DC664A">
        <w:rPr>
          <w:highlight w:val="yellow"/>
        </w:rPr>
        <w:t xml:space="preserve"> reported that Carbendazim 50WP (at 0.1% concentration) was effective in inhibiting spore germination and mycelial growth of </w:t>
      </w:r>
      <w:r w:rsidRPr="00DC664A">
        <w:rPr>
          <w:i/>
          <w:iCs/>
          <w:highlight w:val="yellow"/>
        </w:rPr>
        <w:t>Phomopsis vexans</w:t>
      </w:r>
      <w:r w:rsidRPr="00DC664A">
        <w:rPr>
          <w:highlight w:val="yellow"/>
        </w:rPr>
        <w:t xml:space="preserve"> in </w:t>
      </w:r>
      <w:r w:rsidRPr="00DC664A">
        <w:rPr>
          <w:i/>
          <w:iCs/>
          <w:highlight w:val="yellow"/>
        </w:rPr>
        <w:t>in vitro</w:t>
      </w:r>
      <w:r w:rsidRPr="00DC664A">
        <w:rPr>
          <w:highlight w:val="yellow"/>
        </w:rPr>
        <w:t xml:space="preserve"> tests.</w:t>
      </w:r>
      <w:r w:rsidRPr="00DC664A">
        <w:rPr>
          <w:rFonts w:ascii="Arial" w:hAnsi="Arial" w:cs="Arial"/>
          <w:szCs w:val="18"/>
          <w:highlight w:val="yellow"/>
        </w:rPr>
        <w:t xml:space="preserve">, </w:t>
      </w:r>
      <w:proofErr w:type="spellStart"/>
      <w:r w:rsidRPr="00DC664A">
        <w:rPr>
          <w:rFonts w:ascii="Arial" w:hAnsi="Arial" w:cs="Arial"/>
          <w:szCs w:val="18"/>
          <w:highlight w:val="yellow"/>
        </w:rPr>
        <w:t>Rohini</w:t>
      </w:r>
      <w:proofErr w:type="spellEnd"/>
      <w:r w:rsidRPr="00DC664A">
        <w:rPr>
          <w:rFonts w:ascii="Arial" w:hAnsi="Arial" w:cs="Arial"/>
          <w:szCs w:val="18"/>
          <w:highlight w:val="yellow"/>
        </w:rPr>
        <w:t xml:space="preserve"> </w:t>
      </w:r>
      <w:r w:rsidRPr="00DC664A">
        <w:rPr>
          <w:rFonts w:ascii="Arial" w:hAnsi="Arial" w:cs="Arial"/>
          <w:i/>
          <w:iCs/>
          <w:szCs w:val="18"/>
          <w:highlight w:val="yellow"/>
        </w:rPr>
        <w:t>et al.</w:t>
      </w:r>
      <w:r w:rsidRPr="00DC664A">
        <w:rPr>
          <w:rFonts w:ascii="Arial" w:hAnsi="Arial" w:cs="Arial"/>
          <w:szCs w:val="18"/>
          <w:highlight w:val="yellow"/>
        </w:rPr>
        <w:t xml:space="preserve"> (2015)</w:t>
      </w:r>
      <w:r w:rsidRPr="00DC664A">
        <w:rPr>
          <w:highlight w:val="yellow"/>
        </w:rPr>
        <w:t xml:space="preserve"> tested four fungicides at varying concentrations (100, 200, 250, 500 and 1000 ppm) against </w:t>
      </w:r>
      <w:r w:rsidRPr="00DC664A">
        <w:rPr>
          <w:i/>
          <w:iCs/>
          <w:highlight w:val="yellow"/>
        </w:rPr>
        <w:t>Phomopsis vexans in vitro</w:t>
      </w:r>
      <w:r w:rsidRPr="00DC664A">
        <w:rPr>
          <w:highlight w:val="yellow"/>
        </w:rPr>
        <w:t xml:space="preserve">. Among the fungicides evaluated, Carbendazim 50% WP was the most effective, completely inhibiting the mycelial growth of </w:t>
      </w:r>
      <w:r w:rsidRPr="00DC664A">
        <w:rPr>
          <w:i/>
          <w:iCs/>
          <w:highlight w:val="yellow"/>
        </w:rPr>
        <w:t>Phomopsis vexans</w:t>
      </w:r>
      <w:r w:rsidRPr="00DC664A">
        <w:rPr>
          <w:highlight w:val="yellow"/>
        </w:rPr>
        <w:t xml:space="preserve"> at all tested concentrations in the </w:t>
      </w:r>
      <w:r w:rsidRPr="00DC664A">
        <w:rPr>
          <w:i/>
          <w:iCs/>
          <w:highlight w:val="yellow"/>
        </w:rPr>
        <w:t>in vitro</w:t>
      </w:r>
      <w:r w:rsidRPr="00DC664A">
        <w:rPr>
          <w:highlight w:val="yellow"/>
        </w:rPr>
        <w:t xml:space="preserve"> assay.</w:t>
      </w:r>
      <w:r w:rsidRPr="00DC664A">
        <w:rPr>
          <w:rFonts w:ascii="Arial" w:hAnsi="Arial" w:cs="Arial"/>
          <w:szCs w:val="18"/>
          <w:highlight w:val="yellow"/>
        </w:rPr>
        <w:t xml:space="preserve">, Jakatimath </w:t>
      </w:r>
      <w:r w:rsidRPr="00DC664A">
        <w:rPr>
          <w:rFonts w:ascii="Arial" w:hAnsi="Arial" w:cs="Arial"/>
          <w:i/>
          <w:iCs/>
          <w:szCs w:val="18"/>
          <w:highlight w:val="yellow"/>
        </w:rPr>
        <w:t>et al</w:t>
      </w:r>
      <w:r w:rsidRPr="00DC664A">
        <w:rPr>
          <w:rFonts w:ascii="Arial" w:hAnsi="Arial" w:cs="Arial"/>
          <w:szCs w:val="18"/>
          <w:highlight w:val="yellow"/>
        </w:rPr>
        <w:t>. (2017)</w:t>
      </w:r>
      <w:r w:rsidRPr="00DC664A">
        <w:rPr>
          <w:highlight w:val="yellow"/>
        </w:rPr>
        <w:t xml:space="preserve"> tested eight fungicides against </w:t>
      </w:r>
      <w:r w:rsidRPr="00DC664A">
        <w:rPr>
          <w:i/>
          <w:iCs/>
          <w:highlight w:val="yellow"/>
        </w:rPr>
        <w:t>Phomopsis vexans</w:t>
      </w:r>
      <w:r w:rsidRPr="00DC664A">
        <w:rPr>
          <w:highlight w:val="yellow"/>
        </w:rPr>
        <w:t xml:space="preserve"> and found that Carbendazim, Tebuconazole and Hexaconazole demonstrated complete inhibition (100 %) of the pathogen's mycelial growth.</w:t>
      </w:r>
      <w:r w:rsidRPr="00DC664A">
        <w:rPr>
          <w:rFonts w:ascii="Arial" w:hAnsi="Arial" w:cs="Arial"/>
          <w:szCs w:val="18"/>
          <w:highlight w:val="yellow"/>
        </w:rPr>
        <w:t>,</w:t>
      </w:r>
      <w:r w:rsidRPr="00DC664A">
        <w:rPr>
          <w:rFonts w:ascii="Arial" w:hAnsi="Arial" w:cs="Arial"/>
          <w:highlight w:val="yellow"/>
        </w:rPr>
        <w:t xml:space="preserve"> </w:t>
      </w:r>
      <w:proofErr w:type="spellStart"/>
      <w:r w:rsidRPr="00DC664A">
        <w:rPr>
          <w:rFonts w:ascii="Arial" w:hAnsi="Arial" w:cs="Arial"/>
          <w:highlight w:val="yellow"/>
        </w:rPr>
        <w:t>Thesiya</w:t>
      </w:r>
      <w:proofErr w:type="spellEnd"/>
      <w:r w:rsidRPr="00DC664A">
        <w:rPr>
          <w:rFonts w:ascii="Arial" w:hAnsi="Arial" w:cs="Arial"/>
          <w:highlight w:val="yellow"/>
        </w:rPr>
        <w:t xml:space="preserve"> </w:t>
      </w:r>
      <w:r w:rsidRPr="00DC664A">
        <w:rPr>
          <w:rFonts w:ascii="Arial" w:hAnsi="Arial" w:cs="Arial"/>
          <w:i/>
          <w:iCs/>
          <w:highlight w:val="yellow"/>
        </w:rPr>
        <w:t>et al.</w:t>
      </w:r>
      <w:r w:rsidRPr="00DC664A">
        <w:rPr>
          <w:rFonts w:ascii="Arial" w:hAnsi="Arial" w:cs="Arial"/>
          <w:highlight w:val="yellow"/>
        </w:rPr>
        <w:t xml:space="preserve"> (2019) and </w:t>
      </w:r>
      <w:r w:rsidRPr="00DC664A">
        <w:rPr>
          <w:rFonts w:ascii="Arial" w:hAnsi="Arial" w:cs="Arial"/>
          <w:szCs w:val="18"/>
          <w:highlight w:val="yellow"/>
        </w:rPr>
        <w:t xml:space="preserve">Chaukhe </w:t>
      </w:r>
      <w:r w:rsidRPr="00DC664A">
        <w:rPr>
          <w:rFonts w:ascii="Arial" w:hAnsi="Arial" w:cs="Arial"/>
          <w:i/>
          <w:iCs/>
          <w:szCs w:val="18"/>
          <w:highlight w:val="yellow"/>
        </w:rPr>
        <w:t>et al.</w:t>
      </w:r>
      <w:r w:rsidRPr="00DC664A">
        <w:rPr>
          <w:rFonts w:ascii="Arial" w:hAnsi="Arial" w:cs="Arial"/>
          <w:szCs w:val="18"/>
          <w:highlight w:val="yellow"/>
        </w:rPr>
        <w:t xml:space="preserve"> (2020) also reported maximum growth inhibition of pathogen with Carbendazim 50 % WP, Propiconazole 25 % EC and Hexaconazole 5 % EC.</w:t>
      </w:r>
    </w:p>
    <w:p w:rsidR="00AA774B" w:rsidRPr="000A51A6" w:rsidRDefault="00AA774B" w:rsidP="00AA774B">
      <w:pPr>
        <w:tabs>
          <w:tab w:val="left" w:pos="90"/>
        </w:tabs>
        <w:spacing w:before="120" w:after="120" w:line="360" w:lineRule="auto"/>
        <w:jc w:val="both"/>
        <w:outlineLvl w:val="1"/>
        <w:rPr>
          <w:rFonts w:ascii="Arial" w:hAnsi="Arial" w:cs="Arial"/>
          <w:b/>
          <w:bCs/>
        </w:rPr>
      </w:pPr>
      <w:r w:rsidRPr="000A51A6">
        <w:rPr>
          <w:rFonts w:ascii="Arial" w:hAnsi="Arial" w:cs="Arial"/>
          <w:b/>
          <w:bCs/>
        </w:rPr>
        <w:t xml:space="preserve">Table 3: </w:t>
      </w:r>
      <w:r w:rsidRPr="000A51A6">
        <w:rPr>
          <w:rFonts w:ascii="Arial" w:hAnsi="Arial" w:cs="Arial"/>
          <w:b/>
          <w:bCs/>
          <w:i/>
          <w:iCs/>
        </w:rPr>
        <w:t>In vitro</w:t>
      </w:r>
      <w:r w:rsidRPr="000A51A6">
        <w:rPr>
          <w:rFonts w:ascii="Arial" w:hAnsi="Arial" w:cs="Arial"/>
          <w:b/>
          <w:bCs/>
        </w:rPr>
        <w:t xml:space="preserve"> evaluation of systemic fungicides against </w:t>
      </w:r>
      <w:r w:rsidRPr="000A51A6">
        <w:rPr>
          <w:rFonts w:ascii="Arial" w:hAnsi="Arial" w:cs="Arial"/>
          <w:b/>
          <w:bCs/>
          <w:i/>
          <w:iCs/>
        </w:rPr>
        <w:t>Phomopsis vexans</w:t>
      </w:r>
      <w:r w:rsidRPr="000A51A6">
        <w:rPr>
          <w:rFonts w:ascii="Arial" w:hAnsi="Arial" w:cs="Arial"/>
          <w:b/>
          <w:bCs/>
        </w:rPr>
        <w:t xml:space="preserve"> </w:t>
      </w:r>
    </w:p>
    <w:tbl>
      <w:tblPr>
        <w:tblStyle w:val="TableGrid"/>
        <w:tblW w:w="8370" w:type="dxa"/>
        <w:tblInd w:w="108" w:type="dxa"/>
        <w:tblLayout w:type="fixed"/>
        <w:tblLook w:val="04A0" w:firstRow="1" w:lastRow="0" w:firstColumn="1" w:lastColumn="0" w:noHBand="0" w:noVBand="1"/>
      </w:tblPr>
      <w:tblGrid>
        <w:gridCol w:w="570"/>
        <w:gridCol w:w="2130"/>
        <w:gridCol w:w="810"/>
        <w:gridCol w:w="810"/>
        <w:gridCol w:w="810"/>
        <w:gridCol w:w="990"/>
        <w:gridCol w:w="990"/>
        <w:gridCol w:w="1260"/>
      </w:tblGrid>
      <w:tr w:rsidR="00AA774B" w:rsidRPr="000A51A6" w:rsidTr="00B31FBC">
        <w:tc>
          <w:tcPr>
            <w:tcW w:w="57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Tr. No.</w:t>
            </w:r>
          </w:p>
        </w:tc>
        <w:tc>
          <w:tcPr>
            <w:tcW w:w="213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Treatments</w:t>
            </w:r>
          </w:p>
        </w:tc>
        <w:tc>
          <w:tcPr>
            <w:tcW w:w="1620" w:type="dxa"/>
            <w:gridSpan w:val="2"/>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Colony Dia. (mm)*</w:t>
            </w:r>
          </w:p>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at ppm</w:t>
            </w:r>
          </w:p>
        </w:tc>
        <w:tc>
          <w:tcPr>
            <w:tcW w:w="81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Avg.</w:t>
            </w:r>
          </w:p>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(mm)</w:t>
            </w:r>
          </w:p>
        </w:tc>
        <w:tc>
          <w:tcPr>
            <w:tcW w:w="1980" w:type="dxa"/>
            <w:gridSpan w:val="2"/>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 xml:space="preserve">% Inhibition* </w:t>
            </w:r>
          </w:p>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at ppm</w:t>
            </w:r>
          </w:p>
        </w:tc>
        <w:tc>
          <w:tcPr>
            <w:tcW w:w="126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Avg. % Inhibition</w:t>
            </w:r>
          </w:p>
        </w:tc>
      </w:tr>
      <w:tr w:rsidR="00AA774B" w:rsidRPr="000A51A6" w:rsidTr="000A51A6">
        <w:trPr>
          <w:trHeight w:val="368"/>
        </w:trPr>
        <w:tc>
          <w:tcPr>
            <w:tcW w:w="570" w:type="dxa"/>
            <w:vMerge/>
          </w:tcPr>
          <w:p w:rsidR="00AA774B" w:rsidRPr="000A51A6" w:rsidRDefault="00AA774B" w:rsidP="00B31FBC">
            <w:pPr>
              <w:spacing w:before="120" w:line="360" w:lineRule="auto"/>
              <w:jc w:val="both"/>
              <w:outlineLvl w:val="1"/>
              <w:rPr>
                <w:rFonts w:ascii="Arial" w:hAnsi="Arial" w:cs="Arial"/>
                <w:b/>
                <w:bCs/>
                <w:sz w:val="20"/>
                <w:szCs w:val="20"/>
              </w:rPr>
            </w:pPr>
          </w:p>
        </w:tc>
        <w:tc>
          <w:tcPr>
            <w:tcW w:w="2130" w:type="dxa"/>
            <w:vMerge/>
          </w:tcPr>
          <w:p w:rsidR="00AA774B" w:rsidRPr="000A51A6" w:rsidRDefault="00AA774B" w:rsidP="00B31FBC">
            <w:pPr>
              <w:spacing w:before="120" w:line="360" w:lineRule="auto"/>
              <w:jc w:val="both"/>
              <w:outlineLvl w:val="1"/>
              <w:rPr>
                <w:rFonts w:ascii="Arial" w:hAnsi="Arial" w:cs="Arial"/>
                <w:b/>
                <w:bCs/>
                <w:sz w:val="20"/>
                <w:szCs w:val="20"/>
              </w:rPr>
            </w:pPr>
          </w:p>
        </w:tc>
        <w:tc>
          <w:tcPr>
            <w:tcW w:w="810" w:type="dxa"/>
          </w:tcPr>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500</w:t>
            </w:r>
          </w:p>
        </w:tc>
        <w:tc>
          <w:tcPr>
            <w:tcW w:w="81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1000</w:t>
            </w:r>
          </w:p>
        </w:tc>
        <w:tc>
          <w:tcPr>
            <w:tcW w:w="810" w:type="dxa"/>
            <w:vMerge/>
          </w:tcPr>
          <w:p w:rsidR="00AA774B" w:rsidRPr="000A51A6" w:rsidRDefault="00AA774B" w:rsidP="00B31FBC">
            <w:pPr>
              <w:spacing w:before="120" w:line="360" w:lineRule="auto"/>
              <w:jc w:val="both"/>
              <w:outlineLvl w:val="1"/>
              <w:rPr>
                <w:rFonts w:ascii="Arial" w:hAnsi="Arial" w:cs="Arial"/>
                <w:b/>
                <w:bCs/>
                <w:sz w:val="20"/>
                <w:szCs w:val="20"/>
              </w:rPr>
            </w:pPr>
          </w:p>
        </w:tc>
        <w:tc>
          <w:tcPr>
            <w:tcW w:w="99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500</w:t>
            </w:r>
          </w:p>
        </w:tc>
        <w:tc>
          <w:tcPr>
            <w:tcW w:w="99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1000</w:t>
            </w:r>
          </w:p>
        </w:tc>
        <w:tc>
          <w:tcPr>
            <w:tcW w:w="1260" w:type="dxa"/>
            <w:vMerge/>
          </w:tcPr>
          <w:p w:rsidR="00AA774B" w:rsidRPr="000A51A6" w:rsidRDefault="00AA774B" w:rsidP="00B31FBC">
            <w:pPr>
              <w:spacing w:before="120" w:line="360" w:lineRule="auto"/>
              <w:jc w:val="both"/>
              <w:outlineLvl w:val="1"/>
              <w:rPr>
                <w:rFonts w:ascii="Arial" w:hAnsi="Arial" w:cs="Arial"/>
                <w:sz w:val="20"/>
                <w:szCs w:val="20"/>
              </w:rPr>
            </w:pPr>
          </w:p>
        </w:tc>
      </w:tr>
      <w:tr w:rsidR="00AA774B" w:rsidRPr="000A51A6" w:rsidTr="000A51A6">
        <w:trPr>
          <w:trHeight w:val="800"/>
        </w:trPr>
        <w:tc>
          <w:tcPr>
            <w:tcW w:w="570" w:type="dxa"/>
          </w:tcPr>
          <w:p w:rsidR="00AA774B" w:rsidRPr="000A51A6" w:rsidRDefault="00AA774B" w:rsidP="00B31FBC">
            <w:pPr>
              <w:spacing w:before="120" w:after="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1</w:t>
            </w:r>
          </w:p>
        </w:tc>
        <w:tc>
          <w:tcPr>
            <w:tcW w:w="2130" w:type="dxa"/>
          </w:tcPr>
          <w:p w:rsidR="00AA774B" w:rsidRPr="000A51A6" w:rsidRDefault="00AA774B" w:rsidP="00B31FBC">
            <w:pPr>
              <w:pStyle w:val="TableParagraph"/>
              <w:spacing w:line="360" w:lineRule="auto"/>
              <w:ind w:left="112"/>
              <w:rPr>
                <w:rFonts w:ascii="Arial" w:hAnsi="Arial" w:cs="Arial"/>
                <w:sz w:val="20"/>
                <w:szCs w:val="20"/>
              </w:rPr>
            </w:pPr>
            <w:r w:rsidRPr="000A51A6">
              <w:rPr>
                <w:rFonts w:ascii="Arial" w:hAnsi="Arial" w:cs="Arial"/>
                <w:sz w:val="20"/>
                <w:szCs w:val="20"/>
              </w:rPr>
              <w:t>Carbendazim</w:t>
            </w:r>
            <w:r w:rsidRPr="000A51A6">
              <w:rPr>
                <w:rFonts w:ascii="Arial" w:hAnsi="Arial" w:cs="Arial"/>
                <w:spacing w:val="8"/>
                <w:sz w:val="20"/>
                <w:szCs w:val="20"/>
              </w:rPr>
              <w:t xml:space="preserve"> </w:t>
            </w:r>
            <w:r w:rsidRPr="000A51A6">
              <w:rPr>
                <w:rFonts w:ascii="Arial" w:hAnsi="Arial" w:cs="Arial"/>
                <w:sz w:val="20"/>
                <w:szCs w:val="20"/>
              </w:rPr>
              <w:t>50%</w:t>
            </w:r>
            <w:r w:rsidRPr="000A51A6">
              <w:rPr>
                <w:rFonts w:ascii="Arial" w:hAnsi="Arial" w:cs="Arial"/>
                <w:spacing w:val="7"/>
                <w:sz w:val="20"/>
                <w:szCs w:val="20"/>
              </w:rPr>
              <w:t xml:space="preserve"> </w:t>
            </w:r>
            <w:r w:rsidRPr="000A51A6">
              <w:rPr>
                <w:rFonts w:ascii="Arial" w:hAnsi="Arial" w:cs="Arial"/>
                <w:spacing w:val="-5"/>
                <w:sz w:val="20"/>
                <w:szCs w:val="20"/>
              </w:rPr>
              <w:t>WP</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10.38</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05.19</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88.19</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(69.90)</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94.10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(75.94)**</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2</w:t>
            </w:r>
          </w:p>
        </w:tc>
        <w:tc>
          <w:tcPr>
            <w:tcW w:w="2130" w:type="dxa"/>
          </w:tcPr>
          <w:p w:rsidR="00AA774B" w:rsidRPr="000A51A6" w:rsidRDefault="00AA774B" w:rsidP="00B31FBC">
            <w:pPr>
              <w:pStyle w:val="TableParagraph"/>
              <w:spacing w:before="2" w:line="360" w:lineRule="auto"/>
              <w:ind w:left="112"/>
              <w:rPr>
                <w:rFonts w:ascii="Arial" w:hAnsi="Arial" w:cs="Arial"/>
                <w:sz w:val="20"/>
                <w:szCs w:val="20"/>
              </w:rPr>
            </w:pPr>
            <w:r w:rsidRPr="000A51A6">
              <w:rPr>
                <w:rFonts w:ascii="Arial" w:hAnsi="Arial" w:cs="Arial"/>
                <w:sz w:val="20"/>
                <w:szCs w:val="20"/>
              </w:rPr>
              <w:t>Propiconazole 25% EC</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00.53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00.26</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99.39</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(85.52)</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99.70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(86.86)</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3</w:t>
            </w:r>
          </w:p>
        </w:tc>
        <w:tc>
          <w:tcPr>
            <w:tcW w:w="2130" w:type="dxa"/>
          </w:tcPr>
          <w:p w:rsidR="00AA774B" w:rsidRPr="000A51A6" w:rsidRDefault="00AA774B" w:rsidP="00B31FBC">
            <w:pPr>
              <w:pStyle w:val="TableParagraph"/>
              <w:spacing w:before="3" w:line="360" w:lineRule="auto"/>
              <w:ind w:left="112"/>
              <w:rPr>
                <w:rFonts w:ascii="Arial" w:hAnsi="Arial" w:cs="Arial"/>
                <w:sz w:val="20"/>
                <w:szCs w:val="20"/>
              </w:rPr>
            </w:pPr>
            <w:r w:rsidRPr="000A51A6">
              <w:rPr>
                <w:rFonts w:ascii="Arial" w:hAnsi="Arial" w:cs="Arial"/>
                <w:sz w:val="20"/>
                <w:szCs w:val="20"/>
              </w:rPr>
              <w:t>Azoxystrobin 23% SC</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31.16</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23.33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27.24</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64.57</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(53.47)</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73.48</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(59.00)</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69.03</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(56.18)</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4</w:t>
            </w:r>
          </w:p>
        </w:tc>
        <w:tc>
          <w:tcPr>
            <w:tcW w:w="2130" w:type="dxa"/>
          </w:tcPr>
          <w:p w:rsidR="00AA774B" w:rsidRPr="000A51A6" w:rsidRDefault="00AA774B" w:rsidP="00B31FBC">
            <w:pPr>
              <w:pStyle w:val="TableParagraph"/>
              <w:spacing w:before="2" w:line="360" w:lineRule="auto"/>
              <w:ind w:left="112"/>
              <w:rPr>
                <w:rFonts w:ascii="Arial" w:hAnsi="Arial" w:cs="Arial"/>
                <w:sz w:val="20"/>
                <w:szCs w:val="20"/>
              </w:rPr>
            </w:pPr>
            <w:r w:rsidRPr="000A51A6">
              <w:rPr>
                <w:rFonts w:ascii="Arial" w:hAnsi="Arial" w:cs="Arial"/>
                <w:sz w:val="20"/>
                <w:szCs w:val="20"/>
              </w:rPr>
              <w:t>Thiophanate methyl 70% WP</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31.33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27.83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29.58</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64.39</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(53.36)</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68.36</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(55.77)</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66.36</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(54.54)</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5</w:t>
            </w:r>
          </w:p>
        </w:tc>
        <w:tc>
          <w:tcPr>
            <w:tcW w:w="2130" w:type="dxa"/>
          </w:tcPr>
          <w:p w:rsidR="00AA774B" w:rsidRPr="000A51A6" w:rsidRDefault="00AA774B" w:rsidP="00B31FBC">
            <w:pPr>
              <w:pStyle w:val="TableParagraph"/>
              <w:spacing w:line="360" w:lineRule="auto"/>
              <w:ind w:left="100"/>
              <w:rPr>
                <w:rFonts w:ascii="Arial" w:hAnsi="Arial" w:cs="Arial"/>
                <w:sz w:val="20"/>
                <w:szCs w:val="20"/>
              </w:rPr>
            </w:pPr>
            <w:r w:rsidRPr="000A51A6">
              <w:rPr>
                <w:rFonts w:ascii="Arial" w:hAnsi="Arial" w:cs="Arial"/>
                <w:sz w:val="20"/>
                <w:szCs w:val="20"/>
              </w:rPr>
              <w:t>Difenconazole 25% EC</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16.03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10.86</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13.44</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81.78</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(64.73)</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87.65</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(69.42)</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84.72</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(66.98)</w:t>
            </w:r>
          </w:p>
        </w:tc>
      </w:tr>
      <w:tr w:rsidR="00AA774B" w:rsidRPr="000A51A6" w:rsidTr="00B31FBC">
        <w:trPr>
          <w:trHeight w:val="872"/>
        </w:trPr>
        <w:tc>
          <w:tcPr>
            <w:tcW w:w="570" w:type="dxa"/>
          </w:tcPr>
          <w:p w:rsidR="00AA774B" w:rsidRPr="000A51A6" w:rsidRDefault="00AA774B" w:rsidP="00B31FBC">
            <w:pPr>
              <w:spacing w:before="120" w:after="120" w:line="360" w:lineRule="auto"/>
              <w:jc w:val="both"/>
              <w:outlineLvl w:val="1"/>
              <w:rPr>
                <w:rFonts w:ascii="Arial" w:hAnsi="Arial" w:cs="Arial"/>
                <w:b/>
                <w:bCs/>
                <w:sz w:val="20"/>
                <w:szCs w:val="20"/>
              </w:rPr>
            </w:pPr>
            <w:r w:rsidRPr="000A51A6">
              <w:rPr>
                <w:rFonts w:ascii="Arial" w:hAnsi="Arial" w:cs="Arial"/>
                <w:b/>
                <w:bCs/>
                <w:sz w:val="20"/>
                <w:szCs w:val="20"/>
              </w:rPr>
              <w:lastRenderedPageBreak/>
              <w:t>T</w:t>
            </w:r>
            <w:r w:rsidRPr="000A51A6">
              <w:rPr>
                <w:rFonts w:ascii="Arial" w:hAnsi="Arial" w:cs="Arial"/>
                <w:b/>
                <w:bCs/>
                <w:sz w:val="20"/>
                <w:szCs w:val="20"/>
                <w:vertAlign w:val="subscript"/>
              </w:rPr>
              <w:t>6</w:t>
            </w:r>
          </w:p>
        </w:tc>
        <w:tc>
          <w:tcPr>
            <w:tcW w:w="2130" w:type="dxa"/>
          </w:tcPr>
          <w:p w:rsidR="00AA774B" w:rsidRPr="000A51A6" w:rsidRDefault="00AA774B" w:rsidP="00B31FBC">
            <w:pPr>
              <w:pStyle w:val="TableParagraph"/>
              <w:spacing w:before="2" w:line="360" w:lineRule="auto"/>
              <w:ind w:left="100"/>
              <w:rPr>
                <w:rFonts w:ascii="Arial" w:hAnsi="Arial" w:cs="Arial"/>
                <w:sz w:val="20"/>
                <w:szCs w:val="20"/>
              </w:rPr>
            </w:pPr>
            <w:r w:rsidRPr="000A51A6">
              <w:rPr>
                <w:rFonts w:ascii="Arial" w:hAnsi="Arial" w:cs="Arial"/>
                <w:sz w:val="20"/>
                <w:szCs w:val="20"/>
                <w:lang w:val="en-IN"/>
              </w:rPr>
              <w:t>Hexaconazole 5% EC</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10.16</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05.08</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88.44</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(70.12)</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94.22</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(76.08)</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7</w:t>
            </w:r>
          </w:p>
        </w:tc>
        <w:tc>
          <w:tcPr>
            <w:tcW w:w="2130" w:type="dxa"/>
          </w:tcPr>
          <w:p w:rsidR="00AA774B" w:rsidRPr="000A51A6" w:rsidRDefault="00AA774B" w:rsidP="00B31FBC">
            <w:pPr>
              <w:pStyle w:val="TableParagraph"/>
              <w:spacing w:before="3" w:line="360" w:lineRule="auto"/>
              <w:ind w:left="100"/>
              <w:rPr>
                <w:rFonts w:ascii="Arial" w:hAnsi="Arial" w:cs="Arial"/>
                <w:sz w:val="20"/>
                <w:szCs w:val="20"/>
              </w:rPr>
            </w:pPr>
            <w:r w:rsidRPr="000A51A6">
              <w:rPr>
                <w:rFonts w:ascii="Arial" w:hAnsi="Arial" w:cs="Arial"/>
                <w:sz w:val="20"/>
                <w:szCs w:val="20"/>
                <w:lang w:val="en-IN"/>
              </w:rPr>
              <w:t>Metalaxyl 35%  WS</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55.87</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25.13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40.50</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36.50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(37.16)</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71.42</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(57.68)</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53.96</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(47.27)</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8</w:t>
            </w:r>
          </w:p>
        </w:tc>
        <w:tc>
          <w:tcPr>
            <w:tcW w:w="2130" w:type="dxa"/>
          </w:tcPr>
          <w:p w:rsidR="00AA774B" w:rsidRPr="000A51A6" w:rsidRDefault="00AA774B" w:rsidP="00B31FBC">
            <w:pPr>
              <w:pStyle w:val="TableParagraph"/>
              <w:spacing w:before="2" w:line="360" w:lineRule="auto"/>
              <w:ind w:left="100"/>
              <w:rPr>
                <w:rFonts w:ascii="Arial" w:hAnsi="Arial" w:cs="Arial"/>
                <w:b/>
                <w:sz w:val="20"/>
                <w:szCs w:val="20"/>
              </w:rPr>
            </w:pPr>
            <w:r w:rsidRPr="000A51A6">
              <w:rPr>
                <w:rFonts w:ascii="Arial" w:hAnsi="Arial" w:cs="Arial"/>
                <w:b/>
                <w:sz w:val="20"/>
                <w:szCs w:val="20"/>
              </w:rPr>
              <w:t>Control</w:t>
            </w:r>
            <w:r w:rsidRPr="000A51A6">
              <w:rPr>
                <w:rFonts w:ascii="Arial" w:hAnsi="Arial" w:cs="Arial"/>
                <w:b/>
                <w:spacing w:val="1"/>
                <w:sz w:val="20"/>
                <w:szCs w:val="20"/>
              </w:rPr>
              <w:t xml:space="preserve"> </w:t>
            </w:r>
            <w:r w:rsidRPr="000A51A6">
              <w:rPr>
                <w:rFonts w:ascii="Arial" w:hAnsi="Arial" w:cs="Arial"/>
                <w:b/>
                <w:spacing w:val="-2"/>
                <w:sz w:val="20"/>
                <w:szCs w:val="20"/>
              </w:rPr>
              <w:t>(untreated)</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(00.00)</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(00.00)</w:t>
            </w:r>
          </w:p>
        </w:tc>
        <w:tc>
          <w:tcPr>
            <w:tcW w:w="1260" w:type="dxa"/>
            <w:vAlign w:val="center"/>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w:t>
            </w:r>
          </w:p>
        </w:tc>
      </w:tr>
      <w:tr w:rsidR="00AA774B" w:rsidRPr="000A51A6" w:rsidTr="00B31FBC">
        <w:trPr>
          <w:trHeight w:val="458"/>
        </w:trPr>
        <w:tc>
          <w:tcPr>
            <w:tcW w:w="570" w:type="dxa"/>
          </w:tcPr>
          <w:p w:rsidR="00AA774B" w:rsidRPr="000A51A6" w:rsidRDefault="00AA774B" w:rsidP="00B31FBC">
            <w:pPr>
              <w:spacing w:line="360" w:lineRule="auto"/>
              <w:jc w:val="both"/>
              <w:outlineLvl w:val="1"/>
              <w:rPr>
                <w:rFonts w:ascii="Arial" w:hAnsi="Arial" w:cs="Arial"/>
                <w:sz w:val="20"/>
                <w:szCs w:val="20"/>
              </w:rPr>
            </w:pPr>
          </w:p>
        </w:tc>
        <w:tc>
          <w:tcPr>
            <w:tcW w:w="2130" w:type="dxa"/>
          </w:tcPr>
          <w:p w:rsidR="00AA774B" w:rsidRPr="000A51A6" w:rsidRDefault="00AA774B" w:rsidP="00B31FBC">
            <w:pPr>
              <w:tabs>
                <w:tab w:val="left" w:pos="585"/>
                <w:tab w:val="center" w:pos="1092"/>
              </w:tabs>
              <w:spacing w:line="360" w:lineRule="auto"/>
              <w:outlineLvl w:val="1"/>
              <w:rPr>
                <w:rFonts w:ascii="Arial" w:hAnsi="Arial" w:cs="Arial"/>
                <w:b/>
                <w:bCs/>
                <w:sz w:val="20"/>
                <w:szCs w:val="20"/>
              </w:rPr>
            </w:pPr>
            <w:r w:rsidRPr="000A51A6">
              <w:rPr>
                <w:rFonts w:ascii="Arial" w:hAnsi="Arial" w:cs="Arial"/>
                <w:b/>
                <w:bCs/>
                <w:sz w:val="20"/>
                <w:szCs w:val="20"/>
              </w:rPr>
              <w:t>S.E.(m) ±</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0.41</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0.52</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0.39</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0.61</w:t>
            </w:r>
          </w:p>
        </w:tc>
        <w:tc>
          <w:tcPr>
            <w:tcW w:w="126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r>
      <w:tr w:rsidR="00AA774B" w:rsidRPr="000A51A6" w:rsidTr="00B31FBC">
        <w:tc>
          <w:tcPr>
            <w:tcW w:w="570" w:type="dxa"/>
          </w:tcPr>
          <w:p w:rsidR="00AA774B" w:rsidRPr="000A51A6" w:rsidRDefault="00AA774B" w:rsidP="00B31FBC">
            <w:pPr>
              <w:spacing w:line="360" w:lineRule="auto"/>
              <w:jc w:val="both"/>
              <w:outlineLvl w:val="1"/>
              <w:rPr>
                <w:rFonts w:ascii="Arial" w:hAnsi="Arial" w:cs="Arial"/>
                <w:sz w:val="20"/>
                <w:szCs w:val="20"/>
              </w:rPr>
            </w:pPr>
          </w:p>
        </w:tc>
        <w:tc>
          <w:tcPr>
            <w:tcW w:w="2130" w:type="dxa"/>
          </w:tcPr>
          <w:p w:rsidR="00AA774B" w:rsidRPr="000A51A6" w:rsidRDefault="00AA774B" w:rsidP="00B31FBC">
            <w:pPr>
              <w:tabs>
                <w:tab w:val="left" w:pos="585"/>
                <w:tab w:val="center" w:pos="1092"/>
              </w:tabs>
              <w:spacing w:line="360" w:lineRule="auto"/>
              <w:outlineLvl w:val="1"/>
              <w:rPr>
                <w:rFonts w:ascii="Arial" w:hAnsi="Arial" w:cs="Arial"/>
                <w:b/>
                <w:bCs/>
                <w:sz w:val="20"/>
                <w:szCs w:val="20"/>
              </w:rPr>
            </w:pPr>
            <w:r w:rsidRPr="000A51A6">
              <w:rPr>
                <w:rFonts w:ascii="Arial" w:hAnsi="Arial" w:cs="Arial"/>
                <w:b/>
                <w:bCs/>
                <w:sz w:val="20"/>
                <w:szCs w:val="20"/>
              </w:rPr>
              <w:t>C. D. at 1%</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1.71</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2.15</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1.64</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2.55</w:t>
            </w:r>
          </w:p>
        </w:tc>
        <w:tc>
          <w:tcPr>
            <w:tcW w:w="126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r>
    </w:tbl>
    <w:p w:rsidR="00AA774B" w:rsidRPr="000A51A6" w:rsidRDefault="00AA774B" w:rsidP="00AA774B">
      <w:pPr>
        <w:spacing w:before="120"/>
        <w:jc w:val="both"/>
        <w:outlineLvl w:val="1"/>
        <w:rPr>
          <w:rFonts w:ascii="Arial" w:hAnsi="Arial" w:cs="Arial"/>
        </w:rPr>
      </w:pPr>
      <w:r w:rsidRPr="000A51A6">
        <w:rPr>
          <w:rFonts w:ascii="Arial" w:hAnsi="Arial" w:cs="Arial"/>
        </w:rPr>
        <w:t>*: Mean of three replications, **: Values in parenthesis are arcsin transformed values, Dia.: Diameter, Avg.: Average</w:t>
      </w:r>
    </w:p>
    <w:p w:rsidR="00AA774B" w:rsidRPr="00AA774B" w:rsidRDefault="000A51A6" w:rsidP="000A51A6">
      <w:pPr>
        <w:tabs>
          <w:tab w:val="left" w:pos="90"/>
        </w:tabs>
        <w:spacing w:before="120" w:after="120" w:line="360" w:lineRule="auto"/>
        <w:jc w:val="both"/>
        <w:outlineLvl w:val="1"/>
        <w:rPr>
          <w:rFonts w:ascii="Arial" w:hAnsi="Arial" w:cs="Arial"/>
          <w:sz w:val="22"/>
          <w:szCs w:val="22"/>
        </w:rPr>
      </w:pPr>
      <w:r w:rsidRPr="008A12BF">
        <w:rPr>
          <w:rFonts w:ascii="Times New Roman" w:hAnsi="Times New Roman"/>
          <w:noProof/>
          <w:sz w:val="24"/>
          <w:szCs w:val="22"/>
          <w:lang w:bidi="mr-IN"/>
        </w:rPr>
        <w:drawing>
          <wp:inline distT="0" distB="0" distL="0" distR="0" wp14:anchorId="0593349A" wp14:editId="7B55B4EF">
            <wp:extent cx="5332781" cy="3781958"/>
            <wp:effectExtent l="0" t="0" r="2032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774B" w:rsidRPr="000A51A6" w:rsidRDefault="000A51A6" w:rsidP="000A51A6">
      <w:pPr>
        <w:tabs>
          <w:tab w:val="left" w:pos="90"/>
        </w:tabs>
        <w:spacing w:before="120" w:after="120" w:line="360" w:lineRule="auto"/>
        <w:jc w:val="both"/>
        <w:outlineLvl w:val="1"/>
        <w:rPr>
          <w:rFonts w:ascii="Arial" w:hAnsi="Arial" w:cs="Arial"/>
          <w:b/>
          <w:bCs/>
        </w:rPr>
      </w:pPr>
      <w:r w:rsidRPr="000A51A6">
        <w:rPr>
          <w:rFonts w:ascii="Arial" w:hAnsi="Arial" w:cs="Arial"/>
          <w:b/>
          <w:bCs/>
        </w:rPr>
        <w:t>Fig. 1:</w:t>
      </w:r>
      <w:r w:rsidRPr="000A51A6">
        <w:rPr>
          <w:b/>
          <w:bCs/>
          <w:i/>
          <w:iCs/>
          <w:color w:val="000000" w:themeColor="text1"/>
          <w:kern w:val="24"/>
        </w:rPr>
        <w:t xml:space="preserve"> </w:t>
      </w:r>
      <w:r w:rsidRPr="000A51A6">
        <w:rPr>
          <w:rFonts w:ascii="Arial" w:hAnsi="Arial" w:cs="Arial"/>
          <w:b/>
          <w:bCs/>
          <w:i/>
          <w:iCs/>
          <w:color w:val="000000" w:themeColor="text1"/>
          <w:kern w:val="24"/>
        </w:rPr>
        <w:t xml:space="preserve">In vitro </w:t>
      </w:r>
      <w:r w:rsidRPr="000A51A6">
        <w:rPr>
          <w:rFonts w:ascii="Arial" w:hAnsi="Arial" w:cs="Arial"/>
          <w:b/>
          <w:bCs/>
          <w:color w:val="000000" w:themeColor="text1"/>
          <w:kern w:val="24"/>
        </w:rPr>
        <w:t xml:space="preserve">evaluation of systemic fungicides against </w:t>
      </w:r>
      <w:r w:rsidRPr="000A51A6">
        <w:rPr>
          <w:rFonts w:ascii="Arial" w:hAnsi="Arial" w:cs="Arial"/>
          <w:b/>
          <w:bCs/>
          <w:i/>
          <w:iCs/>
          <w:color w:val="000000" w:themeColor="text1"/>
          <w:kern w:val="24"/>
        </w:rPr>
        <w:t>Phomopsis vexans</w:t>
      </w:r>
    </w:p>
    <w:p w:rsidR="000A51A6" w:rsidRPr="000A51A6" w:rsidRDefault="000A51A6" w:rsidP="000A51A6">
      <w:pPr>
        <w:spacing w:before="120" w:after="120" w:line="360" w:lineRule="auto"/>
        <w:jc w:val="both"/>
        <w:outlineLvl w:val="1"/>
        <w:rPr>
          <w:rFonts w:ascii="Times New Roman" w:hAnsi="Times New Roman"/>
          <w:b/>
          <w:bCs/>
          <w:i/>
          <w:iCs/>
          <w:sz w:val="24"/>
          <w:szCs w:val="24"/>
        </w:rPr>
      </w:pPr>
      <w:r w:rsidRPr="000A51A6">
        <w:rPr>
          <w:rFonts w:ascii="Arial" w:hAnsi="Arial" w:cs="Arial"/>
          <w:b/>
          <w:bCs/>
        </w:rPr>
        <w:t xml:space="preserve">3.2 </w:t>
      </w:r>
      <w:r w:rsidRPr="000A51A6">
        <w:rPr>
          <w:rFonts w:ascii="Arial" w:hAnsi="Arial" w:cs="Arial"/>
          <w:b/>
          <w:bCs/>
          <w:i/>
          <w:iCs/>
        </w:rPr>
        <w:t>In vitro</w:t>
      </w:r>
      <w:r w:rsidRPr="000A51A6">
        <w:rPr>
          <w:rFonts w:ascii="Arial" w:hAnsi="Arial" w:cs="Arial"/>
          <w:b/>
          <w:bCs/>
        </w:rPr>
        <w:t xml:space="preserve"> evaluation of contact and combi-product fungicides against </w:t>
      </w:r>
      <w:r w:rsidRPr="000A51A6">
        <w:rPr>
          <w:rFonts w:ascii="Arial" w:hAnsi="Arial" w:cs="Arial"/>
          <w:b/>
          <w:bCs/>
          <w:i/>
          <w:iCs/>
        </w:rPr>
        <w:t>Phomopsis vexans</w:t>
      </w:r>
    </w:p>
    <w:p w:rsidR="00F1007D" w:rsidRDefault="000A51A6" w:rsidP="00F1007D">
      <w:pPr>
        <w:tabs>
          <w:tab w:val="left" w:pos="90"/>
        </w:tabs>
        <w:spacing w:before="120" w:after="120"/>
        <w:ind w:firstLine="562"/>
        <w:jc w:val="both"/>
        <w:outlineLvl w:val="1"/>
        <w:rPr>
          <w:rFonts w:ascii="Arial" w:hAnsi="Arial" w:cs="Arial"/>
        </w:rPr>
      </w:pPr>
      <w:r w:rsidRPr="00B31FBC">
        <w:rPr>
          <w:rFonts w:ascii="Arial" w:hAnsi="Arial" w:cs="Arial"/>
        </w:rPr>
        <w:t xml:space="preserve">Results </w:t>
      </w:r>
      <w:r w:rsidR="00B31FBC" w:rsidRPr="00B31FBC">
        <w:rPr>
          <w:rFonts w:ascii="Arial" w:hAnsi="Arial" w:cs="Arial"/>
        </w:rPr>
        <w:t xml:space="preserve">(Table 4, Fig. 2) </w:t>
      </w:r>
      <w:r w:rsidRPr="00B31FBC">
        <w:rPr>
          <w:rFonts w:ascii="Arial" w:hAnsi="Arial" w:cs="Arial"/>
        </w:rPr>
        <w:t>show</w:t>
      </w:r>
      <w:r w:rsidR="00E8522E">
        <w:rPr>
          <w:rFonts w:ascii="Arial" w:hAnsi="Arial" w:cs="Arial"/>
        </w:rPr>
        <w:t>ed</w:t>
      </w:r>
      <w:r w:rsidRPr="00B31FBC">
        <w:rPr>
          <w:rFonts w:ascii="Arial" w:hAnsi="Arial" w:cs="Arial"/>
        </w:rPr>
        <w:t xml:space="preserve"> that all the treatments</w:t>
      </w:r>
      <w:r w:rsidR="0040709B">
        <w:rPr>
          <w:rFonts w:ascii="Arial" w:hAnsi="Arial" w:cs="Arial"/>
        </w:rPr>
        <w:t xml:space="preserve"> con</w:t>
      </w:r>
      <w:r w:rsidR="009304BC">
        <w:rPr>
          <w:rFonts w:ascii="Arial" w:hAnsi="Arial" w:cs="Arial"/>
        </w:rPr>
        <w:t>t</w:t>
      </w:r>
      <w:r w:rsidR="0040709B">
        <w:rPr>
          <w:rFonts w:ascii="Arial" w:hAnsi="Arial" w:cs="Arial"/>
        </w:rPr>
        <w:t>act and combi fungicide</w:t>
      </w:r>
      <w:r w:rsidR="009304BC">
        <w:rPr>
          <w:rFonts w:ascii="Arial" w:hAnsi="Arial" w:cs="Arial"/>
        </w:rPr>
        <w:t>s</w:t>
      </w:r>
      <w:r w:rsidRPr="00B31FBC">
        <w:rPr>
          <w:rFonts w:ascii="Arial" w:hAnsi="Arial" w:cs="Arial"/>
        </w:rPr>
        <w:t xml:space="preserve"> were significant over the control in inhibiting the growth of test pathogen.</w:t>
      </w:r>
      <w:r w:rsidR="002D31E1" w:rsidRPr="002D31E1">
        <w:rPr>
          <w:rFonts w:ascii="Arial" w:hAnsi="Arial" w:cs="Arial"/>
        </w:rPr>
        <w:t xml:space="preserve"> </w:t>
      </w:r>
      <w:r w:rsidR="002D31E1">
        <w:rPr>
          <w:rFonts w:ascii="Arial" w:hAnsi="Arial" w:cs="Arial"/>
        </w:rPr>
        <w:t>In case of contact and combi fungicides, it was found that per cent inhibition of the test pathogen was increased with the increase in concentration of the fungicides tested.</w:t>
      </w:r>
      <w:r w:rsidRPr="00B31FBC">
        <w:rPr>
          <w:rFonts w:ascii="Arial" w:hAnsi="Arial" w:cs="Arial"/>
        </w:rPr>
        <w:t xml:space="preserve"> </w:t>
      </w:r>
    </w:p>
    <w:p w:rsidR="007C4707" w:rsidRPr="00214115" w:rsidRDefault="007C4707" w:rsidP="007C4707">
      <w:pPr>
        <w:tabs>
          <w:tab w:val="left" w:pos="90"/>
        </w:tabs>
        <w:spacing w:before="120" w:after="120"/>
        <w:ind w:firstLine="562"/>
        <w:jc w:val="both"/>
        <w:outlineLvl w:val="1"/>
        <w:rPr>
          <w:rFonts w:ascii="Arial" w:hAnsi="Arial" w:cs="Arial"/>
          <w:highlight w:val="yellow"/>
        </w:rPr>
      </w:pPr>
      <w:r w:rsidRPr="00214115">
        <w:rPr>
          <w:rFonts w:ascii="Arial" w:hAnsi="Arial" w:cs="Arial"/>
          <w:highlight w:val="yellow"/>
        </w:rPr>
        <w:t>The pathogen treated with Carboxin 37.5 % +Thiram 37.5 % WP, Carbendazim 12 % + Mancozeb 63 % WP and Tebuconazole 50 % + Trifloxystrobin 25 % WP showed no mycelial growth at 2000 ppm concentration, followed by Mancozeb 75% WP (03.00 mm), Pyraclostrobin 13.3 % + Epoxiconazole 5 % SE (03.47 mm), Propineb 70 % WP (39.47 mm) and Chlorothalonil 75 % WP (46.33 mm).</w:t>
      </w:r>
      <w:r w:rsidRPr="00214115">
        <w:rPr>
          <w:rFonts w:ascii="Arial" w:hAnsi="Arial" w:cs="Arial"/>
          <w:highlight w:val="yellow"/>
        </w:rPr>
        <w:t xml:space="preserve"> </w:t>
      </w:r>
      <w:r w:rsidRPr="00214115">
        <w:rPr>
          <w:rFonts w:ascii="Arial" w:hAnsi="Arial" w:cs="Arial"/>
          <w:highlight w:val="yellow"/>
        </w:rPr>
        <w:t>At 2500 ppm concentration pathogen treated with Carboxin 37.5 % +Thiram 37.5 % WP, Carbendazim 12 % + Mancozeb 63 % WP and Tebuconazole 50 % + Trifloxystrobin 25 % WP showed no mycelial growth, followed by Pyraclostrobin 13.3 % + Epoxiconazole 5 % SE (01.67 mm), Mancozeb 75% WP (02.00 mm), Propineb 70 % WP (34.67 mm) and Chlorothalonil 75 % WP (35.17 mm).</w:t>
      </w:r>
      <w:r w:rsidRPr="00214115">
        <w:rPr>
          <w:rFonts w:ascii="Arial" w:hAnsi="Arial" w:cs="Arial"/>
          <w:highlight w:val="yellow"/>
        </w:rPr>
        <w:t xml:space="preserve"> </w:t>
      </w:r>
      <w:r w:rsidRPr="00214115">
        <w:rPr>
          <w:rFonts w:ascii="Arial" w:hAnsi="Arial" w:cs="Arial"/>
          <w:highlight w:val="yellow"/>
        </w:rPr>
        <w:t xml:space="preserve">The average radial mycelial growth of the test pathogen ranged from 00.00 mm to 40.75 mm. Among these Carboxin 37.5 % +Thiram 37.5 % WP, </w:t>
      </w:r>
      <w:r w:rsidRPr="00214115">
        <w:rPr>
          <w:rFonts w:ascii="Arial" w:hAnsi="Arial" w:cs="Arial"/>
          <w:highlight w:val="yellow"/>
        </w:rPr>
        <w:lastRenderedPageBreak/>
        <w:t>Carbendazim 12% + Mancozeb 63 % WP and Tebuconazole 50 % + Trifloxystrobin 25 % WP showed no mycelial growth followed by Pyraclostrobin 13.3 % + Epoxiconazole 5 % SE (02.57 mm), Mancozeb 75% WP (02.50 mm), Propineb 70 % WP (37.07 mm) and Chlorothalonil 75 % WP (40.75 mm).</w:t>
      </w:r>
    </w:p>
    <w:p w:rsidR="007C4707" w:rsidRPr="00214115" w:rsidRDefault="007C4707" w:rsidP="007C4707">
      <w:pPr>
        <w:tabs>
          <w:tab w:val="left" w:pos="90"/>
        </w:tabs>
        <w:spacing w:before="120" w:after="120"/>
        <w:ind w:firstLine="562"/>
        <w:jc w:val="both"/>
        <w:outlineLvl w:val="1"/>
        <w:rPr>
          <w:rFonts w:ascii="Arial" w:hAnsi="Arial" w:cs="Arial"/>
          <w:highlight w:val="yellow"/>
        </w:rPr>
      </w:pPr>
      <w:r w:rsidRPr="00214115">
        <w:rPr>
          <w:rFonts w:ascii="Arial" w:hAnsi="Arial" w:cs="Arial"/>
          <w:highlight w:val="yellow"/>
        </w:rPr>
        <w:t>The fungus treated with Carboxin 37.5 % +Thiram 37.5 % WP, Carbendazim 12 % + Mancozeb 63 % WP and Tebuconazole50 % + Trifloxystrobin 25 % WP showed hundred per cent growth inhibition followed by Mancozeb 75 % WP (96.67 %), Pyraclostrobin 13.3 % + Epoxiconazole 5 % SE (96.48%), Propineb 70 % WP (56.15 %) and Chlorothalonil 75 % WP (48.52 %) each at 2000 ppm concentration.</w:t>
      </w:r>
      <w:r w:rsidRPr="00214115">
        <w:rPr>
          <w:rFonts w:ascii="Arial" w:hAnsi="Arial" w:cs="Arial"/>
          <w:highlight w:val="yellow"/>
        </w:rPr>
        <w:t xml:space="preserve"> </w:t>
      </w:r>
      <w:r w:rsidRPr="00214115">
        <w:rPr>
          <w:rFonts w:ascii="Arial" w:hAnsi="Arial" w:cs="Arial"/>
          <w:highlight w:val="yellow"/>
        </w:rPr>
        <w:t>Similarly at 2500 ppm concentration, the fungus treated with Carboxin 37.5 % +Thiram 37.5 % WP, Carbendazim 12 % + Mancozeb 63 % WP and Tebuconazole 50 % + Trifloxystrobin 25 % WP showed hundred per cent growth inhibition followed by Pyraclostrobin 13.3 % + Epoxiconazole 5 % SE (98.15%), Mancozeb 75 % WP (97.78 %), Propineb 70 % WP (61.48 %) and Chlorothalonil 75 % WP (60.93 %).</w:t>
      </w:r>
      <w:r w:rsidRPr="00214115">
        <w:rPr>
          <w:rFonts w:ascii="Arial" w:hAnsi="Arial" w:cs="Arial"/>
          <w:highlight w:val="yellow"/>
        </w:rPr>
        <w:t xml:space="preserve"> </w:t>
      </w:r>
      <w:r w:rsidRPr="00214115">
        <w:rPr>
          <w:rFonts w:ascii="Arial" w:hAnsi="Arial" w:cs="Arial"/>
          <w:highlight w:val="yellow"/>
        </w:rPr>
        <w:t>The average growth inhibition of the test pathogen ranges from 100 to 54.73 %. Among these the test pathogen treated with Carboxin 37.5 % +Thiram 37.5 % WP, Carbendazim 12 % + Mancozeb 63 % WP and Tebuconazole 50 % + Trifloxystrobin 25 % WP showed hundred per cent growth inhibition followed by Pyraclostrobin 13.3 % + Epoxiconazole 5 % SE (97.32 %), Mancozeb 75 % WP (97.23  %), Propineb 70 % WP (58.82 %) and Chlorothalonil 75 % WP (54.73 %).</w:t>
      </w:r>
    </w:p>
    <w:p w:rsidR="001355F1" w:rsidRDefault="002D31E1" w:rsidP="00F1007D">
      <w:pPr>
        <w:tabs>
          <w:tab w:val="left" w:pos="90"/>
        </w:tabs>
        <w:spacing w:before="120" w:after="120"/>
        <w:ind w:firstLine="562"/>
        <w:jc w:val="both"/>
        <w:outlineLvl w:val="1"/>
        <w:rPr>
          <w:rFonts w:ascii="Arial" w:hAnsi="Arial" w:cs="Arial"/>
          <w:szCs w:val="18"/>
        </w:rPr>
      </w:pPr>
      <w:r w:rsidRPr="00214115">
        <w:rPr>
          <w:rFonts w:ascii="Arial" w:hAnsi="Arial" w:cs="Arial"/>
        </w:rPr>
        <w:t>These results are in consonance with earlier reports of researchers</w:t>
      </w:r>
      <w:r w:rsidRPr="00214115">
        <w:t xml:space="preserve"> </w:t>
      </w:r>
      <w:r w:rsidRPr="00214115">
        <w:rPr>
          <w:rFonts w:ascii="Arial" w:hAnsi="Arial" w:cs="Arial"/>
        </w:rPr>
        <w:t>like</w:t>
      </w:r>
      <w:r w:rsidRPr="00214115">
        <w:rPr>
          <w:rFonts w:ascii="Arial" w:hAnsi="Arial" w:cs="Arial"/>
          <w:szCs w:val="18"/>
        </w:rPr>
        <w:t xml:space="preserve"> </w:t>
      </w:r>
      <w:r w:rsidR="00B31FBC" w:rsidRPr="00214115">
        <w:rPr>
          <w:rFonts w:ascii="Arial" w:hAnsi="Arial" w:cs="Arial"/>
          <w:szCs w:val="18"/>
        </w:rPr>
        <w:t xml:space="preserve">Sharma </w:t>
      </w:r>
      <w:r w:rsidR="00B31FBC" w:rsidRPr="00214115">
        <w:rPr>
          <w:rFonts w:ascii="Arial" w:hAnsi="Arial" w:cs="Arial"/>
          <w:i/>
          <w:iCs/>
          <w:szCs w:val="18"/>
        </w:rPr>
        <w:t>et al.</w:t>
      </w:r>
      <w:r w:rsidR="00B31FBC" w:rsidRPr="00214115">
        <w:rPr>
          <w:rFonts w:ascii="Arial" w:hAnsi="Arial" w:cs="Arial"/>
          <w:szCs w:val="18"/>
        </w:rPr>
        <w:t xml:space="preserve"> (2012) who </w:t>
      </w:r>
      <w:r w:rsidR="00E8522E" w:rsidRPr="00214115">
        <w:rPr>
          <w:rFonts w:ascii="Arial" w:hAnsi="Arial" w:cs="Arial"/>
          <w:szCs w:val="18"/>
        </w:rPr>
        <w:t xml:space="preserve">also </w:t>
      </w:r>
      <w:r w:rsidR="00B31FBC" w:rsidRPr="00214115">
        <w:rPr>
          <w:rFonts w:ascii="Arial" w:hAnsi="Arial" w:cs="Arial"/>
          <w:szCs w:val="18"/>
        </w:rPr>
        <w:t xml:space="preserve">reported Carbendazim 12 % + Mancozeb 63 % WP was most effective against </w:t>
      </w:r>
      <w:r w:rsidR="00B31FBC" w:rsidRPr="00214115">
        <w:rPr>
          <w:rFonts w:ascii="Arial" w:hAnsi="Arial" w:cs="Arial"/>
          <w:i/>
          <w:iCs/>
          <w:szCs w:val="18"/>
        </w:rPr>
        <w:t>Phomopsis vexans.</w:t>
      </w:r>
      <w:r w:rsidR="00B31FBC" w:rsidRPr="00214115">
        <w:rPr>
          <w:rFonts w:ascii="Arial" w:hAnsi="Arial" w:cs="Arial"/>
          <w:szCs w:val="18"/>
        </w:rPr>
        <w:t xml:space="preserve"> Savita Ekka </w:t>
      </w:r>
      <w:r w:rsidR="00B31FBC" w:rsidRPr="00214115">
        <w:rPr>
          <w:rFonts w:ascii="Arial" w:hAnsi="Arial" w:cs="Arial"/>
          <w:i/>
          <w:iCs/>
          <w:szCs w:val="18"/>
        </w:rPr>
        <w:t>et al.</w:t>
      </w:r>
      <w:r w:rsidR="00B31FBC" w:rsidRPr="00214115">
        <w:rPr>
          <w:rFonts w:ascii="Arial" w:hAnsi="Arial" w:cs="Arial"/>
          <w:szCs w:val="18"/>
        </w:rPr>
        <w:t xml:space="preserve"> (2018) reported the combination of Carbendazim 12% + Mancozeb 63% at 0.25% and </w:t>
      </w:r>
      <w:r w:rsidR="00214115" w:rsidRPr="00214115">
        <w:rPr>
          <w:rFonts w:ascii="Arial" w:hAnsi="Arial" w:cs="Arial"/>
          <w:szCs w:val="18"/>
        </w:rPr>
        <w:t>Tebuconazole</w:t>
      </w:r>
      <w:r w:rsidR="00B31FBC" w:rsidRPr="00214115">
        <w:rPr>
          <w:rFonts w:ascii="Arial" w:hAnsi="Arial" w:cs="Arial"/>
          <w:szCs w:val="18"/>
        </w:rPr>
        <w:t xml:space="preserve"> 50% + Trifloxystrobin 25% at 0.2% completely inhibited the mycelial growth of the pathogen.</w:t>
      </w:r>
      <w:r w:rsidR="00B31FBC" w:rsidRPr="00214115">
        <w:rPr>
          <w:rFonts w:ascii="Arial" w:hAnsi="Arial" w:cs="Arial"/>
          <w:sz w:val="16"/>
          <w:szCs w:val="16"/>
        </w:rPr>
        <w:t xml:space="preserve"> </w:t>
      </w:r>
      <w:proofErr w:type="spellStart"/>
      <w:r w:rsidR="00B31FBC" w:rsidRPr="00214115">
        <w:rPr>
          <w:rFonts w:ascii="Arial" w:hAnsi="Arial" w:cs="Arial"/>
          <w:szCs w:val="18"/>
        </w:rPr>
        <w:t>Thesiya</w:t>
      </w:r>
      <w:proofErr w:type="spellEnd"/>
      <w:r w:rsidR="00B31FBC" w:rsidRPr="00214115">
        <w:rPr>
          <w:rFonts w:ascii="Arial" w:hAnsi="Arial" w:cs="Arial"/>
          <w:szCs w:val="18"/>
        </w:rPr>
        <w:t xml:space="preserve"> </w:t>
      </w:r>
      <w:r w:rsidR="00B31FBC" w:rsidRPr="00214115">
        <w:rPr>
          <w:rFonts w:ascii="Arial" w:hAnsi="Arial" w:cs="Arial"/>
          <w:i/>
          <w:iCs/>
          <w:szCs w:val="18"/>
        </w:rPr>
        <w:t>et al.</w:t>
      </w:r>
      <w:r w:rsidR="00B31FBC" w:rsidRPr="00214115">
        <w:rPr>
          <w:rFonts w:ascii="Arial" w:hAnsi="Arial" w:cs="Arial"/>
          <w:szCs w:val="18"/>
        </w:rPr>
        <w:t xml:space="preserve"> (2019) reported highest average mycelial growth inhibition with Carboxin 37.5% + Thiram 37.5%, Carbendazim 12% + Mancozeb 63% and Pyraclostrobin 12.5% + Epoxiconazole 4.7%.</w:t>
      </w:r>
      <w:bookmarkStart w:id="0" w:name="_GoBack"/>
      <w:bookmarkEnd w:id="0"/>
    </w:p>
    <w:p w:rsidR="00B31FBC" w:rsidRPr="00B31FBC" w:rsidRDefault="00B31FBC" w:rsidP="00B31FBC">
      <w:pPr>
        <w:tabs>
          <w:tab w:val="left" w:pos="90"/>
        </w:tabs>
        <w:spacing w:before="120" w:line="360" w:lineRule="auto"/>
        <w:jc w:val="both"/>
        <w:outlineLvl w:val="1"/>
        <w:rPr>
          <w:rFonts w:ascii="Arial" w:hAnsi="Arial" w:cs="Arial"/>
          <w:b/>
          <w:bCs/>
        </w:rPr>
      </w:pPr>
      <w:r w:rsidRPr="00B31FBC">
        <w:rPr>
          <w:rFonts w:ascii="Arial" w:hAnsi="Arial" w:cs="Arial"/>
          <w:b/>
          <w:bCs/>
        </w:rPr>
        <w:t xml:space="preserve">Table 4: </w:t>
      </w:r>
      <w:r w:rsidRPr="00B31FBC">
        <w:rPr>
          <w:rFonts w:ascii="Arial" w:hAnsi="Arial" w:cs="Arial"/>
          <w:b/>
          <w:bCs/>
          <w:i/>
          <w:iCs/>
        </w:rPr>
        <w:t>In vitro</w:t>
      </w:r>
      <w:r w:rsidRPr="00B31FBC">
        <w:rPr>
          <w:rFonts w:ascii="Arial" w:hAnsi="Arial" w:cs="Arial"/>
          <w:b/>
          <w:bCs/>
        </w:rPr>
        <w:t xml:space="preserve"> evaluation of contact and combi-product fungicides against</w:t>
      </w:r>
      <w:r>
        <w:rPr>
          <w:rFonts w:ascii="Arial" w:hAnsi="Arial" w:cs="Arial"/>
          <w:b/>
          <w:bCs/>
        </w:rPr>
        <w:t xml:space="preserve"> </w:t>
      </w:r>
      <w:r w:rsidRPr="00B31FBC">
        <w:rPr>
          <w:rFonts w:ascii="Arial" w:hAnsi="Arial" w:cs="Arial"/>
          <w:b/>
          <w:bCs/>
          <w:i/>
          <w:iCs/>
        </w:rPr>
        <w:t>Phomopsis vexans</w:t>
      </w:r>
      <w:r w:rsidRPr="00B31FBC">
        <w:rPr>
          <w:rFonts w:ascii="Arial" w:hAnsi="Arial" w:cs="Arial"/>
          <w:b/>
          <w:bCs/>
        </w:rPr>
        <w:t xml:space="preserve"> </w:t>
      </w:r>
    </w:p>
    <w:tbl>
      <w:tblPr>
        <w:tblStyle w:val="TableGrid"/>
        <w:tblW w:w="8460" w:type="dxa"/>
        <w:tblInd w:w="108" w:type="dxa"/>
        <w:tblLayout w:type="fixed"/>
        <w:tblLook w:val="04A0" w:firstRow="1" w:lastRow="0" w:firstColumn="1" w:lastColumn="0" w:noHBand="0" w:noVBand="1"/>
      </w:tblPr>
      <w:tblGrid>
        <w:gridCol w:w="570"/>
        <w:gridCol w:w="2220"/>
        <w:gridCol w:w="810"/>
        <w:gridCol w:w="810"/>
        <w:gridCol w:w="810"/>
        <w:gridCol w:w="990"/>
        <w:gridCol w:w="990"/>
        <w:gridCol w:w="1260"/>
      </w:tblGrid>
      <w:tr w:rsidR="00B31FBC" w:rsidRPr="00B31FBC" w:rsidTr="00B31FBC">
        <w:tc>
          <w:tcPr>
            <w:tcW w:w="57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Tr. No.</w:t>
            </w:r>
          </w:p>
        </w:tc>
        <w:tc>
          <w:tcPr>
            <w:tcW w:w="222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Treatments</w:t>
            </w:r>
          </w:p>
        </w:tc>
        <w:tc>
          <w:tcPr>
            <w:tcW w:w="1620" w:type="dxa"/>
            <w:gridSpan w:val="2"/>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Colony Dia. (mm)*</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at ppm</w:t>
            </w:r>
          </w:p>
        </w:tc>
        <w:tc>
          <w:tcPr>
            <w:tcW w:w="81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Avg.</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(mm)</w:t>
            </w:r>
          </w:p>
        </w:tc>
        <w:tc>
          <w:tcPr>
            <w:tcW w:w="1980" w:type="dxa"/>
            <w:gridSpan w:val="2"/>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 xml:space="preserve">% Inhibition* </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at ppm</w:t>
            </w:r>
          </w:p>
        </w:tc>
        <w:tc>
          <w:tcPr>
            <w:tcW w:w="126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Avg. % Inhibition</w:t>
            </w:r>
          </w:p>
        </w:tc>
      </w:tr>
      <w:tr w:rsidR="00B31FBC" w:rsidRPr="00B31FBC" w:rsidTr="00B31FBC">
        <w:tc>
          <w:tcPr>
            <w:tcW w:w="570" w:type="dxa"/>
            <w:vMerge/>
          </w:tcPr>
          <w:p w:rsidR="00B31FBC" w:rsidRPr="00B31FBC" w:rsidRDefault="00B31FBC" w:rsidP="00B31FBC">
            <w:pPr>
              <w:spacing w:before="120" w:line="360" w:lineRule="auto"/>
              <w:jc w:val="both"/>
              <w:outlineLvl w:val="1"/>
              <w:rPr>
                <w:rFonts w:ascii="Arial" w:hAnsi="Arial" w:cs="Arial"/>
                <w:b/>
                <w:bCs/>
                <w:sz w:val="20"/>
                <w:szCs w:val="20"/>
              </w:rPr>
            </w:pPr>
          </w:p>
        </w:tc>
        <w:tc>
          <w:tcPr>
            <w:tcW w:w="2220" w:type="dxa"/>
            <w:vMerge/>
          </w:tcPr>
          <w:p w:rsidR="00B31FBC" w:rsidRPr="00B31FBC" w:rsidRDefault="00B31FBC" w:rsidP="00B31FBC">
            <w:pPr>
              <w:spacing w:before="120" w:line="360" w:lineRule="auto"/>
              <w:jc w:val="both"/>
              <w:outlineLvl w:val="1"/>
              <w:rPr>
                <w:rFonts w:ascii="Arial" w:hAnsi="Arial" w:cs="Arial"/>
                <w:b/>
                <w:bCs/>
                <w:sz w:val="20"/>
                <w:szCs w:val="20"/>
              </w:rPr>
            </w:pP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2000</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2500</w:t>
            </w:r>
          </w:p>
        </w:tc>
        <w:tc>
          <w:tcPr>
            <w:tcW w:w="810" w:type="dxa"/>
            <w:vMerge/>
          </w:tcPr>
          <w:p w:rsidR="00B31FBC" w:rsidRPr="00B31FBC" w:rsidRDefault="00B31FBC" w:rsidP="00B31FBC">
            <w:pPr>
              <w:spacing w:before="120" w:line="360" w:lineRule="auto"/>
              <w:jc w:val="both"/>
              <w:outlineLvl w:val="1"/>
              <w:rPr>
                <w:rFonts w:ascii="Arial" w:hAnsi="Arial" w:cs="Arial"/>
                <w:b/>
                <w:bCs/>
                <w:sz w:val="20"/>
                <w:szCs w:val="20"/>
              </w:rPr>
            </w:pP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2000</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2500</w:t>
            </w:r>
          </w:p>
        </w:tc>
        <w:tc>
          <w:tcPr>
            <w:tcW w:w="1260" w:type="dxa"/>
            <w:vMerge/>
          </w:tcPr>
          <w:p w:rsidR="00B31FBC" w:rsidRPr="00B31FBC" w:rsidRDefault="00B31FBC" w:rsidP="00B31FBC">
            <w:pPr>
              <w:spacing w:before="120" w:line="360" w:lineRule="auto"/>
              <w:jc w:val="both"/>
              <w:outlineLvl w:val="1"/>
              <w:rPr>
                <w:rFonts w:ascii="Arial" w:hAnsi="Arial" w:cs="Arial"/>
                <w:sz w:val="20"/>
                <w:szCs w:val="20"/>
              </w:rPr>
            </w:pP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1</w:t>
            </w:r>
          </w:p>
        </w:tc>
        <w:tc>
          <w:tcPr>
            <w:tcW w:w="2220" w:type="dxa"/>
          </w:tcPr>
          <w:p w:rsidR="00B31FBC" w:rsidRPr="00B31FBC" w:rsidRDefault="00B31FBC" w:rsidP="00B31FBC">
            <w:pPr>
              <w:pStyle w:val="TableParagraph"/>
              <w:spacing w:line="265" w:lineRule="exact"/>
              <w:ind w:left="112"/>
              <w:rPr>
                <w:rFonts w:ascii="Arial" w:hAnsi="Arial" w:cs="Arial"/>
                <w:spacing w:val="-5"/>
                <w:sz w:val="20"/>
                <w:szCs w:val="20"/>
              </w:rPr>
            </w:pPr>
            <w:r w:rsidRPr="00B31FBC">
              <w:rPr>
                <w:rFonts w:ascii="Arial" w:hAnsi="Arial" w:cs="Arial"/>
                <w:sz w:val="20"/>
                <w:szCs w:val="20"/>
              </w:rPr>
              <w:t>Mancozeb</w:t>
            </w:r>
            <w:r w:rsidRPr="00B31FBC">
              <w:rPr>
                <w:rFonts w:ascii="Arial" w:hAnsi="Arial" w:cs="Arial"/>
                <w:spacing w:val="2"/>
                <w:sz w:val="20"/>
                <w:szCs w:val="20"/>
              </w:rPr>
              <w:t xml:space="preserve"> </w:t>
            </w:r>
            <w:r w:rsidRPr="00B31FBC">
              <w:rPr>
                <w:rFonts w:ascii="Arial" w:hAnsi="Arial" w:cs="Arial"/>
                <w:sz w:val="20"/>
                <w:szCs w:val="20"/>
              </w:rPr>
              <w:t>75%</w:t>
            </w:r>
            <w:r w:rsidRPr="00B31FBC">
              <w:rPr>
                <w:rFonts w:ascii="Arial" w:hAnsi="Arial" w:cs="Arial"/>
                <w:spacing w:val="7"/>
                <w:sz w:val="20"/>
                <w:szCs w:val="20"/>
              </w:rPr>
              <w:t xml:space="preserve"> </w:t>
            </w:r>
            <w:r w:rsidRPr="00B31FBC">
              <w:rPr>
                <w:rFonts w:ascii="Arial" w:hAnsi="Arial" w:cs="Arial"/>
                <w:spacing w:val="-5"/>
                <w:sz w:val="20"/>
                <w:szCs w:val="20"/>
              </w:rPr>
              <w:t>WP</w:t>
            </w:r>
          </w:p>
          <w:p w:rsidR="00B31FBC" w:rsidRPr="00B31FBC" w:rsidRDefault="00B31FBC" w:rsidP="00B31FBC">
            <w:pPr>
              <w:pStyle w:val="TableParagraph"/>
              <w:spacing w:line="265" w:lineRule="exact"/>
              <w:ind w:left="112"/>
              <w:rPr>
                <w:rFonts w:ascii="Arial" w:hAnsi="Arial" w:cs="Arial"/>
                <w:sz w:val="20"/>
                <w:szCs w:val="20"/>
              </w:rPr>
            </w:pP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03.00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02.00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02.50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96.67</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(79.48)</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97.78</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(81.43)</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97.23</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(80.41)**</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2</w:t>
            </w:r>
          </w:p>
        </w:tc>
        <w:tc>
          <w:tcPr>
            <w:tcW w:w="2220" w:type="dxa"/>
          </w:tcPr>
          <w:p w:rsidR="00B31FBC" w:rsidRPr="00B31FBC" w:rsidRDefault="00B31FBC" w:rsidP="00B31FBC">
            <w:pPr>
              <w:pStyle w:val="TableParagraph"/>
              <w:spacing w:line="265" w:lineRule="exact"/>
              <w:ind w:left="112"/>
              <w:rPr>
                <w:rFonts w:ascii="Arial" w:hAnsi="Arial" w:cs="Arial"/>
                <w:spacing w:val="-5"/>
                <w:sz w:val="20"/>
                <w:szCs w:val="20"/>
              </w:rPr>
            </w:pPr>
            <w:r w:rsidRPr="00B31FBC">
              <w:rPr>
                <w:rFonts w:ascii="Arial" w:hAnsi="Arial" w:cs="Arial"/>
                <w:sz w:val="20"/>
                <w:szCs w:val="20"/>
              </w:rPr>
              <w:t>Propineb</w:t>
            </w:r>
            <w:r w:rsidRPr="00B31FBC">
              <w:rPr>
                <w:rFonts w:ascii="Arial" w:hAnsi="Arial" w:cs="Arial"/>
                <w:spacing w:val="3"/>
                <w:sz w:val="20"/>
                <w:szCs w:val="20"/>
              </w:rPr>
              <w:t xml:space="preserve"> </w:t>
            </w:r>
            <w:r w:rsidRPr="00B31FBC">
              <w:rPr>
                <w:rFonts w:ascii="Arial" w:hAnsi="Arial" w:cs="Arial"/>
                <w:sz w:val="20"/>
                <w:szCs w:val="20"/>
              </w:rPr>
              <w:t>70%</w:t>
            </w:r>
            <w:r w:rsidRPr="00B31FBC">
              <w:rPr>
                <w:rFonts w:ascii="Arial" w:hAnsi="Arial" w:cs="Arial"/>
                <w:spacing w:val="7"/>
                <w:sz w:val="20"/>
                <w:szCs w:val="20"/>
              </w:rPr>
              <w:t xml:space="preserve"> </w:t>
            </w:r>
            <w:r w:rsidRPr="00B31FBC">
              <w:rPr>
                <w:rFonts w:ascii="Arial" w:hAnsi="Arial" w:cs="Arial"/>
                <w:spacing w:val="-5"/>
                <w:sz w:val="20"/>
                <w:szCs w:val="20"/>
              </w:rPr>
              <w:t>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39.47</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34.67</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37.07</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56.15</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(48.53)</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61.48</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(51.63)</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58.82</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(50.08)</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3</w:t>
            </w:r>
          </w:p>
        </w:tc>
        <w:tc>
          <w:tcPr>
            <w:tcW w:w="2220" w:type="dxa"/>
          </w:tcPr>
          <w:p w:rsidR="00B31FBC" w:rsidRPr="00B31FBC" w:rsidRDefault="00B31FBC" w:rsidP="00B31FBC">
            <w:pPr>
              <w:pStyle w:val="TableParagraph"/>
              <w:spacing w:line="266" w:lineRule="exact"/>
              <w:ind w:left="112"/>
              <w:rPr>
                <w:rFonts w:ascii="Arial" w:hAnsi="Arial" w:cs="Arial"/>
                <w:sz w:val="20"/>
                <w:szCs w:val="20"/>
              </w:rPr>
            </w:pPr>
            <w:r w:rsidRPr="00B31FBC">
              <w:rPr>
                <w:rFonts w:ascii="Arial" w:hAnsi="Arial" w:cs="Arial"/>
                <w:sz w:val="20"/>
                <w:szCs w:val="20"/>
              </w:rPr>
              <w:t>Chlorothalonil</w:t>
            </w:r>
            <w:r w:rsidRPr="00B31FBC">
              <w:rPr>
                <w:rFonts w:ascii="Arial" w:hAnsi="Arial" w:cs="Arial"/>
                <w:spacing w:val="12"/>
                <w:sz w:val="20"/>
                <w:szCs w:val="20"/>
              </w:rPr>
              <w:t xml:space="preserve"> </w:t>
            </w:r>
            <w:r w:rsidRPr="00B31FBC">
              <w:rPr>
                <w:rFonts w:ascii="Arial" w:hAnsi="Arial" w:cs="Arial"/>
                <w:sz w:val="20"/>
                <w:szCs w:val="20"/>
              </w:rPr>
              <w:t>75%</w:t>
            </w:r>
            <w:r w:rsidRPr="00B31FBC">
              <w:rPr>
                <w:rFonts w:ascii="Arial" w:hAnsi="Arial" w:cs="Arial"/>
                <w:spacing w:val="13"/>
                <w:sz w:val="20"/>
                <w:szCs w:val="20"/>
              </w:rPr>
              <w:t xml:space="preserve"> </w:t>
            </w:r>
            <w:r w:rsidRPr="00B31FBC">
              <w:rPr>
                <w:rFonts w:ascii="Arial" w:hAnsi="Arial" w:cs="Arial"/>
                <w:spacing w:val="-5"/>
                <w:sz w:val="20"/>
                <w:szCs w:val="20"/>
              </w:rPr>
              <w:t>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46.33</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35.17</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40.75</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48.52</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(44.15)</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60.93</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(51.31)</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54.73</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(47.71)</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4</w:t>
            </w:r>
          </w:p>
        </w:tc>
        <w:tc>
          <w:tcPr>
            <w:tcW w:w="2220" w:type="dxa"/>
          </w:tcPr>
          <w:p w:rsidR="00B31FBC" w:rsidRPr="00B31FBC" w:rsidRDefault="00B31FBC" w:rsidP="00B31FBC">
            <w:pPr>
              <w:pStyle w:val="TableParagraph"/>
              <w:tabs>
                <w:tab w:val="left" w:pos="1335"/>
                <w:tab w:val="left" w:pos="2223"/>
                <w:tab w:val="left" w:pos="2608"/>
              </w:tabs>
              <w:spacing w:line="355" w:lineRule="auto"/>
              <w:ind w:left="112" w:right="96" w:firstLine="60"/>
              <w:rPr>
                <w:rFonts w:ascii="Arial" w:hAnsi="Arial" w:cs="Arial"/>
                <w:sz w:val="20"/>
                <w:szCs w:val="20"/>
              </w:rPr>
            </w:pPr>
            <w:r w:rsidRPr="00B31FBC">
              <w:rPr>
                <w:rFonts w:ascii="Arial" w:hAnsi="Arial" w:cs="Arial"/>
                <w:spacing w:val="-2"/>
                <w:sz w:val="20"/>
                <w:szCs w:val="20"/>
                <w:lang w:val="en-IN"/>
              </w:rPr>
              <w:t>Carboxin 37.5% + Thiram 37.5% 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5</w:t>
            </w:r>
          </w:p>
        </w:tc>
        <w:tc>
          <w:tcPr>
            <w:tcW w:w="2220" w:type="dxa"/>
          </w:tcPr>
          <w:p w:rsidR="00B31FBC" w:rsidRPr="00B31FBC" w:rsidRDefault="00B31FBC" w:rsidP="00B31FBC">
            <w:pPr>
              <w:pStyle w:val="TableParagraph"/>
              <w:ind w:left="100"/>
              <w:rPr>
                <w:rFonts w:ascii="Arial" w:hAnsi="Arial" w:cs="Arial"/>
                <w:sz w:val="20"/>
                <w:szCs w:val="20"/>
              </w:rPr>
            </w:pPr>
            <w:r w:rsidRPr="00B31FBC">
              <w:rPr>
                <w:rFonts w:ascii="Arial" w:hAnsi="Arial" w:cs="Arial"/>
                <w:spacing w:val="-2"/>
                <w:sz w:val="20"/>
                <w:szCs w:val="20"/>
              </w:rPr>
              <w:t>Carbendazim 12% + Mancozeb 63% 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rsidTr="00B31FBC">
        <w:tc>
          <w:tcPr>
            <w:tcW w:w="570" w:type="dxa"/>
          </w:tcPr>
          <w:p w:rsidR="00B31FBC" w:rsidRPr="00B31FBC" w:rsidRDefault="00B31FBC" w:rsidP="00B31FBC">
            <w:pPr>
              <w:spacing w:before="120" w:after="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6</w:t>
            </w:r>
          </w:p>
        </w:tc>
        <w:tc>
          <w:tcPr>
            <w:tcW w:w="2220" w:type="dxa"/>
          </w:tcPr>
          <w:p w:rsidR="00B31FBC" w:rsidRPr="00B31FBC" w:rsidRDefault="00B31FBC" w:rsidP="00B31FBC">
            <w:pPr>
              <w:pStyle w:val="TableParagraph"/>
              <w:spacing w:line="355" w:lineRule="auto"/>
              <w:ind w:left="100"/>
              <w:rPr>
                <w:rFonts w:ascii="Arial" w:hAnsi="Arial" w:cs="Arial"/>
                <w:sz w:val="20"/>
                <w:szCs w:val="20"/>
              </w:rPr>
            </w:pPr>
            <w:r w:rsidRPr="00B31FBC">
              <w:rPr>
                <w:rFonts w:ascii="Arial" w:hAnsi="Arial" w:cs="Arial"/>
                <w:sz w:val="20"/>
                <w:szCs w:val="20"/>
              </w:rPr>
              <w:t>Pyraclostrobin 13.3% + Epoxiconazole 5 % SE</w:t>
            </w:r>
          </w:p>
        </w:tc>
        <w:tc>
          <w:tcPr>
            <w:tcW w:w="810" w:type="dxa"/>
          </w:tcPr>
          <w:p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03.47</w:t>
            </w:r>
          </w:p>
        </w:tc>
        <w:tc>
          <w:tcPr>
            <w:tcW w:w="810" w:type="dxa"/>
          </w:tcPr>
          <w:p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01.67</w:t>
            </w:r>
          </w:p>
        </w:tc>
        <w:tc>
          <w:tcPr>
            <w:tcW w:w="810" w:type="dxa"/>
          </w:tcPr>
          <w:p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02.57</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96.48</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(79.18)</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98.15</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(79.18)</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97.32</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(80.57)</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7</w:t>
            </w:r>
          </w:p>
        </w:tc>
        <w:tc>
          <w:tcPr>
            <w:tcW w:w="2220" w:type="dxa"/>
          </w:tcPr>
          <w:p w:rsidR="00B31FBC" w:rsidRPr="00B31FBC" w:rsidRDefault="00B31FBC" w:rsidP="00B31FBC">
            <w:pPr>
              <w:pStyle w:val="TableParagraph"/>
              <w:spacing w:line="355" w:lineRule="auto"/>
              <w:ind w:left="100"/>
              <w:rPr>
                <w:rFonts w:ascii="Arial" w:hAnsi="Arial" w:cs="Arial"/>
                <w:sz w:val="20"/>
                <w:szCs w:val="20"/>
              </w:rPr>
            </w:pPr>
            <w:r w:rsidRPr="00B31FBC">
              <w:rPr>
                <w:rFonts w:ascii="Arial" w:hAnsi="Arial" w:cs="Arial"/>
                <w:sz w:val="20"/>
                <w:szCs w:val="20"/>
                <w:lang w:val="en-IN"/>
              </w:rPr>
              <w:t>Tebuconazole 50% + Trifloxytrobin 25% 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8</w:t>
            </w:r>
          </w:p>
        </w:tc>
        <w:tc>
          <w:tcPr>
            <w:tcW w:w="222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Control (untreated)</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lastRenderedPageBreak/>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lastRenderedPageBreak/>
              <w:t>00.00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lastRenderedPageBreak/>
              <w:t>(00.00)</w:t>
            </w:r>
          </w:p>
        </w:tc>
        <w:tc>
          <w:tcPr>
            <w:tcW w:w="1260" w:type="dxa"/>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lastRenderedPageBreak/>
              <w:t>-</w:t>
            </w:r>
          </w:p>
        </w:tc>
      </w:tr>
      <w:tr w:rsidR="00B31FBC" w:rsidRPr="00B31FBC" w:rsidTr="00B31FBC">
        <w:tc>
          <w:tcPr>
            <w:tcW w:w="570" w:type="dxa"/>
          </w:tcPr>
          <w:p w:rsidR="00B31FBC" w:rsidRPr="00B31FBC" w:rsidRDefault="00B31FBC" w:rsidP="00B31FBC">
            <w:pPr>
              <w:spacing w:line="360" w:lineRule="auto"/>
              <w:jc w:val="both"/>
              <w:outlineLvl w:val="1"/>
              <w:rPr>
                <w:rFonts w:ascii="Arial" w:hAnsi="Arial" w:cs="Arial"/>
                <w:sz w:val="20"/>
                <w:szCs w:val="20"/>
              </w:rPr>
            </w:pPr>
          </w:p>
        </w:tc>
        <w:tc>
          <w:tcPr>
            <w:tcW w:w="2220" w:type="dxa"/>
          </w:tcPr>
          <w:p w:rsidR="00B31FBC" w:rsidRPr="00B31FBC" w:rsidRDefault="00B31FBC" w:rsidP="00B31FBC">
            <w:pPr>
              <w:tabs>
                <w:tab w:val="left" w:pos="585"/>
                <w:tab w:val="center" w:pos="1092"/>
              </w:tabs>
              <w:spacing w:before="120" w:line="360" w:lineRule="auto"/>
              <w:outlineLvl w:val="1"/>
              <w:rPr>
                <w:rFonts w:ascii="Arial" w:hAnsi="Arial" w:cs="Arial"/>
                <w:b/>
                <w:bCs/>
                <w:sz w:val="20"/>
                <w:szCs w:val="20"/>
              </w:rPr>
            </w:pPr>
            <w:r w:rsidRPr="00B31FBC">
              <w:rPr>
                <w:rFonts w:ascii="Arial" w:hAnsi="Arial" w:cs="Arial"/>
                <w:b/>
                <w:bCs/>
                <w:sz w:val="20"/>
                <w:szCs w:val="20"/>
              </w:rPr>
              <w:t>S.E.(m) ±</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0.41</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0.52</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sz w:val="20"/>
                <w:szCs w:val="20"/>
              </w:rPr>
              <w:t>-</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0.45</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0.57</w:t>
            </w:r>
          </w:p>
        </w:tc>
        <w:tc>
          <w:tcPr>
            <w:tcW w:w="1260" w:type="dxa"/>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r w:rsidR="00B31FBC" w:rsidRPr="00B31FBC" w:rsidTr="00B31FBC">
        <w:tc>
          <w:tcPr>
            <w:tcW w:w="570" w:type="dxa"/>
          </w:tcPr>
          <w:p w:rsidR="00B31FBC" w:rsidRPr="00B31FBC" w:rsidRDefault="00B31FBC" w:rsidP="00B31FBC">
            <w:pPr>
              <w:spacing w:line="360" w:lineRule="auto"/>
              <w:jc w:val="both"/>
              <w:outlineLvl w:val="1"/>
              <w:rPr>
                <w:rFonts w:ascii="Arial" w:hAnsi="Arial" w:cs="Arial"/>
                <w:sz w:val="20"/>
                <w:szCs w:val="20"/>
              </w:rPr>
            </w:pPr>
          </w:p>
        </w:tc>
        <w:tc>
          <w:tcPr>
            <w:tcW w:w="2220" w:type="dxa"/>
          </w:tcPr>
          <w:p w:rsidR="00B31FBC" w:rsidRPr="00B31FBC" w:rsidRDefault="00B31FBC" w:rsidP="00B31FBC">
            <w:pPr>
              <w:spacing w:before="120" w:line="360" w:lineRule="auto"/>
              <w:outlineLvl w:val="1"/>
              <w:rPr>
                <w:rFonts w:ascii="Arial" w:hAnsi="Arial" w:cs="Arial"/>
                <w:b/>
                <w:bCs/>
                <w:sz w:val="20"/>
                <w:szCs w:val="20"/>
              </w:rPr>
            </w:pPr>
            <w:r w:rsidRPr="00B31FBC">
              <w:rPr>
                <w:rFonts w:ascii="Arial" w:hAnsi="Arial" w:cs="Arial"/>
                <w:b/>
                <w:bCs/>
                <w:sz w:val="20"/>
                <w:szCs w:val="20"/>
              </w:rPr>
              <w:t>C. D. at 1%</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1.71</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2.14</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sz w:val="20"/>
                <w:szCs w:val="20"/>
              </w:rPr>
              <w:t>-</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1.88</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2.38</w:t>
            </w:r>
          </w:p>
        </w:tc>
        <w:tc>
          <w:tcPr>
            <w:tcW w:w="1260" w:type="dxa"/>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bl>
    <w:p w:rsidR="00B31FBC" w:rsidRPr="00B31FBC" w:rsidRDefault="00B31FBC" w:rsidP="00B31FBC">
      <w:pPr>
        <w:spacing w:before="120" w:after="120" w:line="360" w:lineRule="auto"/>
        <w:ind w:left="90"/>
        <w:jc w:val="both"/>
        <w:outlineLvl w:val="1"/>
        <w:rPr>
          <w:rFonts w:ascii="Arial" w:hAnsi="Arial" w:cs="Arial"/>
        </w:rPr>
      </w:pPr>
      <w:r w:rsidRPr="00B31FBC">
        <w:rPr>
          <w:rFonts w:ascii="Arial" w:hAnsi="Arial" w:cs="Arial"/>
        </w:rPr>
        <w:t>*: Mean of three replications.    **: Values in parenthesis are arcsin transformed values.  Dia.: Diameter, Avg.: Average</w:t>
      </w:r>
    </w:p>
    <w:p w:rsidR="00B31FBC" w:rsidRPr="00B31FBC" w:rsidRDefault="00B31FBC" w:rsidP="00B31FBC">
      <w:pPr>
        <w:tabs>
          <w:tab w:val="left" w:pos="90"/>
        </w:tabs>
        <w:spacing w:before="120" w:after="120" w:line="360" w:lineRule="auto"/>
        <w:jc w:val="both"/>
        <w:outlineLvl w:val="1"/>
        <w:rPr>
          <w:rFonts w:ascii="Arial" w:hAnsi="Arial" w:cs="Arial"/>
          <w:sz w:val="24"/>
          <w:szCs w:val="24"/>
        </w:rPr>
      </w:pPr>
      <w:r w:rsidRPr="0033045F">
        <w:rPr>
          <w:rFonts w:ascii="Times New Roman" w:hAnsi="Times New Roman"/>
          <w:noProof/>
          <w:sz w:val="24"/>
          <w:szCs w:val="22"/>
          <w:lang w:bidi="mr-IN"/>
        </w:rPr>
        <w:drawing>
          <wp:inline distT="0" distB="0" distL="0" distR="0" wp14:anchorId="220B2F7C" wp14:editId="222968DD">
            <wp:extent cx="5369357" cy="3950208"/>
            <wp:effectExtent l="0" t="0" r="22225"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1FBC" w:rsidRPr="00B31FBC" w:rsidRDefault="00B31FBC" w:rsidP="00B31FBC">
      <w:pPr>
        <w:pStyle w:val="NormalWeb"/>
        <w:tabs>
          <w:tab w:val="left" w:pos="585"/>
          <w:tab w:val="center" w:pos="1093"/>
        </w:tabs>
        <w:spacing w:before="0" w:beforeAutospacing="0" w:after="0" w:afterAutospacing="0"/>
        <w:textAlignment w:val="baseline"/>
        <w:rPr>
          <w:rFonts w:ascii="Arial" w:hAnsi="Arial" w:cs="Arial"/>
          <w:b/>
          <w:bCs/>
          <w:color w:val="000000" w:themeColor="text1"/>
          <w:kern w:val="24"/>
          <w:sz w:val="20"/>
          <w:szCs w:val="20"/>
        </w:rPr>
      </w:pPr>
      <w:r w:rsidRPr="00B31FBC">
        <w:rPr>
          <w:rFonts w:ascii="Arial" w:eastAsia="Calibri" w:hAnsi="Arial" w:cs="Arial"/>
          <w:b/>
          <w:bCs/>
          <w:color w:val="000000" w:themeColor="text1"/>
          <w:kern w:val="24"/>
          <w:sz w:val="20"/>
          <w:szCs w:val="20"/>
        </w:rPr>
        <w:t xml:space="preserve">Fig. 2: </w:t>
      </w:r>
      <w:r w:rsidRPr="00B31FBC">
        <w:rPr>
          <w:rFonts w:ascii="Arial" w:hAnsi="Arial" w:cs="Arial"/>
          <w:b/>
          <w:bCs/>
          <w:i/>
          <w:iCs/>
          <w:color w:val="000000" w:themeColor="text1"/>
          <w:kern w:val="24"/>
          <w:sz w:val="20"/>
          <w:szCs w:val="20"/>
        </w:rPr>
        <w:t xml:space="preserve">In vitro </w:t>
      </w:r>
      <w:r w:rsidRPr="00B31FBC">
        <w:rPr>
          <w:rFonts w:ascii="Arial" w:hAnsi="Arial" w:cs="Arial"/>
          <w:b/>
          <w:bCs/>
          <w:color w:val="000000" w:themeColor="text1"/>
          <w:kern w:val="24"/>
          <w:sz w:val="20"/>
          <w:szCs w:val="20"/>
        </w:rPr>
        <w:t>evaluation of contact and combi-product fungicides against</w:t>
      </w:r>
      <w:r>
        <w:rPr>
          <w:rFonts w:ascii="Arial" w:hAnsi="Arial" w:cs="Arial"/>
          <w:b/>
          <w:bCs/>
          <w:color w:val="000000" w:themeColor="text1"/>
          <w:kern w:val="24"/>
          <w:sz w:val="20"/>
          <w:szCs w:val="20"/>
        </w:rPr>
        <w:t xml:space="preserve"> </w:t>
      </w:r>
      <w:r w:rsidRPr="00B31FBC">
        <w:rPr>
          <w:rFonts w:ascii="Arial" w:hAnsi="Arial" w:cs="Arial"/>
          <w:b/>
          <w:bCs/>
          <w:i/>
          <w:iCs/>
          <w:color w:val="000000" w:themeColor="text1"/>
          <w:kern w:val="24"/>
          <w:sz w:val="20"/>
          <w:szCs w:val="20"/>
        </w:rPr>
        <w:t xml:space="preserve">Phomopsis vexans </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B31FBC" w:rsidRDefault="00B31FBC" w:rsidP="00F1007D">
      <w:pPr>
        <w:spacing w:before="120" w:after="120"/>
        <w:ind w:firstLine="562"/>
        <w:jc w:val="both"/>
        <w:outlineLvl w:val="1"/>
        <w:rPr>
          <w:rFonts w:ascii="Arial" w:hAnsi="Arial" w:cs="Arial"/>
        </w:rPr>
      </w:pPr>
      <w:r w:rsidRPr="00B31FBC">
        <w:rPr>
          <w:rFonts w:ascii="Arial" w:hAnsi="Arial" w:cs="Arial"/>
        </w:rPr>
        <w:t>The results of the conducted experiment documented that, all test</w:t>
      </w:r>
      <w:r>
        <w:rPr>
          <w:rFonts w:ascii="Arial" w:hAnsi="Arial" w:cs="Arial"/>
        </w:rPr>
        <w:t>ed systemic, contact and combi-</w:t>
      </w:r>
      <w:r w:rsidRPr="00B31FBC">
        <w:rPr>
          <w:rFonts w:ascii="Arial" w:hAnsi="Arial" w:cs="Arial"/>
        </w:rPr>
        <w:t xml:space="preserve">product fungicide significantly inhibited the growth of the test pathogen compared to the untreated control in </w:t>
      </w:r>
      <w:r w:rsidRPr="00B31FBC">
        <w:rPr>
          <w:rFonts w:ascii="Arial" w:hAnsi="Arial" w:cs="Arial"/>
          <w:i/>
          <w:iCs/>
        </w:rPr>
        <w:t>in vitro</w:t>
      </w:r>
      <w:r w:rsidRPr="00B31FBC">
        <w:rPr>
          <w:rFonts w:ascii="Arial" w:hAnsi="Arial" w:cs="Arial"/>
        </w:rPr>
        <w:t xml:space="preserve">. </w:t>
      </w:r>
      <w:r w:rsidR="009012D1" w:rsidRPr="00B31FBC">
        <w:rPr>
          <w:rFonts w:ascii="Arial" w:hAnsi="Arial" w:cs="Arial"/>
        </w:rPr>
        <w:t>However, among the systemic fungicides</w:t>
      </w:r>
      <w:r w:rsidR="009012D1">
        <w:rPr>
          <w:rFonts w:ascii="Arial" w:hAnsi="Arial" w:cs="Arial"/>
        </w:rPr>
        <w:t xml:space="preserve"> </w:t>
      </w:r>
      <w:r w:rsidR="009012D1" w:rsidRPr="00B31FBC">
        <w:rPr>
          <w:rFonts w:ascii="Arial" w:hAnsi="Arial" w:cs="Arial"/>
          <w:lang w:val="en-IN"/>
        </w:rPr>
        <w:t xml:space="preserve">evaluated </w:t>
      </w:r>
      <w:r w:rsidR="009012D1" w:rsidRPr="00B31FBC">
        <w:rPr>
          <w:rFonts w:ascii="Arial" w:hAnsi="Arial" w:cs="Arial"/>
          <w:i/>
          <w:iCs/>
          <w:lang w:val="en-IN"/>
        </w:rPr>
        <w:t>in vitro</w:t>
      </w:r>
      <w:r w:rsidR="009012D1" w:rsidRPr="00B31FBC">
        <w:rPr>
          <w:rFonts w:ascii="Arial" w:hAnsi="Arial" w:cs="Arial"/>
          <w:i/>
          <w:iCs/>
        </w:rPr>
        <w:t xml:space="preserve"> </w:t>
      </w:r>
      <w:r w:rsidR="009012D1" w:rsidRPr="00B31FBC">
        <w:rPr>
          <w:rFonts w:ascii="Arial" w:hAnsi="Arial" w:cs="Arial"/>
        </w:rPr>
        <w:t xml:space="preserve">Propiconazole 25% EC found most effective in inhibiting growth of pathogen followed by </w:t>
      </w:r>
      <w:r w:rsidR="009012D1" w:rsidRPr="00B31FBC">
        <w:rPr>
          <w:rFonts w:ascii="Arial" w:hAnsi="Arial" w:cs="Arial"/>
          <w:lang w:val="en-IN"/>
        </w:rPr>
        <w:t>Hexaconazole 5% EC</w:t>
      </w:r>
      <w:r w:rsidR="009012D1" w:rsidRPr="005A7FEC">
        <w:rPr>
          <w:rFonts w:ascii="Arial" w:hAnsi="Arial" w:cs="Arial"/>
        </w:rPr>
        <w:t xml:space="preserve"> </w:t>
      </w:r>
      <w:r w:rsidR="009012D1" w:rsidRPr="00B31FBC">
        <w:rPr>
          <w:rFonts w:ascii="Arial" w:hAnsi="Arial" w:cs="Arial"/>
        </w:rPr>
        <w:t>and</w:t>
      </w:r>
      <w:r w:rsidR="009012D1" w:rsidRPr="005A7FEC">
        <w:rPr>
          <w:rFonts w:ascii="Arial" w:hAnsi="Arial" w:cs="Arial"/>
        </w:rPr>
        <w:t xml:space="preserve"> </w:t>
      </w:r>
      <w:r w:rsidR="009012D1" w:rsidRPr="00B31FBC">
        <w:rPr>
          <w:rFonts w:ascii="Arial" w:hAnsi="Arial" w:cs="Arial"/>
        </w:rPr>
        <w:t>Carbendazim 50% WP</w:t>
      </w:r>
      <w:r w:rsidR="009012D1">
        <w:rPr>
          <w:rFonts w:ascii="Arial" w:hAnsi="Arial" w:cs="Arial"/>
        </w:rPr>
        <w:t xml:space="preserve"> </w:t>
      </w:r>
      <w:r w:rsidR="009012D1" w:rsidRPr="00DC664A">
        <w:rPr>
          <w:rFonts w:ascii="Arial" w:hAnsi="Arial" w:cs="Arial"/>
          <w:highlight w:val="yellow"/>
        </w:rPr>
        <w:t>at 1000 ppm concentration</w:t>
      </w:r>
      <w:r w:rsidR="009012D1" w:rsidRPr="00B31FBC">
        <w:rPr>
          <w:rFonts w:ascii="Arial" w:hAnsi="Arial" w:cs="Arial"/>
        </w:rPr>
        <w:t>.</w:t>
      </w:r>
      <w:r w:rsidRPr="00B31FBC">
        <w:rPr>
          <w:rFonts w:ascii="Arial" w:hAnsi="Arial" w:cs="Arial"/>
          <w:lang w:val="en-IN"/>
        </w:rPr>
        <w:t xml:space="preserve"> Among different contact </w:t>
      </w:r>
      <w:r w:rsidR="005A7FEC">
        <w:rPr>
          <w:rFonts w:ascii="Arial" w:hAnsi="Arial" w:cs="Arial"/>
          <w:lang w:val="en-IN"/>
        </w:rPr>
        <w:t xml:space="preserve">and </w:t>
      </w:r>
      <w:r w:rsidRPr="00B31FBC">
        <w:rPr>
          <w:rFonts w:ascii="Arial" w:hAnsi="Arial" w:cs="Arial"/>
          <w:lang w:val="en-IN"/>
        </w:rPr>
        <w:t xml:space="preserve">combi-product fungicides evaluated </w:t>
      </w:r>
      <w:r w:rsidRPr="00B31FBC">
        <w:rPr>
          <w:rFonts w:ascii="Arial" w:hAnsi="Arial" w:cs="Arial"/>
          <w:i/>
          <w:iCs/>
          <w:lang w:val="en-IN"/>
        </w:rPr>
        <w:t>in vitro</w:t>
      </w:r>
      <w:r w:rsidRPr="00B31FBC">
        <w:rPr>
          <w:rFonts w:ascii="Arial" w:hAnsi="Arial" w:cs="Arial"/>
          <w:lang w:val="en-IN"/>
        </w:rPr>
        <w:t xml:space="preserve"> Carboxin 37.5% + Thiram 37.5% WP</w:t>
      </w:r>
      <w:r w:rsidRPr="00B31FBC">
        <w:rPr>
          <w:rFonts w:ascii="Arial" w:hAnsi="Arial" w:cs="Arial"/>
        </w:rPr>
        <w:t xml:space="preserve">, Carbendazim 12% + Mancozeb 63% WP and </w:t>
      </w:r>
      <w:r w:rsidRPr="00B31FBC">
        <w:rPr>
          <w:rFonts w:ascii="Arial" w:hAnsi="Arial" w:cs="Arial"/>
          <w:lang w:val="en-IN"/>
        </w:rPr>
        <w:t>Tebuconazole 50% + Trifloxytrobin 25% WP</w:t>
      </w:r>
      <w:r w:rsidRPr="00B31FBC">
        <w:rPr>
          <w:rFonts w:ascii="Arial" w:hAnsi="Arial" w:cs="Arial"/>
        </w:rPr>
        <w:t xml:space="preserve"> found most effective in inhibiting growth of pathogen</w:t>
      </w:r>
      <w:r w:rsidR="005A7FEC">
        <w:rPr>
          <w:rFonts w:ascii="Arial" w:hAnsi="Arial" w:cs="Arial"/>
        </w:rPr>
        <w:t xml:space="preserve"> at both the concentrations</w:t>
      </w:r>
      <w:r w:rsidRPr="00B31FBC">
        <w:rPr>
          <w:rFonts w:ascii="Arial" w:hAnsi="Arial" w:cs="Arial"/>
        </w:rPr>
        <w:t>.</w:t>
      </w:r>
      <w:r w:rsidR="005A7FEC">
        <w:rPr>
          <w:rFonts w:ascii="Arial" w:hAnsi="Arial" w:cs="Arial"/>
        </w:rPr>
        <w:t xml:space="preserve"> </w:t>
      </w:r>
    </w:p>
    <w:p w:rsidR="00063C9C" w:rsidRDefault="00063C9C" w:rsidP="00F1007D">
      <w:pPr>
        <w:spacing w:before="120" w:after="120"/>
        <w:ind w:firstLine="562"/>
        <w:jc w:val="both"/>
        <w:outlineLvl w:val="1"/>
        <w:rPr>
          <w:rFonts w:ascii="Times New Roman" w:hAnsi="Times New Roman"/>
          <w:sz w:val="24"/>
          <w:szCs w:val="24"/>
        </w:rPr>
      </w:pPr>
    </w:p>
    <w:p w:rsidR="00063C9C" w:rsidRDefault="00063C9C" w:rsidP="00F1007D">
      <w:pPr>
        <w:spacing w:before="120" w:after="120"/>
        <w:ind w:firstLine="562"/>
        <w:jc w:val="both"/>
        <w:outlineLvl w:val="1"/>
        <w:rPr>
          <w:rFonts w:ascii="Times New Roman" w:hAnsi="Times New Roman"/>
          <w:sz w:val="24"/>
          <w:szCs w:val="24"/>
        </w:rPr>
      </w:pPr>
    </w:p>
    <w:p w:rsidR="00063C9C" w:rsidRPr="00FE7640" w:rsidRDefault="00063C9C" w:rsidP="00063C9C">
      <w:pPr>
        <w:rPr>
          <w:rFonts w:ascii="Calibri" w:eastAsia="Calibri" w:hAnsi="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kern w:val="2"/>
          <w:highlight w:val="yellow"/>
        </w:rPr>
        <w:t>Disclaimer (Artificial intelligence)</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t xml:space="preserve">Option 1: </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manuscript. </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t xml:space="preserve">Option 2: </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lastRenderedPageBreak/>
        <w:t>1.</w:t>
      </w:r>
    </w:p>
    <w:p w:rsidR="00063C9C" w:rsidRPr="009C5487" w:rsidRDefault="00063C9C" w:rsidP="00063C9C">
      <w:pPr>
        <w:rPr>
          <w:rFonts w:ascii="Calibri" w:eastAsia="Calibri" w:hAnsi="Calibri"/>
          <w:kern w:val="2"/>
          <w:highlight w:val="yellow"/>
        </w:rPr>
      </w:pPr>
      <w:r w:rsidRPr="009C5487">
        <w:rPr>
          <w:rFonts w:ascii="Calibri" w:eastAsia="Calibri" w:hAnsi="Calibri"/>
          <w:kern w:val="2"/>
          <w:highlight w:val="yellow"/>
        </w:rPr>
        <w:t>2.</w:t>
      </w:r>
      <w:bookmarkEnd w:id="1"/>
    </w:p>
    <w:p w:rsidR="00063C9C" w:rsidRPr="009C5487" w:rsidRDefault="00063C9C" w:rsidP="00063C9C">
      <w:pPr>
        <w:rPr>
          <w:rFonts w:ascii="Calibri" w:eastAsia="Calibri" w:hAnsi="Calibri"/>
          <w:kern w:val="2"/>
        </w:rPr>
      </w:pPr>
      <w:r w:rsidRPr="009C5487">
        <w:rPr>
          <w:rFonts w:ascii="Calibri" w:eastAsia="Calibri" w:hAnsi="Calibri"/>
          <w:kern w:val="2"/>
          <w:highlight w:val="yellow"/>
        </w:rPr>
        <w:t>3.</w:t>
      </w:r>
      <w:bookmarkEnd w:id="2"/>
    </w:p>
    <w:bookmarkEnd w:id="3"/>
    <w:bookmarkEnd w:id="4"/>
    <w:bookmarkEnd w:id="5"/>
    <w:p w:rsidR="00063C9C" w:rsidRPr="00615371" w:rsidRDefault="00063C9C" w:rsidP="00F1007D">
      <w:pPr>
        <w:spacing w:before="120" w:after="120"/>
        <w:ind w:firstLine="562"/>
        <w:jc w:val="both"/>
        <w:outlineLvl w:val="1"/>
        <w:rPr>
          <w:rFonts w:ascii="Times New Roman" w:hAnsi="Times New Roman"/>
          <w:sz w:val="24"/>
          <w:szCs w:val="24"/>
        </w:rPr>
      </w:pPr>
    </w:p>
    <w:p w:rsidR="00790ADA" w:rsidRPr="00B31FBC" w:rsidRDefault="00790ADA" w:rsidP="00441B6F">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C24E0" w:rsidRDefault="001C24E0" w:rsidP="00FD08AA">
      <w:pPr>
        <w:pStyle w:val="ListParagraph"/>
        <w:numPr>
          <w:ilvl w:val="0"/>
          <w:numId w:val="34"/>
        </w:numPr>
        <w:spacing w:before="120" w:after="120" w:line="360" w:lineRule="auto"/>
        <w:ind w:left="360"/>
        <w:jc w:val="both"/>
        <w:rPr>
          <w:rFonts w:ascii="Arial" w:hAnsi="Arial" w:cs="Arial"/>
          <w:sz w:val="20"/>
          <w:szCs w:val="18"/>
        </w:rPr>
      </w:pPr>
      <w:r>
        <w:rPr>
          <w:rFonts w:ascii="Arial" w:hAnsi="Arial" w:cs="Arial"/>
          <w:sz w:val="20"/>
          <w:szCs w:val="18"/>
        </w:rPr>
        <w:t xml:space="preserve">Akhtar, J., </w:t>
      </w:r>
      <w:proofErr w:type="spellStart"/>
      <w:r>
        <w:rPr>
          <w:rFonts w:ascii="Arial" w:hAnsi="Arial" w:cs="Arial"/>
          <w:sz w:val="20"/>
          <w:szCs w:val="18"/>
        </w:rPr>
        <w:t>Chube</w:t>
      </w:r>
      <w:proofErr w:type="spellEnd"/>
      <w:r>
        <w:rPr>
          <w:rFonts w:ascii="Arial" w:hAnsi="Arial" w:cs="Arial"/>
          <w:sz w:val="20"/>
          <w:szCs w:val="18"/>
        </w:rPr>
        <w:t xml:space="preserve">, H.S. </w:t>
      </w:r>
      <w:r w:rsidR="00DC664A" w:rsidRPr="00DC664A">
        <w:rPr>
          <w:rFonts w:ascii="Arial" w:hAnsi="Arial" w:cs="Arial"/>
          <w:sz w:val="20"/>
          <w:szCs w:val="18"/>
          <w:highlight w:val="yellow"/>
        </w:rPr>
        <w:t>&amp;</w:t>
      </w:r>
      <w:r>
        <w:rPr>
          <w:rFonts w:ascii="Arial" w:hAnsi="Arial" w:cs="Arial"/>
          <w:sz w:val="20"/>
          <w:szCs w:val="18"/>
        </w:rPr>
        <w:t xml:space="preserve"> Singh, H. B. (2007). </w:t>
      </w:r>
      <w:r w:rsidRPr="00A44E79">
        <w:rPr>
          <w:rFonts w:ascii="Arial" w:hAnsi="Arial" w:cs="Arial"/>
          <w:i/>
          <w:iCs/>
          <w:sz w:val="20"/>
          <w:szCs w:val="18"/>
        </w:rPr>
        <w:t>Phomopsis</w:t>
      </w:r>
      <w:r>
        <w:rPr>
          <w:rFonts w:ascii="Arial" w:hAnsi="Arial" w:cs="Arial"/>
          <w:sz w:val="20"/>
          <w:szCs w:val="18"/>
        </w:rPr>
        <w:t xml:space="preserve"> blight and fruit rot of brinjal. </w:t>
      </w:r>
      <w:r w:rsidRPr="00E20559">
        <w:rPr>
          <w:rFonts w:ascii="Arial" w:hAnsi="Arial" w:cs="Arial"/>
          <w:i/>
          <w:iCs/>
          <w:sz w:val="20"/>
          <w:szCs w:val="18"/>
        </w:rPr>
        <w:t>A review in Biotechnology Plant health Management</w:t>
      </w:r>
      <w:r>
        <w:rPr>
          <w:rFonts w:ascii="Arial" w:hAnsi="Arial" w:cs="Arial"/>
          <w:sz w:val="20"/>
          <w:szCs w:val="18"/>
        </w:rPr>
        <w:t>. 421-438.</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Arora, D.K. &amp; Upadhyay, R.K. (1978). Effect of fungal staling growth substances on colony interaction. </w:t>
      </w:r>
      <w:r w:rsidRPr="00FD08AA">
        <w:rPr>
          <w:rFonts w:ascii="Arial" w:hAnsi="Arial" w:cs="Arial"/>
          <w:i/>
          <w:iCs/>
          <w:sz w:val="20"/>
          <w:szCs w:val="14"/>
        </w:rPr>
        <w:t>Plant Soil</w:t>
      </w:r>
      <w:r w:rsidRPr="00FD08AA">
        <w:rPr>
          <w:rFonts w:ascii="Arial" w:hAnsi="Arial" w:cs="Arial"/>
          <w:sz w:val="20"/>
          <w:szCs w:val="14"/>
        </w:rPr>
        <w:t>. 49, 685-690.</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Chaukhe, A. N., Patil, M. J., </w:t>
      </w:r>
      <w:proofErr w:type="spellStart"/>
      <w:r w:rsidRPr="00FD08AA">
        <w:rPr>
          <w:rFonts w:ascii="Arial" w:hAnsi="Arial" w:cs="Arial"/>
          <w:sz w:val="20"/>
          <w:szCs w:val="18"/>
        </w:rPr>
        <w:t>Tekale</w:t>
      </w:r>
      <w:proofErr w:type="spellEnd"/>
      <w:r w:rsidRPr="00FD08AA">
        <w:rPr>
          <w:rFonts w:ascii="Arial" w:hAnsi="Arial" w:cs="Arial"/>
          <w:sz w:val="20"/>
          <w:szCs w:val="18"/>
        </w:rPr>
        <w:t xml:space="preserve">, A. G. &amp; Borude, V. A. (2020). </w:t>
      </w:r>
      <w:r w:rsidRPr="00FD08AA">
        <w:rPr>
          <w:rFonts w:ascii="Arial" w:hAnsi="Arial" w:cs="Arial"/>
          <w:i/>
          <w:iCs/>
          <w:sz w:val="20"/>
          <w:szCs w:val="18"/>
        </w:rPr>
        <w:t>In-vitro</w:t>
      </w:r>
      <w:r w:rsidRPr="00FD08AA">
        <w:rPr>
          <w:rFonts w:ascii="Arial" w:hAnsi="Arial" w:cs="Arial"/>
          <w:sz w:val="20"/>
          <w:szCs w:val="18"/>
        </w:rPr>
        <w:t xml:space="preserve"> efficacy of fungicides against </w:t>
      </w:r>
      <w:r w:rsidRPr="00FD08AA">
        <w:rPr>
          <w:rFonts w:ascii="Arial" w:hAnsi="Arial" w:cs="Arial"/>
          <w:i/>
          <w:iCs/>
          <w:sz w:val="20"/>
          <w:szCs w:val="18"/>
        </w:rPr>
        <w:t>Phomopsis vexans</w:t>
      </w:r>
      <w:r w:rsidRPr="00FD08AA">
        <w:rPr>
          <w:rFonts w:ascii="Arial" w:hAnsi="Arial" w:cs="Arial"/>
          <w:sz w:val="20"/>
          <w:szCs w:val="18"/>
        </w:rPr>
        <w:t xml:space="preserve"> caused </w:t>
      </w:r>
      <w:r w:rsidRPr="0090716B">
        <w:rPr>
          <w:rFonts w:ascii="Arial" w:hAnsi="Arial" w:cs="Arial"/>
          <w:i/>
          <w:iCs/>
          <w:sz w:val="20"/>
          <w:szCs w:val="18"/>
        </w:rPr>
        <w:t>Phomopsis</w:t>
      </w:r>
      <w:r w:rsidRPr="00FD08AA">
        <w:rPr>
          <w:rFonts w:ascii="Arial" w:hAnsi="Arial" w:cs="Arial"/>
          <w:sz w:val="20"/>
          <w:szCs w:val="18"/>
        </w:rPr>
        <w:t xml:space="preserve"> blight in Brinjal. </w:t>
      </w:r>
      <w:r>
        <w:rPr>
          <w:rFonts w:ascii="Arial" w:hAnsi="Arial" w:cs="Arial"/>
          <w:i/>
          <w:iCs/>
          <w:sz w:val="20"/>
          <w:szCs w:val="18"/>
        </w:rPr>
        <w:t>International Journal Chemical</w:t>
      </w:r>
      <w:r w:rsidRPr="00FD08AA">
        <w:rPr>
          <w:rFonts w:ascii="Arial" w:hAnsi="Arial" w:cs="Arial"/>
          <w:i/>
          <w:iCs/>
          <w:sz w:val="20"/>
          <w:szCs w:val="18"/>
        </w:rPr>
        <w:t xml:space="preserve"> Studies</w:t>
      </w:r>
      <w:r w:rsidRPr="00FD08AA">
        <w:rPr>
          <w:rFonts w:ascii="Arial" w:hAnsi="Arial" w:cs="Arial"/>
          <w:sz w:val="20"/>
          <w:szCs w:val="18"/>
        </w:rPr>
        <w:t>. 8(4), 2054-2055.</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4"/>
          <w:szCs w:val="12"/>
        </w:rPr>
      </w:pPr>
      <w:r w:rsidRPr="005A7FEC">
        <w:rPr>
          <w:rFonts w:ascii="Arial" w:hAnsi="Arial" w:cs="Arial"/>
          <w:sz w:val="20"/>
          <w:szCs w:val="18"/>
        </w:rPr>
        <w:t xml:space="preserve">Choudhary, B. &amp; Gaur, K. (2009). The development and regulations of Bt. brinjal in India. </w:t>
      </w:r>
      <w:r w:rsidRPr="005A7FEC">
        <w:rPr>
          <w:rFonts w:ascii="Arial" w:hAnsi="Arial" w:cs="Arial"/>
          <w:i/>
          <w:iCs/>
          <w:sz w:val="20"/>
          <w:szCs w:val="18"/>
        </w:rPr>
        <w:t>International Service for the Acquisition of Agri-biotech Applications</w:t>
      </w:r>
      <w:r w:rsidRPr="005A7FEC">
        <w:rPr>
          <w:rFonts w:ascii="Arial" w:hAnsi="Arial" w:cs="Arial"/>
          <w:sz w:val="20"/>
          <w:szCs w:val="18"/>
        </w:rPr>
        <w:t>. 38, 1-2.</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Hossain, M. I., Islam, M. R., Uddin, M. N., </w:t>
      </w:r>
      <w:proofErr w:type="spellStart"/>
      <w:r w:rsidRPr="00FD08AA">
        <w:rPr>
          <w:rFonts w:ascii="Arial" w:hAnsi="Arial" w:cs="Arial"/>
          <w:sz w:val="20"/>
          <w:szCs w:val="18"/>
        </w:rPr>
        <w:t>Arifuzzaman</w:t>
      </w:r>
      <w:proofErr w:type="spellEnd"/>
      <w:r w:rsidRPr="00FD08AA">
        <w:rPr>
          <w:rFonts w:ascii="Arial" w:hAnsi="Arial" w:cs="Arial"/>
          <w:sz w:val="20"/>
          <w:szCs w:val="18"/>
        </w:rPr>
        <w:t xml:space="preserve">, S. M. &amp; Hasan, G. N. (2013). Control of </w:t>
      </w:r>
      <w:r w:rsidRPr="0090716B">
        <w:rPr>
          <w:rFonts w:ascii="Arial" w:hAnsi="Arial" w:cs="Arial"/>
          <w:i/>
          <w:iCs/>
          <w:sz w:val="20"/>
          <w:szCs w:val="18"/>
        </w:rPr>
        <w:t>Phomopsis</w:t>
      </w:r>
      <w:r w:rsidRPr="00FD08AA">
        <w:rPr>
          <w:rFonts w:ascii="Arial" w:hAnsi="Arial" w:cs="Arial"/>
          <w:sz w:val="20"/>
          <w:szCs w:val="18"/>
        </w:rPr>
        <w:t xml:space="preserve"> blight of Eggplant through fertilizer and fungicide management. </w:t>
      </w:r>
      <w:r w:rsidRPr="00FD08AA">
        <w:rPr>
          <w:rFonts w:ascii="Arial" w:hAnsi="Arial" w:cs="Arial"/>
          <w:i/>
          <w:iCs/>
          <w:sz w:val="20"/>
          <w:szCs w:val="18"/>
        </w:rPr>
        <w:t>International Journal of Agricultural Resource Innovation.</w:t>
      </w:r>
      <w:r w:rsidRPr="00FD08AA">
        <w:rPr>
          <w:rFonts w:ascii="Arial" w:hAnsi="Arial" w:cs="Arial"/>
          <w:sz w:val="20"/>
          <w:szCs w:val="18"/>
        </w:rPr>
        <w:t xml:space="preserve"> 3, 66–72.</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Jakatimath, S., Mesta, R., </w:t>
      </w:r>
      <w:proofErr w:type="spellStart"/>
      <w:r w:rsidRPr="00FD08AA">
        <w:rPr>
          <w:rFonts w:ascii="Arial" w:hAnsi="Arial" w:cs="Arial"/>
          <w:sz w:val="20"/>
          <w:szCs w:val="18"/>
        </w:rPr>
        <w:t>Mushrif</w:t>
      </w:r>
      <w:proofErr w:type="spellEnd"/>
      <w:r w:rsidRPr="00FD08AA">
        <w:rPr>
          <w:rFonts w:ascii="Arial" w:hAnsi="Arial" w:cs="Arial"/>
          <w:sz w:val="20"/>
          <w:szCs w:val="18"/>
        </w:rPr>
        <w:t xml:space="preserve">, S., </w:t>
      </w:r>
      <w:proofErr w:type="spellStart"/>
      <w:r w:rsidRPr="00FD08AA">
        <w:rPr>
          <w:rFonts w:ascii="Arial" w:hAnsi="Arial" w:cs="Arial"/>
          <w:sz w:val="20"/>
          <w:szCs w:val="18"/>
        </w:rPr>
        <w:t>Biradar</w:t>
      </w:r>
      <w:proofErr w:type="spellEnd"/>
      <w:r w:rsidRPr="00FD08AA">
        <w:rPr>
          <w:rFonts w:ascii="Arial" w:hAnsi="Arial" w:cs="Arial"/>
          <w:sz w:val="20"/>
          <w:szCs w:val="18"/>
        </w:rPr>
        <w:t>, I. B</w:t>
      </w:r>
      <w:r>
        <w:rPr>
          <w:rFonts w:ascii="Arial" w:hAnsi="Arial" w:cs="Arial"/>
          <w:sz w:val="20"/>
          <w:szCs w:val="18"/>
        </w:rPr>
        <w:t>.</w:t>
      </w:r>
      <w:r w:rsidRPr="00FD08AA">
        <w:rPr>
          <w:rFonts w:ascii="Arial" w:hAnsi="Arial" w:cs="Arial"/>
          <w:sz w:val="20"/>
          <w:szCs w:val="18"/>
        </w:rPr>
        <w:t xml:space="preserve"> &amp; </w:t>
      </w:r>
      <w:proofErr w:type="spellStart"/>
      <w:r w:rsidRPr="00FD08AA">
        <w:rPr>
          <w:rFonts w:ascii="Arial" w:hAnsi="Arial" w:cs="Arial"/>
          <w:sz w:val="20"/>
          <w:szCs w:val="18"/>
        </w:rPr>
        <w:t>Ajjappanavar</w:t>
      </w:r>
      <w:proofErr w:type="spellEnd"/>
      <w:r w:rsidRPr="00FD08AA">
        <w:rPr>
          <w:rFonts w:ascii="Arial" w:hAnsi="Arial" w:cs="Arial"/>
          <w:sz w:val="20"/>
          <w:szCs w:val="18"/>
        </w:rPr>
        <w:t xml:space="preserve">, P. S. (2017). </w:t>
      </w:r>
      <w:r w:rsidRPr="00FD08AA">
        <w:rPr>
          <w:rFonts w:ascii="Arial" w:hAnsi="Arial" w:cs="Arial"/>
          <w:i/>
          <w:iCs/>
          <w:sz w:val="20"/>
          <w:szCs w:val="18"/>
        </w:rPr>
        <w:t>In vitro</w:t>
      </w:r>
      <w:r w:rsidRPr="00FD08AA">
        <w:rPr>
          <w:rFonts w:ascii="Arial" w:hAnsi="Arial" w:cs="Arial"/>
          <w:sz w:val="20"/>
          <w:szCs w:val="18"/>
        </w:rPr>
        <w:t xml:space="preserve"> evaluation of fungicides, botanicals and bio-agents against </w:t>
      </w:r>
      <w:r w:rsidRPr="00FD08AA">
        <w:rPr>
          <w:rFonts w:ascii="Arial" w:hAnsi="Arial" w:cs="Arial"/>
          <w:i/>
          <w:iCs/>
          <w:sz w:val="20"/>
          <w:szCs w:val="18"/>
        </w:rPr>
        <w:t>Phomopsis vexans</w:t>
      </w:r>
      <w:r w:rsidRPr="00FD08AA">
        <w:rPr>
          <w:rFonts w:ascii="Arial" w:hAnsi="Arial" w:cs="Arial"/>
          <w:sz w:val="20"/>
          <w:szCs w:val="18"/>
        </w:rPr>
        <w:t xml:space="preserve">, the causal agent of fruit rot of brinjal. </w:t>
      </w:r>
      <w:r w:rsidRPr="00FD08AA">
        <w:rPr>
          <w:rFonts w:ascii="Arial" w:hAnsi="Arial" w:cs="Arial"/>
          <w:i/>
          <w:iCs/>
          <w:sz w:val="20"/>
          <w:szCs w:val="18"/>
        </w:rPr>
        <w:t xml:space="preserve">Journal Pure and Applied Microbiology. </w:t>
      </w:r>
      <w:r w:rsidRPr="00FD08AA">
        <w:rPr>
          <w:rFonts w:ascii="Arial" w:hAnsi="Arial" w:cs="Arial"/>
          <w:sz w:val="20"/>
          <w:szCs w:val="18"/>
        </w:rPr>
        <w:t xml:space="preserve"> 11, 229-235.</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6"/>
          <w:szCs w:val="14"/>
        </w:rPr>
      </w:pPr>
      <w:r w:rsidRPr="008C1988">
        <w:rPr>
          <w:rFonts w:ascii="Arial" w:hAnsi="Arial" w:cs="Arial"/>
          <w:sz w:val="20"/>
          <w:szCs w:val="18"/>
        </w:rPr>
        <w:t xml:space="preserve">Jakatimath, S., Mesta, R., </w:t>
      </w:r>
      <w:proofErr w:type="spellStart"/>
      <w:r w:rsidRPr="008C1988">
        <w:rPr>
          <w:rFonts w:ascii="Arial" w:hAnsi="Arial" w:cs="Arial"/>
          <w:sz w:val="20"/>
          <w:szCs w:val="18"/>
        </w:rPr>
        <w:t>Mushrif</w:t>
      </w:r>
      <w:proofErr w:type="spellEnd"/>
      <w:r w:rsidRPr="008C1988">
        <w:rPr>
          <w:rFonts w:ascii="Arial" w:hAnsi="Arial" w:cs="Arial"/>
          <w:sz w:val="20"/>
          <w:szCs w:val="18"/>
        </w:rPr>
        <w:t xml:space="preserve">, S., </w:t>
      </w:r>
      <w:proofErr w:type="spellStart"/>
      <w:r w:rsidRPr="008C1988">
        <w:rPr>
          <w:rFonts w:ascii="Arial" w:hAnsi="Arial" w:cs="Arial"/>
          <w:sz w:val="20"/>
          <w:szCs w:val="18"/>
        </w:rPr>
        <w:t>Biradar</w:t>
      </w:r>
      <w:proofErr w:type="spellEnd"/>
      <w:r w:rsidRPr="008C1988">
        <w:rPr>
          <w:rFonts w:ascii="Arial" w:hAnsi="Arial" w:cs="Arial"/>
          <w:sz w:val="20"/>
          <w:szCs w:val="18"/>
        </w:rPr>
        <w:t xml:space="preserve">, I.B. &amp; </w:t>
      </w:r>
      <w:proofErr w:type="spellStart"/>
      <w:r w:rsidRPr="008C1988">
        <w:rPr>
          <w:rFonts w:ascii="Arial" w:hAnsi="Arial" w:cs="Arial"/>
          <w:sz w:val="20"/>
          <w:szCs w:val="18"/>
        </w:rPr>
        <w:t>Ajjappanavar</w:t>
      </w:r>
      <w:proofErr w:type="spellEnd"/>
      <w:r w:rsidRPr="008C1988">
        <w:rPr>
          <w:rFonts w:ascii="Arial" w:hAnsi="Arial" w:cs="Arial"/>
          <w:sz w:val="20"/>
          <w:szCs w:val="18"/>
        </w:rPr>
        <w:t xml:space="preserve">, P.S. (2017). </w:t>
      </w:r>
      <w:r w:rsidRPr="00E20559">
        <w:rPr>
          <w:rFonts w:ascii="Arial" w:hAnsi="Arial" w:cs="Arial"/>
          <w:i/>
          <w:iCs/>
          <w:sz w:val="20"/>
          <w:szCs w:val="18"/>
        </w:rPr>
        <w:t>In vitro</w:t>
      </w:r>
      <w:r w:rsidRPr="008C1988">
        <w:rPr>
          <w:rFonts w:ascii="Arial" w:hAnsi="Arial" w:cs="Arial"/>
          <w:sz w:val="20"/>
          <w:szCs w:val="18"/>
        </w:rPr>
        <w:t xml:space="preserve"> evaluation of fungicides, botanicals and bio-agents against </w:t>
      </w:r>
      <w:r w:rsidRPr="00E20559">
        <w:rPr>
          <w:rFonts w:ascii="Arial" w:hAnsi="Arial" w:cs="Arial"/>
          <w:i/>
          <w:iCs/>
          <w:sz w:val="20"/>
          <w:szCs w:val="18"/>
        </w:rPr>
        <w:t>Phomopsis vexans</w:t>
      </w:r>
      <w:r w:rsidRPr="008C1988">
        <w:rPr>
          <w:rFonts w:ascii="Arial" w:hAnsi="Arial" w:cs="Arial"/>
          <w:sz w:val="20"/>
          <w:szCs w:val="18"/>
        </w:rPr>
        <w:t xml:space="preserve">, the causal agent of fruit rot of brinjal. </w:t>
      </w:r>
      <w:r w:rsidRPr="00E20559">
        <w:rPr>
          <w:rFonts w:ascii="Arial" w:hAnsi="Arial" w:cs="Arial"/>
          <w:i/>
          <w:iCs/>
          <w:sz w:val="20"/>
          <w:szCs w:val="18"/>
        </w:rPr>
        <w:t>Journal of Pure and Applied Microbiology</w:t>
      </w:r>
      <w:r w:rsidRPr="008C1988">
        <w:rPr>
          <w:rFonts w:ascii="Arial" w:hAnsi="Arial" w:cs="Arial"/>
          <w:sz w:val="20"/>
          <w:szCs w:val="18"/>
        </w:rPr>
        <w:t>. 11, 229-235.</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Nene, Y.L. &amp; Thapliyal, P.N. (1993). Evaluation of fungicides. In, Fungicides in Plant Disease Control (34 </w:t>
      </w:r>
      <w:proofErr w:type="spellStart"/>
      <w:r w:rsidRPr="00FD08AA">
        <w:rPr>
          <w:rFonts w:ascii="Arial" w:hAnsi="Arial" w:cs="Arial"/>
          <w:sz w:val="20"/>
          <w:szCs w:val="14"/>
        </w:rPr>
        <w:t>Edn</w:t>
      </w:r>
      <w:proofErr w:type="spellEnd"/>
      <w:r w:rsidRPr="00FD08AA">
        <w:rPr>
          <w:rFonts w:ascii="Arial" w:hAnsi="Arial" w:cs="Arial"/>
          <w:sz w:val="20"/>
          <w:szCs w:val="14"/>
        </w:rPr>
        <w:t xml:space="preserve">.). </w:t>
      </w:r>
      <w:r w:rsidRPr="00FD08AA">
        <w:rPr>
          <w:rFonts w:ascii="Arial" w:hAnsi="Arial" w:cs="Arial"/>
          <w:i/>
          <w:iCs/>
          <w:sz w:val="20"/>
          <w:szCs w:val="14"/>
        </w:rPr>
        <w:t>Oxford, IBH Publishing Co, New Delhi</w:t>
      </w:r>
      <w:r w:rsidRPr="00FD08AA">
        <w:rPr>
          <w:rFonts w:ascii="Arial" w:hAnsi="Arial" w:cs="Arial"/>
          <w:sz w:val="20"/>
          <w:szCs w:val="14"/>
        </w:rPr>
        <w:t>, 531- 532.</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4"/>
          <w:szCs w:val="12"/>
        </w:rPr>
      </w:pPr>
      <w:proofErr w:type="spellStart"/>
      <w:r w:rsidRPr="005A7FEC">
        <w:rPr>
          <w:rFonts w:ascii="Arial" w:hAnsi="Arial" w:cs="Arial"/>
          <w:sz w:val="20"/>
          <w:szCs w:val="18"/>
        </w:rPr>
        <w:t>Rajan</w:t>
      </w:r>
      <w:proofErr w:type="spellEnd"/>
      <w:r w:rsidRPr="005A7FEC">
        <w:rPr>
          <w:rFonts w:ascii="Arial" w:hAnsi="Arial" w:cs="Arial"/>
          <w:sz w:val="20"/>
          <w:szCs w:val="18"/>
        </w:rPr>
        <w:t xml:space="preserve">, S. &amp; Markose, B.L. (2002). Propagation of Horticultural Crops. </w:t>
      </w:r>
      <w:r w:rsidRPr="005A7FEC">
        <w:rPr>
          <w:rFonts w:ascii="Arial" w:hAnsi="Arial" w:cs="Arial"/>
          <w:i/>
          <w:iCs/>
          <w:sz w:val="20"/>
          <w:szCs w:val="18"/>
        </w:rPr>
        <w:t>Horticulture Science Series</w:t>
      </w:r>
      <w:r w:rsidRPr="005A7FEC">
        <w:rPr>
          <w:rFonts w:ascii="Arial" w:hAnsi="Arial" w:cs="Arial"/>
          <w:sz w:val="20"/>
          <w:szCs w:val="18"/>
        </w:rPr>
        <w:t>. 6, 94.</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Rohini, Gowtham, H. G. &amp; Niranjana, S. R. (2015). Evaluation of efficacy of fungicides against </w:t>
      </w:r>
      <w:r w:rsidRPr="0090716B">
        <w:rPr>
          <w:rFonts w:ascii="Arial" w:hAnsi="Arial" w:cs="Arial"/>
          <w:i/>
          <w:iCs/>
          <w:sz w:val="20"/>
          <w:szCs w:val="18"/>
        </w:rPr>
        <w:t>Phomopsis</w:t>
      </w:r>
      <w:r w:rsidRPr="00FD08AA">
        <w:rPr>
          <w:rFonts w:ascii="Arial" w:hAnsi="Arial" w:cs="Arial"/>
          <w:sz w:val="20"/>
          <w:szCs w:val="18"/>
        </w:rPr>
        <w:t xml:space="preserve"> leaf blight of brinjal (</w:t>
      </w:r>
      <w:r w:rsidRPr="00FD08AA">
        <w:rPr>
          <w:rFonts w:ascii="Arial" w:hAnsi="Arial" w:cs="Arial"/>
          <w:i/>
          <w:iCs/>
          <w:sz w:val="20"/>
          <w:szCs w:val="18"/>
        </w:rPr>
        <w:t>Solanum melongena L.</w:t>
      </w:r>
      <w:r w:rsidRPr="00FD08AA">
        <w:rPr>
          <w:rFonts w:ascii="Arial" w:hAnsi="Arial" w:cs="Arial"/>
          <w:sz w:val="20"/>
          <w:szCs w:val="18"/>
        </w:rPr>
        <w:t xml:space="preserve">). </w:t>
      </w:r>
      <w:r w:rsidRPr="00FD08AA">
        <w:rPr>
          <w:rFonts w:ascii="Arial" w:hAnsi="Arial" w:cs="Arial"/>
          <w:i/>
          <w:iCs/>
          <w:sz w:val="20"/>
          <w:szCs w:val="18"/>
        </w:rPr>
        <w:t>Internati</w:t>
      </w:r>
      <w:r>
        <w:rPr>
          <w:rFonts w:ascii="Arial" w:hAnsi="Arial" w:cs="Arial"/>
          <w:i/>
          <w:iCs/>
          <w:sz w:val="20"/>
          <w:szCs w:val="18"/>
        </w:rPr>
        <w:t>onal Journal of Agricultural Sc</w:t>
      </w:r>
      <w:r w:rsidRPr="00FD08AA">
        <w:rPr>
          <w:rFonts w:ascii="Arial" w:hAnsi="Arial" w:cs="Arial"/>
          <w:i/>
          <w:iCs/>
          <w:sz w:val="20"/>
          <w:szCs w:val="18"/>
        </w:rPr>
        <w:t>ience and Resources.</w:t>
      </w:r>
      <w:r w:rsidRPr="00FD08AA">
        <w:rPr>
          <w:rFonts w:ascii="Arial" w:hAnsi="Arial" w:cs="Arial"/>
          <w:sz w:val="20"/>
          <w:szCs w:val="18"/>
        </w:rPr>
        <w:t xml:space="preserve"> 5(6), 45-50.</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proofErr w:type="spellStart"/>
      <w:r w:rsidRPr="00FD08AA">
        <w:rPr>
          <w:rFonts w:ascii="Arial" w:hAnsi="Arial" w:cs="Arial"/>
          <w:sz w:val="20"/>
          <w:szCs w:val="18"/>
        </w:rPr>
        <w:t>Savita</w:t>
      </w:r>
      <w:proofErr w:type="spellEnd"/>
      <w:r w:rsidRPr="00FD08AA">
        <w:rPr>
          <w:rFonts w:ascii="Arial" w:hAnsi="Arial" w:cs="Arial"/>
          <w:sz w:val="20"/>
          <w:szCs w:val="18"/>
        </w:rPr>
        <w:t xml:space="preserve"> </w:t>
      </w:r>
      <w:proofErr w:type="spellStart"/>
      <w:r w:rsidRPr="00FD08AA">
        <w:rPr>
          <w:rFonts w:ascii="Arial" w:hAnsi="Arial" w:cs="Arial"/>
          <w:sz w:val="20"/>
          <w:szCs w:val="18"/>
        </w:rPr>
        <w:t>Ekka</w:t>
      </w:r>
      <w:proofErr w:type="spellEnd"/>
      <w:r w:rsidRPr="00FD08AA">
        <w:rPr>
          <w:rFonts w:ascii="Arial" w:hAnsi="Arial" w:cs="Arial"/>
          <w:sz w:val="20"/>
          <w:szCs w:val="18"/>
        </w:rPr>
        <w:t xml:space="preserve">, </w:t>
      </w:r>
      <w:proofErr w:type="spellStart"/>
      <w:r w:rsidRPr="00FD08AA">
        <w:rPr>
          <w:rFonts w:ascii="Arial" w:hAnsi="Arial" w:cs="Arial"/>
          <w:sz w:val="20"/>
          <w:szCs w:val="18"/>
        </w:rPr>
        <w:t>Mithlesh</w:t>
      </w:r>
      <w:proofErr w:type="spellEnd"/>
      <w:r w:rsidRPr="00FD08AA">
        <w:rPr>
          <w:rFonts w:ascii="Arial" w:hAnsi="Arial" w:cs="Arial"/>
          <w:sz w:val="20"/>
          <w:szCs w:val="18"/>
        </w:rPr>
        <w:t xml:space="preserve"> Kumar, </w:t>
      </w:r>
      <w:proofErr w:type="spellStart"/>
      <w:r w:rsidRPr="00FD08AA">
        <w:rPr>
          <w:rFonts w:ascii="Arial" w:hAnsi="Arial" w:cs="Arial"/>
          <w:sz w:val="20"/>
          <w:szCs w:val="18"/>
        </w:rPr>
        <w:t>Lal</w:t>
      </w:r>
      <w:proofErr w:type="spellEnd"/>
      <w:r w:rsidRPr="00FD08AA">
        <w:rPr>
          <w:rFonts w:ascii="Arial" w:hAnsi="Arial" w:cs="Arial"/>
          <w:sz w:val="20"/>
          <w:szCs w:val="18"/>
        </w:rPr>
        <w:t xml:space="preserve">, H.C., </w:t>
      </w:r>
      <w:proofErr w:type="spellStart"/>
      <w:r w:rsidRPr="00FD08AA">
        <w:rPr>
          <w:rFonts w:ascii="Arial" w:hAnsi="Arial" w:cs="Arial"/>
          <w:sz w:val="20"/>
          <w:szCs w:val="18"/>
        </w:rPr>
        <w:t>Chakravarty</w:t>
      </w:r>
      <w:proofErr w:type="spellEnd"/>
      <w:r w:rsidRPr="00FD08AA">
        <w:rPr>
          <w:rFonts w:ascii="Arial" w:hAnsi="Arial" w:cs="Arial"/>
          <w:sz w:val="20"/>
          <w:szCs w:val="18"/>
        </w:rPr>
        <w:t xml:space="preserve">, M. K. &amp; </w:t>
      </w:r>
      <w:proofErr w:type="spellStart"/>
      <w:r w:rsidRPr="00FD08AA">
        <w:rPr>
          <w:rFonts w:ascii="Arial" w:hAnsi="Arial" w:cs="Arial"/>
          <w:sz w:val="20"/>
          <w:szCs w:val="18"/>
        </w:rPr>
        <w:t>Ajita</w:t>
      </w:r>
      <w:proofErr w:type="spellEnd"/>
      <w:r w:rsidRPr="00FD08AA">
        <w:rPr>
          <w:rFonts w:ascii="Arial" w:hAnsi="Arial" w:cs="Arial"/>
          <w:sz w:val="20"/>
          <w:szCs w:val="18"/>
        </w:rPr>
        <w:t xml:space="preserve"> </w:t>
      </w:r>
      <w:proofErr w:type="spellStart"/>
      <w:r w:rsidRPr="00FD08AA">
        <w:rPr>
          <w:rFonts w:ascii="Arial" w:hAnsi="Arial" w:cs="Arial"/>
          <w:sz w:val="20"/>
          <w:szCs w:val="18"/>
        </w:rPr>
        <w:t>Soren</w:t>
      </w:r>
      <w:proofErr w:type="spellEnd"/>
      <w:r w:rsidRPr="00FD08AA">
        <w:rPr>
          <w:rFonts w:ascii="Arial" w:hAnsi="Arial" w:cs="Arial"/>
          <w:sz w:val="20"/>
          <w:szCs w:val="18"/>
        </w:rPr>
        <w:t xml:space="preserve"> (2018). Management of Fruit Rot of Brinjal Caused by </w:t>
      </w:r>
      <w:r w:rsidRPr="00FD08AA">
        <w:rPr>
          <w:rFonts w:ascii="Arial" w:hAnsi="Arial" w:cs="Arial"/>
          <w:i/>
          <w:iCs/>
          <w:sz w:val="20"/>
          <w:szCs w:val="18"/>
        </w:rPr>
        <w:t>Phomopsis vexans</w:t>
      </w:r>
      <w:r w:rsidRPr="00FD08AA">
        <w:rPr>
          <w:rFonts w:ascii="Arial" w:hAnsi="Arial" w:cs="Arial"/>
          <w:sz w:val="20"/>
          <w:szCs w:val="18"/>
        </w:rPr>
        <w:t xml:space="preserve"> through Fungicides, Plant Extract and Host Plant Resistance. </w:t>
      </w:r>
      <w:r w:rsidRPr="00FD08AA">
        <w:rPr>
          <w:rFonts w:ascii="Arial" w:hAnsi="Arial" w:cs="Arial"/>
          <w:i/>
          <w:iCs/>
          <w:sz w:val="20"/>
          <w:szCs w:val="18"/>
        </w:rPr>
        <w:t>International Journal of C</w:t>
      </w:r>
      <w:r>
        <w:rPr>
          <w:rFonts w:ascii="Arial" w:hAnsi="Arial" w:cs="Arial"/>
          <w:i/>
          <w:iCs/>
          <w:sz w:val="20"/>
          <w:szCs w:val="18"/>
        </w:rPr>
        <w:t>urrent Microbiology and Applied</w:t>
      </w:r>
      <w:r w:rsidRPr="00FD08AA">
        <w:rPr>
          <w:rFonts w:ascii="Arial" w:hAnsi="Arial" w:cs="Arial"/>
          <w:i/>
          <w:iCs/>
          <w:sz w:val="20"/>
          <w:szCs w:val="18"/>
        </w:rPr>
        <w:t xml:space="preserve"> Sciences. </w:t>
      </w:r>
      <w:r w:rsidRPr="00FD08AA">
        <w:rPr>
          <w:rFonts w:ascii="Arial" w:hAnsi="Arial" w:cs="Arial"/>
          <w:sz w:val="20"/>
          <w:szCs w:val="18"/>
        </w:rPr>
        <w:t>7, 5119-5124.</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Sharma, M., Razdan, V. K.  &amp; </w:t>
      </w:r>
      <w:proofErr w:type="spellStart"/>
      <w:r w:rsidRPr="00FD08AA">
        <w:rPr>
          <w:rFonts w:ascii="Arial" w:hAnsi="Arial" w:cs="Arial"/>
          <w:sz w:val="20"/>
          <w:szCs w:val="18"/>
        </w:rPr>
        <w:t>Mohd</w:t>
      </w:r>
      <w:proofErr w:type="spellEnd"/>
      <w:r w:rsidRPr="00FD08AA">
        <w:rPr>
          <w:rFonts w:ascii="Arial" w:hAnsi="Arial" w:cs="Arial"/>
          <w:sz w:val="20"/>
          <w:szCs w:val="18"/>
        </w:rPr>
        <w:t xml:space="preserve">, R. (2012). </w:t>
      </w:r>
      <w:r w:rsidRPr="00FD08AA">
        <w:rPr>
          <w:rFonts w:ascii="Arial" w:hAnsi="Arial" w:cs="Arial"/>
          <w:i/>
          <w:iCs/>
          <w:sz w:val="20"/>
          <w:szCs w:val="18"/>
        </w:rPr>
        <w:t>In vitro</w:t>
      </w:r>
      <w:r w:rsidRPr="00FD08AA">
        <w:rPr>
          <w:rFonts w:ascii="Arial" w:hAnsi="Arial" w:cs="Arial"/>
          <w:sz w:val="20"/>
          <w:szCs w:val="18"/>
        </w:rPr>
        <w:t xml:space="preserve"> evaluation of fungicides and biocontrol agents against brinjal leaf blight and fruit rot pathogen </w:t>
      </w:r>
      <w:r w:rsidRPr="00FD08AA">
        <w:rPr>
          <w:rFonts w:ascii="Arial" w:hAnsi="Arial" w:cs="Arial"/>
          <w:i/>
          <w:iCs/>
          <w:sz w:val="20"/>
          <w:szCs w:val="18"/>
        </w:rPr>
        <w:t>Phomopsis vexans</w:t>
      </w:r>
      <w:r w:rsidRPr="00FD08AA">
        <w:rPr>
          <w:rFonts w:ascii="Arial" w:hAnsi="Arial" w:cs="Arial"/>
          <w:sz w:val="20"/>
          <w:szCs w:val="18"/>
        </w:rPr>
        <w:t xml:space="preserve"> (Sacc. and Syd.) Harter. </w:t>
      </w:r>
      <w:r w:rsidRPr="00FD08AA">
        <w:rPr>
          <w:rFonts w:ascii="Arial" w:hAnsi="Arial" w:cs="Arial"/>
          <w:i/>
          <w:iCs/>
          <w:sz w:val="20"/>
          <w:szCs w:val="18"/>
        </w:rPr>
        <w:t xml:space="preserve">A Quarterly </w:t>
      </w:r>
      <w:proofErr w:type="spellStart"/>
      <w:r w:rsidRPr="00FD08AA">
        <w:rPr>
          <w:rFonts w:ascii="Arial" w:hAnsi="Arial" w:cs="Arial"/>
          <w:i/>
          <w:iCs/>
          <w:sz w:val="20"/>
          <w:szCs w:val="18"/>
        </w:rPr>
        <w:t>Jounal</w:t>
      </w:r>
      <w:proofErr w:type="spellEnd"/>
      <w:r w:rsidRPr="00FD08AA">
        <w:rPr>
          <w:rFonts w:ascii="Arial" w:hAnsi="Arial" w:cs="Arial"/>
          <w:i/>
          <w:iCs/>
          <w:sz w:val="20"/>
          <w:szCs w:val="18"/>
        </w:rPr>
        <w:t xml:space="preserve"> of life science. </w:t>
      </w:r>
      <w:r w:rsidRPr="00FD08AA">
        <w:rPr>
          <w:rFonts w:ascii="Arial" w:hAnsi="Arial" w:cs="Arial"/>
          <w:sz w:val="20"/>
          <w:szCs w:val="18"/>
        </w:rPr>
        <w:t>9(3), 327-332.</w:t>
      </w:r>
    </w:p>
    <w:p w:rsidR="001C24E0" w:rsidRPr="008C1988" w:rsidRDefault="001C24E0" w:rsidP="00FD08AA">
      <w:pPr>
        <w:pStyle w:val="ListParagraph"/>
        <w:numPr>
          <w:ilvl w:val="0"/>
          <w:numId w:val="34"/>
        </w:numPr>
        <w:spacing w:before="120" w:after="120" w:line="360" w:lineRule="auto"/>
        <w:ind w:left="360"/>
        <w:jc w:val="both"/>
        <w:rPr>
          <w:rFonts w:ascii="Arial" w:hAnsi="Arial" w:cs="Arial"/>
          <w:sz w:val="18"/>
          <w:szCs w:val="16"/>
        </w:rPr>
      </w:pPr>
      <w:r w:rsidRPr="00A44E79">
        <w:rPr>
          <w:rFonts w:ascii="Arial" w:hAnsi="Arial" w:cs="Arial"/>
          <w:sz w:val="20"/>
          <w:szCs w:val="18"/>
        </w:rPr>
        <w:t>Singh, B.K., Singh, S., Singh, G.K., &amp; Yadav, S.M. (2014). Some important plant pathogenic diseases of brinjal (</w:t>
      </w:r>
      <w:r w:rsidRPr="00A44E79">
        <w:rPr>
          <w:rFonts w:ascii="Arial" w:hAnsi="Arial" w:cs="Arial"/>
          <w:i/>
          <w:iCs/>
          <w:sz w:val="20"/>
          <w:szCs w:val="18"/>
        </w:rPr>
        <w:t>Solanum melongena</w:t>
      </w:r>
      <w:r w:rsidRPr="00A44E79">
        <w:rPr>
          <w:rFonts w:ascii="Arial" w:hAnsi="Arial" w:cs="Arial"/>
          <w:sz w:val="20"/>
          <w:szCs w:val="18"/>
        </w:rPr>
        <w:t xml:space="preserve"> L.) and their management. </w:t>
      </w:r>
      <w:r w:rsidRPr="00E20559">
        <w:rPr>
          <w:rFonts w:ascii="Arial" w:hAnsi="Arial" w:cs="Arial"/>
          <w:i/>
          <w:iCs/>
          <w:sz w:val="20"/>
          <w:szCs w:val="18"/>
        </w:rPr>
        <w:t>Plant Pathology Journal</w:t>
      </w:r>
      <w:r w:rsidRPr="00A44E79">
        <w:rPr>
          <w:rFonts w:ascii="Arial" w:hAnsi="Arial" w:cs="Arial"/>
          <w:sz w:val="20"/>
          <w:szCs w:val="18"/>
        </w:rPr>
        <w:t>. 13, 208-213.</w:t>
      </w:r>
    </w:p>
    <w:p w:rsidR="001C24E0" w:rsidRDefault="001C24E0" w:rsidP="00FD08AA">
      <w:pPr>
        <w:pStyle w:val="ListParagraph"/>
        <w:numPr>
          <w:ilvl w:val="0"/>
          <w:numId w:val="34"/>
        </w:numPr>
        <w:spacing w:before="120" w:after="120" w:line="360" w:lineRule="auto"/>
        <w:ind w:left="360"/>
        <w:jc w:val="both"/>
        <w:rPr>
          <w:rFonts w:ascii="Arial" w:hAnsi="Arial" w:cs="Arial"/>
          <w:sz w:val="20"/>
          <w:szCs w:val="18"/>
        </w:rPr>
      </w:pPr>
      <w:proofErr w:type="spellStart"/>
      <w:r w:rsidRPr="00FD08AA">
        <w:rPr>
          <w:rFonts w:ascii="Arial" w:hAnsi="Arial" w:cs="Arial"/>
          <w:sz w:val="20"/>
          <w:szCs w:val="18"/>
        </w:rPr>
        <w:t>Thesiya</w:t>
      </w:r>
      <w:proofErr w:type="spellEnd"/>
      <w:r w:rsidRPr="00FD08AA">
        <w:rPr>
          <w:rFonts w:ascii="Arial" w:hAnsi="Arial" w:cs="Arial"/>
          <w:sz w:val="20"/>
          <w:szCs w:val="18"/>
        </w:rPr>
        <w:t xml:space="preserve">, M. R., </w:t>
      </w:r>
      <w:proofErr w:type="spellStart"/>
      <w:r w:rsidRPr="00FD08AA">
        <w:rPr>
          <w:rFonts w:ascii="Arial" w:hAnsi="Arial" w:cs="Arial"/>
          <w:sz w:val="20"/>
          <w:szCs w:val="18"/>
        </w:rPr>
        <w:t>Rakholiya</w:t>
      </w:r>
      <w:proofErr w:type="spellEnd"/>
      <w:r w:rsidRPr="00FD08AA">
        <w:rPr>
          <w:rFonts w:ascii="Arial" w:hAnsi="Arial" w:cs="Arial"/>
          <w:sz w:val="20"/>
          <w:szCs w:val="18"/>
        </w:rPr>
        <w:t xml:space="preserve">, K. B., </w:t>
      </w:r>
      <w:proofErr w:type="spellStart"/>
      <w:r w:rsidRPr="00FD08AA">
        <w:rPr>
          <w:rFonts w:ascii="Arial" w:hAnsi="Arial" w:cs="Arial"/>
          <w:sz w:val="20"/>
          <w:szCs w:val="18"/>
        </w:rPr>
        <w:t>Panara</w:t>
      </w:r>
      <w:proofErr w:type="spellEnd"/>
      <w:r w:rsidRPr="00FD08AA">
        <w:rPr>
          <w:rFonts w:ascii="Arial" w:hAnsi="Arial" w:cs="Arial"/>
          <w:sz w:val="20"/>
          <w:szCs w:val="18"/>
        </w:rPr>
        <w:t xml:space="preserve">, K. N. &amp; </w:t>
      </w:r>
      <w:proofErr w:type="spellStart"/>
      <w:r w:rsidRPr="00FD08AA">
        <w:rPr>
          <w:rFonts w:ascii="Arial" w:hAnsi="Arial" w:cs="Arial"/>
          <w:sz w:val="20"/>
          <w:szCs w:val="18"/>
        </w:rPr>
        <w:t>Bhagariya</w:t>
      </w:r>
      <w:proofErr w:type="spellEnd"/>
      <w:r w:rsidRPr="00FD08AA">
        <w:rPr>
          <w:rFonts w:ascii="Arial" w:hAnsi="Arial" w:cs="Arial"/>
          <w:sz w:val="20"/>
          <w:szCs w:val="18"/>
        </w:rPr>
        <w:t xml:space="preserve">, D. A. (2019). Evaluation of different fungicides </w:t>
      </w:r>
      <w:r w:rsidRPr="00FD08AA">
        <w:rPr>
          <w:rFonts w:ascii="Arial" w:hAnsi="Arial" w:cs="Arial"/>
          <w:i/>
          <w:iCs/>
          <w:sz w:val="20"/>
          <w:szCs w:val="18"/>
        </w:rPr>
        <w:t>in vitro</w:t>
      </w:r>
      <w:r w:rsidRPr="00FD08AA">
        <w:rPr>
          <w:rFonts w:ascii="Arial" w:hAnsi="Arial" w:cs="Arial"/>
          <w:sz w:val="20"/>
          <w:szCs w:val="18"/>
        </w:rPr>
        <w:t xml:space="preserve"> against </w:t>
      </w:r>
      <w:r w:rsidRPr="00FD08AA">
        <w:rPr>
          <w:rFonts w:ascii="Arial" w:hAnsi="Arial" w:cs="Arial"/>
          <w:i/>
          <w:iCs/>
          <w:sz w:val="20"/>
          <w:szCs w:val="18"/>
        </w:rPr>
        <w:t>Phomopsis vexans</w:t>
      </w:r>
      <w:r w:rsidRPr="00FD08AA">
        <w:rPr>
          <w:rFonts w:ascii="Arial" w:hAnsi="Arial" w:cs="Arial"/>
          <w:sz w:val="20"/>
          <w:szCs w:val="18"/>
        </w:rPr>
        <w:t xml:space="preserve"> causing stem blight and fruit rot in brinjal. </w:t>
      </w:r>
      <w:r w:rsidRPr="00FD08AA">
        <w:rPr>
          <w:rFonts w:ascii="Arial" w:hAnsi="Arial" w:cs="Arial"/>
          <w:i/>
          <w:iCs/>
          <w:sz w:val="20"/>
          <w:szCs w:val="18"/>
        </w:rPr>
        <w:t xml:space="preserve">International Journal of Chemical Studies. </w:t>
      </w:r>
      <w:r w:rsidRPr="00FD08AA">
        <w:rPr>
          <w:rFonts w:ascii="Arial" w:hAnsi="Arial" w:cs="Arial"/>
          <w:sz w:val="20"/>
          <w:szCs w:val="18"/>
        </w:rPr>
        <w:t>7(5), 3259-3263.</w:t>
      </w:r>
    </w:p>
    <w:p w:rsidR="001C24E0" w:rsidRPr="00DC664A" w:rsidRDefault="001C24E0" w:rsidP="00FD08AA">
      <w:pPr>
        <w:pStyle w:val="ListParagraph"/>
        <w:numPr>
          <w:ilvl w:val="0"/>
          <w:numId w:val="34"/>
        </w:numPr>
        <w:spacing w:before="120" w:after="120" w:line="360" w:lineRule="auto"/>
        <w:ind w:left="360"/>
        <w:jc w:val="both"/>
        <w:rPr>
          <w:rFonts w:ascii="Arial" w:hAnsi="Arial" w:cs="Arial"/>
          <w:sz w:val="14"/>
          <w:szCs w:val="12"/>
        </w:rPr>
      </w:pPr>
      <w:proofErr w:type="spellStart"/>
      <w:r w:rsidRPr="005A7FEC">
        <w:rPr>
          <w:rFonts w:ascii="Arial" w:hAnsi="Arial" w:cs="Arial"/>
          <w:sz w:val="20"/>
          <w:szCs w:val="18"/>
        </w:rPr>
        <w:t>Yawalkar</w:t>
      </w:r>
      <w:proofErr w:type="spellEnd"/>
      <w:r w:rsidRPr="005A7FEC">
        <w:rPr>
          <w:rFonts w:ascii="Arial" w:hAnsi="Arial" w:cs="Arial"/>
          <w:sz w:val="20"/>
          <w:szCs w:val="18"/>
        </w:rPr>
        <w:t>, K.S. (1985). Vegetable Crops in India. Agriculture, Horticulture Publishing House, Nagpur. 85.</w:t>
      </w:r>
    </w:p>
    <w:p w:rsidR="00DC664A" w:rsidRPr="00DC664A" w:rsidRDefault="00DC664A" w:rsidP="00DC664A">
      <w:pPr>
        <w:pStyle w:val="ListParagraph"/>
        <w:numPr>
          <w:ilvl w:val="0"/>
          <w:numId w:val="34"/>
        </w:numPr>
        <w:spacing w:before="120" w:after="120" w:line="360" w:lineRule="auto"/>
        <w:ind w:left="360"/>
        <w:jc w:val="both"/>
        <w:rPr>
          <w:rFonts w:ascii="Arial" w:hAnsi="Arial" w:cs="Arial"/>
          <w:sz w:val="12"/>
          <w:szCs w:val="10"/>
          <w:highlight w:val="yellow"/>
        </w:rPr>
      </w:pPr>
      <w:r w:rsidRPr="00DC664A">
        <w:rPr>
          <w:rFonts w:ascii="Arial" w:hAnsi="Arial" w:cs="Arial"/>
          <w:sz w:val="20"/>
          <w:szCs w:val="18"/>
          <w:highlight w:val="yellow"/>
        </w:rPr>
        <w:t>Panse, V.G. &amp; Sukhatme, P.G. (1978). Statistical Methods for Agriculture Workers. IARI, New Delhi.</w:t>
      </w:r>
    </w:p>
    <w:p w:rsidR="00DC664A" w:rsidRPr="00DC664A" w:rsidRDefault="00DC664A" w:rsidP="00DC664A">
      <w:pPr>
        <w:pStyle w:val="ListParagraph"/>
        <w:numPr>
          <w:ilvl w:val="0"/>
          <w:numId w:val="34"/>
        </w:numPr>
        <w:spacing w:before="120" w:after="120" w:line="360" w:lineRule="auto"/>
        <w:ind w:left="360"/>
        <w:jc w:val="both"/>
        <w:rPr>
          <w:rFonts w:ascii="Arial" w:hAnsi="Arial" w:cs="Arial"/>
          <w:sz w:val="10"/>
          <w:szCs w:val="8"/>
          <w:highlight w:val="yellow"/>
        </w:rPr>
      </w:pPr>
      <w:proofErr w:type="spellStart"/>
      <w:r w:rsidRPr="00DC664A">
        <w:rPr>
          <w:rFonts w:ascii="Arial" w:hAnsi="Arial" w:cs="Arial"/>
          <w:color w:val="333333"/>
          <w:sz w:val="20"/>
          <w:szCs w:val="18"/>
          <w:highlight w:val="yellow"/>
          <w:shd w:val="clear" w:color="auto" w:fill="FFFFFF"/>
        </w:rPr>
        <w:lastRenderedPageBreak/>
        <w:t>Balendres</w:t>
      </w:r>
      <w:proofErr w:type="spellEnd"/>
      <w:r w:rsidRPr="00DC664A">
        <w:rPr>
          <w:rFonts w:ascii="Arial" w:hAnsi="Arial" w:cs="Arial"/>
          <w:color w:val="333333"/>
          <w:sz w:val="20"/>
          <w:szCs w:val="18"/>
          <w:highlight w:val="yellow"/>
          <w:shd w:val="clear" w:color="auto" w:fill="FFFFFF"/>
        </w:rPr>
        <w:t>, M. A. O. (2025). </w:t>
      </w:r>
      <w:r w:rsidRPr="00DC664A">
        <w:rPr>
          <w:rFonts w:ascii="Arial" w:hAnsi="Arial" w:cs="Arial"/>
          <w:i/>
          <w:iCs/>
          <w:color w:val="333333"/>
          <w:sz w:val="20"/>
          <w:szCs w:val="18"/>
          <w:highlight w:val="yellow"/>
          <w:shd w:val="clear" w:color="auto" w:fill="FFFFFF"/>
        </w:rPr>
        <w:t>Diaporthe</w:t>
      </w:r>
      <w:r w:rsidRPr="00DC664A">
        <w:rPr>
          <w:rFonts w:ascii="Arial" w:hAnsi="Arial" w:cs="Arial"/>
          <w:color w:val="333333"/>
          <w:sz w:val="20"/>
          <w:szCs w:val="18"/>
          <w:highlight w:val="yellow"/>
          <w:shd w:val="clear" w:color="auto" w:fill="FFFFFF"/>
        </w:rPr>
        <w:t> blight in eggplant (</w:t>
      </w:r>
      <w:r w:rsidRPr="00DC664A">
        <w:rPr>
          <w:rFonts w:ascii="Arial" w:hAnsi="Arial" w:cs="Arial"/>
          <w:i/>
          <w:iCs/>
          <w:color w:val="333333"/>
          <w:sz w:val="20"/>
          <w:szCs w:val="18"/>
          <w:highlight w:val="yellow"/>
          <w:shd w:val="clear" w:color="auto" w:fill="FFFFFF"/>
        </w:rPr>
        <w:t>Solanum melongena</w:t>
      </w:r>
      <w:r w:rsidRPr="00DC664A">
        <w:rPr>
          <w:rFonts w:ascii="Arial" w:hAnsi="Arial" w:cs="Arial"/>
          <w:color w:val="333333"/>
          <w:sz w:val="20"/>
          <w:szCs w:val="18"/>
          <w:highlight w:val="yellow"/>
          <w:shd w:val="clear" w:color="auto" w:fill="FFFFFF"/>
        </w:rPr>
        <w:t> L.): etiology, epidemiology and current management. </w:t>
      </w:r>
      <w:r w:rsidRPr="00DC664A">
        <w:rPr>
          <w:rFonts w:ascii="Arial" w:hAnsi="Arial" w:cs="Arial"/>
          <w:i/>
          <w:iCs/>
          <w:color w:val="333333"/>
          <w:sz w:val="20"/>
          <w:szCs w:val="18"/>
          <w:highlight w:val="yellow"/>
          <w:shd w:val="clear" w:color="auto" w:fill="FFFFFF"/>
        </w:rPr>
        <w:t>International Journal of Vegetable Science</w:t>
      </w:r>
      <w:r w:rsidRPr="00DC664A">
        <w:rPr>
          <w:rFonts w:ascii="Arial" w:hAnsi="Arial" w:cs="Arial"/>
          <w:color w:val="333333"/>
          <w:sz w:val="20"/>
          <w:szCs w:val="18"/>
          <w:highlight w:val="yellow"/>
          <w:shd w:val="clear" w:color="auto" w:fill="FFFFFF"/>
        </w:rPr>
        <w:t xml:space="preserve">, 1–26. </w:t>
      </w:r>
      <w:hyperlink r:id="rId17" w:history="1">
        <w:r w:rsidRPr="00DC664A">
          <w:rPr>
            <w:rStyle w:val="Hyperlink"/>
            <w:rFonts w:ascii="Arial" w:hAnsi="Arial" w:cs="Arial"/>
            <w:color w:val="00B0F0"/>
            <w:sz w:val="20"/>
            <w:szCs w:val="18"/>
            <w:highlight w:val="yellow"/>
            <w:shd w:val="clear" w:color="auto" w:fill="FFFFFF"/>
          </w:rPr>
          <w:t>https://doi.org/10.1080/19315260.2025.2519210</w:t>
        </w:r>
      </w:hyperlink>
    </w:p>
    <w:p w:rsidR="00DC664A" w:rsidRPr="0006546E" w:rsidRDefault="00DC664A" w:rsidP="00DC664A">
      <w:pPr>
        <w:pStyle w:val="ListParagraph"/>
        <w:numPr>
          <w:ilvl w:val="0"/>
          <w:numId w:val="34"/>
        </w:numPr>
        <w:spacing w:before="120" w:after="120" w:line="360" w:lineRule="auto"/>
        <w:ind w:left="360"/>
        <w:jc w:val="both"/>
        <w:rPr>
          <w:rFonts w:ascii="Arial" w:hAnsi="Arial" w:cs="Arial"/>
          <w:sz w:val="10"/>
          <w:szCs w:val="8"/>
          <w:highlight w:val="yellow"/>
        </w:rPr>
      </w:pPr>
      <w:proofErr w:type="spellStart"/>
      <w:r w:rsidRPr="00DC664A">
        <w:rPr>
          <w:rFonts w:ascii="Arial" w:hAnsi="Arial" w:cs="Arial"/>
          <w:color w:val="212121"/>
          <w:sz w:val="20"/>
          <w:szCs w:val="18"/>
          <w:highlight w:val="yellow"/>
          <w:shd w:val="clear" w:color="auto" w:fill="FFFFFF"/>
        </w:rPr>
        <w:t>Rohini</w:t>
      </w:r>
      <w:proofErr w:type="spellEnd"/>
      <w:r w:rsidRPr="00DC664A">
        <w:rPr>
          <w:rFonts w:ascii="Arial" w:hAnsi="Arial" w:cs="Arial"/>
          <w:color w:val="212121"/>
          <w:sz w:val="20"/>
          <w:szCs w:val="18"/>
          <w:highlight w:val="yellow"/>
          <w:shd w:val="clear" w:color="auto" w:fill="FFFFFF"/>
        </w:rPr>
        <w:t xml:space="preserve">, M., </w:t>
      </w:r>
      <w:proofErr w:type="spellStart"/>
      <w:r w:rsidRPr="00DC664A">
        <w:rPr>
          <w:rFonts w:ascii="Arial" w:hAnsi="Arial" w:cs="Arial"/>
          <w:color w:val="212121"/>
          <w:sz w:val="20"/>
          <w:szCs w:val="18"/>
          <w:highlight w:val="yellow"/>
          <w:shd w:val="clear" w:color="auto" w:fill="FFFFFF"/>
        </w:rPr>
        <w:t>Jayapala</w:t>
      </w:r>
      <w:proofErr w:type="spellEnd"/>
      <w:r w:rsidRPr="00DC664A">
        <w:rPr>
          <w:rFonts w:ascii="Arial" w:hAnsi="Arial" w:cs="Arial"/>
          <w:color w:val="212121"/>
          <w:sz w:val="20"/>
          <w:szCs w:val="18"/>
          <w:highlight w:val="yellow"/>
          <w:shd w:val="clear" w:color="auto" w:fill="FFFFFF"/>
        </w:rPr>
        <w:t xml:space="preserve">, N., </w:t>
      </w:r>
      <w:proofErr w:type="spellStart"/>
      <w:r w:rsidRPr="00DC664A">
        <w:rPr>
          <w:rFonts w:ascii="Arial" w:hAnsi="Arial" w:cs="Arial"/>
          <w:color w:val="212121"/>
          <w:sz w:val="20"/>
          <w:szCs w:val="18"/>
          <w:highlight w:val="yellow"/>
          <w:shd w:val="clear" w:color="auto" w:fill="FFFFFF"/>
        </w:rPr>
        <w:t>Pushpalatha</w:t>
      </w:r>
      <w:proofErr w:type="spellEnd"/>
      <w:r w:rsidRPr="00DC664A">
        <w:rPr>
          <w:rFonts w:ascii="Arial" w:hAnsi="Arial" w:cs="Arial"/>
          <w:color w:val="212121"/>
          <w:sz w:val="20"/>
          <w:szCs w:val="18"/>
          <w:highlight w:val="yellow"/>
          <w:shd w:val="clear" w:color="auto" w:fill="FFFFFF"/>
        </w:rPr>
        <w:t xml:space="preserve">, H.G., </w:t>
      </w:r>
      <w:proofErr w:type="spellStart"/>
      <w:r w:rsidRPr="00DC664A">
        <w:rPr>
          <w:rFonts w:ascii="Arial" w:hAnsi="Arial" w:cs="Arial"/>
          <w:color w:val="212121"/>
          <w:sz w:val="20"/>
          <w:szCs w:val="18"/>
          <w:highlight w:val="yellow"/>
          <w:shd w:val="clear" w:color="auto" w:fill="FFFFFF"/>
        </w:rPr>
        <w:t>Gavirangappa</w:t>
      </w:r>
      <w:proofErr w:type="spellEnd"/>
      <w:r w:rsidRPr="00DC664A">
        <w:rPr>
          <w:rFonts w:ascii="Arial" w:hAnsi="Arial" w:cs="Arial"/>
          <w:color w:val="212121"/>
          <w:sz w:val="20"/>
          <w:szCs w:val="18"/>
          <w:highlight w:val="yellow"/>
          <w:shd w:val="clear" w:color="auto" w:fill="FFFFFF"/>
        </w:rPr>
        <w:t xml:space="preserve">, H., </w:t>
      </w:r>
      <w:proofErr w:type="spellStart"/>
      <w:r w:rsidRPr="00DC664A">
        <w:rPr>
          <w:rFonts w:ascii="Arial" w:hAnsi="Arial" w:cs="Arial"/>
          <w:color w:val="212121"/>
          <w:sz w:val="20"/>
          <w:szCs w:val="18"/>
          <w:highlight w:val="yellow"/>
          <w:shd w:val="clear" w:color="auto" w:fill="FFFFFF"/>
        </w:rPr>
        <w:t>Puttaswamy</w:t>
      </w:r>
      <w:proofErr w:type="spellEnd"/>
      <w:r w:rsidRPr="00DC664A">
        <w:rPr>
          <w:rFonts w:ascii="Arial" w:hAnsi="Arial" w:cs="Arial"/>
          <w:color w:val="212121"/>
          <w:sz w:val="20"/>
          <w:szCs w:val="18"/>
          <w:highlight w:val="yellow"/>
          <w:shd w:val="clear" w:color="auto" w:fill="FFFFFF"/>
        </w:rPr>
        <w:t xml:space="preserve">, H. &amp; </w:t>
      </w:r>
      <w:proofErr w:type="spellStart"/>
      <w:r w:rsidRPr="00DC664A">
        <w:rPr>
          <w:rFonts w:ascii="Arial" w:hAnsi="Arial" w:cs="Arial"/>
          <w:color w:val="212121"/>
          <w:sz w:val="20"/>
          <w:szCs w:val="18"/>
          <w:highlight w:val="yellow"/>
          <w:shd w:val="clear" w:color="auto" w:fill="FFFFFF"/>
        </w:rPr>
        <w:t>Ramachandrappa</w:t>
      </w:r>
      <w:proofErr w:type="spellEnd"/>
      <w:r w:rsidRPr="00DC664A">
        <w:rPr>
          <w:rFonts w:ascii="Arial" w:hAnsi="Arial" w:cs="Arial"/>
          <w:color w:val="212121"/>
          <w:sz w:val="20"/>
          <w:szCs w:val="18"/>
          <w:highlight w:val="yellow"/>
          <w:shd w:val="clear" w:color="auto" w:fill="FFFFFF"/>
        </w:rPr>
        <w:t xml:space="preserve">, N.S. (2023). Biochemical, pathological and molecular </w:t>
      </w:r>
      <w:proofErr w:type="spellStart"/>
      <w:r w:rsidRPr="00DC664A">
        <w:rPr>
          <w:rFonts w:ascii="Arial" w:hAnsi="Arial" w:cs="Arial"/>
          <w:color w:val="212121"/>
          <w:sz w:val="20"/>
          <w:szCs w:val="18"/>
          <w:highlight w:val="yellow"/>
          <w:shd w:val="clear" w:color="auto" w:fill="FFFFFF"/>
        </w:rPr>
        <w:t>characterisation</w:t>
      </w:r>
      <w:proofErr w:type="spellEnd"/>
      <w:r w:rsidRPr="00DC664A">
        <w:rPr>
          <w:rFonts w:ascii="Arial" w:hAnsi="Arial" w:cs="Arial"/>
          <w:color w:val="212121"/>
          <w:sz w:val="20"/>
          <w:szCs w:val="18"/>
          <w:highlight w:val="yellow"/>
          <w:shd w:val="clear" w:color="auto" w:fill="FFFFFF"/>
        </w:rPr>
        <w:t xml:space="preserve"> of Phomopsis vexans: A causative of leaf blight and fruit rot in brinjal. Microbial Pathogenesis. (179). </w:t>
      </w:r>
    </w:p>
    <w:p w:rsidR="0006546E" w:rsidRPr="0006546E" w:rsidRDefault="0006546E" w:rsidP="00DC664A">
      <w:pPr>
        <w:pStyle w:val="ListParagraph"/>
        <w:numPr>
          <w:ilvl w:val="0"/>
          <w:numId w:val="34"/>
        </w:numPr>
        <w:spacing w:before="120" w:after="120" w:line="360" w:lineRule="auto"/>
        <w:ind w:left="360"/>
        <w:jc w:val="both"/>
        <w:rPr>
          <w:rFonts w:ascii="Arial" w:hAnsi="Arial" w:cs="Arial"/>
          <w:sz w:val="8"/>
          <w:szCs w:val="6"/>
          <w:highlight w:val="yellow"/>
        </w:rPr>
      </w:pPr>
      <w:proofErr w:type="spellStart"/>
      <w:r w:rsidRPr="0006546E">
        <w:rPr>
          <w:rFonts w:ascii="Arial" w:hAnsi="Arial" w:cs="Arial"/>
          <w:sz w:val="20"/>
          <w:szCs w:val="18"/>
          <w:highlight w:val="yellow"/>
        </w:rPr>
        <w:t>Goutam</w:t>
      </w:r>
      <w:proofErr w:type="spellEnd"/>
      <w:r w:rsidRPr="0006546E">
        <w:rPr>
          <w:rFonts w:ascii="Arial" w:hAnsi="Arial" w:cs="Arial"/>
          <w:sz w:val="20"/>
          <w:szCs w:val="18"/>
          <w:highlight w:val="yellow"/>
        </w:rPr>
        <w:t xml:space="preserve">, E., Kumar, A., </w:t>
      </w:r>
      <w:proofErr w:type="spellStart"/>
      <w:r w:rsidRPr="0006546E">
        <w:rPr>
          <w:rFonts w:ascii="Arial" w:hAnsi="Arial" w:cs="Arial"/>
          <w:sz w:val="20"/>
          <w:szCs w:val="18"/>
          <w:highlight w:val="yellow"/>
        </w:rPr>
        <w:t>Tripathi</w:t>
      </w:r>
      <w:proofErr w:type="spellEnd"/>
      <w:r w:rsidRPr="0006546E">
        <w:rPr>
          <w:rFonts w:ascii="Arial" w:hAnsi="Arial" w:cs="Arial"/>
          <w:sz w:val="20"/>
          <w:szCs w:val="18"/>
          <w:highlight w:val="yellow"/>
        </w:rPr>
        <w:t xml:space="preserve">, V., </w:t>
      </w:r>
      <w:proofErr w:type="spellStart"/>
      <w:r w:rsidRPr="0006546E">
        <w:rPr>
          <w:rFonts w:ascii="Arial" w:hAnsi="Arial" w:cs="Arial"/>
          <w:sz w:val="20"/>
          <w:szCs w:val="18"/>
          <w:highlight w:val="yellow"/>
        </w:rPr>
        <w:t>Bharti</w:t>
      </w:r>
      <w:proofErr w:type="spellEnd"/>
      <w:r w:rsidRPr="0006546E">
        <w:rPr>
          <w:rFonts w:ascii="Arial" w:hAnsi="Arial" w:cs="Arial"/>
          <w:sz w:val="20"/>
          <w:szCs w:val="18"/>
          <w:highlight w:val="yellow"/>
        </w:rPr>
        <w:t xml:space="preserve">, Kumar, L. and Raj, A. (2024). Unveiling mechanisms for induced systemic resistance, resistance breeding and molecular marker-assisted breeding against </w:t>
      </w:r>
      <w:r w:rsidRPr="0006546E">
        <w:rPr>
          <w:rFonts w:ascii="Arial" w:hAnsi="Arial" w:cs="Arial"/>
          <w:i/>
          <w:iCs/>
          <w:sz w:val="20"/>
          <w:szCs w:val="18"/>
          <w:highlight w:val="yellow"/>
        </w:rPr>
        <w:t>Phomopsis</w:t>
      </w:r>
      <w:r w:rsidRPr="0006546E">
        <w:rPr>
          <w:rFonts w:ascii="Arial" w:hAnsi="Arial" w:cs="Arial"/>
          <w:sz w:val="20"/>
          <w:szCs w:val="18"/>
          <w:highlight w:val="yellow"/>
        </w:rPr>
        <w:t xml:space="preserve"> blight of </w:t>
      </w:r>
      <w:r w:rsidRPr="0006546E">
        <w:rPr>
          <w:rFonts w:ascii="Arial" w:hAnsi="Arial" w:cs="Arial"/>
          <w:i/>
          <w:iCs/>
          <w:sz w:val="20"/>
          <w:szCs w:val="18"/>
          <w:highlight w:val="yellow"/>
        </w:rPr>
        <w:t>Solanum melongena</w:t>
      </w:r>
      <w:r w:rsidRPr="0006546E">
        <w:rPr>
          <w:rFonts w:ascii="Arial" w:hAnsi="Arial" w:cs="Arial"/>
          <w:sz w:val="20"/>
          <w:szCs w:val="18"/>
          <w:highlight w:val="yellow"/>
        </w:rPr>
        <w:t xml:space="preserve">. </w:t>
      </w:r>
      <w:r w:rsidRPr="0006546E">
        <w:rPr>
          <w:rFonts w:ascii="Arial" w:hAnsi="Arial" w:cs="Arial"/>
          <w:i/>
          <w:iCs/>
          <w:sz w:val="20"/>
          <w:szCs w:val="18"/>
          <w:highlight w:val="yellow"/>
        </w:rPr>
        <w:t>Plant Pathology</w:t>
      </w:r>
      <w:r w:rsidRPr="0006546E">
        <w:rPr>
          <w:rFonts w:ascii="Arial" w:hAnsi="Arial" w:cs="Arial"/>
          <w:sz w:val="20"/>
          <w:szCs w:val="18"/>
          <w:highlight w:val="yellow"/>
        </w:rPr>
        <w:t>. 73, 1-14.</w:t>
      </w:r>
    </w:p>
    <w:p w:rsidR="00DC664A" w:rsidRPr="005A7FEC" w:rsidRDefault="00DC664A" w:rsidP="00DC664A">
      <w:pPr>
        <w:pStyle w:val="ListParagraph"/>
        <w:spacing w:before="120" w:after="120" w:line="360" w:lineRule="auto"/>
        <w:ind w:left="360"/>
        <w:jc w:val="both"/>
        <w:rPr>
          <w:rFonts w:ascii="Arial" w:hAnsi="Arial" w:cs="Arial"/>
          <w:sz w:val="14"/>
          <w:szCs w:val="12"/>
        </w:rPr>
      </w:pPr>
    </w:p>
    <w:p w:rsidR="007C23E2" w:rsidRPr="007C23E2" w:rsidRDefault="007C23E2" w:rsidP="007C23E2">
      <w:pPr>
        <w:spacing w:before="120" w:after="120" w:line="360" w:lineRule="auto"/>
        <w:ind w:left="516" w:hangingChars="258" w:hanging="516"/>
        <w:jc w:val="both"/>
        <w:rPr>
          <w:rFonts w:ascii="Arial" w:hAnsi="Arial" w:cs="Arial"/>
          <w:szCs w:val="18"/>
        </w:rPr>
      </w:pPr>
    </w:p>
    <w:p w:rsidR="00790ADA" w:rsidRPr="00B31FBC" w:rsidRDefault="00790ADA" w:rsidP="00441B6F">
      <w:pPr>
        <w:pStyle w:val="ReferHead"/>
        <w:spacing w:after="0"/>
        <w:jc w:val="both"/>
        <w:rPr>
          <w:rFonts w:ascii="Arial" w:hAnsi="Arial" w:cs="Arial"/>
          <w:b w:val="0"/>
          <w:bCs/>
          <w:sz w:val="20"/>
        </w:rPr>
      </w:pPr>
    </w:p>
    <w:p w:rsidR="00B31FBC" w:rsidRPr="00B31FBC" w:rsidRDefault="00B31FBC"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092FA0">
      <w:headerReference w:type="even" r:id="rId18"/>
      <w:headerReference w:type="default" r:id="rId19"/>
      <w:footerReference w:type="default" r:id="rId20"/>
      <w:headerReference w:type="first" r:id="rId21"/>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87" w:rsidRDefault="00FC3E87" w:rsidP="00C37E61">
      <w:r>
        <w:separator/>
      </w:r>
    </w:p>
  </w:endnote>
  <w:endnote w:type="continuationSeparator" w:id="0">
    <w:p w:rsidR="00FC3E87" w:rsidRDefault="00FC3E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092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092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EC" w:rsidRPr="002B588F" w:rsidRDefault="005A7FEC" w:rsidP="002B58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EC" w:rsidRPr="00C37E61" w:rsidRDefault="005A7FE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87" w:rsidRDefault="00FC3E87" w:rsidP="00C37E61">
      <w:r>
        <w:separator/>
      </w:r>
    </w:p>
  </w:footnote>
  <w:footnote w:type="continuationSeparator" w:id="0">
    <w:p w:rsidR="00FC3E87" w:rsidRDefault="00FC3E8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FC3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FC3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EC" w:rsidRPr="00296529" w:rsidRDefault="00FC3E8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A7FEC" w:rsidRDefault="005A7FE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FC3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FC3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A0" w:rsidRDefault="00FC3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7"/>
  </w:num>
  <w:num w:numId="32">
    <w:abstractNumId w:val="14"/>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4E30"/>
    <w:rsid w:val="00061293"/>
    <w:rsid w:val="00063C9C"/>
    <w:rsid w:val="0006546E"/>
    <w:rsid w:val="00092FA0"/>
    <w:rsid w:val="000A47FA"/>
    <w:rsid w:val="000A51A6"/>
    <w:rsid w:val="000A5833"/>
    <w:rsid w:val="000A65D3"/>
    <w:rsid w:val="000B1E33"/>
    <w:rsid w:val="000D689F"/>
    <w:rsid w:val="000E7B7B"/>
    <w:rsid w:val="000E7D62"/>
    <w:rsid w:val="000F255E"/>
    <w:rsid w:val="00103357"/>
    <w:rsid w:val="00123C9F"/>
    <w:rsid w:val="00126190"/>
    <w:rsid w:val="00130F17"/>
    <w:rsid w:val="001320BF"/>
    <w:rsid w:val="001355F1"/>
    <w:rsid w:val="00163BC4"/>
    <w:rsid w:val="00191062"/>
    <w:rsid w:val="00192B72"/>
    <w:rsid w:val="001A29D8"/>
    <w:rsid w:val="001A3AAD"/>
    <w:rsid w:val="001A5CAA"/>
    <w:rsid w:val="001B0427"/>
    <w:rsid w:val="001C24E0"/>
    <w:rsid w:val="001D3A51"/>
    <w:rsid w:val="001E10D2"/>
    <w:rsid w:val="001E25B4"/>
    <w:rsid w:val="001E44FE"/>
    <w:rsid w:val="00200595"/>
    <w:rsid w:val="00204835"/>
    <w:rsid w:val="00214115"/>
    <w:rsid w:val="002240D5"/>
    <w:rsid w:val="0023159C"/>
    <w:rsid w:val="00231920"/>
    <w:rsid w:val="0023195C"/>
    <w:rsid w:val="00235994"/>
    <w:rsid w:val="0024282C"/>
    <w:rsid w:val="002460DC"/>
    <w:rsid w:val="00250985"/>
    <w:rsid w:val="002556F6"/>
    <w:rsid w:val="00283105"/>
    <w:rsid w:val="00284C4C"/>
    <w:rsid w:val="00287E68"/>
    <w:rsid w:val="00296529"/>
    <w:rsid w:val="002B27FB"/>
    <w:rsid w:val="002B588F"/>
    <w:rsid w:val="002B685A"/>
    <w:rsid w:val="002C57D2"/>
    <w:rsid w:val="002D31E1"/>
    <w:rsid w:val="002E042B"/>
    <w:rsid w:val="002E0D56"/>
    <w:rsid w:val="002E77DE"/>
    <w:rsid w:val="002F5770"/>
    <w:rsid w:val="00315186"/>
    <w:rsid w:val="0033343E"/>
    <w:rsid w:val="003512C2"/>
    <w:rsid w:val="00371FB6"/>
    <w:rsid w:val="003763C1"/>
    <w:rsid w:val="00376BBE"/>
    <w:rsid w:val="0039224F"/>
    <w:rsid w:val="003A0B1A"/>
    <w:rsid w:val="003A43A4"/>
    <w:rsid w:val="003A7242"/>
    <w:rsid w:val="003A7E18"/>
    <w:rsid w:val="003C4C86"/>
    <w:rsid w:val="003C6258"/>
    <w:rsid w:val="003D2C43"/>
    <w:rsid w:val="003E2904"/>
    <w:rsid w:val="00401927"/>
    <w:rsid w:val="0040709B"/>
    <w:rsid w:val="0041027F"/>
    <w:rsid w:val="00412475"/>
    <w:rsid w:val="0042369D"/>
    <w:rsid w:val="00423789"/>
    <w:rsid w:val="00440F43"/>
    <w:rsid w:val="00441B6F"/>
    <w:rsid w:val="00446221"/>
    <w:rsid w:val="00450E62"/>
    <w:rsid w:val="004539DB"/>
    <w:rsid w:val="00471A80"/>
    <w:rsid w:val="00484C58"/>
    <w:rsid w:val="004A27B0"/>
    <w:rsid w:val="004D305E"/>
    <w:rsid w:val="004D327D"/>
    <w:rsid w:val="004D4277"/>
    <w:rsid w:val="004E57AF"/>
    <w:rsid w:val="00502516"/>
    <w:rsid w:val="00505F06"/>
    <w:rsid w:val="00506828"/>
    <w:rsid w:val="00530058"/>
    <w:rsid w:val="0053056E"/>
    <w:rsid w:val="00530E07"/>
    <w:rsid w:val="0053283E"/>
    <w:rsid w:val="00554FDA"/>
    <w:rsid w:val="005A7FEC"/>
    <w:rsid w:val="005C784C"/>
    <w:rsid w:val="005D17F6"/>
    <w:rsid w:val="005E5539"/>
    <w:rsid w:val="005F5025"/>
    <w:rsid w:val="00602BF5"/>
    <w:rsid w:val="00617FDD"/>
    <w:rsid w:val="00633614"/>
    <w:rsid w:val="00633F68"/>
    <w:rsid w:val="00636EB2"/>
    <w:rsid w:val="006375B8"/>
    <w:rsid w:val="006525EF"/>
    <w:rsid w:val="0066510A"/>
    <w:rsid w:val="00671EF0"/>
    <w:rsid w:val="00673F9F"/>
    <w:rsid w:val="00677B1B"/>
    <w:rsid w:val="00686953"/>
    <w:rsid w:val="00687DEA"/>
    <w:rsid w:val="00687E67"/>
    <w:rsid w:val="00695DD1"/>
    <w:rsid w:val="006967F7"/>
    <w:rsid w:val="006A250C"/>
    <w:rsid w:val="006B21D3"/>
    <w:rsid w:val="006B57D0"/>
    <w:rsid w:val="006D30FF"/>
    <w:rsid w:val="006D6940"/>
    <w:rsid w:val="006F11EC"/>
    <w:rsid w:val="006F1A74"/>
    <w:rsid w:val="0070082C"/>
    <w:rsid w:val="007024A0"/>
    <w:rsid w:val="007369E6"/>
    <w:rsid w:val="00746E59"/>
    <w:rsid w:val="00754C9A"/>
    <w:rsid w:val="00755593"/>
    <w:rsid w:val="0075599A"/>
    <w:rsid w:val="00761D52"/>
    <w:rsid w:val="0077749E"/>
    <w:rsid w:val="00790ADA"/>
    <w:rsid w:val="007C23E2"/>
    <w:rsid w:val="007C4707"/>
    <w:rsid w:val="007D2288"/>
    <w:rsid w:val="007E088F"/>
    <w:rsid w:val="007F7B32"/>
    <w:rsid w:val="00804BC2"/>
    <w:rsid w:val="00807C81"/>
    <w:rsid w:val="0081431A"/>
    <w:rsid w:val="0083216F"/>
    <w:rsid w:val="00841255"/>
    <w:rsid w:val="00860000"/>
    <w:rsid w:val="00863BD3"/>
    <w:rsid w:val="008641ED"/>
    <w:rsid w:val="00866D66"/>
    <w:rsid w:val="008671C6"/>
    <w:rsid w:val="00875803"/>
    <w:rsid w:val="008B459E"/>
    <w:rsid w:val="008C1988"/>
    <w:rsid w:val="008E13AE"/>
    <w:rsid w:val="008E1506"/>
    <w:rsid w:val="008E710C"/>
    <w:rsid w:val="008E7408"/>
    <w:rsid w:val="008F69D6"/>
    <w:rsid w:val="009012D1"/>
    <w:rsid w:val="00902823"/>
    <w:rsid w:val="0090716B"/>
    <w:rsid w:val="00915CA6"/>
    <w:rsid w:val="00927834"/>
    <w:rsid w:val="009304BC"/>
    <w:rsid w:val="009500A6"/>
    <w:rsid w:val="00957C18"/>
    <w:rsid w:val="009659BA"/>
    <w:rsid w:val="00983040"/>
    <w:rsid w:val="009A0AEB"/>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50"/>
    <w:rsid w:val="00A44E79"/>
    <w:rsid w:val="00A51431"/>
    <w:rsid w:val="00A539AD"/>
    <w:rsid w:val="00A6127A"/>
    <w:rsid w:val="00A912C0"/>
    <w:rsid w:val="00A94063"/>
    <w:rsid w:val="00AA6219"/>
    <w:rsid w:val="00AA74E0"/>
    <w:rsid w:val="00AA774B"/>
    <w:rsid w:val="00AB233C"/>
    <w:rsid w:val="00AB703F"/>
    <w:rsid w:val="00AC6BB8"/>
    <w:rsid w:val="00AE008F"/>
    <w:rsid w:val="00B01FCD"/>
    <w:rsid w:val="00B06BBB"/>
    <w:rsid w:val="00B1776C"/>
    <w:rsid w:val="00B31FBC"/>
    <w:rsid w:val="00B52583"/>
    <w:rsid w:val="00B52896"/>
    <w:rsid w:val="00B802C9"/>
    <w:rsid w:val="00B95236"/>
    <w:rsid w:val="00B96BD9"/>
    <w:rsid w:val="00BA1B01"/>
    <w:rsid w:val="00BA2641"/>
    <w:rsid w:val="00BB2100"/>
    <w:rsid w:val="00BB2564"/>
    <w:rsid w:val="00BB37AA"/>
    <w:rsid w:val="00BC53A0"/>
    <w:rsid w:val="00BD4D35"/>
    <w:rsid w:val="00BE3618"/>
    <w:rsid w:val="00BE62AD"/>
    <w:rsid w:val="00BF121F"/>
    <w:rsid w:val="00BF1F80"/>
    <w:rsid w:val="00C13909"/>
    <w:rsid w:val="00C166EF"/>
    <w:rsid w:val="00C17EB0"/>
    <w:rsid w:val="00C27F5F"/>
    <w:rsid w:val="00C30A0F"/>
    <w:rsid w:val="00C37E61"/>
    <w:rsid w:val="00C70F1B"/>
    <w:rsid w:val="00C71A47"/>
    <w:rsid w:val="00C7464C"/>
    <w:rsid w:val="00C74D34"/>
    <w:rsid w:val="00C85588"/>
    <w:rsid w:val="00CD6755"/>
    <w:rsid w:val="00CD6856"/>
    <w:rsid w:val="00CE0089"/>
    <w:rsid w:val="00CE793C"/>
    <w:rsid w:val="00CF193C"/>
    <w:rsid w:val="00D173F1"/>
    <w:rsid w:val="00D23519"/>
    <w:rsid w:val="00D74CB0"/>
    <w:rsid w:val="00D8295D"/>
    <w:rsid w:val="00DC2A65"/>
    <w:rsid w:val="00DC664A"/>
    <w:rsid w:val="00DE15F0"/>
    <w:rsid w:val="00DE5663"/>
    <w:rsid w:val="00DE78AA"/>
    <w:rsid w:val="00E053D0"/>
    <w:rsid w:val="00E06F95"/>
    <w:rsid w:val="00E15994"/>
    <w:rsid w:val="00E2001D"/>
    <w:rsid w:val="00E20559"/>
    <w:rsid w:val="00E3114E"/>
    <w:rsid w:val="00E31A70"/>
    <w:rsid w:val="00E35B02"/>
    <w:rsid w:val="00E66496"/>
    <w:rsid w:val="00E66B35"/>
    <w:rsid w:val="00E66E10"/>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469F0"/>
    <w:rsid w:val="00F53273"/>
    <w:rsid w:val="00F755E4"/>
    <w:rsid w:val="00F77D02"/>
    <w:rsid w:val="00FB3A86"/>
    <w:rsid w:val="00FC3E87"/>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19315260.2025.2519210"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500 ppm</c:v>
                </c:pt>
              </c:strCache>
            </c:strRef>
          </c:tx>
          <c:spPr>
            <a:solidFill>
              <a:srgbClr val="00B05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Sheet1!$B$2:$B$10</c:f>
              <c:numCache>
                <c:formatCode>General</c:formatCode>
                <c:ptCount val="9"/>
                <c:pt idx="1">
                  <c:v>88.19</c:v>
                </c:pt>
                <c:pt idx="2">
                  <c:v>99.39</c:v>
                </c:pt>
                <c:pt idx="3">
                  <c:v>64.569999999999993</c:v>
                </c:pt>
                <c:pt idx="4">
                  <c:v>64.39</c:v>
                </c:pt>
                <c:pt idx="5">
                  <c:v>81.78</c:v>
                </c:pt>
                <c:pt idx="6">
                  <c:v>88.44</c:v>
                </c:pt>
                <c:pt idx="7">
                  <c:v>36.5</c:v>
                </c:pt>
                <c:pt idx="8">
                  <c:v>0</c:v>
                </c:pt>
              </c:numCache>
            </c:numRef>
          </c:val>
          <c:extLst xmlns:c16r2="http://schemas.microsoft.com/office/drawing/2015/06/chart">
            <c:ext xmlns:c16="http://schemas.microsoft.com/office/drawing/2014/chart" uri="{C3380CC4-5D6E-409C-BE32-E72D297353CC}">
              <c16:uniqueId val="{00000000-8E01-4B63-A9C1-E58F7E7ED9A7}"/>
            </c:ext>
          </c:extLst>
        </c:ser>
        <c:ser>
          <c:idx val="1"/>
          <c:order val="1"/>
          <c:tx>
            <c:strRef>
              <c:f>Sheet1!$C$1</c:f>
              <c:strCache>
                <c:ptCount val="1"/>
                <c:pt idx="0">
                  <c:v>1000 ppm</c:v>
                </c:pt>
              </c:strCache>
            </c:strRef>
          </c:tx>
          <c:spPr>
            <a:solidFill>
              <a:srgbClr val="FF00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Sheet1!$C$2:$C$10</c:f>
              <c:numCache>
                <c:formatCode>General</c:formatCode>
                <c:ptCount val="9"/>
                <c:pt idx="1">
                  <c:v>100</c:v>
                </c:pt>
                <c:pt idx="2">
                  <c:v>100</c:v>
                </c:pt>
                <c:pt idx="3">
                  <c:v>73.48</c:v>
                </c:pt>
                <c:pt idx="4">
                  <c:v>68.36</c:v>
                </c:pt>
                <c:pt idx="5">
                  <c:v>87.65</c:v>
                </c:pt>
                <c:pt idx="6">
                  <c:v>100</c:v>
                </c:pt>
                <c:pt idx="7">
                  <c:v>71.42</c:v>
                </c:pt>
                <c:pt idx="8">
                  <c:v>0</c:v>
                </c:pt>
              </c:numCache>
            </c:numRef>
          </c:val>
          <c:extLst xmlns:c16r2="http://schemas.microsoft.com/office/drawing/2015/06/chart">
            <c:ext xmlns:c16="http://schemas.microsoft.com/office/drawing/2014/chart" uri="{C3380CC4-5D6E-409C-BE32-E72D297353CC}">
              <c16:uniqueId val="{00000001-8E01-4B63-A9C1-E58F7E7ED9A7}"/>
            </c:ext>
          </c:extLst>
        </c:ser>
        <c:ser>
          <c:idx val="2"/>
          <c:order val="2"/>
          <c:tx>
            <c:strRef>
              <c:f>Sheet1!$D$1</c:f>
              <c:strCache>
                <c:ptCount val="1"/>
                <c:pt idx="0">
                  <c:v>Avg.</c:v>
                </c:pt>
              </c:strCache>
            </c:strRef>
          </c:tx>
          <c:spPr>
            <a:solidFill>
              <a:srgbClr val="FFFF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Sheet1!$D$2:$D$10</c:f>
              <c:numCache>
                <c:formatCode>General</c:formatCode>
                <c:ptCount val="9"/>
                <c:pt idx="1">
                  <c:v>94.1</c:v>
                </c:pt>
                <c:pt idx="2">
                  <c:v>99.7</c:v>
                </c:pt>
                <c:pt idx="3">
                  <c:v>69.03</c:v>
                </c:pt>
                <c:pt idx="4">
                  <c:v>66.36</c:v>
                </c:pt>
                <c:pt idx="5">
                  <c:v>84.72</c:v>
                </c:pt>
                <c:pt idx="6">
                  <c:v>94.22</c:v>
                </c:pt>
                <c:pt idx="7">
                  <c:v>53.96</c:v>
                </c:pt>
                <c:pt idx="8">
                  <c:v>0</c:v>
                </c:pt>
              </c:numCache>
            </c:numRef>
          </c:val>
          <c:extLst xmlns:c16r2="http://schemas.microsoft.com/office/drawing/2015/06/chart">
            <c:ext xmlns:c16="http://schemas.microsoft.com/office/drawing/2014/chart" uri="{C3380CC4-5D6E-409C-BE32-E72D297353CC}">
              <c16:uniqueId val="{00000002-8E01-4B63-A9C1-E58F7E7ED9A7}"/>
            </c:ext>
          </c:extLst>
        </c:ser>
        <c:dLbls>
          <c:showLegendKey val="0"/>
          <c:showVal val="0"/>
          <c:showCatName val="0"/>
          <c:showSerName val="0"/>
          <c:showPercent val="0"/>
          <c:showBubbleSize val="0"/>
        </c:dLbls>
        <c:gapWidth val="150"/>
        <c:shape val="box"/>
        <c:axId val="198004096"/>
        <c:axId val="221071616"/>
        <c:axId val="0"/>
      </c:bar3DChart>
      <c:catAx>
        <c:axId val="198004096"/>
        <c:scaling>
          <c:orientation val="minMax"/>
        </c:scaling>
        <c:delete val="0"/>
        <c:axPos val="b"/>
        <c:title>
          <c:tx>
            <c:rich>
              <a:bodyPr/>
              <a:lstStyle/>
              <a:p>
                <a:pPr>
                  <a:defRPr/>
                </a:pPr>
                <a:r>
                  <a:rPr lang="en-US" sz="1200" dirty="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221071616"/>
        <c:crosses val="autoZero"/>
        <c:auto val="1"/>
        <c:lblAlgn val="ctr"/>
        <c:lblOffset val="100"/>
        <c:noMultiLvlLbl val="0"/>
      </c:catAx>
      <c:valAx>
        <c:axId val="221071616"/>
        <c:scaling>
          <c:orientation val="minMax"/>
        </c:scaling>
        <c:delete val="0"/>
        <c:axPos val="l"/>
        <c:majorGridlines/>
        <c:title>
          <c:tx>
            <c:rich>
              <a:bodyPr rot="-5400000" vert="horz"/>
              <a:lstStyle/>
              <a:p>
                <a:pPr>
                  <a:defRPr/>
                </a:pPr>
                <a:r>
                  <a:rPr lang="en-US" sz="1200" dirty="0">
                    <a:latin typeface="Times New Roman" pitchFamily="18" charset="0"/>
                    <a:cs typeface="Times New Roman" pitchFamily="18" charset="0"/>
                  </a:rPr>
                  <a:t>% Inhibition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98004096"/>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2000 ppm</c:v>
                </c:pt>
              </c:strCache>
            </c:strRef>
          </c:tx>
          <c:spPr>
            <a:solidFill>
              <a:srgbClr val="00B05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Sheet1!$B$2:$B$10</c:f>
              <c:numCache>
                <c:formatCode>General</c:formatCode>
                <c:ptCount val="9"/>
                <c:pt idx="1">
                  <c:v>88.19</c:v>
                </c:pt>
                <c:pt idx="2">
                  <c:v>99.39</c:v>
                </c:pt>
                <c:pt idx="3">
                  <c:v>64.569999999999993</c:v>
                </c:pt>
                <c:pt idx="4">
                  <c:v>64.39</c:v>
                </c:pt>
                <c:pt idx="5">
                  <c:v>81.78</c:v>
                </c:pt>
                <c:pt idx="6">
                  <c:v>88.44</c:v>
                </c:pt>
                <c:pt idx="7">
                  <c:v>36.5</c:v>
                </c:pt>
                <c:pt idx="8">
                  <c:v>0</c:v>
                </c:pt>
              </c:numCache>
            </c:numRef>
          </c:val>
          <c:extLst xmlns:c16r2="http://schemas.microsoft.com/office/drawing/2015/06/chart">
            <c:ext xmlns:c16="http://schemas.microsoft.com/office/drawing/2014/chart" uri="{C3380CC4-5D6E-409C-BE32-E72D297353CC}">
              <c16:uniqueId val="{00000000-3BC7-4A6B-9995-57672F347FC7}"/>
            </c:ext>
          </c:extLst>
        </c:ser>
        <c:ser>
          <c:idx val="1"/>
          <c:order val="1"/>
          <c:tx>
            <c:strRef>
              <c:f>Sheet1!$C$1</c:f>
              <c:strCache>
                <c:ptCount val="1"/>
                <c:pt idx="0">
                  <c:v>2500 ppm</c:v>
                </c:pt>
              </c:strCache>
            </c:strRef>
          </c:tx>
          <c:spPr>
            <a:solidFill>
              <a:srgbClr val="FF00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Sheet1!$C$2:$C$10</c:f>
              <c:numCache>
                <c:formatCode>General</c:formatCode>
                <c:ptCount val="9"/>
                <c:pt idx="1">
                  <c:v>100</c:v>
                </c:pt>
                <c:pt idx="2">
                  <c:v>100</c:v>
                </c:pt>
                <c:pt idx="3">
                  <c:v>73.48</c:v>
                </c:pt>
                <c:pt idx="4">
                  <c:v>68.36</c:v>
                </c:pt>
                <c:pt idx="5">
                  <c:v>87.65</c:v>
                </c:pt>
                <c:pt idx="6">
                  <c:v>100</c:v>
                </c:pt>
                <c:pt idx="7">
                  <c:v>71.42</c:v>
                </c:pt>
                <c:pt idx="8">
                  <c:v>0</c:v>
                </c:pt>
              </c:numCache>
            </c:numRef>
          </c:val>
          <c:extLst xmlns:c16r2="http://schemas.microsoft.com/office/drawing/2015/06/chart">
            <c:ext xmlns:c16="http://schemas.microsoft.com/office/drawing/2014/chart" uri="{C3380CC4-5D6E-409C-BE32-E72D297353CC}">
              <c16:uniqueId val="{00000001-3BC7-4A6B-9995-57672F347FC7}"/>
            </c:ext>
          </c:extLst>
        </c:ser>
        <c:ser>
          <c:idx val="2"/>
          <c:order val="2"/>
          <c:tx>
            <c:strRef>
              <c:f>Sheet1!$D$1</c:f>
              <c:strCache>
                <c:ptCount val="1"/>
                <c:pt idx="0">
                  <c:v>Avg.</c:v>
                </c:pt>
              </c:strCache>
            </c:strRef>
          </c:tx>
          <c:spPr>
            <a:solidFill>
              <a:srgbClr val="FFFF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Sheet1!$D$2:$D$10</c:f>
              <c:numCache>
                <c:formatCode>General</c:formatCode>
                <c:ptCount val="9"/>
                <c:pt idx="1">
                  <c:v>94.1</c:v>
                </c:pt>
                <c:pt idx="2">
                  <c:v>99.7</c:v>
                </c:pt>
                <c:pt idx="3">
                  <c:v>69.03</c:v>
                </c:pt>
                <c:pt idx="4">
                  <c:v>66.36</c:v>
                </c:pt>
                <c:pt idx="5">
                  <c:v>84.72</c:v>
                </c:pt>
                <c:pt idx="6">
                  <c:v>94.22</c:v>
                </c:pt>
                <c:pt idx="7">
                  <c:v>53.96</c:v>
                </c:pt>
                <c:pt idx="8">
                  <c:v>0</c:v>
                </c:pt>
              </c:numCache>
            </c:numRef>
          </c:val>
          <c:extLst xmlns:c16r2="http://schemas.microsoft.com/office/drawing/2015/06/chart">
            <c:ext xmlns:c16="http://schemas.microsoft.com/office/drawing/2014/chart" uri="{C3380CC4-5D6E-409C-BE32-E72D297353CC}">
              <c16:uniqueId val="{00000002-3BC7-4A6B-9995-57672F347FC7}"/>
            </c:ext>
          </c:extLst>
        </c:ser>
        <c:dLbls>
          <c:showLegendKey val="0"/>
          <c:showVal val="0"/>
          <c:showCatName val="0"/>
          <c:showSerName val="0"/>
          <c:showPercent val="0"/>
          <c:showBubbleSize val="0"/>
        </c:dLbls>
        <c:gapWidth val="150"/>
        <c:shape val="box"/>
        <c:axId val="166844672"/>
        <c:axId val="166846848"/>
        <c:axId val="0"/>
      </c:bar3DChart>
      <c:catAx>
        <c:axId val="166844672"/>
        <c:scaling>
          <c:orientation val="minMax"/>
        </c:scaling>
        <c:delete val="0"/>
        <c:axPos val="b"/>
        <c:title>
          <c:tx>
            <c:rich>
              <a:bodyPr/>
              <a:lstStyle/>
              <a:p>
                <a:pPr>
                  <a:defRPr/>
                </a:pPr>
                <a:r>
                  <a:rPr lang="en-US" sz="1200" dirty="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166846848"/>
        <c:crosses val="autoZero"/>
        <c:auto val="1"/>
        <c:lblAlgn val="ctr"/>
        <c:lblOffset val="100"/>
        <c:noMultiLvlLbl val="0"/>
      </c:catAx>
      <c:valAx>
        <c:axId val="166846848"/>
        <c:scaling>
          <c:orientation val="minMax"/>
        </c:scaling>
        <c:delete val="0"/>
        <c:axPos val="l"/>
        <c:majorGridlines/>
        <c:title>
          <c:tx>
            <c:rich>
              <a:bodyPr rot="-5400000" vert="horz"/>
              <a:lstStyle/>
              <a:p>
                <a:pPr>
                  <a:defRPr/>
                </a:pPr>
                <a:r>
                  <a:rPr lang="en-US" sz="1200" dirty="0">
                    <a:latin typeface="Times New Roman" pitchFamily="18" charset="0"/>
                    <a:cs typeface="Times New Roman" pitchFamily="18" charset="0"/>
                  </a:rPr>
                  <a:t>% Inhibition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66844672"/>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A741-BAD9-472D-9F8A-4C59F195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8</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Rushikesh</cp:lastModifiedBy>
  <cp:revision>4</cp:revision>
  <cp:lastPrinted>2025-08-05T15:22:00Z</cp:lastPrinted>
  <dcterms:created xsi:type="dcterms:W3CDTF">2025-08-11T14:34:00Z</dcterms:created>
  <dcterms:modified xsi:type="dcterms:W3CDTF">2025-08-11T16:49:00Z</dcterms:modified>
</cp:coreProperties>
</file>