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1C9" w:rsidRPr="00311ECD" w:rsidRDefault="00625E18" w:rsidP="005833CD">
      <w:pPr>
        <w:spacing w:after="0"/>
        <w:jc w:val="center"/>
        <w:rPr>
          <w:rFonts w:ascii="Times New Roman" w:hAnsi="Times New Roman" w:cs="Times New Roman"/>
          <w:b/>
          <w:bCs/>
          <w:sz w:val="28"/>
          <w:szCs w:val="28"/>
        </w:rPr>
      </w:pPr>
      <w:r w:rsidRPr="00311ECD">
        <w:rPr>
          <w:rFonts w:ascii="Times New Roman" w:hAnsi="Times New Roman" w:cs="Times New Roman"/>
          <w:b/>
          <w:bCs/>
          <w:sz w:val="28"/>
          <w:szCs w:val="28"/>
          <w:lang w:val="en-US"/>
        </w:rPr>
        <w:t xml:space="preserve">Influence of </w:t>
      </w:r>
      <w:r w:rsidR="00311ECD" w:rsidRPr="00311ECD">
        <w:rPr>
          <w:rFonts w:ascii="Times New Roman" w:hAnsi="Times New Roman" w:cs="Times New Roman"/>
          <w:b/>
          <w:bCs/>
          <w:sz w:val="28"/>
          <w:szCs w:val="28"/>
          <w:lang w:val="en-US"/>
        </w:rPr>
        <w:t xml:space="preserve">integrated nutrient management </w:t>
      </w:r>
      <w:r w:rsidRPr="00311ECD">
        <w:rPr>
          <w:rFonts w:ascii="Times New Roman" w:hAnsi="Times New Roman" w:cs="Times New Roman"/>
          <w:b/>
          <w:bCs/>
          <w:sz w:val="28"/>
          <w:szCs w:val="28"/>
          <w:lang w:val="en-US"/>
        </w:rPr>
        <w:t>on growth and seed yield of cowpea [</w:t>
      </w:r>
      <w:r w:rsidRPr="00311ECD">
        <w:rPr>
          <w:rFonts w:ascii="Times New Roman" w:hAnsi="Times New Roman" w:cs="Times New Roman"/>
          <w:b/>
          <w:bCs/>
          <w:i/>
          <w:iCs/>
          <w:sz w:val="28"/>
          <w:szCs w:val="28"/>
          <w:lang w:val="en-US"/>
        </w:rPr>
        <w:t xml:space="preserve">Vigna </w:t>
      </w:r>
      <w:proofErr w:type="spellStart"/>
      <w:r w:rsidRPr="00311ECD">
        <w:rPr>
          <w:rFonts w:ascii="Times New Roman" w:hAnsi="Times New Roman" w:cs="Times New Roman"/>
          <w:b/>
          <w:bCs/>
          <w:i/>
          <w:iCs/>
          <w:sz w:val="28"/>
          <w:szCs w:val="28"/>
          <w:lang w:val="en-US"/>
        </w:rPr>
        <w:t>unguiculata</w:t>
      </w:r>
      <w:proofErr w:type="spellEnd"/>
      <w:r w:rsidRPr="00311ECD">
        <w:rPr>
          <w:rFonts w:ascii="Times New Roman" w:hAnsi="Times New Roman" w:cs="Times New Roman"/>
          <w:b/>
          <w:bCs/>
          <w:sz w:val="28"/>
          <w:szCs w:val="28"/>
          <w:lang w:val="en-US"/>
        </w:rPr>
        <w:t xml:space="preserve"> (L.) </w:t>
      </w:r>
      <w:proofErr w:type="spellStart"/>
      <w:r w:rsidRPr="00311ECD">
        <w:rPr>
          <w:rFonts w:ascii="Times New Roman" w:hAnsi="Times New Roman" w:cs="Times New Roman"/>
          <w:b/>
          <w:bCs/>
          <w:sz w:val="28"/>
          <w:szCs w:val="28"/>
          <w:lang w:val="en-US"/>
        </w:rPr>
        <w:t>Walp</w:t>
      </w:r>
      <w:proofErr w:type="spellEnd"/>
      <w:r w:rsidRPr="00311ECD">
        <w:rPr>
          <w:rFonts w:ascii="Times New Roman" w:hAnsi="Times New Roman" w:cs="Times New Roman"/>
          <w:b/>
          <w:bCs/>
          <w:sz w:val="28"/>
          <w:szCs w:val="28"/>
          <w:lang w:val="en-US"/>
        </w:rPr>
        <w:t>]</w:t>
      </w:r>
      <w:r w:rsidR="00F0112F" w:rsidRPr="00311ECD">
        <w:rPr>
          <w:rFonts w:ascii="Times New Roman" w:hAnsi="Times New Roman" w:cs="Times New Roman"/>
          <w:b/>
          <w:bCs/>
          <w:sz w:val="28"/>
          <w:szCs w:val="28"/>
          <w:lang w:val="en-US"/>
        </w:rPr>
        <w:t xml:space="preserve"> under </w:t>
      </w:r>
      <w:proofErr w:type="spellStart"/>
      <w:r w:rsidR="00F0112F" w:rsidRPr="00311ECD">
        <w:rPr>
          <w:rFonts w:ascii="Times New Roman" w:hAnsi="Times New Roman" w:cs="Times New Roman"/>
          <w:b/>
          <w:bCs/>
          <w:sz w:val="28"/>
          <w:szCs w:val="28"/>
          <w:lang w:val="en-US"/>
        </w:rPr>
        <w:t>Balaghat</w:t>
      </w:r>
      <w:proofErr w:type="spellEnd"/>
      <w:r w:rsidR="00F0112F" w:rsidRPr="00311ECD">
        <w:rPr>
          <w:rFonts w:ascii="Times New Roman" w:hAnsi="Times New Roman" w:cs="Times New Roman"/>
          <w:b/>
          <w:bCs/>
          <w:sz w:val="28"/>
          <w:szCs w:val="28"/>
          <w:lang w:val="en-US"/>
        </w:rPr>
        <w:t xml:space="preserve"> (M.P.) condition</w:t>
      </w:r>
    </w:p>
    <w:p w:rsidR="00503733" w:rsidRPr="00311ECD" w:rsidRDefault="00667CAB" w:rsidP="005833CD">
      <w:pPr>
        <w:spacing w:after="0"/>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pict>
          <v:line id="Straight Connector 2" o:spid="_x0000_s1026" style="position:absolute;left:0;text-align:left;z-index:251659264;visibility:visible;mso-wrap-distance-top:-6e-5mm;mso-wrap-distance-bottom:-6e-5mm" from=".5pt,6.25pt" to="46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" strokeweight="3pt">
            <v:stroke linestyle="thinThin"/>
          </v:line>
        </w:pict>
      </w:r>
    </w:p>
    <w:p w:rsidR="00503733" w:rsidRPr="00311ECD" w:rsidRDefault="00503733" w:rsidP="005833CD">
      <w:pPr>
        <w:spacing w:after="0"/>
        <w:jc w:val="center"/>
        <w:rPr>
          <w:rFonts w:ascii="Times New Roman" w:hAnsi="Times New Roman" w:cs="Times New Roman"/>
          <w:sz w:val="24"/>
          <w:szCs w:val="24"/>
        </w:rPr>
      </w:pPr>
      <w:r w:rsidRPr="00311ECD">
        <w:rPr>
          <w:rFonts w:ascii="Times New Roman" w:hAnsi="Times New Roman" w:cs="Times New Roman"/>
          <w:b/>
          <w:bCs/>
          <w:sz w:val="24"/>
          <w:szCs w:val="24"/>
          <w:u w:val="single"/>
        </w:rPr>
        <w:t>ABSTRACT</w:t>
      </w:r>
    </w:p>
    <w:p w:rsidR="00B449B8" w:rsidRPr="00311ECD" w:rsidRDefault="00671D5C" w:rsidP="00671D1B">
      <w:pPr>
        <w:jc w:val="both"/>
        <w:rPr>
          <w:rFonts w:ascii="Times New Roman" w:hAnsi="Times New Roman" w:cs="Times New Roman"/>
          <w:sz w:val="24"/>
          <w:szCs w:val="24"/>
        </w:rPr>
      </w:pPr>
      <w:r w:rsidRPr="00311ECD">
        <w:rPr>
          <w:rFonts w:ascii="Times New Roman" w:hAnsi="Times New Roman" w:cs="Times New Roman"/>
          <w:sz w:val="24"/>
          <w:szCs w:val="24"/>
        </w:rPr>
        <w:t xml:space="preserve">The present investigation </w:t>
      </w:r>
      <w:r w:rsidR="002A7BB0" w:rsidRPr="00311ECD">
        <w:rPr>
          <w:rFonts w:ascii="Times New Roman" w:hAnsi="Times New Roman" w:cs="Times New Roman"/>
          <w:sz w:val="24"/>
          <w:szCs w:val="24"/>
          <w:lang w:val="en-GB"/>
        </w:rPr>
        <w:t xml:space="preserve">was </w:t>
      </w:r>
      <w:r w:rsidR="007B4447">
        <w:rPr>
          <w:rFonts w:ascii="Times New Roman" w:hAnsi="Times New Roman" w:cs="Times New Roman"/>
          <w:sz w:val="24"/>
          <w:szCs w:val="24"/>
          <w:lang w:val="en-GB"/>
        </w:rPr>
        <w:t>conducted</w:t>
      </w:r>
      <w:r w:rsidR="002A7BB0" w:rsidRPr="00311ECD">
        <w:rPr>
          <w:rFonts w:ascii="Times New Roman" w:hAnsi="Times New Roman" w:cs="Times New Roman"/>
          <w:sz w:val="24"/>
          <w:szCs w:val="24"/>
          <w:lang w:val="en-GB"/>
        </w:rPr>
        <w:t xml:space="preserve"> to understand the effect of </w:t>
      </w:r>
      <w:r w:rsidR="00671D1B" w:rsidRPr="00671D1B">
        <w:rPr>
          <w:rFonts w:ascii="Times New Roman" w:hAnsi="Times New Roman" w:cs="Times New Roman"/>
          <w:sz w:val="24"/>
          <w:szCs w:val="24"/>
          <w:lang w:val="en-GB"/>
        </w:rPr>
        <w:t>integrated nutrient management</w:t>
      </w:r>
      <w:r w:rsidR="002A7BB0" w:rsidRPr="00311ECD">
        <w:rPr>
          <w:rFonts w:ascii="Times New Roman" w:hAnsi="Times New Roman" w:cs="Times New Roman"/>
          <w:sz w:val="24"/>
          <w:szCs w:val="24"/>
          <w:lang w:val="en-GB"/>
        </w:rPr>
        <w:t xml:space="preserve"> on </w:t>
      </w:r>
      <w:r w:rsidR="007B4447">
        <w:rPr>
          <w:rFonts w:ascii="Times New Roman" w:hAnsi="Times New Roman" w:cs="Times New Roman"/>
          <w:sz w:val="24"/>
          <w:szCs w:val="24"/>
          <w:lang w:val="en-GB"/>
        </w:rPr>
        <w:t xml:space="preserve">the </w:t>
      </w:r>
      <w:r w:rsidR="002A7BB0" w:rsidRPr="00311ECD">
        <w:rPr>
          <w:rFonts w:ascii="Times New Roman" w:hAnsi="Times New Roman" w:cs="Times New Roman"/>
          <w:sz w:val="24"/>
          <w:szCs w:val="24"/>
          <w:lang w:val="en-GB"/>
        </w:rPr>
        <w:t xml:space="preserve">growth and </w:t>
      </w:r>
      <w:r w:rsidR="00C369F9">
        <w:rPr>
          <w:rFonts w:ascii="Times New Roman" w:hAnsi="Times New Roman" w:cs="Times New Roman"/>
          <w:sz w:val="24"/>
          <w:szCs w:val="24"/>
          <w:lang w:val="en-GB"/>
        </w:rPr>
        <w:t xml:space="preserve">seed </w:t>
      </w:r>
      <w:r w:rsidR="002A7BB0" w:rsidRPr="00311ECD">
        <w:rPr>
          <w:rFonts w:ascii="Times New Roman" w:hAnsi="Times New Roman" w:cs="Times New Roman"/>
          <w:sz w:val="24"/>
          <w:szCs w:val="24"/>
          <w:lang w:val="en-GB"/>
        </w:rPr>
        <w:t>yield of</w:t>
      </w:r>
      <w:r w:rsidR="00D61D95">
        <w:rPr>
          <w:rFonts w:ascii="Times New Roman" w:hAnsi="Times New Roman" w:cs="Times New Roman"/>
          <w:sz w:val="24"/>
          <w:szCs w:val="24"/>
          <w:lang w:val="en-GB"/>
        </w:rPr>
        <w:t xml:space="preserve"> the</w:t>
      </w:r>
      <w:r w:rsidR="002A7BB0" w:rsidRPr="00311ECD">
        <w:rPr>
          <w:rFonts w:ascii="Times New Roman" w:hAnsi="Times New Roman" w:cs="Times New Roman"/>
          <w:sz w:val="24"/>
          <w:szCs w:val="24"/>
          <w:lang w:val="en-GB"/>
        </w:rPr>
        <w:t xml:space="preserve"> cowpea variety </w:t>
      </w:r>
      <w:proofErr w:type="spellStart"/>
      <w:r w:rsidR="002A7BB0" w:rsidRPr="00311ECD">
        <w:rPr>
          <w:rFonts w:ascii="Times New Roman" w:hAnsi="Times New Roman" w:cs="Times New Roman"/>
          <w:sz w:val="24"/>
          <w:szCs w:val="24"/>
          <w:lang w:val="en-GB"/>
        </w:rPr>
        <w:t>Pusa</w:t>
      </w:r>
      <w:proofErr w:type="spellEnd"/>
      <w:r w:rsidR="002A7BB0" w:rsidRPr="00311ECD">
        <w:rPr>
          <w:rFonts w:ascii="Times New Roman" w:hAnsi="Times New Roman" w:cs="Times New Roman"/>
          <w:sz w:val="24"/>
          <w:szCs w:val="24"/>
          <w:lang w:val="en-GB"/>
        </w:rPr>
        <w:t xml:space="preserve"> </w:t>
      </w:r>
      <w:proofErr w:type="spellStart"/>
      <w:r w:rsidR="002A7BB0" w:rsidRPr="00311ECD">
        <w:rPr>
          <w:rFonts w:ascii="Times New Roman" w:hAnsi="Times New Roman" w:cs="Times New Roman"/>
          <w:sz w:val="24"/>
          <w:szCs w:val="24"/>
          <w:lang w:val="en-GB"/>
        </w:rPr>
        <w:t>Komal</w:t>
      </w:r>
      <w:proofErr w:type="spellEnd"/>
      <w:r w:rsidR="002A7BB0" w:rsidRPr="00311ECD">
        <w:rPr>
          <w:rFonts w:ascii="Times New Roman" w:hAnsi="Times New Roman" w:cs="Times New Roman"/>
          <w:sz w:val="24"/>
          <w:szCs w:val="24"/>
          <w:lang w:val="en-GB"/>
        </w:rPr>
        <w:t>. The investigation was carried out at Field of Horticulture Department, School of Agriculture</w:t>
      </w:r>
      <w:r w:rsidR="003624B4">
        <w:rPr>
          <w:rFonts w:ascii="Times New Roman" w:hAnsi="Times New Roman" w:cs="Times New Roman"/>
          <w:sz w:val="24"/>
          <w:szCs w:val="24"/>
          <w:lang w:val="en-GB"/>
        </w:rPr>
        <w:t xml:space="preserve"> Science, Technology and </w:t>
      </w:r>
      <w:r w:rsidR="002A7BB0" w:rsidRPr="00311ECD">
        <w:rPr>
          <w:rFonts w:ascii="Times New Roman" w:hAnsi="Times New Roman" w:cs="Times New Roman"/>
          <w:sz w:val="24"/>
          <w:szCs w:val="24"/>
          <w:lang w:val="en-GB"/>
        </w:rPr>
        <w:t xml:space="preserve">Research, Sardar Patel University, </w:t>
      </w:r>
      <w:proofErr w:type="spellStart"/>
      <w:r w:rsidR="002A7BB0" w:rsidRPr="00311ECD">
        <w:rPr>
          <w:rFonts w:ascii="Times New Roman" w:hAnsi="Times New Roman" w:cs="Times New Roman"/>
          <w:sz w:val="24"/>
          <w:szCs w:val="24"/>
          <w:lang w:val="en-GB"/>
        </w:rPr>
        <w:t>Balaghat</w:t>
      </w:r>
      <w:proofErr w:type="spellEnd"/>
      <w:r w:rsidR="002A7BB0" w:rsidRPr="00311ECD">
        <w:rPr>
          <w:rFonts w:ascii="Times New Roman" w:hAnsi="Times New Roman" w:cs="Times New Roman"/>
          <w:sz w:val="24"/>
          <w:szCs w:val="24"/>
          <w:lang w:val="en-GB"/>
        </w:rPr>
        <w:t xml:space="preserve">, (M.P.) during the </w:t>
      </w:r>
      <w:r w:rsidR="002A7BB0" w:rsidRPr="00311ECD">
        <w:rPr>
          <w:rFonts w:ascii="Times New Roman" w:hAnsi="Times New Roman" w:cs="Times New Roman"/>
          <w:i/>
          <w:iCs/>
          <w:sz w:val="24"/>
          <w:szCs w:val="24"/>
          <w:lang w:val="en-GB"/>
        </w:rPr>
        <w:t xml:space="preserve">Kharif </w:t>
      </w:r>
      <w:r w:rsidR="002A7BB0" w:rsidRPr="00311ECD">
        <w:rPr>
          <w:rFonts w:ascii="Times New Roman" w:hAnsi="Times New Roman" w:cs="Times New Roman"/>
          <w:sz w:val="24"/>
          <w:szCs w:val="24"/>
          <w:lang w:val="en-GB"/>
        </w:rPr>
        <w:t>season of 2023.</w:t>
      </w:r>
      <w:r w:rsidR="002A7BB0" w:rsidRPr="00311ECD">
        <w:rPr>
          <w:rFonts w:ascii="Times New Roman" w:hAnsi="Times New Roman" w:cs="Times New Roman"/>
          <w:sz w:val="24"/>
          <w:szCs w:val="24"/>
        </w:rPr>
        <w:t xml:space="preserve"> The experiment was laid out in </w:t>
      </w:r>
      <w:r w:rsidR="003B3837">
        <w:rPr>
          <w:rFonts w:ascii="Times New Roman" w:hAnsi="Times New Roman" w:cs="Times New Roman"/>
          <w:sz w:val="24"/>
          <w:szCs w:val="24"/>
        </w:rPr>
        <w:t xml:space="preserve">a </w:t>
      </w:r>
      <w:r w:rsidR="002A7BB0" w:rsidRPr="00311ECD">
        <w:rPr>
          <w:rFonts w:ascii="Times New Roman" w:hAnsi="Times New Roman" w:cs="Times New Roman"/>
          <w:sz w:val="24"/>
          <w:szCs w:val="24"/>
        </w:rPr>
        <w:t>Randomized Block Design (RBD) with 9 treatments comprising three replications each.</w:t>
      </w:r>
      <w:r w:rsidR="003624B4">
        <w:rPr>
          <w:rFonts w:ascii="Times New Roman" w:hAnsi="Times New Roman" w:cs="Times New Roman"/>
          <w:sz w:val="24"/>
          <w:szCs w:val="24"/>
        </w:rPr>
        <w:t xml:space="preserve"> </w:t>
      </w:r>
      <w:r w:rsidR="002A7BB0" w:rsidRPr="00311ECD">
        <w:rPr>
          <w:rFonts w:ascii="Times New Roman" w:hAnsi="Times New Roman" w:cs="Times New Roman"/>
          <w:sz w:val="24"/>
          <w:szCs w:val="24"/>
        </w:rPr>
        <w:t>The overall results obtained from this present investigation revealed</w:t>
      </w:r>
      <w:r w:rsidR="00666089">
        <w:rPr>
          <w:rFonts w:ascii="Times New Roman" w:hAnsi="Times New Roman" w:cs="Times New Roman"/>
          <w:sz w:val="24"/>
          <w:szCs w:val="24"/>
        </w:rPr>
        <w:t xml:space="preserve"> </w:t>
      </w:r>
      <w:r w:rsidR="002A7BB0" w:rsidRPr="00311ECD">
        <w:rPr>
          <w:rFonts w:ascii="Times New Roman" w:hAnsi="Times New Roman" w:cs="Times New Roman"/>
          <w:sz w:val="24"/>
          <w:szCs w:val="24"/>
        </w:rPr>
        <w:t xml:space="preserve">that the application of </w:t>
      </w:r>
      <w:r w:rsidR="000C5CE8">
        <w:rPr>
          <w:rFonts w:ascii="Times New Roman" w:hAnsi="Times New Roman" w:cs="Times New Roman"/>
          <w:sz w:val="24"/>
          <w:szCs w:val="24"/>
        </w:rPr>
        <w:t>T</w:t>
      </w:r>
      <w:r w:rsidR="000C5CE8" w:rsidRPr="000C5CE8">
        <w:rPr>
          <w:rFonts w:ascii="Times New Roman" w:hAnsi="Times New Roman" w:cs="Times New Roman"/>
          <w:sz w:val="24"/>
          <w:szCs w:val="24"/>
          <w:vertAlign w:val="subscript"/>
        </w:rPr>
        <w:t>1</w:t>
      </w:r>
      <w:r w:rsidR="000C5CE8">
        <w:rPr>
          <w:rFonts w:ascii="Times New Roman" w:hAnsi="Times New Roman" w:cs="Times New Roman"/>
          <w:sz w:val="24"/>
          <w:szCs w:val="24"/>
        </w:rPr>
        <w:t xml:space="preserve"> (RDF 100% i.e. NPK 25:50:25)</w:t>
      </w:r>
      <w:r w:rsidR="000C5CE8" w:rsidRPr="000C5CE8">
        <w:rPr>
          <w:rFonts w:ascii="Times New Roman" w:hAnsi="Times New Roman" w:cs="Times New Roman"/>
          <w:sz w:val="24"/>
          <w:szCs w:val="24"/>
        </w:rPr>
        <w:t xml:space="preserve"> </w:t>
      </w:r>
      <w:r w:rsidR="000C5CE8" w:rsidRPr="00311ECD">
        <w:rPr>
          <w:rFonts w:ascii="Times New Roman" w:hAnsi="Times New Roman" w:cs="Times New Roman"/>
          <w:sz w:val="24"/>
          <w:szCs w:val="24"/>
        </w:rPr>
        <w:t>showed the better performance for</w:t>
      </w:r>
      <w:r w:rsidR="000C5CE8">
        <w:rPr>
          <w:rFonts w:ascii="Times New Roman" w:hAnsi="Times New Roman" w:cs="Times New Roman"/>
          <w:sz w:val="24"/>
          <w:szCs w:val="24"/>
        </w:rPr>
        <w:t xml:space="preserve"> </w:t>
      </w:r>
      <w:r w:rsidR="000C5CE8" w:rsidRPr="00311ECD">
        <w:rPr>
          <w:rFonts w:ascii="Times New Roman" w:hAnsi="Times New Roman" w:cs="Times New Roman"/>
          <w:sz w:val="24"/>
          <w:szCs w:val="24"/>
        </w:rPr>
        <w:t>vegetative</w:t>
      </w:r>
      <w:r w:rsidR="000C5CE8">
        <w:rPr>
          <w:rFonts w:ascii="Times New Roman" w:hAnsi="Times New Roman" w:cs="Times New Roman"/>
          <w:sz w:val="24"/>
          <w:szCs w:val="24"/>
        </w:rPr>
        <w:t xml:space="preserve"> </w:t>
      </w:r>
      <w:r w:rsidR="000C5CE8" w:rsidRPr="00311ECD">
        <w:rPr>
          <w:rFonts w:ascii="Times New Roman" w:hAnsi="Times New Roman" w:cs="Times New Roman"/>
          <w:sz w:val="24"/>
          <w:szCs w:val="24"/>
        </w:rPr>
        <w:t>growth (plant</w:t>
      </w:r>
      <w:r w:rsidR="000C5CE8">
        <w:rPr>
          <w:rFonts w:ascii="Times New Roman" w:hAnsi="Times New Roman" w:cs="Times New Roman"/>
          <w:sz w:val="24"/>
          <w:szCs w:val="24"/>
        </w:rPr>
        <w:t xml:space="preserve"> </w:t>
      </w:r>
      <w:r w:rsidR="000C5CE8" w:rsidRPr="00311ECD">
        <w:rPr>
          <w:rFonts w:ascii="Times New Roman" w:hAnsi="Times New Roman" w:cs="Times New Roman"/>
          <w:sz w:val="24"/>
          <w:szCs w:val="24"/>
        </w:rPr>
        <w:t>height,</w:t>
      </w:r>
      <w:r w:rsidR="000C5CE8">
        <w:rPr>
          <w:rFonts w:ascii="Times New Roman" w:hAnsi="Times New Roman" w:cs="Times New Roman"/>
          <w:sz w:val="24"/>
          <w:szCs w:val="24"/>
        </w:rPr>
        <w:t xml:space="preserve"> </w:t>
      </w:r>
      <w:r w:rsidR="000C5CE8" w:rsidRPr="00311ECD">
        <w:rPr>
          <w:rFonts w:ascii="Times New Roman" w:hAnsi="Times New Roman" w:cs="Times New Roman"/>
          <w:sz w:val="24"/>
          <w:szCs w:val="24"/>
        </w:rPr>
        <w:t>number of branches per plant), yield attributes (number of pods per</w:t>
      </w:r>
      <w:r w:rsidR="000C5CE8">
        <w:rPr>
          <w:rFonts w:ascii="Times New Roman" w:hAnsi="Times New Roman" w:cs="Times New Roman"/>
          <w:sz w:val="24"/>
          <w:szCs w:val="24"/>
        </w:rPr>
        <w:t xml:space="preserve"> </w:t>
      </w:r>
      <w:r w:rsidR="000C5CE8" w:rsidRPr="00311ECD">
        <w:rPr>
          <w:rFonts w:ascii="Times New Roman" w:hAnsi="Times New Roman" w:cs="Times New Roman"/>
          <w:sz w:val="24"/>
          <w:szCs w:val="24"/>
        </w:rPr>
        <w:t>plant, pod weight, pod yield)</w:t>
      </w:r>
      <w:r w:rsidR="000C5CE8">
        <w:rPr>
          <w:rFonts w:ascii="Times New Roman" w:hAnsi="Times New Roman" w:cs="Times New Roman"/>
          <w:sz w:val="24"/>
          <w:szCs w:val="24"/>
        </w:rPr>
        <w:t xml:space="preserve"> </w:t>
      </w:r>
      <w:r w:rsidR="000C5CE8" w:rsidRPr="00311ECD">
        <w:rPr>
          <w:rFonts w:ascii="Times New Roman" w:hAnsi="Times New Roman" w:cs="Times New Roman"/>
          <w:sz w:val="24"/>
          <w:szCs w:val="24"/>
        </w:rPr>
        <w:t xml:space="preserve">of cowpea </w:t>
      </w:r>
      <w:r w:rsidR="000C5CE8">
        <w:rPr>
          <w:rFonts w:ascii="Times New Roman" w:hAnsi="Times New Roman" w:cs="Times New Roman"/>
          <w:sz w:val="24"/>
          <w:szCs w:val="24"/>
        </w:rPr>
        <w:t xml:space="preserve">followed by </w:t>
      </w:r>
      <w:r w:rsidR="002A7BB0" w:rsidRPr="00311ECD">
        <w:rPr>
          <w:rFonts w:ascii="Times New Roman" w:hAnsi="Times New Roman" w:cs="Times New Roman"/>
          <w:sz w:val="24"/>
          <w:szCs w:val="24"/>
        </w:rPr>
        <w:t>T</w:t>
      </w:r>
      <w:r w:rsidR="002A7BB0" w:rsidRPr="00311ECD">
        <w:rPr>
          <w:rFonts w:ascii="Times New Roman" w:hAnsi="Times New Roman" w:cs="Times New Roman"/>
          <w:sz w:val="24"/>
          <w:szCs w:val="24"/>
          <w:vertAlign w:val="subscript"/>
        </w:rPr>
        <w:t>6</w:t>
      </w:r>
      <w:r w:rsidR="002A7BB0" w:rsidRPr="00311ECD">
        <w:rPr>
          <w:rFonts w:ascii="Times New Roman" w:hAnsi="Times New Roman" w:cs="Times New Roman"/>
          <w:sz w:val="24"/>
          <w:szCs w:val="24"/>
        </w:rPr>
        <w:t xml:space="preserve"> (75% RDF + 25% VC)</w:t>
      </w:r>
      <w:r w:rsidR="00666089">
        <w:rPr>
          <w:rFonts w:ascii="Times New Roman" w:hAnsi="Times New Roman" w:cs="Times New Roman"/>
          <w:sz w:val="24"/>
          <w:szCs w:val="24"/>
        </w:rPr>
        <w:t xml:space="preserve">. </w:t>
      </w:r>
      <w:r w:rsidR="002A7BB0" w:rsidRPr="00311ECD">
        <w:rPr>
          <w:rFonts w:ascii="Times New Roman" w:hAnsi="Times New Roman" w:cs="Times New Roman"/>
          <w:sz w:val="24"/>
          <w:szCs w:val="24"/>
        </w:rPr>
        <w:t>T</w:t>
      </w:r>
      <w:r w:rsidR="000C5CE8">
        <w:rPr>
          <w:rFonts w:ascii="Times New Roman" w:hAnsi="Times New Roman" w:cs="Times New Roman"/>
          <w:sz w:val="24"/>
          <w:szCs w:val="24"/>
          <w:vertAlign w:val="subscript"/>
        </w:rPr>
        <w:t>1</w:t>
      </w:r>
      <w:r w:rsidR="002A7BB0" w:rsidRPr="00311ECD">
        <w:rPr>
          <w:rFonts w:ascii="Times New Roman" w:hAnsi="Times New Roman" w:cs="Times New Roman"/>
          <w:sz w:val="24"/>
          <w:szCs w:val="24"/>
        </w:rPr>
        <w:t xml:space="preserve"> also recorded </w:t>
      </w:r>
      <w:r w:rsidR="00463B04">
        <w:rPr>
          <w:rFonts w:ascii="Times New Roman" w:hAnsi="Times New Roman" w:cs="Times New Roman"/>
          <w:sz w:val="24"/>
          <w:szCs w:val="24"/>
        </w:rPr>
        <w:t xml:space="preserve">the </w:t>
      </w:r>
      <w:r w:rsidR="002A7BB0" w:rsidRPr="00311ECD">
        <w:rPr>
          <w:rFonts w:ascii="Times New Roman" w:hAnsi="Times New Roman" w:cs="Times New Roman"/>
          <w:sz w:val="24"/>
          <w:szCs w:val="24"/>
        </w:rPr>
        <w:t>highest net return and benefit cost ratio. Thus, integrated use of nutrients may be suggested</w:t>
      </w:r>
      <w:r w:rsidR="00666089">
        <w:rPr>
          <w:rFonts w:ascii="Times New Roman" w:hAnsi="Times New Roman" w:cs="Times New Roman"/>
          <w:sz w:val="24"/>
          <w:szCs w:val="24"/>
        </w:rPr>
        <w:t xml:space="preserve"> </w:t>
      </w:r>
      <w:r w:rsidR="002A7BB0" w:rsidRPr="00311ECD">
        <w:rPr>
          <w:rFonts w:ascii="Times New Roman" w:hAnsi="Times New Roman" w:cs="Times New Roman"/>
          <w:sz w:val="24"/>
          <w:szCs w:val="24"/>
        </w:rPr>
        <w:t xml:space="preserve">for higher crop productivity along with over all betterment of okra under </w:t>
      </w:r>
      <w:proofErr w:type="spellStart"/>
      <w:r w:rsidR="002A7BB0" w:rsidRPr="00311ECD">
        <w:rPr>
          <w:rFonts w:ascii="Times New Roman" w:hAnsi="Times New Roman" w:cs="Times New Roman"/>
          <w:sz w:val="24"/>
          <w:szCs w:val="24"/>
        </w:rPr>
        <w:t>Balaghat</w:t>
      </w:r>
      <w:proofErr w:type="spellEnd"/>
      <w:r w:rsidR="002A7BB0" w:rsidRPr="00311ECD">
        <w:rPr>
          <w:rFonts w:ascii="Times New Roman" w:hAnsi="Times New Roman" w:cs="Times New Roman"/>
          <w:sz w:val="24"/>
          <w:szCs w:val="24"/>
        </w:rPr>
        <w:t xml:space="preserve"> (M.P.) conditions.</w:t>
      </w:r>
    </w:p>
    <w:p w:rsidR="00503733" w:rsidRPr="00311ECD" w:rsidRDefault="00667CAB" w:rsidP="00666089">
      <w:pPr>
        <w:jc w:val="both"/>
        <w:rPr>
          <w:rFonts w:ascii="Times New Roman" w:hAnsi="Times New Roman" w:cs="Times New Roman"/>
          <w:sz w:val="24"/>
          <w:szCs w:val="24"/>
        </w:rPr>
      </w:pPr>
      <w:r>
        <w:rPr>
          <w:rFonts w:ascii="Times New Roman" w:hAnsi="Times New Roman" w:cs="Times New Roman"/>
          <w:noProof/>
          <w:sz w:val="24"/>
          <w:szCs w:val="24"/>
        </w:rPr>
        <w:pict>
          <v:line id="Straight Connector 1" o:spid="_x0000_s1027" style="position:absolute;left:0;text-align:left;flip:y;z-index:251660288;visibility:visible" from="-8.25pt,19.1pt" to="46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" strokecolor="black [3040]">
            <o:lock v:ext="edit" shapetype="f"/>
          </v:line>
        </w:pict>
      </w:r>
      <w:r w:rsidR="00503733" w:rsidRPr="00311ECD">
        <w:rPr>
          <w:rFonts w:ascii="Times New Roman" w:hAnsi="Times New Roman" w:cs="Times New Roman"/>
          <w:b/>
          <w:bCs/>
          <w:sz w:val="24"/>
          <w:szCs w:val="24"/>
        </w:rPr>
        <w:t>Keywords</w:t>
      </w:r>
      <w:r w:rsidR="00503733" w:rsidRPr="00311ECD">
        <w:rPr>
          <w:rFonts w:ascii="Times New Roman" w:eastAsia="Times New Roman" w:hAnsi="Times New Roman" w:cs="Times New Roman"/>
          <w:b/>
          <w:sz w:val="24"/>
          <w:szCs w:val="24"/>
          <w:lang w:eastAsia="zh-CN"/>
        </w:rPr>
        <w:t xml:space="preserve">: </w:t>
      </w:r>
      <w:r w:rsidR="00361892" w:rsidRPr="00361892">
        <w:rPr>
          <w:rFonts w:ascii="Times New Roman" w:eastAsia="Times New Roman" w:hAnsi="Times New Roman" w:cs="Times New Roman"/>
          <w:bCs/>
          <w:sz w:val="24"/>
          <w:szCs w:val="24"/>
          <w:lang w:eastAsia="zh-CN"/>
        </w:rPr>
        <w:t>Cowpea, growth, seed yield, benefit cost ratio</w:t>
      </w:r>
      <w:r w:rsidR="00671D5C" w:rsidRPr="00361892">
        <w:rPr>
          <w:rFonts w:ascii="Times New Roman" w:eastAsia="Times New Roman" w:hAnsi="Times New Roman" w:cs="Times New Roman"/>
          <w:bCs/>
          <w:sz w:val="24"/>
          <w:szCs w:val="24"/>
          <w:lang w:eastAsia="zh-CN"/>
        </w:rPr>
        <w:t xml:space="preserve">, </w:t>
      </w:r>
      <w:r w:rsidR="003867FF" w:rsidRPr="00361892">
        <w:rPr>
          <w:rFonts w:ascii="Times New Roman" w:eastAsia="Times New Roman" w:hAnsi="Times New Roman" w:cs="Times New Roman"/>
          <w:bCs/>
          <w:sz w:val="24"/>
          <w:szCs w:val="24"/>
          <w:lang w:eastAsia="zh-CN"/>
        </w:rPr>
        <w:t>FYM</w:t>
      </w:r>
      <w:r w:rsidR="00671D5C" w:rsidRPr="00361892">
        <w:rPr>
          <w:rFonts w:ascii="Times New Roman" w:eastAsia="Times New Roman" w:hAnsi="Times New Roman" w:cs="Times New Roman"/>
          <w:bCs/>
          <w:sz w:val="24"/>
          <w:szCs w:val="24"/>
          <w:lang w:eastAsia="zh-CN"/>
        </w:rPr>
        <w:t xml:space="preserve">, </w:t>
      </w:r>
      <w:r w:rsidR="00361892" w:rsidRPr="00361892">
        <w:rPr>
          <w:rFonts w:ascii="Times New Roman" w:eastAsia="Times New Roman" w:hAnsi="Times New Roman" w:cs="Times New Roman"/>
          <w:bCs/>
          <w:sz w:val="24"/>
          <w:szCs w:val="24"/>
          <w:lang w:eastAsia="zh-CN"/>
        </w:rPr>
        <w:t>v</w:t>
      </w:r>
      <w:r w:rsidR="003867FF" w:rsidRPr="00361892">
        <w:rPr>
          <w:rFonts w:ascii="Times New Roman" w:eastAsia="Times New Roman" w:hAnsi="Times New Roman" w:cs="Times New Roman"/>
          <w:bCs/>
          <w:sz w:val="24"/>
          <w:szCs w:val="24"/>
          <w:lang w:eastAsia="zh-CN"/>
        </w:rPr>
        <w:t>ermicompost</w:t>
      </w:r>
      <w:r w:rsidR="00503733" w:rsidRPr="00311ECD">
        <w:rPr>
          <w:rFonts w:ascii="Times New Roman" w:eastAsia="Times New Roman" w:hAnsi="Times New Roman" w:cs="Times New Roman"/>
          <w:i/>
          <w:iCs/>
          <w:sz w:val="24"/>
          <w:szCs w:val="24"/>
          <w:lang w:eastAsia="zh-CN"/>
        </w:rPr>
        <w:t>.</w:t>
      </w:r>
    </w:p>
    <w:p w:rsidR="00D93BA7" w:rsidRPr="00311ECD" w:rsidRDefault="00D93BA7" w:rsidP="005833CD">
      <w:pPr>
        <w:rPr>
          <w:rFonts w:ascii="Times New Roman" w:hAnsi="Times New Roman" w:cs="Times New Roman"/>
          <w:b/>
          <w:sz w:val="24"/>
          <w:szCs w:val="24"/>
        </w:rPr>
      </w:pPr>
    </w:p>
    <w:p w:rsidR="00EA21E6" w:rsidRPr="00311ECD" w:rsidRDefault="00E019AF" w:rsidP="005833CD">
      <w:pPr>
        <w:jc w:val="both"/>
        <w:rPr>
          <w:rFonts w:ascii="Times New Roman" w:hAnsi="Times New Roman" w:cs="Times New Roman"/>
          <w:b/>
          <w:sz w:val="24"/>
          <w:szCs w:val="24"/>
        </w:rPr>
      </w:pPr>
      <w:r w:rsidRPr="00311ECD">
        <w:rPr>
          <w:rFonts w:ascii="Times New Roman" w:hAnsi="Times New Roman" w:cs="Times New Roman"/>
          <w:b/>
          <w:sz w:val="24"/>
          <w:szCs w:val="24"/>
        </w:rPr>
        <w:t>INTRODUCTIO</w:t>
      </w:r>
      <w:r w:rsidR="00EA21E6" w:rsidRPr="00311ECD">
        <w:rPr>
          <w:rFonts w:ascii="Times New Roman" w:hAnsi="Times New Roman" w:cs="Times New Roman"/>
          <w:b/>
          <w:sz w:val="24"/>
          <w:szCs w:val="24"/>
        </w:rPr>
        <w:t>N</w:t>
      </w:r>
    </w:p>
    <w:p w:rsidR="00BE2CE8" w:rsidRPr="00311ECD" w:rsidRDefault="00361892" w:rsidP="009F1452">
      <w:pPr>
        <w:pStyle w:val="BodyText"/>
        <w:spacing w:before="121" w:line="276" w:lineRule="auto"/>
        <w:ind w:right="27"/>
        <w:jc w:val="both"/>
        <w:rPr>
          <w:rFonts w:ascii="Times New Roman" w:hAnsi="Times New Roman" w:cs="Times New Roman"/>
          <w:sz w:val="24"/>
          <w:szCs w:val="24"/>
        </w:rPr>
      </w:pPr>
      <w:r>
        <w:rPr>
          <w:rFonts w:ascii="Times New Roman" w:hAnsi="Times New Roman" w:cs="Times New Roman"/>
          <w:sz w:val="24"/>
          <w:szCs w:val="24"/>
        </w:rPr>
        <w:t>Cowpea b</w:t>
      </w:r>
      <w:r w:rsidR="00FE430D" w:rsidRPr="00311ECD">
        <w:rPr>
          <w:rFonts w:ascii="Times New Roman" w:hAnsi="Times New Roman" w:cs="Times New Roman"/>
          <w:sz w:val="24"/>
          <w:szCs w:val="24"/>
        </w:rPr>
        <w:t xml:space="preserve">otanically known as </w:t>
      </w:r>
      <w:r w:rsidR="00FE430D" w:rsidRPr="00311ECD">
        <w:rPr>
          <w:rFonts w:ascii="Times New Roman" w:hAnsi="Times New Roman" w:cs="Times New Roman"/>
          <w:i/>
          <w:iCs/>
          <w:sz w:val="24"/>
          <w:szCs w:val="24"/>
        </w:rPr>
        <w:t xml:space="preserve">Vigna </w:t>
      </w:r>
      <w:proofErr w:type="spellStart"/>
      <w:r w:rsidR="00FE430D" w:rsidRPr="00311ECD">
        <w:rPr>
          <w:rFonts w:ascii="Times New Roman" w:hAnsi="Times New Roman" w:cs="Times New Roman"/>
          <w:i/>
          <w:iCs/>
          <w:sz w:val="24"/>
          <w:szCs w:val="24"/>
        </w:rPr>
        <w:t>unguiculata</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Walp</w:t>
      </w:r>
      <w:proofErr w:type="spellEnd"/>
      <w:r>
        <w:rPr>
          <w:rFonts w:ascii="Times New Roman" w:hAnsi="Times New Roman" w:cs="Times New Roman"/>
          <w:sz w:val="24"/>
          <w:szCs w:val="24"/>
        </w:rPr>
        <w:t xml:space="preserve">, is </w:t>
      </w:r>
      <w:r w:rsidR="00FE430D" w:rsidRPr="00311ECD">
        <w:rPr>
          <w:rFonts w:ascii="Times New Roman" w:hAnsi="Times New Roman" w:cs="Times New Roman"/>
          <w:sz w:val="24"/>
          <w:szCs w:val="24"/>
        </w:rPr>
        <w:t>annual herbaceous legume</w:t>
      </w:r>
      <w:r w:rsidR="00836595">
        <w:rPr>
          <w:rFonts w:ascii="Times New Roman" w:hAnsi="Times New Roman" w:cs="Times New Roman"/>
          <w:sz w:val="24"/>
          <w:szCs w:val="24"/>
        </w:rPr>
        <w:t xml:space="preserve"> that</w:t>
      </w:r>
      <w:r w:rsidR="00FE430D" w:rsidRPr="00311ECD">
        <w:rPr>
          <w:rFonts w:ascii="Times New Roman" w:hAnsi="Times New Roman" w:cs="Times New Roman"/>
          <w:sz w:val="24"/>
          <w:szCs w:val="24"/>
        </w:rPr>
        <w:t xml:space="preserve"> belongs to the genus </w:t>
      </w:r>
      <w:r w:rsidR="00FE430D" w:rsidRPr="00361892">
        <w:rPr>
          <w:rFonts w:ascii="Times New Roman" w:hAnsi="Times New Roman" w:cs="Times New Roman"/>
          <w:i/>
          <w:iCs/>
          <w:sz w:val="24"/>
          <w:szCs w:val="24"/>
        </w:rPr>
        <w:t>Vigna</w:t>
      </w:r>
      <w:r w:rsidR="00FE430D" w:rsidRPr="00311ECD">
        <w:rPr>
          <w:rFonts w:ascii="Times New Roman" w:hAnsi="Times New Roman" w:cs="Times New Roman"/>
          <w:sz w:val="24"/>
          <w:szCs w:val="24"/>
        </w:rPr>
        <w:t xml:space="preserve">. Its ability to thrive in sandy soil and low rainfall conditions makes it a vital crop in the semiarid regions of Africa and Asia. Cowpea requires minimal inputs since its root nodules can fix atmospheric nitrogen, making it beneficial for resource-poor farmers and ideal for intercropping with other crops. The entire plant serves as forage for animals, with its use as cattle feed likely leading to its name. There are numerous varieties of cowpea, each with distinct fruit shapes. As a diploid species with a somatic chromosome number of 2n=22, cowpea is one of the most significant pulse crops originating from West Africa </w:t>
      </w:r>
      <w:r w:rsidR="00FE430D" w:rsidRPr="00E62A1E">
        <w:rPr>
          <w:rFonts w:ascii="Times New Roman" w:hAnsi="Times New Roman" w:cs="Times New Roman"/>
          <w:b/>
          <w:bCs/>
          <w:sz w:val="24"/>
          <w:szCs w:val="24"/>
        </w:rPr>
        <w:t xml:space="preserve">(Vavilov, 1951; Venkatesan </w:t>
      </w:r>
      <w:r w:rsidR="00FE430D" w:rsidRPr="00E62A1E">
        <w:rPr>
          <w:rFonts w:ascii="Times New Roman" w:hAnsi="Times New Roman" w:cs="Times New Roman"/>
          <w:b/>
          <w:bCs/>
          <w:i/>
          <w:iCs/>
          <w:sz w:val="24"/>
          <w:szCs w:val="24"/>
        </w:rPr>
        <w:t>et al.,</w:t>
      </w:r>
      <w:r w:rsidR="00FE430D" w:rsidRPr="00E62A1E">
        <w:rPr>
          <w:rFonts w:ascii="Times New Roman" w:hAnsi="Times New Roman" w:cs="Times New Roman"/>
          <w:b/>
          <w:bCs/>
          <w:sz w:val="24"/>
          <w:szCs w:val="24"/>
        </w:rPr>
        <w:t xml:space="preserve"> 2003)</w:t>
      </w:r>
      <w:r w:rsidR="00FE430D" w:rsidRPr="00311ECD">
        <w:rPr>
          <w:rFonts w:ascii="Times New Roman" w:hAnsi="Times New Roman" w:cs="Times New Roman"/>
          <w:sz w:val="24"/>
          <w:szCs w:val="24"/>
        </w:rPr>
        <w:t>. Known as the "poor man’s meat" or "vegetable meat" due to its high protein content, cowpea's young leaves, pods, and peas are rich in vitamins and minerals, making them valuable for both human consumption and animal feed. Cowpea can endure significant drought and high rainfall, and it can be cultivated in almost any soil type, provided there is adequate drainage. Cowpea is primarily cultivated in tropical and subtropical regions worldwide for both vegetable and grain purposes, and to a lesser extent as a fodder crop. It is considered a highly versatile pulse crop due to its smothering nature, drought tolerance, soil-restoring properties, and multipurpose uses. Cowpea integrates well into various cropping systems and is grown for its seeds (both green and dried), pods, and leaves, which are consumed fresh as green vegetables. Additionally, snacks and main dishes are prepared from the dried grain (</w:t>
      </w:r>
      <w:r w:rsidR="00FE430D" w:rsidRPr="00311ECD">
        <w:rPr>
          <w:rFonts w:ascii="Times New Roman" w:hAnsi="Times New Roman" w:cs="Times New Roman"/>
          <w:b/>
          <w:bCs/>
          <w:sz w:val="24"/>
          <w:szCs w:val="24"/>
        </w:rPr>
        <w:t>Kumar and Srikant, 2017</w:t>
      </w:r>
      <w:r w:rsidR="00FE430D" w:rsidRPr="00311ECD">
        <w:rPr>
          <w:rFonts w:ascii="Times New Roman" w:hAnsi="Times New Roman" w:cs="Times New Roman"/>
          <w:sz w:val="24"/>
          <w:szCs w:val="24"/>
        </w:rPr>
        <w:t xml:space="preserve">). There are four recognized subspecies of cowpea, with three being cultivated. The species exhibits significant morphological diversity, </w:t>
      </w:r>
      <w:r w:rsidR="006818F4">
        <w:rPr>
          <w:rFonts w:ascii="Times New Roman" w:hAnsi="Times New Roman" w:cs="Times New Roman"/>
          <w:sz w:val="24"/>
          <w:szCs w:val="24"/>
        </w:rPr>
        <w:t xml:space="preserve">characterized by substantial </w:t>
      </w:r>
      <w:r w:rsidR="00FE430D" w:rsidRPr="00311ECD">
        <w:rPr>
          <w:rFonts w:ascii="Times New Roman" w:hAnsi="Times New Roman" w:cs="Times New Roman"/>
          <w:sz w:val="24"/>
          <w:szCs w:val="24"/>
        </w:rPr>
        <w:lastRenderedPageBreak/>
        <w:t>variations in plant size, shape, and structure. Cowpeas can grow erect, semi-erect (trailing), or climbing. While the crop is mainly cultivated for its protein-rich seeds, the leaves and immature seed pods are also edible. Growth conditions and preferences for each variety vary by region (</w:t>
      </w:r>
      <w:proofErr w:type="spellStart"/>
      <w:r w:rsidR="00FE430D" w:rsidRPr="00311ECD">
        <w:rPr>
          <w:rFonts w:ascii="Times New Roman" w:hAnsi="Times New Roman" w:cs="Times New Roman"/>
          <w:b/>
          <w:bCs/>
          <w:sz w:val="24"/>
          <w:szCs w:val="24"/>
        </w:rPr>
        <w:t>Padulosil</w:t>
      </w:r>
      <w:proofErr w:type="spellEnd"/>
      <w:r w:rsidR="00FE430D" w:rsidRPr="00311ECD">
        <w:rPr>
          <w:rFonts w:ascii="Times New Roman" w:hAnsi="Times New Roman" w:cs="Times New Roman"/>
          <w:b/>
          <w:bCs/>
          <w:sz w:val="24"/>
          <w:szCs w:val="24"/>
        </w:rPr>
        <w:t>, 1997</w:t>
      </w:r>
      <w:r w:rsidR="00FE430D" w:rsidRPr="00311ECD">
        <w:rPr>
          <w:rFonts w:ascii="Times New Roman" w:hAnsi="Times New Roman" w:cs="Times New Roman"/>
          <w:sz w:val="24"/>
          <w:szCs w:val="24"/>
        </w:rPr>
        <w:t>). Despite its morphological diversity, cowpea's genetic diversity within varieties is relatively low due to its primarily self-pollinating nature (</w:t>
      </w:r>
      <w:proofErr w:type="spellStart"/>
      <w:r w:rsidR="00FE430D" w:rsidRPr="00311ECD">
        <w:rPr>
          <w:rFonts w:ascii="Times New Roman" w:hAnsi="Times New Roman" w:cs="Times New Roman"/>
          <w:b/>
          <w:bCs/>
          <w:sz w:val="24"/>
          <w:szCs w:val="24"/>
        </w:rPr>
        <w:t>Egbadzor</w:t>
      </w:r>
      <w:proofErr w:type="spellEnd"/>
      <w:r w:rsidR="00FE430D" w:rsidRPr="00311ECD">
        <w:rPr>
          <w:rFonts w:ascii="Times New Roman" w:hAnsi="Times New Roman" w:cs="Times New Roman"/>
          <w:b/>
          <w:bCs/>
          <w:sz w:val="24"/>
          <w:szCs w:val="24"/>
        </w:rPr>
        <w:t xml:space="preserve"> </w:t>
      </w:r>
      <w:r w:rsidR="00FE430D" w:rsidRPr="00311ECD">
        <w:rPr>
          <w:rFonts w:ascii="Times New Roman" w:hAnsi="Times New Roman" w:cs="Times New Roman"/>
          <w:b/>
          <w:bCs/>
          <w:i/>
          <w:iCs/>
          <w:sz w:val="24"/>
          <w:szCs w:val="24"/>
        </w:rPr>
        <w:t>et al.</w:t>
      </w:r>
      <w:r w:rsidR="00FE430D" w:rsidRPr="00311ECD">
        <w:rPr>
          <w:rFonts w:ascii="Times New Roman" w:hAnsi="Times New Roman" w:cs="Times New Roman"/>
          <w:b/>
          <w:bCs/>
          <w:sz w:val="24"/>
          <w:szCs w:val="24"/>
        </w:rPr>
        <w:t>, 2014</w:t>
      </w:r>
      <w:r w:rsidR="00FE430D" w:rsidRPr="00311ECD">
        <w:rPr>
          <w:rFonts w:ascii="Times New Roman" w:hAnsi="Times New Roman" w:cs="Times New Roman"/>
          <w:sz w:val="24"/>
          <w:szCs w:val="24"/>
        </w:rPr>
        <w:t xml:space="preserve">). Organic manures </w:t>
      </w:r>
      <w:r w:rsidR="00FE430D" w:rsidRPr="00872FC3">
        <w:rPr>
          <w:rFonts w:ascii="Times New Roman" w:hAnsi="Times New Roman" w:cs="Times New Roman"/>
          <w:i/>
          <w:iCs/>
          <w:sz w:val="24"/>
          <w:szCs w:val="24"/>
        </w:rPr>
        <w:t>viz</w:t>
      </w:r>
      <w:r w:rsidR="00FE430D" w:rsidRPr="00311ECD">
        <w:rPr>
          <w:rFonts w:ascii="Times New Roman" w:hAnsi="Times New Roman" w:cs="Times New Roman"/>
          <w:sz w:val="24"/>
          <w:szCs w:val="24"/>
        </w:rPr>
        <w:t xml:space="preserve">., FYM, Vermicompost (VC), poultry manure (PM) and oilcakes help in the improvement of soil structure, aeration and water holding capacity of soil. Further, it stimulates the activity of microorganisms that </w:t>
      </w:r>
      <w:r w:rsidR="00F80FB7">
        <w:rPr>
          <w:rFonts w:ascii="Times New Roman" w:hAnsi="Times New Roman" w:cs="Times New Roman"/>
          <w:sz w:val="24"/>
          <w:szCs w:val="24"/>
        </w:rPr>
        <w:t>enable</w:t>
      </w:r>
      <w:r w:rsidR="00FE430D" w:rsidRPr="00311ECD">
        <w:rPr>
          <w:rFonts w:ascii="Times New Roman" w:hAnsi="Times New Roman" w:cs="Times New Roman"/>
          <w:sz w:val="24"/>
          <w:szCs w:val="24"/>
        </w:rPr>
        <w:t xml:space="preserve"> the plant to get the macro and micro-nutrients through enhanced biological processes, increase nutrient solubility, alter soil salinity, </w:t>
      </w:r>
      <w:proofErr w:type="spellStart"/>
      <w:r w:rsidR="00FE430D" w:rsidRPr="00311ECD">
        <w:rPr>
          <w:rFonts w:ascii="Times New Roman" w:hAnsi="Times New Roman" w:cs="Times New Roman"/>
          <w:sz w:val="24"/>
          <w:szCs w:val="24"/>
        </w:rPr>
        <w:t>sodicity</w:t>
      </w:r>
      <w:proofErr w:type="spellEnd"/>
      <w:r w:rsidR="00FE430D" w:rsidRPr="00311ECD">
        <w:rPr>
          <w:rFonts w:ascii="Times New Roman" w:hAnsi="Times New Roman" w:cs="Times New Roman"/>
          <w:sz w:val="24"/>
          <w:szCs w:val="24"/>
        </w:rPr>
        <w:t xml:space="preserve"> and pH (</w:t>
      </w:r>
      <w:proofErr w:type="spellStart"/>
      <w:r w:rsidR="00FE430D" w:rsidRPr="00311ECD">
        <w:rPr>
          <w:rFonts w:ascii="Times New Roman" w:hAnsi="Times New Roman" w:cs="Times New Roman"/>
          <w:b/>
          <w:bCs/>
          <w:sz w:val="24"/>
          <w:szCs w:val="24"/>
        </w:rPr>
        <w:t>Alabadan</w:t>
      </w:r>
      <w:proofErr w:type="spellEnd"/>
      <w:r w:rsidR="00FE430D" w:rsidRPr="00311ECD">
        <w:rPr>
          <w:rFonts w:ascii="Times New Roman" w:hAnsi="Times New Roman" w:cs="Times New Roman"/>
          <w:b/>
          <w:bCs/>
          <w:sz w:val="24"/>
          <w:szCs w:val="24"/>
        </w:rPr>
        <w:t xml:space="preserve"> </w:t>
      </w:r>
      <w:r w:rsidR="00FE430D" w:rsidRPr="00311ECD">
        <w:rPr>
          <w:rFonts w:ascii="Times New Roman" w:hAnsi="Times New Roman" w:cs="Times New Roman"/>
          <w:b/>
          <w:bCs/>
          <w:i/>
          <w:iCs/>
          <w:sz w:val="24"/>
          <w:szCs w:val="24"/>
        </w:rPr>
        <w:t xml:space="preserve">et al., </w:t>
      </w:r>
      <w:r w:rsidR="00FE430D" w:rsidRPr="00311ECD">
        <w:rPr>
          <w:rFonts w:ascii="Times New Roman" w:hAnsi="Times New Roman" w:cs="Times New Roman"/>
          <w:b/>
          <w:bCs/>
          <w:sz w:val="24"/>
          <w:szCs w:val="24"/>
        </w:rPr>
        <w:t>2009</w:t>
      </w:r>
      <w:r w:rsidR="00FE430D" w:rsidRPr="00311ECD">
        <w:rPr>
          <w:rFonts w:ascii="Times New Roman" w:hAnsi="Times New Roman" w:cs="Times New Roman"/>
          <w:sz w:val="24"/>
          <w:szCs w:val="24"/>
        </w:rPr>
        <w:t xml:space="preserve">). Nitrogen is a vitally plant nutrient. Nitrogen is essential constituent of protein and is present in many other compounds of great physiological importance in plant metabolism. Integrated Nutrient Management (INM) is a process that involves the use of chemical fertilizers in conjunction with organic manures and </w:t>
      </w:r>
      <w:r w:rsidR="00544558" w:rsidRPr="00311ECD">
        <w:rPr>
          <w:rFonts w:ascii="Times New Roman" w:hAnsi="Times New Roman" w:cs="Times New Roman"/>
          <w:sz w:val="24"/>
          <w:szCs w:val="24"/>
        </w:rPr>
        <w:t>bio fertilizers</w:t>
      </w:r>
      <w:r w:rsidR="00FE430D" w:rsidRPr="00311ECD">
        <w:rPr>
          <w:rFonts w:ascii="Times New Roman" w:hAnsi="Times New Roman" w:cs="Times New Roman"/>
          <w:sz w:val="24"/>
          <w:szCs w:val="24"/>
        </w:rPr>
        <w:t>. Long-term agriculture feasibility has decreased as a result of the uncontrolled use of chemical fertilizers thus an integrated plant nutrient system incorporating fertilizer, organic manures and bio-fertilizers is essential for long-term crop productivity and ecosystem soil health. Organic manure improves the efficiency of inorganic manure, according to recent studies (</w:t>
      </w:r>
      <w:r w:rsidR="00FE430D" w:rsidRPr="00311ECD">
        <w:rPr>
          <w:rFonts w:ascii="Times New Roman" w:hAnsi="Times New Roman" w:cs="Times New Roman"/>
          <w:b/>
          <w:bCs/>
          <w:sz w:val="24"/>
          <w:szCs w:val="24"/>
        </w:rPr>
        <w:t>Singh and Biswas, 2000</w:t>
      </w:r>
      <w:r w:rsidR="00FE430D" w:rsidRPr="00311ECD">
        <w:rPr>
          <w:rFonts w:ascii="Times New Roman" w:hAnsi="Times New Roman" w:cs="Times New Roman"/>
          <w:sz w:val="24"/>
          <w:szCs w:val="24"/>
        </w:rPr>
        <w:t>). The combined effect of organic and inorganic nutrient sources used as integrated nutrient management has been proved superior to the use of each component separately (</w:t>
      </w:r>
      <w:proofErr w:type="spellStart"/>
      <w:r w:rsidR="00FE430D" w:rsidRPr="00311ECD">
        <w:rPr>
          <w:rFonts w:ascii="Times New Roman" w:hAnsi="Times New Roman" w:cs="Times New Roman"/>
          <w:b/>
          <w:bCs/>
          <w:sz w:val="24"/>
          <w:szCs w:val="24"/>
        </w:rPr>
        <w:t>Palaniappan</w:t>
      </w:r>
      <w:proofErr w:type="spellEnd"/>
      <w:r w:rsidR="00FE430D" w:rsidRPr="00311ECD">
        <w:rPr>
          <w:rFonts w:ascii="Times New Roman" w:hAnsi="Times New Roman" w:cs="Times New Roman"/>
          <w:b/>
          <w:bCs/>
          <w:sz w:val="24"/>
          <w:szCs w:val="24"/>
        </w:rPr>
        <w:t xml:space="preserve"> and Annadurai, 2007</w:t>
      </w:r>
      <w:r w:rsidR="00FE430D" w:rsidRPr="00311ECD">
        <w:rPr>
          <w:rFonts w:ascii="Times New Roman" w:hAnsi="Times New Roman" w:cs="Times New Roman"/>
          <w:sz w:val="24"/>
          <w:szCs w:val="24"/>
        </w:rPr>
        <w:t xml:space="preserve">). Integrated Nutrient Management (INM) is essential for sustainable cowpea cultivation, combining organic and inorganic sources to enhance soil health and crop productivity. Cowpea, known for its nitrogen-fixing ability, benefits significantly from organic inputs like farmyard manure and vermicompost, which improve soil structure, water retention, and microbial activity. These organic amendments supply essential nutrients and enhance the availability of soil phosphorus and potassium, fostering a conducive environment for microbial growth and nutrient cycling. Additionally, the judicious use of chemical fertilizers ensures that crops receive the necessary nutrients in adequate proportions, promoting optimal growth and yield. INM practices help mitigate the environmental impact of excessive chemical fertilizer use, reducing soil degradation and groundwater contamination. Studies have shown that INM increases cowpea yield, improves soil fertility, and sustains agricultural productivity. By integrating various nutrient sources, INM promotes a balanced nutrient supply, enhances crop resilience to pests and diseases, and supports long-term soil health, making it a cornerstone for sustainable cowpea farming. </w:t>
      </w:r>
    </w:p>
    <w:p w:rsidR="004A619B" w:rsidRPr="00311ECD" w:rsidRDefault="004A619B" w:rsidP="009F1452">
      <w:pPr>
        <w:ind w:right="27"/>
        <w:jc w:val="both"/>
        <w:rPr>
          <w:rFonts w:ascii="Times New Roman" w:hAnsi="Times New Roman" w:cs="Times New Roman"/>
          <w:b/>
          <w:sz w:val="24"/>
          <w:szCs w:val="24"/>
        </w:rPr>
      </w:pPr>
      <w:r w:rsidRPr="00311ECD">
        <w:rPr>
          <w:rFonts w:ascii="Times New Roman" w:hAnsi="Times New Roman" w:cs="Times New Roman"/>
          <w:b/>
          <w:sz w:val="24"/>
          <w:szCs w:val="24"/>
        </w:rPr>
        <w:t>MATERIALAND METHODS</w:t>
      </w:r>
    </w:p>
    <w:p w:rsidR="002F6DB6" w:rsidRPr="00544558" w:rsidRDefault="00591810" w:rsidP="009F1452">
      <w:pPr>
        <w:tabs>
          <w:tab w:val="left" w:pos="567"/>
        </w:tabs>
        <w:ind w:right="27"/>
        <w:jc w:val="both"/>
        <w:rPr>
          <w:rFonts w:ascii="Times New Roman" w:hAnsi="Times New Roman" w:cs="Times New Roman"/>
          <w:sz w:val="24"/>
          <w:szCs w:val="24"/>
        </w:rPr>
      </w:pPr>
      <w:r w:rsidRPr="00544558">
        <w:rPr>
          <w:rFonts w:ascii="Times New Roman" w:hAnsi="Times New Roman" w:cs="Times New Roman"/>
          <w:sz w:val="24"/>
          <w:szCs w:val="24"/>
          <w:lang w:val="en-GB"/>
        </w:rPr>
        <w:t xml:space="preserve">The present investigation </w:t>
      </w:r>
      <w:r w:rsidR="00FE430D" w:rsidRPr="00544558">
        <w:rPr>
          <w:rFonts w:ascii="Times New Roman" w:hAnsi="Times New Roman" w:cs="Times New Roman"/>
          <w:sz w:val="24"/>
          <w:szCs w:val="24"/>
          <w:lang w:val="en-GB"/>
        </w:rPr>
        <w:t>was done to understand the effect of organic manures and inorganic fertilizers combinations on growth and</w:t>
      </w:r>
      <w:r w:rsidR="002720BD">
        <w:rPr>
          <w:rFonts w:ascii="Times New Roman" w:hAnsi="Times New Roman" w:cs="Times New Roman"/>
          <w:sz w:val="24"/>
          <w:szCs w:val="24"/>
          <w:lang w:val="en-GB"/>
        </w:rPr>
        <w:t xml:space="preserve"> seed</w:t>
      </w:r>
      <w:r w:rsidR="00FE430D" w:rsidRPr="00544558">
        <w:rPr>
          <w:rFonts w:ascii="Times New Roman" w:hAnsi="Times New Roman" w:cs="Times New Roman"/>
          <w:sz w:val="24"/>
          <w:szCs w:val="24"/>
          <w:lang w:val="en-GB"/>
        </w:rPr>
        <w:t xml:space="preserve"> yield of cowpea variety </w:t>
      </w:r>
      <w:proofErr w:type="spellStart"/>
      <w:r w:rsidR="00FE430D" w:rsidRPr="00544558">
        <w:rPr>
          <w:rFonts w:ascii="Times New Roman" w:hAnsi="Times New Roman" w:cs="Times New Roman"/>
          <w:sz w:val="24"/>
          <w:szCs w:val="24"/>
          <w:lang w:val="en-GB"/>
        </w:rPr>
        <w:t>Pusa</w:t>
      </w:r>
      <w:proofErr w:type="spellEnd"/>
      <w:r w:rsidR="00FE430D" w:rsidRPr="00544558">
        <w:rPr>
          <w:rFonts w:ascii="Times New Roman" w:hAnsi="Times New Roman" w:cs="Times New Roman"/>
          <w:sz w:val="24"/>
          <w:szCs w:val="24"/>
          <w:lang w:val="en-GB"/>
        </w:rPr>
        <w:t xml:space="preserve"> </w:t>
      </w:r>
      <w:proofErr w:type="spellStart"/>
      <w:r w:rsidR="00FE430D" w:rsidRPr="00544558">
        <w:rPr>
          <w:rFonts w:ascii="Times New Roman" w:hAnsi="Times New Roman" w:cs="Times New Roman"/>
          <w:sz w:val="24"/>
          <w:szCs w:val="24"/>
          <w:lang w:val="en-GB"/>
        </w:rPr>
        <w:t>Komal</w:t>
      </w:r>
      <w:proofErr w:type="spellEnd"/>
      <w:r w:rsidR="00FE430D" w:rsidRPr="00544558">
        <w:rPr>
          <w:rFonts w:ascii="Times New Roman" w:hAnsi="Times New Roman" w:cs="Times New Roman"/>
          <w:sz w:val="24"/>
          <w:szCs w:val="24"/>
          <w:lang w:val="en-GB"/>
        </w:rPr>
        <w:t>. Th</w:t>
      </w:r>
      <w:r w:rsidR="00796A38">
        <w:rPr>
          <w:rFonts w:ascii="Times New Roman" w:hAnsi="Times New Roman" w:cs="Times New Roman"/>
          <w:sz w:val="24"/>
          <w:szCs w:val="24"/>
          <w:lang w:val="en-GB"/>
        </w:rPr>
        <w:t>e details of the materials used</w:t>
      </w:r>
      <w:r w:rsidR="00FE430D" w:rsidRPr="00544558">
        <w:rPr>
          <w:rFonts w:ascii="Times New Roman" w:hAnsi="Times New Roman" w:cs="Times New Roman"/>
          <w:sz w:val="24"/>
          <w:szCs w:val="24"/>
          <w:lang w:val="en-GB"/>
        </w:rPr>
        <w:t xml:space="preserve"> and the procedures adopted in the investigation, which was carried out at</w:t>
      </w:r>
      <w:r w:rsidR="00B03119">
        <w:rPr>
          <w:rFonts w:ascii="Times New Roman" w:hAnsi="Times New Roman" w:cs="Times New Roman"/>
          <w:sz w:val="24"/>
          <w:szCs w:val="24"/>
          <w:lang w:val="en-GB"/>
        </w:rPr>
        <w:t xml:space="preserve"> the</w:t>
      </w:r>
      <w:r w:rsidR="00FE430D" w:rsidRPr="00544558">
        <w:rPr>
          <w:rFonts w:ascii="Times New Roman" w:hAnsi="Times New Roman" w:cs="Times New Roman"/>
          <w:sz w:val="24"/>
          <w:szCs w:val="24"/>
          <w:lang w:val="en-GB"/>
        </w:rPr>
        <w:t xml:space="preserve"> Field of Horticulture Department, School of Agriculture</w:t>
      </w:r>
      <w:r w:rsidR="00E45203">
        <w:rPr>
          <w:rFonts w:ascii="Times New Roman" w:hAnsi="Times New Roman" w:cs="Times New Roman"/>
          <w:sz w:val="24"/>
          <w:szCs w:val="24"/>
          <w:lang w:val="en-GB"/>
        </w:rPr>
        <w:t xml:space="preserve"> Science, Technology and</w:t>
      </w:r>
      <w:r w:rsidR="00FE430D" w:rsidRPr="00544558">
        <w:rPr>
          <w:rFonts w:ascii="Times New Roman" w:hAnsi="Times New Roman" w:cs="Times New Roman"/>
          <w:sz w:val="24"/>
          <w:szCs w:val="24"/>
          <w:lang w:val="en-GB"/>
        </w:rPr>
        <w:t xml:space="preserve"> Research, Sardar Patel University, </w:t>
      </w:r>
      <w:proofErr w:type="spellStart"/>
      <w:r w:rsidR="00FE430D" w:rsidRPr="00544558">
        <w:rPr>
          <w:rFonts w:ascii="Times New Roman" w:hAnsi="Times New Roman" w:cs="Times New Roman"/>
          <w:sz w:val="24"/>
          <w:szCs w:val="24"/>
          <w:lang w:val="en-GB"/>
        </w:rPr>
        <w:t>Balaghat</w:t>
      </w:r>
      <w:proofErr w:type="spellEnd"/>
      <w:r w:rsidR="00FE430D" w:rsidRPr="00544558">
        <w:rPr>
          <w:rFonts w:ascii="Times New Roman" w:hAnsi="Times New Roman" w:cs="Times New Roman"/>
          <w:sz w:val="24"/>
          <w:szCs w:val="24"/>
          <w:lang w:val="en-GB"/>
        </w:rPr>
        <w:t xml:space="preserve">, (M.P.) during the </w:t>
      </w:r>
      <w:r w:rsidR="00FE430D" w:rsidRPr="00544558">
        <w:rPr>
          <w:rFonts w:ascii="Times New Roman" w:hAnsi="Times New Roman" w:cs="Times New Roman"/>
          <w:i/>
          <w:iCs/>
          <w:sz w:val="24"/>
          <w:szCs w:val="24"/>
          <w:lang w:val="en-GB"/>
        </w:rPr>
        <w:t xml:space="preserve">Kharif </w:t>
      </w:r>
      <w:r w:rsidR="00FE430D" w:rsidRPr="00544558">
        <w:rPr>
          <w:rFonts w:ascii="Times New Roman" w:hAnsi="Times New Roman" w:cs="Times New Roman"/>
          <w:sz w:val="24"/>
          <w:szCs w:val="24"/>
          <w:lang w:val="en-GB"/>
        </w:rPr>
        <w:t>season of 2023</w:t>
      </w:r>
      <w:r w:rsidRPr="00544558">
        <w:rPr>
          <w:rFonts w:ascii="Times New Roman" w:hAnsi="Times New Roman" w:cs="Times New Roman"/>
          <w:sz w:val="24"/>
          <w:szCs w:val="24"/>
          <w:lang w:val="en-GB"/>
        </w:rPr>
        <w:t xml:space="preserve">. </w:t>
      </w:r>
      <w:proofErr w:type="spellStart"/>
      <w:r w:rsidRPr="00544558">
        <w:rPr>
          <w:rFonts w:ascii="Times New Roman" w:hAnsi="Times New Roman" w:cs="Times New Roman"/>
          <w:sz w:val="24"/>
          <w:szCs w:val="24"/>
          <w:lang w:val="en-GB"/>
        </w:rPr>
        <w:t>Balaghat</w:t>
      </w:r>
      <w:proofErr w:type="spellEnd"/>
      <w:r w:rsidRPr="00544558">
        <w:rPr>
          <w:rFonts w:ascii="Times New Roman" w:hAnsi="Times New Roman" w:cs="Times New Roman"/>
          <w:sz w:val="24"/>
          <w:szCs w:val="24"/>
          <w:lang w:val="en-GB"/>
        </w:rPr>
        <w:t xml:space="preserve"> District is located</w:t>
      </w:r>
      <w:r w:rsidR="00970615">
        <w:rPr>
          <w:rFonts w:ascii="Times New Roman" w:hAnsi="Times New Roman" w:cs="Times New Roman"/>
          <w:sz w:val="24"/>
          <w:szCs w:val="24"/>
          <w:lang w:val="en-GB"/>
        </w:rPr>
        <w:t xml:space="preserve"> in</w:t>
      </w:r>
      <w:r w:rsidRPr="00544558">
        <w:rPr>
          <w:rFonts w:ascii="Times New Roman" w:hAnsi="Times New Roman" w:cs="Times New Roman"/>
          <w:sz w:val="24"/>
          <w:szCs w:val="24"/>
          <w:lang w:val="en-GB"/>
        </w:rPr>
        <w:t xml:space="preserve"> the south-eastern portion of the </w:t>
      </w:r>
      <w:proofErr w:type="spellStart"/>
      <w:r w:rsidRPr="00544558">
        <w:rPr>
          <w:rFonts w:ascii="Times New Roman" w:hAnsi="Times New Roman" w:cs="Times New Roman"/>
          <w:sz w:val="24"/>
          <w:szCs w:val="24"/>
          <w:lang w:val="en-GB"/>
        </w:rPr>
        <w:t>Satpura</w:t>
      </w:r>
      <w:proofErr w:type="spellEnd"/>
      <w:r w:rsidRPr="00544558">
        <w:rPr>
          <w:rFonts w:ascii="Times New Roman" w:hAnsi="Times New Roman" w:cs="Times New Roman"/>
          <w:sz w:val="24"/>
          <w:szCs w:val="24"/>
          <w:lang w:val="en-GB"/>
        </w:rPr>
        <w:t xml:space="preserve"> Range and the upper </w:t>
      </w:r>
      <w:r w:rsidRPr="00544558">
        <w:rPr>
          <w:rFonts w:ascii="Times New Roman" w:hAnsi="Times New Roman" w:cs="Times New Roman"/>
          <w:sz w:val="24"/>
          <w:szCs w:val="24"/>
          <w:lang w:val="en-GB"/>
        </w:rPr>
        <w:lastRenderedPageBreak/>
        <w:t>valley of the Wainganga River. The district extends from 21°19’ to 22°24’ north latitude and 79°31’ to 81°30’ east longitude.</w:t>
      </w:r>
      <w:r w:rsidRPr="00544558">
        <w:rPr>
          <w:rFonts w:ascii="Times New Roman" w:hAnsi="Times New Roman" w:cs="Times New Roman"/>
          <w:sz w:val="24"/>
          <w:szCs w:val="24"/>
        </w:rPr>
        <w:t xml:space="preserve"> The treatments were </w:t>
      </w:r>
      <w:r w:rsidR="00FE430D" w:rsidRPr="00544558">
        <w:rPr>
          <w:rFonts w:ascii="Times New Roman" w:hAnsi="Times New Roman" w:cs="Times New Roman"/>
          <w:sz w:val="24"/>
          <w:szCs w:val="24"/>
        </w:rPr>
        <w:t>T</w:t>
      </w:r>
      <w:r w:rsidR="00FE430D" w:rsidRPr="00544558">
        <w:rPr>
          <w:rFonts w:ascii="Times New Roman" w:hAnsi="Times New Roman" w:cs="Times New Roman"/>
          <w:sz w:val="24"/>
          <w:szCs w:val="24"/>
          <w:vertAlign w:val="subscript"/>
        </w:rPr>
        <w:t xml:space="preserve">0 </w:t>
      </w:r>
      <w:r w:rsidR="00FE430D" w:rsidRPr="00544558">
        <w:rPr>
          <w:rFonts w:ascii="Times New Roman" w:hAnsi="Times New Roman" w:cs="Times New Roman"/>
          <w:sz w:val="24"/>
          <w:szCs w:val="24"/>
        </w:rPr>
        <w:t>(Control-Water spray); T</w:t>
      </w:r>
      <w:r w:rsidR="00FE430D" w:rsidRPr="00544558">
        <w:rPr>
          <w:rFonts w:ascii="Times New Roman" w:hAnsi="Times New Roman" w:cs="Times New Roman"/>
          <w:sz w:val="24"/>
          <w:szCs w:val="24"/>
          <w:vertAlign w:val="subscript"/>
        </w:rPr>
        <w:t xml:space="preserve">1 </w:t>
      </w:r>
      <w:r w:rsidR="00FE430D" w:rsidRPr="00544558">
        <w:rPr>
          <w:rFonts w:ascii="Times New Roman" w:hAnsi="Times New Roman" w:cs="Times New Roman"/>
          <w:sz w:val="24"/>
          <w:szCs w:val="24"/>
        </w:rPr>
        <w:t>(</w:t>
      </w:r>
      <w:r w:rsidR="00FE430D" w:rsidRPr="00544558">
        <w:rPr>
          <w:rFonts w:ascii="Times New Roman" w:hAnsi="Times New Roman" w:cs="Times New Roman"/>
          <w:sz w:val="24"/>
          <w:szCs w:val="24"/>
          <w:lang w:val="sv-SE"/>
        </w:rPr>
        <w:t>RDF 100% [NPK: 25:50:25 Kg/ha]</w:t>
      </w:r>
      <w:r w:rsidR="00FE430D" w:rsidRPr="00544558">
        <w:rPr>
          <w:rFonts w:ascii="Times New Roman" w:hAnsi="Times New Roman" w:cs="Times New Roman"/>
          <w:sz w:val="24"/>
          <w:szCs w:val="24"/>
        </w:rPr>
        <w:t>); T</w:t>
      </w:r>
      <w:r w:rsidR="00FE430D" w:rsidRPr="00544558">
        <w:rPr>
          <w:rFonts w:ascii="Times New Roman" w:hAnsi="Times New Roman" w:cs="Times New Roman"/>
          <w:sz w:val="24"/>
          <w:szCs w:val="24"/>
          <w:vertAlign w:val="subscript"/>
        </w:rPr>
        <w:t xml:space="preserve">2 </w:t>
      </w:r>
      <w:r w:rsidR="00FE430D" w:rsidRPr="00544558">
        <w:rPr>
          <w:rFonts w:ascii="Times New Roman" w:hAnsi="Times New Roman" w:cs="Times New Roman"/>
          <w:sz w:val="24"/>
          <w:szCs w:val="24"/>
        </w:rPr>
        <w:t>(Farmyard manure (FYM) 100%); T</w:t>
      </w:r>
      <w:r w:rsidR="00FE430D" w:rsidRPr="00544558">
        <w:rPr>
          <w:rFonts w:ascii="Times New Roman" w:hAnsi="Times New Roman" w:cs="Times New Roman"/>
          <w:sz w:val="24"/>
          <w:szCs w:val="24"/>
          <w:vertAlign w:val="subscript"/>
        </w:rPr>
        <w:t xml:space="preserve">3 </w:t>
      </w:r>
      <w:r w:rsidR="00FE430D" w:rsidRPr="00544558">
        <w:rPr>
          <w:rFonts w:ascii="Times New Roman" w:hAnsi="Times New Roman" w:cs="Times New Roman"/>
          <w:sz w:val="24"/>
          <w:szCs w:val="24"/>
        </w:rPr>
        <w:t>(vermicompost (VC) 100%); T</w:t>
      </w:r>
      <w:r w:rsidR="00FE430D" w:rsidRPr="00544558">
        <w:rPr>
          <w:rFonts w:ascii="Times New Roman" w:hAnsi="Times New Roman" w:cs="Times New Roman"/>
          <w:sz w:val="24"/>
          <w:szCs w:val="24"/>
          <w:vertAlign w:val="subscript"/>
        </w:rPr>
        <w:t xml:space="preserve">4 </w:t>
      </w:r>
      <w:r w:rsidR="00FE430D" w:rsidRPr="00544558">
        <w:rPr>
          <w:rFonts w:ascii="Times New Roman" w:hAnsi="Times New Roman" w:cs="Times New Roman"/>
          <w:sz w:val="24"/>
          <w:szCs w:val="24"/>
        </w:rPr>
        <w:t>(Poultry Manure (PM) 100%; T</w:t>
      </w:r>
      <w:r w:rsidR="00FE430D" w:rsidRPr="00544558">
        <w:rPr>
          <w:rFonts w:ascii="Times New Roman" w:hAnsi="Times New Roman" w:cs="Times New Roman"/>
          <w:sz w:val="24"/>
          <w:szCs w:val="24"/>
          <w:vertAlign w:val="subscript"/>
        </w:rPr>
        <w:t xml:space="preserve">5 </w:t>
      </w:r>
      <w:r w:rsidR="00FE430D" w:rsidRPr="00544558">
        <w:rPr>
          <w:rFonts w:ascii="Times New Roman" w:hAnsi="Times New Roman" w:cs="Times New Roman"/>
          <w:sz w:val="24"/>
          <w:szCs w:val="24"/>
        </w:rPr>
        <w:t>(75% RDF + 25% FYM); T</w:t>
      </w:r>
      <w:r w:rsidR="00FE430D" w:rsidRPr="00544558">
        <w:rPr>
          <w:rFonts w:ascii="Times New Roman" w:hAnsi="Times New Roman" w:cs="Times New Roman"/>
          <w:sz w:val="24"/>
          <w:szCs w:val="24"/>
          <w:vertAlign w:val="subscript"/>
        </w:rPr>
        <w:t xml:space="preserve">6 </w:t>
      </w:r>
      <w:r w:rsidR="00FE430D" w:rsidRPr="00544558">
        <w:rPr>
          <w:rFonts w:ascii="Times New Roman" w:hAnsi="Times New Roman" w:cs="Times New Roman"/>
          <w:sz w:val="24"/>
          <w:szCs w:val="24"/>
        </w:rPr>
        <w:t>(75% RDF + 25% VC); T</w:t>
      </w:r>
      <w:r w:rsidR="00FE430D" w:rsidRPr="00544558">
        <w:rPr>
          <w:rFonts w:ascii="Times New Roman" w:hAnsi="Times New Roman" w:cs="Times New Roman"/>
          <w:sz w:val="24"/>
          <w:szCs w:val="24"/>
          <w:vertAlign w:val="subscript"/>
        </w:rPr>
        <w:t xml:space="preserve">7 </w:t>
      </w:r>
      <w:r w:rsidR="00FE430D" w:rsidRPr="00544558">
        <w:rPr>
          <w:rFonts w:ascii="Times New Roman" w:hAnsi="Times New Roman" w:cs="Times New Roman"/>
          <w:sz w:val="24"/>
          <w:szCs w:val="24"/>
        </w:rPr>
        <w:t>(</w:t>
      </w:r>
      <w:r w:rsidR="00FE430D" w:rsidRPr="00544558">
        <w:rPr>
          <w:rFonts w:ascii="Times New Roman" w:eastAsia="Times New Roman" w:hAnsi="Times New Roman" w:cs="Times New Roman"/>
          <w:sz w:val="24"/>
          <w:szCs w:val="24"/>
          <w:lang w:eastAsia="en-IN" w:bidi="hi-IN"/>
        </w:rPr>
        <w:t>75% RDF + 25% PM</w:t>
      </w:r>
      <w:r w:rsidR="00FE430D" w:rsidRPr="00544558">
        <w:rPr>
          <w:rFonts w:ascii="Times New Roman" w:hAnsi="Times New Roman" w:cs="Times New Roman"/>
          <w:sz w:val="24"/>
          <w:szCs w:val="24"/>
        </w:rPr>
        <w:t>) and T</w:t>
      </w:r>
      <w:r w:rsidR="00FE430D" w:rsidRPr="00544558">
        <w:rPr>
          <w:rFonts w:ascii="Times New Roman" w:hAnsi="Times New Roman" w:cs="Times New Roman"/>
          <w:sz w:val="24"/>
          <w:szCs w:val="24"/>
          <w:vertAlign w:val="subscript"/>
        </w:rPr>
        <w:t xml:space="preserve">8 </w:t>
      </w:r>
      <w:r w:rsidR="00FE430D" w:rsidRPr="00544558">
        <w:rPr>
          <w:rFonts w:ascii="Times New Roman" w:hAnsi="Times New Roman" w:cs="Times New Roman"/>
          <w:sz w:val="24"/>
          <w:szCs w:val="24"/>
        </w:rPr>
        <w:t>(25% RDF + 25% FYM + 25% VC + 25% PM)</w:t>
      </w:r>
      <w:r w:rsidRPr="00544558">
        <w:rPr>
          <w:rFonts w:ascii="Times New Roman" w:hAnsi="Times New Roman" w:cs="Times New Roman"/>
          <w:sz w:val="24"/>
          <w:szCs w:val="24"/>
        </w:rPr>
        <w:t xml:space="preserve">. </w:t>
      </w:r>
      <w:r w:rsidR="002F6DB6" w:rsidRPr="00544558">
        <w:rPr>
          <w:rFonts w:ascii="Times New Roman" w:hAnsi="Times New Roman" w:cs="Times New Roman"/>
          <w:sz w:val="24"/>
          <w:szCs w:val="24"/>
        </w:rPr>
        <w:t xml:space="preserve">Using a metre scale, the height of five randomly chosen tagged plants from each plot was measured in </w:t>
      </w:r>
      <w:r w:rsidR="00842150" w:rsidRPr="00544558">
        <w:rPr>
          <w:rFonts w:ascii="Times New Roman" w:hAnsi="Times New Roman" w:cs="Times New Roman"/>
          <w:sz w:val="24"/>
          <w:szCs w:val="24"/>
        </w:rPr>
        <w:t>centimetres</w:t>
      </w:r>
      <w:r w:rsidR="002F6DB6" w:rsidRPr="00544558">
        <w:rPr>
          <w:rFonts w:ascii="Times New Roman" w:hAnsi="Times New Roman" w:cs="Times New Roman"/>
          <w:sz w:val="24"/>
          <w:szCs w:val="24"/>
        </w:rPr>
        <w:t xml:space="preserve"> at 30 and 50 DAS (days after sowing) starting from the ground and ending at the tip of the shoot. At maturity, the number of branches on randomly chosen plants from each plot was counted. Each replication's average number of branches per plant was noted and then statistically examined. Days to first pod setting in experimental plots </w:t>
      </w:r>
      <w:r w:rsidR="00970615">
        <w:rPr>
          <w:rFonts w:ascii="Times New Roman" w:hAnsi="Times New Roman" w:cs="Times New Roman"/>
          <w:sz w:val="24"/>
          <w:szCs w:val="24"/>
        </w:rPr>
        <w:t>were</w:t>
      </w:r>
      <w:r w:rsidR="002F6DB6" w:rsidRPr="00544558">
        <w:rPr>
          <w:rFonts w:ascii="Times New Roman" w:hAnsi="Times New Roman" w:cs="Times New Roman"/>
          <w:sz w:val="24"/>
          <w:szCs w:val="24"/>
        </w:rPr>
        <w:t xml:space="preserve"> measured as the number of days from seeding to the first appearance of pods. For each replication, the data were collected, averaged, and analysed.</w:t>
      </w:r>
    </w:p>
    <w:p w:rsidR="002F6DB6" w:rsidRPr="00D228BD" w:rsidRDefault="002F6DB6" w:rsidP="009F1452">
      <w:pPr>
        <w:spacing w:before="240" w:after="120"/>
        <w:ind w:right="27"/>
        <w:jc w:val="both"/>
        <w:rPr>
          <w:rFonts w:ascii="Times New Roman" w:hAnsi="Times New Roman" w:cs="Times New Roman"/>
          <w:sz w:val="24"/>
          <w:szCs w:val="24"/>
        </w:rPr>
      </w:pPr>
      <w:r w:rsidRPr="00D228BD">
        <w:rPr>
          <w:rFonts w:ascii="Times New Roman" w:hAnsi="Times New Roman" w:cs="Times New Roman"/>
          <w:sz w:val="24"/>
          <w:szCs w:val="24"/>
        </w:rPr>
        <w:t>Number of fruits that set-in vine was counted and recorded as number of pods per plant for each treatment and replication. The yield was calculated by weighing the marketable pods. The readings for all the two plants plot</w:t>
      </w:r>
      <w:r w:rsidRPr="00D228BD">
        <w:rPr>
          <w:rFonts w:ascii="Times New Roman" w:hAnsi="Times New Roman" w:cs="Times New Roman"/>
          <w:sz w:val="24"/>
          <w:szCs w:val="24"/>
          <w:vertAlign w:val="superscript"/>
        </w:rPr>
        <w:t>-1</w:t>
      </w:r>
      <w:r w:rsidRPr="00D228BD">
        <w:rPr>
          <w:rFonts w:ascii="Times New Roman" w:hAnsi="Times New Roman" w:cs="Times New Roman"/>
          <w:sz w:val="24"/>
          <w:szCs w:val="24"/>
        </w:rPr>
        <w:t xml:space="preserve"> were recorded. The average yield/plant was calculated by dividing the total yield of the treatments </w:t>
      </w:r>
      <w:r w:rsidR="00893646">
        <w:rPr>
          <w:rFonts w:ascii="Times New Roman" w:hAnsi="Times New Roman" w:cs="Times New Roman"/>
          <w:sz w:val="24"/>
          <w:szCs w:val="24"/>
        </w:rPr>
        <w:t>by</w:t>
      </w:r>
      <w:r w:rsidRPr="00D228BD">
        <w:rPr>
          <w:rFonts w:ascii="Times New Roman" w:hAnsi="Times New Roman" w:cs="Times New Roman"/>
          <w:sz w:val="24"/>
          <w:szCs w:val="24"/>
        </w:rPr>
        <w:t xml:space="preserve"> the total number of plants in plot.</w:t>
      </w:r>
    </w:p>
    <w:p w:rsidR="002F6DB6" w:rsidRPr="00311ECD" w:rsidRDefault="002F6DB6" w:rsidP="009F1452">
      <w:pPr>
        <w:pStyle w:val="ListParagraph"/>
        <w:spacing w:before="240" w:after="120" w:line="276" w:lineRule="auto"/>
        <w:ind w:left="284" w:right="27"/>
        <w:jc w:val="both"/>
        <w:rPr>
          <w:rFonts w:ascii="Times New Roman" w:hAnsi="Times New Roman" w:cs="Times New Roman"/>
          <w:sz w:val="24"/>
          <w:szCs w:val="24"/>
          <w:vertAlign w:val="superscript"/>
        </w:rPr>
      </w:pPr>
      <w:r w:rsidRPr="00311ECD">
        <w:rPr>
          <w:rFonts w:ascii="Times New Roman" w:hAnsi="Times New Roman" w:cs="Times New Roman"/>
          <w:sz w:val="24"/>
          <w:szCs w:val="24"/>
        </w:rPr>
        <w:t xml:space="preserve">Pod yield per hectare = </w:t>
      </w:r>
      <m:oMath>
        <m:f>
          <m:fPr>
            <m:ctrlPr>
              <w:rPr>
                <w:rFonts w:ascii="Cambria Math" w:hAnsi="Times New Roman" w:cs="Times New Roman"/>
                <w:iCs/>
                <w:sz w:val="24"/>
                <w:szCs w:val="24"/>
              </w:rPr>
            </m:ctrlPr>
          </m:fPr>
          <m:num>
            <m:r>
              <m:rPr>
                <m:sty m:val="p"/>
              </m:rPr>
              <w:rPr>
                <w:rFonts w:ascii="Cambria Math" w:hAnsi="Times New Roman" w:cs="Times New Roman"/>
                <w:sz w:val="24"/>
                <w:szCs w:val="24"/>
              </w:rPr>
              <m:t>Pod Yield per plot</m:t>
            </m:r>
          </m:num>
          <m:den>
            <m:r>
              <m:rPr>
                <m:sty m:val="p"/>
              </m:rPr>
              <w:rPr>
                <w:rFonts w:ascii="Cambria Math" w:hAnsi="Times New Roman" w:cs="Times New Roman"/>
                <w:sz w:val="24"/>
                <w:szCs w:val="24"/>
              </w:rPr>
              <m:t>Size of individual plot</m:t>
            </m:r>
          </m:den>
        </m:f>
      </m:oMath>
      <w:r w:rsidRPr="00311ECD">
        <w:rPr>
          <w:rFonts w:ascii="Times New Roman" w:hAnsi="Times New Roman" w:cs="Times New Roman"/>
          <w:sz w:val="24"/>
          <w:szCs w:val="24"/>
        </w:rPr>
        <w:t xml:space="preserve"> X 10,000 m</w:t>
      </w:r>
      <w:r w:rsidRPr="00311ECD">
        <w:rPr>
          <w:rFonts w:ascii="Times New Roman" w:hAnsi="Times New Roman" w:cs="Times New Roman"/>
          <w:sz w:val="24"/>
          <w:szCs w:val="24"/>
          <w:vertAlign w:val="superscript"/>
        </w:rPr>
        <w:t>2</w:t>
      </w:r>
    </w:p>
    <w:p w:rsidR="005526A1" w:rsidRPr="008D7EF1" w:rsidRDefault="00020FC4" w:rsidP="009F1452">
      <w:pPr>
        <w:ind w:right="27"/>
        <w:jc w:val="both"/>
        <w:rPr>
          <w:rFonts w:ascii="Times New Roman" w:hAnsi="Times New Roman" w:cs="Times New Roman"/>
          <w:sz w:val="24"/>
          <w:szCs w:val="24"/>
        </w:rPr>
      </w:pPr>
      <w:r w:rsidRPr="008D7EF1">
        <w:rPr>
          <w:rFonts w:ascii="Times New Roman" w:hAnsi="Times New Roman" w:cs="Times New Roman"/>
          <w:sz w:val="24"/>
          <w:szCs w:val="24"/>
        </w:rPr>
        <w:t xml:space="preserve">The statistical analysis was conducted using </w:t>
      </w:r>
      <w:r w:rsidRPr="008D7EF1">
        <w:rPr>
          <w:rFonts w:ascii="Times New Roman" w:hAnsi="Times New Roman" w:cs="Times New Roman"/>
          <w:b/>
          <w:bCs/>
          <w:sz w:val="24"/>
          <w:szCs w:val="24"/>
        </w:rPr>
        <w:t>Fisher and Yates (</w:t>
      </w:r>
      <w:proofErr w:type="gramStart"/>
      <w:r w:rsidRPr="008D7EF1">
        <w:rPr>
          <w:rFonts w:ascii="Times New Roman" w:hAnsi="Times New Roman" w:cs="Times New Roman"/>
          <w:b/>
          <w:bCs/>
          <w:sz w:val="24"/>
          <w:szCs w:val="24"/>
        </w:rPr>
        <w:t>1967)</w:t>
      </w:r>
      <w:r w:rsidRPr="008D7EF1">
        <w:rPr>
          <w:rFonts w:ascii="Times New Roman" w:hAnsi="Times New Roman" w:cs="Times New Roman"/>
          <w:sz w:val="24"/>
          <w:szCs w:val="24"/>
        </w:rPr>
        <w:t>.</w:t>
      </w:r>
      <w:r w:rsidR="005526A1" w:rsidRPr="008D7EF1">
        <w:rPr>
          <w:rFonts w:ascii="Times New Roman" w:hAnsi="Times New Roman" w:cs="Times New Roman"/>
          <w:sz w:val="24"/>
          <w:szCs w:val="24"/>
        </w:rPr>
        <w:t>Net</w:t>
      </w:r>
      <w:proofErr w:type="gramEnd"/>
      <w:r w:rsidR="005526A1" w:rsidRPr="008D7EF1">
        <w:rPr>
          <w:rFonts w:ascii="Times New Roman" w:hAnsi="Times New Roman" w:cs="Times New Roman"/>
          <w:sz w:val="24"/>
          <w:szCs w:val="24"/>
        </w:rPr>
        <w:t xml:space="preserve"> return refers to the profit or income generated from a business or investment after deducting all expenses, costs, and taxes. In the context of cowpea cultivation, net return represents the actual profit obtained from selling produce considering all the production costs associated with their cultivation. To calculate net return in cowpea cultivation, the total revenue from the sale of produce of cowpea was subtracted from the total production costs. A Benefit cost Ratio greater than 1 indicates that the benefits of the project outweigh the costs, suggesting that the project is financially viab</w:t>
      </w:r>
      <w:r w:rsidR="00191539">
        <w:rPr>
          <w:rFonts w:ascii="Times New Roman" w:hAnsi="Times New Roman" w:cs="Times New Roman"/>
          <w:sz w:val="24"/>
          <w:szCs w:val="24"/>
        </w:rPr>
        <w:t>le and potentially profitable a</w:t>
      </w:r>
      <w:r w:rsidR="005526A1" w:rsidRPr="008D7EF1">
        <w:rPr>
          <w:rFonts w:ascii="Times New Roman" w:hAnsi="Times New Roman" w:cs="Times New Roman"/>
          <w:sz w:val="24"/>
          <w:szCs w:val="24"/>
        </w:rPr>
        <w:t>nd vice versa. Benefit Cost ratio from each treatment was calculated using the following formula:</w:t>
      </w:r>
    </w:p>
    <w:p w:rsidR="005526A1" w:rsidRPr="00311ECD" w:rsidRDefault="005526A1" w:rsidP="005833CD">
      <w:pPr>
        <w:pStyle w:val="ListParagraph"/>
        <w:spacing w:line="276" w:lineRule="auto"/>
        <w:ind w:left="284" w:right="261"/>
        <w:jc w:val="both"/>
        <w:rPr>
          <w:rFonts w:ascii="Times New Roman" w:hAnsi="Times New Roman" w:cs="Times New Roman"/>
          <w:sz w:val="24"/>
          <w:szCs w:val="24"/>
        </w:rPr>
      </w:pPr>
      <w:r w:rsidRPr="00311ECD">
        <w:rPr>
          <w:rFonts w:ascii="Times New Roman" w:hAnsi="Times New Roman" w:cs="Times New Roman"/>
          <w:sz w:val="24"/>
          <w:szCs w:val="24"/>
        </w:rPr>
        <w:t>Benefit cost ratio = Gross return (Rs/ha) / Total cost of cultivation (Rs/ha).</w:t>
      </w:r>
    </w:p>
    <w:p w:rsidR="00591810" w:rsidRDefault="00591810" w:rsidP="005833CD">
      <w:pPr>
        <w:pStyle w:val="ListParagraph"/>
        <w:spacing w:before="240" w:after="120" w:line="276" w:lineRule="auto"/>
        <w:ind w:left="284" w:right="571"/>
        <w:jc w:val="both"/>
        <w:rPr>
          <w:rFonts w:ascii="Times New Roman" w:hAnsi="Times New Roman" w:cs="Times New Roman"/>
          <w:bCs/>
          <w:sz w:val="24"/>
          <w:szCs w:val="24"/>
        </w:rPr>
      </w:pPr>
    </w:p>
    <w:p w:rsidR="009F1452" w:rsidRPr="00311ECD" w:rsidRDefault="009F1452" w:rsidP="005833CD">
      <w:pPr>
        <w:pStyle w:val="ListParagraph"/>
        <w:spacing w:before="240" w:after="120" w:line="276" w:lineRule="auto"/>
        <w:ind w:left="284" w:right="571"/>
        <w:jc w:val="both"/>
        <w:rPr>
          <w:rFonts w:ascii="Times New Roman" w:hAnsi="Times New Roman" w:cs="Times New Roman"/>
          <w:bCs/>
          <w:sz w:val="24"/>
          <w:szCs w:val="24"/>
        </w:rPr>
      </w:pPr>
    </w:p>
    <w:p w:rsidR="00591810" w:rsidRPr="00311ECD" w:rsidRDefault="009C2E1B" w:rsidP="005833CD">
      <w:pPr>
        <w:rPr>
          <w:rFonts w:ascii="Times New Roman" w:hAnsi="Times New Roman" w:cs="Times New Roman"/>
          <w:b/>
          <w:sz w:val="24"/>
          <w:szCs w:val="24"/>
        </w:rPr>
      </w:pPr>
      <w:r w:rsidRPr="00311ECD">
        <w:rPr>
          <w:rFonts w:ascii="Times New Roman" w:hAnsi="Times New Roman" w:cs="Times New Roman"/>
          <w:b/>
          <w:sz w:val="24"/>
          <w:szCs w:val="24"/>
        </w:rPr>
        <w:t>RESULTS AND DISCUSSION</w:t>
      </w:r>
    </w:p>
    <w:p w:rsidR="006422DF" w:rsidRPr="00311ECD" w:rsidRDefault="00591810" w:rsidP="005833CD">
      <w:pPr>
        <w:pStyle w:val="ListParagraph"/>
        <w:numPr>
          <w:ilvl w:val="0"/>
          <w:numId w:val="6"/>
        </w:numPr>
        <w:spacing w:line="276" w:lineRule="auto"/>
        <w:ind w:left="0" w:firstLine="0"/>
        <w:rPr>
          <w:rFonts w:ascii="Times New Roman" w:eastAsiaTheme="minorHAnsi" w:hAnsi="Times New Roman" w:cs="Times New Roman"/>
          <w:b/>
          <w:sz w:val="24"/>
          <w:szCs w:val="24"/>
        </w:rPr>
      </w:pPr>
      <w:r w:rsidRPr="00311ECD">
        <w:rPr>
          <w:rFonts w:ascii="Times New Roman" w:eastAsia="Calibri" w:hAnsi="Times New Roman" w:cs="Times New Roman"/>
          <w:b/>
          <w:bCs/>
          <w:sz w:val="24"/>
          <w:szCs w:val="24"/>
        </w:rPr>
        <w:t>Growth Parameters</w:t>
      </w:r>
    </w:p>
    <w:p w:rsidR="00F64BED" w:rsidRPr="00311ECD" w:rsidRDefault="00F64BED" w:rsidP="005833CD">
      <w:pPr>
        <w:pStyle w:val="ListParagraph"/>
        <w:numPr>
          <w:ilvl w:val="0"/>
          <w:numId w:val="9"/>
        </w:numPr>
        <w:spacing w:line="276" w:lineRule="auto"/>
        <w:ind w:left="0" w:right="545" w:hanging="11"/>
        <w:jc w:val="both"/>
        <w:rPr>
          <w:rFonts w:ascii="Times New Roman" w:hAnsi="Times New Roman" w:cs="Times New Roman"/>
          <w:sz w:val="24"/>
          <w:szCs w:val="24"/>
        </w:rPr>
      </w:pPr>
      <w:r w:rsidRPr="00311ECD">
        <w:rPr>
          <w:rFonts w:ascii="Times New Roman" w:eastAsia="Calibri" w:hAnsi="Times New Roman" w:cs="Times New Roman"/>
          <w:b/>
          <w:bCs/>
          <w:sz w:val="24"/>
          <w:szCs w:val="24"/>
        </w:rPr>
        <w:t>Plant height (cm)</w:t>
      </w:r>
    </w:p>
    <w:p w:rsidR="00F64BED" w:rsidRPr="00311ECD" w:rsidRDefault="00F64BED" w:rsidP="003716DD">
      <w:pPr>
        <w:pStyle w:val="ListParagraph"/>
        <w:spacing w:line="276" w:lineRule="auto"/>
        <w:ind w:left="0" w:right="27"/>
        <w:jc w:val="both"/>
        <w:rPr>
          <w:rFonts w:ascii="Times New Roman" w:hAnsi="Times New Roman" w:cs="Times New Roman"/>
          <w:sz w:val="24"/>
          <w:szCs w:val="24"/>
        </w:rPr>
      </w:pPr>
      <w:r w:rsidRPr="00311ECD">
        <w:rPr>
          <w:rFonts w:ascii="Times New Roman" w:eastAsia="Calibri" w:hAnsi="Times New Roman" w:cs="Times New Roman"/>
          <w:sz w:val="24"/>
          <w:szCs w:val="24"/>
        </w:rPr>
        <w:t xml:space="preserve">The maximum plant height (57.85 and 96.28 cm) at 30, 50 DAS respectively was observed with treatment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1</w:t>
      </w:r>
      <w:r w:rsidRPr="00311ECD">
        <w:rPr>
          <w:rFonts w:ascii="Times New Roman" w:hAnsi="Times New Roman" w:cs="Times New Roman"/>
          <w:sz w:val="24"/>
          <w:szCs w:val="24"/>
        </w:rPr>
        <w:t xml:space="preserve"> (RDF 100% [NPK: 25:50:25 Kg/ha])</w:t>
      </w:r>
      <w:r w:rsidRPr="00311ECD">
        <w:rPr>
          <w:rFonts w:ascii="Times New Roman" w:eastAsia="Calibri" w:hAnsi="Times New Roman" w:cs="Times New Roman"/>
          <w:sz w:val="24"/>
          <w:szCs w:val="24"/>
        </w:rPr>
        <w:t xml:space="preserve"> followed by T</w:t>
      </w:r>
      <w:r w:rsidRPr="00311ECD">
        <w:rPr>
          <w:rFonts w:ascii="Times New Roman" w:eastAsia="Calibri" w:hAnsi="Times New Roman" w:cs="Times New Roman"/>
          <w:sz w:val="24"/>
          <w:szCs w:val="24"/>
          <w:vertAlign w:val="subscript"/>
        </w:rPr>
        <w:t>6</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75% RDF + 25% VC</w:t>
      </w:r>
      <w:r w:rsidRPr="00311ECD">
        <w:rPr>
          <w:rFonts w:ascii="Times New Roman" w:eastAsia="Calibri" w:hAnsi="Times New Roman" w:cs="Times New Roman"/>
          <w:sz w:val="24"/>
          <w:szCs w:val="24"/>
        </w:rPr>
        <w:t>) with 54.95 and 95.31 cm at 30, 50 DAS respectively. Minimum height of plant (42.29 and 80.43 cm)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 at 30, 50 DAS respectively, while the remaining treatments were moderate in their growth habit</w:t>
      </w:r>
      <w:r w:rsidR="00371B74">
        <w:rPr>
          <w:rFonts w:ascii="Times New Roman" w:eastAsia="Calibri" w:hAnsi="Times New Roman" w:cs="Times New Roman"/>
          <w:sz w:val="24"/>
          <w:szCs w:val="24"/>
        </w:rPr>
        <w:t xml:space="preserve"> (Table 1 &amp; Fig. 1)</w:t>
      </w:r>
      <w:r w:rsidRPr="00311ECD">
        <w:rPr>
          <w:rFonts w:ascii="Times New Roman" w:eastAsia="Calibri" w:hAnsi="Times New Roman" w:cs="Times New Roman"/>
          <w:sz w:val="24"/>
          <w:szCs w:val="24"/>
        </w:rPr>
        <w:t xml:space="preserve">. In cowpea cultivation, the treatment combination of 75% Recommended Dose of Fertilizers (RDF) + 25% </w:t>
      </w:r>
      <w:r w:rsidRPr="00311ECD">
        <w:rPr>
          <w:rFonts w:ascii="Times New Roman" w:eastAsia="Calibri" w:hAnsi="Times New Roman" w:cs="Times New Roman"/>
          <w:sz w:val="24"/>
          <w:szCs w:val="24"/>
        </w:rPr>
        <w:lastRenderedPageBreak/>
        <w:t xml:space="preserve">Vermicompost (VC) typically results in improved plant height, ranking second only to the RDF 100% treatment among various combinations of organic manure and inorganic fertilizers. This outcome is primarily due to the synergistic benefits of vermicompost and reduced but balanced application of synthetic fertilizers. Vermicompost enhances soil health by improving its structure and nutrient retention capacity. It provides a slow-release source of nutrients, promoting steady plant growth and development throughout the crop cycle. The 75% RDF ensures that essential nutrients are adequately supplied without overloading the soil, thus preventing nutrient imbalances that can hinder plant growth. This balanced approach supports optimal root development, nutrient uptake, and overall physiological processes in cowpea plants, contributing to </w:t>
      </w:r>
      <w:r w:rsidR="002359B7">
        <w:rPr>
          <w:rFonts w:ascii="Times New Roman" w:eastAsia="Calibri" w:hAnsi="Times New Roman" w:cs="Times New Roman"/>
          <w:sz w:val="24"/>
          <w:szCs w:val="24"/>
        </w:rPr>
        <w:t>enhancing</w:t>
      </w:r>
      <w:r w:rsidRPr="00311ECD">
        <w:rPr>
          <w:rFonts w:ascii="Times New Roman" w:eastAsia="Calibri" w:hAnsi="Times New Roman" w:cs="Times New Roman"/>
          <w:sz w:val="24"/>
          <w:szCs w:val="24"/>
        </w:rPr>
        <w:t xml:space="preserve"> plant height compared to other treatment combinations using different ratios of organic and inorganic inputs. Similar findings were reported by </w:t>
      </w:r>
      <w:r w:rsidRPr="00311ECD">
        <w:rPr>
          <w:rFonts w:ascii="Times New Roman" w:hAnsi="Times New Roman" w:cs="Times New Roman"/>
          <w:b/>
          <w:bCs/>
          <w:sz w:val="24"/>
          <w:szCs w:val="24"/>
        </w:rPr>
        <w:t xml:space="preserve">Panda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(2017); Patel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(2021)</w:t>
      </w:r>
      <w:r w:rsidRPr="00311ECD">
        <w:rPr>
          <w:rFonts w:ascii="Times New Roman" w:eastAsia="Calibri" w:hAnsi="Times New Roman" w:cs="Times New Roman"/>
          <w:sz w:val="24"/>
          <w:szCs w:val="24"/>
        </w:rPr>
        <w:t xml:space="preserve"> in Cowpea.</w:t>
      </w:r>
    </w:p>
    <w:p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b/>
          <w:bCs/>
          <w:sz w:val="24"/>
          <w:szCs w:val="24"/>
        </w:rPr>
        <w:t>2. Number of branches per plant</w:t>
      </w:r>
    </w:p>
    <w:p w:rsidR="00F64BED" w:rsidRPr="00311ECD" w:rsidRDefault="00F64BED" w:rsidP="003716DD">
      <w:pPr>
        <w:ind w:right="27"/>
        <w:jc w:val="both"/>
        <w:rPr>
          <w:rFonts w:ascii="Times New Roman" w:hAnsi="Times New Roman" w:cs="Times New Roman"/>
          <w:sz w:val="24"/>
          <w:szCs w:val="24"/>
        </w:rPr>
      </w:pPr>
      <w:r w:rsidRPr="00311ECD">
        <w:rPr>
          <w:rFonts w:ascii="Times New Roman" w:hAnsi="Times New Roman" w:cs="Times New Roman"/>
          <w:sz w:val="24"/>
          <w:szCs w:val="24"/>
        </w:rPr>
        <w:t xml:space="preserve">Number of branches per plant of cowpea showed statistically significant differences among various doses of combination applied. </w:t>
      </w:r>
      <w:r w:rsidRPr="00311ECD">
        <w:rPr>
          <w:rFonts w:ascii="Times New Roman" w:eastAsia="Calibri" w:hAnsi="Times New Roman" w:cs="Times New Roman"/>
          <w:sz w:val="24"/>
          <w:szCs w:val="24"/>
        </w:rPr>
        <w:t>The maximum number of branches per plant (15.85 branches)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FYM)</w:t>
      </w:r>
      <w:r w:rsidRPr="00311ECD">
        <w:rPr>
          <w:rFonts w:ascii="Times New Roman" w:eastAsia="Calibri" w:hAnsi="Times New Roman" w:cs="Times New Roman"/>
          <w:sz w:val="24"/>
          <w:szCs w:val="24"/>
        </w:rPr>
        <w:t xml:space="preserve"> with 15.30 branches. Minimum number of branches per plant (6.28 branches)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w:t>
      </w:r>
      <w:r w:rsidR="000A772E">
        <w:rPr>
          <w:rFonts w:ascii="Times New Roman" w:eastAsia="Calibri" w:hAnsi="Times New Roman" w:cs="Times New Roman"/>
          <w:sz w:val="24"/>
          <w:szCs w:val="24"/>
        </w:rPr>
        <w:t xml:space="preserve"> (Table 1 &amp; Fig. 1)</w:t>
      </w:r>
      <w:r w:rsidRPr="00311ECD">
        <w:rPr>
          <w:rFonts w:ascii="Times New Roman" w:eastAsia="Calibri" w:hAnsi="Times New Roman" w:cs="Times New Roman"/>
          <w:sz w:val="24"/>
          <w:szCs w:val="24"/>
        </w:rPr>
        <w:t xml:space="preserve">. In cowpea cultivation, the treatment combination of 75% Recommended Dose of Fertilizers (RDF) + 25% Vermicompost (VC) often results in a higher number of branches per plant, ranking second only to the RDF 100% treatment among various integrated nutrient management strategies. This outcome can be attributed to the combined benefits of vermicompost and balanced fertilizer application. Vermicompost enriches the soil with organic matter and beneficial microorganisms, enhancing soil fertility and nutrient availability. The gradual release of nutrients from vermicompost supports sustained plant growth and encourages lateral shoot development, leading to increased branching in cowpea plants. Additionally, the 75% RDF ensures </w:t>
      </w:r>
      <w:r w:rsidR="00A779D8">
        <w:rPr>
          <w:rFonts w:ascii="Times New Roman" w:eastAsia="Calibri" w:hAnsi="Times New Roman" w:cs="Times New Roman"/>
          <w:sz w:val="24"/>
          <w:szCs w:val="24"/>
        </w:rPr>
        <w:t xml:space="preserve">an </w:t>
      </w:r>
      <w:r w:rsidRPr="00311ECD">
        <w:rPr>
          <w:rFonts w:ascii="Times New Roman" w:eastAsia="Calibri" w:hAnsi="Times New Roman" w:cs="Times New Roman"/>
          <w:sz w:val="24"/>
          <w:szCs w:val="24"/>
        </w:rPr>
        <w:t xml:space="preserve">adequate but not excessive supply of essential nutrients, promoting healthy and vigorous growth without causing nutrient imbalances that can affect plant branching patterns. Overall, the 75% RDF + 25% VC treatment combination optimizes nutrient uptake efficiency and promotes robust vegetative growth in cowpea, resulting in a greater number of branches per plant compared to other combinations of organic and inorganic fertilizers. Similar findings were reported by </w:t>
      </w:r>
      <w:r w:rsidRPr="00311ECD">
        <w:rPr>
          <w:rFonts w:ascii="Times New Roman" w:hAnsi="Times New Roman" w:cs="Times New Roman"/>
          <w:b/>
          <w:bCs/>
          <w:sz w:val="24"/>
          <w:szCs w:val="24"/>
        </w:rPr>
        <w:t xml:space="preserve">Singh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(2018); Patel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(2023)</w:t>
      </w:r>
      <w:r w:rsidRPr="00311ECD">
        <w:rPr>
          <w:rFonts w:ascii="Times New Roman" w:eastAsia="Calibri" w:hAnsi="Times New Roman" w:cs="Times New Roman"/>
          <w:sz w:val="24"/>
          <w:szCs w:val="24"/>
        </w:rPr>
        <w:t xml:space="preserve"> in Cowpea.</w:t>
      </w:r>
    </w:p>
    <w:p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b/>
          <w:bCs/>
          <w:sz w:val="24"/>
          <w:szCs w:val="24"/>
        </w:rPr>
        <w:t>3. Days to 50% flowering</w:t>
      </w:r>
    </w:p>
    <w:p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sz w:val="24"/>
          <w:szCs w:val="24"/>
        </w:rPr>
        <w:t>The minimum days to 50% flowering (42.15 days)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8</w:t>
      </w:r>
      <w:r w:rsidRPr="00311ECD">
        <w:rPr>
          <w:rFonts w:ascii="Times New Roman" w:hAnsi="Times New Roman" w:cs="Times New Roman"/>
          <w:sz w:val="24"/>
          <w:szCs w:val="24"/>
        </w:rPr>
        <w:t xml:space="preserve"> (25% RDF + 25% FYM + 25% VC + 25% PM)</w:t>
      </w:r>
      <w:r w:rsidRPr="00311ECD">
        <w:rPr>
          <w:rFonts w:ascii="Times New Roman" w:eastAsia="Calibri" w:hAnsi="Times New Roman" w:cs="Times New Roman"/>
          <w:sz w:val="24"/>
          <w:szCs w:val="24"/>
        </w:rPr>
        <w:t xml:space="preserve"> with 43.64 days. Maximum days to 50% flowering (51.21 days) </w:t>
      </w:r>
      <w:r w:rsidR="006B5084">
        <w:rPr>
          <w:rFonts w:ascii="Times New Roman" w:eastAsia="Calibri" w:hAnsi="Times New Roman" w:cs="Times New Roman"/>
          <w:sz w:val="24"/>
          <w:szCs w:val="24"/>
        </w:rPr>
        <w:t>were</w:t>
      </w:r>
      <w:r w:rsidRPr="00311ECD">
        <w:rPr>
          <w:rFonts w:ascii="Times New Roman" w:eastAsia="Calibri" w:hAnsi="Times New Roman" w:cs="Times New Roman"/>
          <w:sz w:val="24"/>
          <w:szCs w:val="24"/>
        </w:rPr>
        <w:t xml:space="preserve">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w:t>
      </w:r>
      <w:proofErr w:type="gramStart"/>
      <w:r w:rsidRPr="00311ECD">
        <w:rPr>
          <w:rFonts w:ascii="Times New Roman" w:eastAsia="Calibri" w:hAnsi="Times New Roman" w:cs="Times New Roman"/>
          <w:sz w:val="24"/>
          <w:szCs w:val="24"/>
        </w:rPr>
        <w:t>).In</w:t>
      </w:r>
      <w:proofErr w:type="gramEnd"/>
      <w:r w:rsidRPr="00311ECD">
        <w:rPr>
          <w:rFonts w:ascii="Times New Roman" w:eastAsia="Calibri" w:hAnsi="Times New Roman" w:cs="Times New Roman"/>
          <w:sz w:val="24"/>
          <w:szCs w:val="24"/>
        </w:rPr>
        <w:t xml:space="preserve"> cowpea cultivation, the treatment combination of 25% Recommended Dose of Fertilizers (RDF) + 25% Farmyard Manure (FYM) + 25% Vermicompost (VC) + 25% Poultry Manure often shows earlier flowering, ranking second only to the RDF 100% treatment among various integrated nutrient management strategies</w:t>
      </w:r>
      <w:r w:rsidR="007D26B9">
        <w:rPr>
          <w:rFonts w:ascii="Times New Roman" w:eastAsia="Calibri" w:hAnsi="Times New Roman" w:cs="Times New Roman"/>
          <w:sz w:val="24"/>
          <w:szCs w:val="24"/>
        </w:rPr>
        <w:t xml:space="preserve"> (Table 1 &amp; Fig. 1)</w:t>
      </w:r>
      <w:r w:rsidRPr="00311ECD">
        <w:rPr>
          <w:rFonts w:ascii="Times New Roman" w:eastAsia="Calibri" w:hAnsi="Times New Roman" w:cs="Times New Roman"/>
          <w:sz w:val="24"/>
          <w:szCs w:val="24"/>
        </w:rPr>
        <w:t xml:space="preserve">. This </w:t>
      </w:r>
      <w:r w:rsidRPr="00311ECD">
        <w:rPr>
          <w:rFonts w:ascii="Times New Roman" w:eastAsia="Calibri" w:hAnsi="Times New Roman" w:cs="Times New Roman"/>
          <w:sz w:val="24"/>
          <w:szCs w:val="24"/>
        </w:rPr>
        <w:lastRenderedPageBreak/>
        <w:t xml:space="preserve">early flowering can be attributed to the diverse and balanced nutrient supply provided by this combination. Farmyard Manure (FYM) and Poultry Manure enrich the soil with organic matter and beneficial microorganisms, improving soil structure, fertility, and water-holding capacity. Vermicompost complements this by providing a steady release of nutrients essential for plant growth and development. The balanced application of RDF ensures that necessary macro and micronutrients, such as nitrogen, phosphorus, and potassium, are adequately supplied without excess, promoting early root establishment and vigorous vegetative growth, which in turn triggers earlier flowering in cowpea plants. Similar findings were reported by </w:t>
      </w:r>
      <w:proofErr w:type="spellStart"/>
      <w:r w:rsidRPr="00311ECD">
        <w:rPr>
          <w:rFonts w:ascii="Times New Roman" w:hAnsi="Times New Roman" w:cs="Times New Roman"/>
          <w:b/>
          <w:bCs/>
          <w:sz w:val="24"/>
          <w:szCs w:val="24"/>
        </w:rPr>
        <w:t>Begam</w:t>
      </w:r>
      <w:proofErr w:type="spellEnd"/>
      <w:r w:rsidRPr="00311ECD">
        <w:rPr>
          <w:rFonts w:ascii="Times New Roman" w:hAnsi="Times New Roman" w:cs="Times New Roman"/>
          <w:b/>
          <w:bCs/>
          <w:sz w:val="24"/>
          <w:szCs w:val="24"/>
        </w:rPr>
        <w:t xml:space="preserve">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(2023); </w:t>
      </w:r>
      <w:proofErr w:type="spellStart"/>
      <w:r w:rsidRPr="00311ECD">
        <w:rPr>
          <w:rFonts w:ascii="Times New Roman" w:hAnsi="Times New Roman" w:cs="Times New Roman"/>
          <w:b/>
          <w:bCs/>
          <w:sz w:val="24"/>
          <w:szCs w:val="24"/>
        </w:rPr>
        <w:t>Indianraj</w:t>
      </w:r>
      <w:proofErr w:type="spellEnd"/>
      <w:r w:rsidRPr="00311ECD">
        <w:rPr>
          <w:rFonts w:ascii="Times New Roman" w:hAnsi="Times New Roman" w:cs="Times New Roman"/>
          <w:b/>
          <w:bCs/>
          <w:sz w:val="24"/>
          <w:szCs w:val="24"/>
        </w:rPr>
        <w:t xml:space="preserve">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(2023)</w:t>
      </w:r>
      <w:r w:rsidRPr="00311ECD">
        <w:rPr>
          <w:rFonts w:ascii="Times New Roman" w:eastAsia="Calibri" w:hAnsi="Times New Roman" w:cs="Times New Roman"/>
          <w:sz w:val="24"/>
          <w:szCs w:val="24"/>
        </w:rPr>
        <w:t xml:space="preserve"> in Cowpea.</w:t>
      </w:r>
    </w:p>
    <w:p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b/>
          <w:bCs/>
          <w:sz w:val="24"/>
          <w:szCs w:val="24"/>
        </w:rPr>
        <w:t>4. Days to 50% pod setting and days to first pod picking</w:t>
      </w:r>
    </w:p>
    <w:p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sz w:val="24"/>
          <w:szCs w:val="24"/>
        </w:rPr>
        <w:t>The minimum days to 50% pod setting (50.59 days)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8</w:t>
      </w:r>
      <w:r w:rsidRPr="00311ECD">
        <w:rPr>
          <w:rFonts w:ascii="Times New Roman" w:hAnsi="Times New Roman" w:cs="Times New Roman"/>
          <w:sz w:val="24"/>
          <w:szCs w:val="24"/>
        </w:rPr>
        <w:t xml:space="preserve"> (25% RDF + 25% FYM + 25% VC + 25% PM)</w:t>
      </w:r>
      <w:r w:rsidRPr="00311ECD">
        <w:rPr>
          <w:rFonts w:ascii="Times New Roman" w:eastAsia="Calibri" w:hAnsi="Times New Roman" w:cs="Times New Roman"/>
          <w:sz w:val="24"/>
          <w:szCs w:val="24"/>
        </w:rPr>
        <w:t xml:space="preserve"> with 52.50 days. </w:t>
      </w:r>
      <w:r w:rsidR="000C5CE8" w:rsidRPr="00311ECD">
        <w:rPr>
          <w:rFonts w:ascii="Times New Roman" w:eastAsia="Calibri" w:hAnsi="Times New Roman" w:cs="Times New Roman"/>
          <w:sz w:val="24"/>
          <w:szCs w:val="24"/>
        </w:rPr>
        <w:t>Maximum days to 50% pod setting (62.41 days) were</w:t>
      </w:r>
      <w:r w:rsidRPr="00311ECD">
        <w:rPr>
          <w:rFonts w:ascii="Times New Roman" w:eastAsia="Calibri" w:hAnsi="Times New Roman" w:cs="Times New Roman"/>
          <w:sz w:val="24"/>
          <w:szCs w:val="24"/>
        </w:rPr>
        <w:t xml:space="preserve">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w:t>
      </w:r>
      <w:r w:rsidRPr="00311ECD">
        <w:rPr>
          <w:rFonts w:ascii="Times New Roman" w:hAnsi="Times New Roman" w:cs="Times New Roman"/>
          <w:sz w:val="24"/>
          <w:szCs w:val="24"/>
        </w:rPr>
        <w:t xml:space="preserve"> Days to first pod picking in cowpea showed statistically significant </w:t>
      </w:r>
      <w:proofErr w:type="gramStart"/>
      <w:r w:rsidRPr="00311ECD">
        <w:rPr>
          <w:rFonts w:ascii="Times New Roman" w:hAnsi="Times New Roman" w:cs="Times New Roman"/>
          <w:sz w:val="24"/>
          <w:szCs w:val="24"/>
        </w:rPr>
        <w:t>differences  among</w:t>
      </w:r>
      <w:proofErr w:type="gramEnd"/>
      <w:r w:rsidRPr="00311ECD">
        <w:rPr>
          <w:rFonts w:ascii="Times New Roman" w:hAnsi="Times New Roman" w:cs="Times New Roman"/>
          <w:sz w:val="24"/>
          <w:szCs w:val="24"/>
        </w:rPr>
        <w:t xml:space="preserve"> various doses of combination applied. </w:t>
      </w:r>
      <w:r w:rsidRPr="00311ECD">
        <w:rPr>
          <w:rFonts w:ascii="Times New Roman" w:eastAsia="Calibri" w:hAnsi="Times New Roman" w:cs="Times New Roman"/>
          <w:sz w:val="24"/>
          <w:szCs w:val="24"/>
        </w:rPr>
        <w:t>The minimum days to first pod picking (62.03 days)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8</w:t>
      </w:r>
      <w:r w:rsidRPr="00311ECD">
        <w:rPr>
          <w:rFonts w:ascii="Times New Roman" w:hAnsi="Times New Roman" w:cs="Times New Roman"/>
          <w:sz w:val="24"/>
          <w:szCs w:val="24"/>
        </w:rPr>
        <w:t xml:space="preserve"> (25% RDF + 25% FYM + 25% VC + 25% PM)</w:t>
      </w:r>
      <w:r w:rsidRPr="00311ECD">
        <w:rPr>
          <w:rFonts w:ascii="Times New Roman" w:eastAsia="Calibri" w:hAnsi="Times New Roman" w:cs="Times New Roman"/>
          <w:sz w:val="24"/>
          <w:szCs w:val="24"/>
        </w:rPr>
        <w:t xml:space="preserve"> with 63.87 days. </w:t>
      </w:r>
      <w:r w:rsidR="00DE3EDB" w:rsidRPr="00311ECD">
        <w:rPr>
          <w:rFonts w:ascii="Times New Roman" w:eastAsia="Calibri" w:hAnsi="Times New Roman" w:cs="Times New Roman"/>
          <w:sz w:val="24"/>
          <w:szCs w:val="24"/>
        </w:rPr>
        <w:t>Maximum days to first pod picking (74.85 days) were</w:t>
      </w:r>
      <w:r w:rsidRPr="00311ECD">
        <w:rPr>
          <w:rFonts w:ascii="Times New Roman" w:eastAsia="Calibri" w:hAnsi="Times New Roman" w:cs="Times New Roman"/>
          <w:sz w:val="24"/>
          <w:szCs w:val="24"/>
        </w:rPr>
        <w:t xml:space="preserve">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w:t>
      </w:r>
      <w:r w:rsidR="00BE129F">
        <w:rPr>
          <w:rFonts w:ascii="Times New Roman" w:eastAsia="Calibri" w:hAnsi="Times New Roman" w:cs="Times New Roman"/>
          <w:sz w:val="24"/>
          <w:szCs w:val="24"/>
        </w:rPr>
        <w:t xml:space="preserve"> (Table 1 &amp; Fig. 1)</w:t>
      </w:r>
      <w:r w:rsidRPr="00311ECD">
        <w:rPr>
          <w:rFonts w:ascii="Times New Roman" w:eastAsia="Calibri" w:hAnsi="Times New Roman" w:cs="Times New Roman"/>
          <w:sz w:val="24"/>
          <w:szCs w:val="24"/>
        </w:rPr>
        <w:t xml:space="preserve">. In cowpea farming, the blend of 25% Recommended Dose of Fertilizers (RDF), 25% </w:t>
      </w:r>
      <w:r w:rsidR="009C53B9" w:rsidRPr="00311ECD">
        <w:rPr>
          <w:rFonts w:ascii="Times New Roman" w:eastAsia="Calibri" w:hAnsi="Times New Roman" w:cs="Times New Roman"/>
          <w:sz w:val="24"/>
          <w:szCs w:val="24"/>
        </w:rPr>
        <w:t>Farmyard</w:t>
      </w:r>
      <w:r w:rsidRPr="00311ECD">
        <w:rPr>
          <w:rFonts w:ascii="Times New Roman" w:eastAsia="Calibri" w:hAnsi="Times New Roman" w:cs="Times New Roman"/>
          <w:sz w:val="24"/>
          <w:szCs w:val="24"/>
        </w:rPr>
        <w:t xml:space="preserve"> Manure (FYM), 25% Vermicompost (VC), and 25% Poultry Manure often results in earlier pod formation and harvesting, typically ranking second after the RDF 100% treatment among various integrated nutrient management strategies. This early pod development is facilitated by the combined advantages of both organic and inorganic inputs within this mixture. </w:t>
      </w:r>
      <w:r w:rsidR="009C53B9" w:rsidRPr="00311ECD">
        <w:rPr>
          <w:rFonts w:ascii="Times New Roman" w:eastAsia="Calibri" w:hAnsi="Times New Roman" w:cs="Times New Roman"/>
          <w:sz w:val="24"/>
          <w:szCs w:val="24"/>
        </w:rPr>
        <w:t>Farmyard</w:t>
      </w:r>
      <w:r w:rsidRPr="00311ECD">
        <w:rPr>
          <w:rFonts w:ascii="Times New Roman" w:eastAsia="Calibri" w:hAnsi="Times New Roman" w:cs="Times New Roman"/>
          <w:sz w:val="24"/>
          <w:szCs w:val="24"/>
        </w:rPr>
        <w:t xml:space="preserve"> Manure (FYM) and Poultry Manure enhance soil quality by enriching it with organic matter, beneficial microorganisms, and essential nutrients, thereby improving soil structure, fertility, and moisture retention. Vermicompost complements these benefits by providing a balanced release of nutrients crucial for reproductive growth and the development of pods in cowpea plants. The 25% RDF ensures a sufficient, yet not excessive, supply of nutrients, promoting robust vegetative growth and initiating early reproductive processes. Overall, the 25% RDF + 25% FYM + 25% VC + 25% Poultry Manure combination optimizes nutrient availability, supports root development, and facilitates early flowering and pod formation in cowpea, thereby enhancing overall yield and harvest efficiency compared to other integrated nutrient management strategies. Similar findings were reported by </w:t>
      </w:r>
      <w:r w:rsidRPr="00311ECD">
        <w:rPr>
          <w:rFonts w:ascii="Times New Roman" w:hAnsi="Times New Roman" w:cs="Times New Roman"/>
          <w:b/>
          <w:bCs/>
          <w:sz w:val="24"/>
          <w:szCs w:val="24"/>
        </w:rPr>
        <w:t xml:space="preserve">Singh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(2017); Patel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(2023)</w:t>
      </w:r>
      <w:r w:rsidRPr="00311ECD">
        <w:rPr>
          <w:rFonts w:ascii="Times New Roman" w:eastAsia="Calibri" w:hAnsi="Times New Roman" w:cs="Times New Roman"/>
          <w:sz w:val="24"/>
          <w:szCs w:val="24"/>
        </w:rPr>
        <w:t xml:space="preserve"> in Cowpea.</w:t>
      </w:r>
    </w:p>
    <w:p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b/>
          <w:bCs/>
          <w:sz w:val="24"/>
          <w:szCs w:val="24"/>
        </w:rPr>
        <w:t>5. Number of pods per plant</w:t>
      </w:r>
    </w:p>
    <w:p w:rsidR="00F64BED" w:rsidRPr="00311ECD" w:rsidRDefault="00F64BED" w:rsidP="003716DD">
      <w:pPr>
        <w:ind w:right="27"/>
        <w:jc w:val="both"/>
        <w:rPr>
          <w:rFonts w:ascii="Times New Roman" w:hAnsi="Times New Roman" w:cs="Times New Roman"/>
          <w:sz w:val="24"/>
          <w:szCs w:val="24"/>
        </w:rPr>
      </w:pPr>
      <w:r w:rsidRPr="00311ECD">
        <w:rPr>
          <w:rFonts w:ascii="Times New Roman" w:hAnsi="Times New Roman" w:cs="Times New Roman"/>
          <w:sz w:val="24"/>
          <w:szCs w:val="24"/>
        </w:rPr>
        <w:t xml:space="preserve">Number of pods per plant of cowpea showed statistically significant differences among various doses of </w:t>
      </w:r>
      <w:r w:rsidR="008868B3">
        <w:rPr>
          <w:rFonts w:ascii="Times New Roman" w:hAnsi="Times New Roman" w:cs="Times New Roman"/>
          <w:sz w:val="24"/>
          <w:szCs w:val="24"/>
        </w:rPr>
        <w:t xml:space="preserve">the </w:t>
      </w:r>
      <w:r w:rsidRPr="00311ECD">
        <w:rPr>
          <w:rFonts w:ascii="Times New Roman" w:hAnsi="Times New Roman" w:cs="Times New Roman"/>
          <w:sz w:val="24"/>
          <w:szCs w:val="24"/>
        </w:rPr>
        <w:t xml:space="preserve">combination applied. </w:t>
      </w:r>
      <w:r w:rsidRPr="00311ECD">
        <w:rPr>
          <w:rFonts w:ascii="Times New Roman" w:eastAsia="Calibri" w:hAnsi="Times New Roman" w:cs="Times New Roman"/>
          <w:sz w:val="24"/>
          <w:szCs w:val="24"/>
        </w:rPr>
        <w:t>The maximum number of pods per plant (27.40 pods)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w:t>
      </w:r>
      <w:r w:rsidRPr="00311ECD">
        <w:rPr>
          <w:rFonts w:ascii="Times New Roman" w:eastAsia="Calibri" w:hAnsi="Times New Roman" w:cs="Times New Roman"/>
          <w:sz w:val="24"/>
          <w:szCs w:val="24"/>
        </w:rPr>
        <w:t xml:space="preserve"> with 24.94 pods. Minimum number of pods per plant (13.89 pods)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w:t>
      </w:r>
      <w:proofErr w:type="gramStart"/>
      <w:r w:rsidRPr="00311ECD">
        <w:rPr>
          <w:rFonts w:ascii="Times New Roman" w:eastAsia="Calibri" w:hAnsi="Times New Roman" w:cs="Times New Roman"/>
          <w:sz w:val="24"/>
          <w:szCs w:val="24"/>
        </w:rPr>
        <w:t>).In</w:t>
      </w:r>
      <w:proofErr w:type="gramEnd"/>
      <w:r w:rsidRPr="00311ECD">
        <w:rPr>
          <w:rFonts w:ascii="Times New Roman" w:eastAsia="Calibri" w:hAnsi="Times New Roman" w:cs="Times New Roman"/>
          <w:sz w:val="24"/>
          <w:szCs w:val="24"/>
        </w:rPr>
        <w:t xml:space="preserve"> cowpea cultivation, the treatment combination of 75% </w:t>
      </w:r>
      <w:r w:rsidRPr="00311ECD">
        <w:rPr>
          <w:rFonts w:ascii="Times New Roman" w:eastAsia="Calibri" w:hAnsi="Times New Roman" w:cs="Times New Roman"/>
          <w:sz w:val="24"/>
          <w:szCs w:val="24"/>
        </w:rPr>
        <w:lastRenderedPageBreak/>
        <w:t>Recommended Dose of Fertilizers (RDF) + 25% Vermicompost (VC) often results in a higher number of pods per plant, ranking second only to the RDF 100% treatment among various integrated nutrient management strategies</w:t>
      </w:r>
      <w:r w:rsidR="008E5AF2">
        <w:rPr>
          <w:rFonts w:ascii="Times New Roman" w:eastAsia="Calibri" w:hAnsi="Times New Roman" w:cs="Times New Roman"/>
          <w:sz w:val="24"/>
          <w:szCs w:val="24"/>
        </w:rPr>
        <w:t xml:space="preserve"> (Table 1 &amp; Fig. 1)</w:t>
      </w:r>
      <w:r w:rsidRPr="00311ECD">
        <w:rPr>
          <w:rFonts w:ascii="Times New Roman" w:eastAsia="Calibri" w:hAnsi="Times New Roman" w:cs="Times New Roman"/>
          <w:sz w:val="24"/>
          <w:szCs w:val="24"/>
        </w:rPr>
        <w:t xml:space="preserve">. This increase in pod production can be attributed to several factors. Vermicompost enriches the soil with organic matter, beneficial microorganisms, and essential nutrients, improving soil structure, fertility, and water-holding capacity. This creates </w:t>
      </w:r>
      <w:r w:rsidR="001C7E7C" w:rsidRPr="00311ECD">
        <w:rPr>
          <w:rFonts w:ascii="Times New Roman" w:eastAsia="Calibri" w:hAnsi="Times New Roman" w:cs="Times New Roman"/>
          <w:sz w:val="24"/>
          <w:szCs w:val="24"/>
        </w:rPr>
        <w:t>favourable</w:t>
      </w:r>
      <w:r w:rsidRPr="00311ECD">
        <w:rPr>
          <w:rFonts w:ascii="Times New Roman" w:eastAsia="Calibri" w:hAnsi="Times New Roman" w:cs="Times New Roman"/>
          <w:sz w:val="24"/>
          <w:szCs w:val="24"/>
        </w:rPr>
        <w:t xml:space="preserve"> conditions for root development and nutrient uptake in cowpea plants. The 75% RDF ensures a balanced supply of essential nutrients, including nitrogen, phosphorus, and potassium, promoting healthy vegetative growth and reproductive development. The synergistic effects of VC and balanced RDF application optimize flowering and pod setting, leading to an increased number of pods per plant. This combination supports robust plant health, enhances nutrient efficiency, and ultimately contributes to higher pod yields compared to other integrated nutrient management approaches. Similar findings were reported by </w:t>
      </w:r>
      <w:r w:rsidRPr="00311ECD">
        <w:rPr>
          <w:rFonts w:ascii="Times New Roman" w:hAnsi="Times New Roman" w:cs="Times New Roman"/>
          <w:b/>
          <w:bCs/>
          <w:sz w:val="24"/>
          <w:szCs w:val="24"/>
        </w:rPr>
        <w:t xml:space="preserve">Panda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(2017); Patel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(2023)</w:t>
      </w:r>
      <w:r w:rsidRPr="00311ECD">
        <w:rPr>
          <w:rFonts w:ascii="Times New Roman" w:eastAsia="Calibri" w:hAnsi="Times New Roman" w:cs="Times New Roman"/>
          <w:sz w:val="24"/>
          <w:szCs w:val="24"/>
        </w:rPr>
        <w:t xml:space="preserve"> in Cowpea.</w:t>
      </w:r>
    </w:p>
    <w:p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b/>
          <w:bCs/>
          <w:sz w:val="24"/>
          <w:szCs w:val="24"/>
        </w:rPr>
        <w:t>6. Pod length and individual pod weight</w:t>
      </w:r>
    </w:p>
    <w:p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sz w:val="24"/>
          <w:szCs w:val="24"/>
        </w:rPr>
        <w:t>The maximum pod length (21.57 cm)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w:t>
      </w:r>
      <w:r w:rsidRPr="00311ECD">
        <w:rPr>
          <w:rFonts w:ascii="Times New Roman" w:eastAsia="Calibri" w:hAnsi="Times New Roman" w:cs="Times New Roman"/>
          <w:sz w:val="24"/>
          <w:szCs w:val="24"/>
        </w:rPr>
        <w:t xml:space="preserve"> with 19.88 cm. Minimum pod length (12.89 cm)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 The maximum pod weight (16.51 grams)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w:t>
      </w:r>
      <w:r w:rsidRPr="00311ECD">
        <w:rPr>
          <w:rFonts w:ascii="Times New Roman" w:eastAsia="Calibri" w:hAnsi="Times New Roman" w:cs="Times New Roman"/>
          <w:sz w:val="24"/>
          <w:szCs w:val="24"/>
        </w:rPr>
        <w:t xml:space="preserve"> with 15.77 grams. Minimum pod weight (11.15 grams)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w:t>
      </w:r>
      <w:proofErr w:type="gramStart"/>
      <w:r w:rsidRPr="00311ECD">
        <w:rPr>
          <w:rFonts w:ascii="Times New Roman" w:eastAsia="Calibri" w:hAnsi="Times New Roman" w:cs="Times New Roman"/>
          <w:sz w:val="24"/>
          <w:szCs w:val="24"/>
        </w:rPr>
        <w:t>).In</w:t>
      </w:r>
      <w:proofErr w:type="gramEnd"/>
      <w:r w:rsidRPr="00311ECD">
        <w:rPr>
          <w:rFonts w:ascii="Times New Roman" w:eastAsia="Calibri" w:hAnsi="Times New Roman" w:cs="Times New Roman"/>
          <w:sz w:val="24"/>
          <w:szCs w:val="24"/>
        </w:rPr>
        <w:t xml:space="preserve"> cowpea cultivation, the treatment combination of 75% Recommended Dose of Fertilizers (RDF) + 25% Vermicompost (VC) often results in better pod length and individual pod weight, ranking second only to the RDF 100% treatment among various integrated nutrient management strategies</w:t>
      </w:r>
      <w:r w:rsidR="00866A91">
        <w:rPr>
          <w:rFonts w:ascii="Times New Roman" w:eastAsia="Calibri" w:hAnsi="Times New Roman" w:cs="Times New Roman"/>
          <w:sz w:val="24"/>
          <w:szCs w:val="24"/>
        </w:rPr>
        <w:t xml:space="preserve"> (Table 2 &amp; Fig. 2)</w:t>
      </w:r>
      <w:r w:rsidRPr="00311ECD">
        <w:rPr>
          <w:rFonts w:ascii="Times New Roman" w:eastAsia="Calibri" w:hAnsi="Times New Roman" w:cs="Times New Roman"/>
          <w:sz w:val="24"/>
          <w:szCs w:val="24"/>
        </w:rPr>
        <w:t xml:space="preserve">. This improvement can be attributed to the balanced nutrient supply and soil health benefits provided by this combination. Vermicompost enriches the soil with organic matter, beneficial microorganisms, and nutrients, which improve soil structure, fertility, and nutrient availability. This supports healthy root development and efficient nutrient uptake by cowpea plants. The 75% RDF ensures adequate but not excessive provision of essential nutrients such as nitrogen, phosphorus, and potassium, crucial for pod formation and growth. The synergistic effects of VC and balanced RDF application enhance plant </w:t>
      </w:r>
      <w:r w:rsidR="00033223" w:rsidRPr="00311ECD">
        <w:rPr>
          <w:rFonts w:ascii="Times New Roman" w:eastAsia="Calibri" w:hAnsi="Times New Roman" w:cs="Times New Roman"/>
          <w:sz w:val="24"/>
          <w:szCs w:val="24"/>
        </w:rPr>
        <w:t>visor</w:t>
      </w:r>
      <w:r w:rsidRPr="00311ECD">
        <w:rPr>
          <w:rFonts w:ascii="Times New Roman" w:eastAsia="Calibri" w:hAnsi="Times New Roman" w:cs="Times New Roman"/>
          <w:sz w:val="24"/>
          <w:szCs w:val="24"/>
        </w:rPr>
        <w:t xml:space="preserve">, promote uniform flowering, and facilitate optimal pod development. </w:t>
      </w:r>
      <w:r w:rsidR="00033223" w:rsidRPr="00311ECD">
        <w:rPr>
          <w:rFonts w:ascii="Times New Roman" w:eastAsia="Calibri" w:hAnsi="Times New Roman" w:cs="Times New Roman"/>
          <w:sz w:val="24"/>
          <w:szCs w:val="24"/>
        </w:rPr>
        <w:t>These results</w:t>
      </w:r>
      <w:r w:rsidRPr="00311ECD">
        <w:rPr>
          <w:rFonts w:ascii="Times New Roman" w:eastAsia="Calibri" w:hAnsi="Times New Roman" w:cs="Times New Roman"/>
          <w:sz w:val="24"/>
          <w:szCs w:val="24"/>
        </w:rPr>
        <w:t xml:space="preserve"> in longer pods with higher individual pod weights compared to other integrated nutrient management approaches, thereby contributing to improved yield and quality in cowpea cultivation. Similar findings were reported by </w:t>
      </w:r>
      <w:r w:rsidRPr="00311ECD">
        <w:rPr>
          <w:rFonts w:ascii="Times New Roman" w:hAnsi="Times New Roman" w:cs="Times New Roman"/>
          <w:b/>
          <w:bCs/>
          <w:sz w:val="24"/>
          <w:szCs w:val="24"/>
        </w:rPr>
        <w:t xml:space="preserve">Pushpa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(2022); Patel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(2023)</w:t>
      </w:r>
      <w:r w:rsidRPr="00311ECD">
        <w:rPr>
          <w:rFonts w:ascii="Times New Roman" w:eastAsia="Calibri" w:hAnsi="Times New Roman" w:cs="Times New Roman"/>
          <w:sz w:val="24"/>
          <w:szCs w:val="24"/>
        </w:rPr>
        <w:t xml:space="preserve"> in Cowpea.</w:t>
      </w:r>
    </w:p>
    <w:p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b/>
          <w:bCs/>
          <w:sz w:val="24"/>
          <w:szCs w:val="24"/>
        </w:rPr>
        <w:t xml:space="preserve">7. Pod yield </w:t>
      </w:r>
      <w:r w:rsidR="00D31349" w:rsidRPr="00311ECD">
        <w:rPr>
          <w:rFonts w:ascii="Times New Roman" w:eastAsia="Calibri" w:hAnsi="Times New Roman" w:cs="Times New Roman"/>
          <w:b/>
          <w:bCs/>
          <w:sz w:val="24"/>
          <w:szCs w:val="24"/>
        </w:rPr>
        <w:t>and Vitamin C content</w:t>
      </w:r>
    </w:p>
    <w:p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sz w:val="24"/>
          <w:szCs w:val="24"/>
        </w:rPr>
        <w:t>The maximum pod yield per plant (452.88 g/plant)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EDF + 25% VC)</w:t>
      </w:r>
      <w:r w:rsidRPr="00311ECD">
        <w:rPr>
          <w:rFonts w:ascii="Times New Roman" w:eastAsia="Calibri" w:hAnsi="Times New Roman" w:cs="Times New Roman"/>
          <w:sz w:val="24"/>
          <w:szCs w:val="24"/>
        </w:rPr>
        <w:t xml:space="preserve"> with 393.42 g/plant. Minimum pod yield per plant (154.43 g</w:t>
      </w:r>
      <w:r w:rsidR="002A0143">
        <w:rPr>
          <w:rFonts w:ascii="Times New Roman" w:eastAsia="Calibri" w:hAnsi="Times New Roman" w:cs="Times New Roman"/>
          <w:sz w:val="24"/>
          <w:szCs w:val="24"/>
        </w:rPr>
        <w:t xml:space="preserve"> </w:t>
      </w:r>
      <w:r w:rsidRPr="00311ECD">
        <w:rPr>
          <w:rFonts w:ascii="Times New Roman" w:eastAsia="Calibri" w:hAnsi="Times New Roman" w:cs="Times New Roman"/>
          <w:sz w:val="24"/>
          <w:szCs w:val="24"/>
        </w:rPr>
        <w:t>/plant)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 The maximum pod yield per hectare (6.52 t/ha)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 xml:space="preserve">RDF 100% [NPK: </w:t>
      </w:r>
      <w:r w:rsidRPr="00311ECD">
        <w:rPr>
          <w:rFonts w:ascii="Times New Roman" w:hAnsi="Times New Roman" w:cs="Times New Roman"/>
          <w:sz w:val="24"/>
          <w:szCs w:val="24"/>
        </w:rPr>
        <w:lastRenderedPageBreak/>
        <w:t>25:50:25 Kg/ha]</w:t>
      </w:r>
      <w:r w:rsidRPr="00311ECD">
        <w:rPr>
          <w:rFonts w:ascii="Times New Roman" w:eastAsia="Calibri" w:hAnsi="Times New Roman" w:cs="Times New Roman"/>
          <w:sz w:val="24"/>
          <w:szCs w:val="24"/>
        </w:rPr>
        <w:t xml:space="preserve">) at par with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 50%)</w:t>
      </w:r>
      <w:r w:rsidRPr="00311ECD">
        <w:rPr>
          <w:rFonts w:ascii="Times New Roman" w:eastAsia="Calibri" w:hAnsi="Times New Roman" w:cs="Times New Roman"/>
          <w:sz w:val="24"/>
          <w:szCs w:val="24"/>
        </w:rPr>
        <w:t xml:space="preserve"> with 6.39 t/ha. Minimum pod yield per hectare (3.79 t/ha)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 </w:t>
      </w:r>
      <w:r w:rsidR="00D31349" w:rsidRPr="00311ECD">
        <w:rPr>
          <w:rFonts w:ascii="Times New Roman" w:hAnsi="Times New Roman" w:cs="Times New Roman"/>
          <w:sz w:val="24"/>
          <w:szCs w:val="24"/>
        </w:rPr>
        <w:t xml:space="preserve">Vitamin C content of cowpea showed statistically significant differences present among various doses of combination applied. </w:t>
      </w:r>
      <w:r w:rsidR="00D31349" w:rsidRPr="00311ECD">
        <w:rPr>
          <w:rFonts w:ascii="Times New Roman" w:eastAsia="Calibri" w:hAnsi="Times New Roman" w:cs="Times New Roman"/>
          <w:sz w:val="24"/>
          <w:szCs w:val="24"/>
        </w:rPr>
        <w:t xml:space="preserve">The maximum vitamin C content (7.40 mg) was observed with treatment </w:t>
      </w:r>
      <w:r w:rsidR="00D31349" w:rsidRPr="00311ECD">
        <w:rPr>
          <w:rFonts w:ascii="Times New Roman" w:hAnsi="Times New Roman" w:cs="Times New Roman"/>
          <w:sz w:val="24"/>
          <w:szCs w:val="24"/>
        </w:rPr>
        <w:t>T</w:t>
      </w:r>
      <w:r w:rsidR="00D31349" w:rsidRPr="00311ECD">
        <w:rPr>
          <w:rFonts w:ascii="Times New Roman" w:hAnsi="Times New Roman" w:cs="Times New Roman"/>
          <w:sz w:val="24"/>
          <w:szCs w:val="24"/>
          <w:vertAlign w:val="subscript"/>
        </w:rPr>
        <w:t>6</w:t>
      </w:r>
      <w:r w:rsidR="00D31349" w:rsidRPr="00311ECD">
        <w:rPr>
          <w:rFonts w:ascii="Times New Roman" w:hAnsi="Times New Roman" w:cs="Times New Roman"/>
          <w:sz w:val="24"/>
          <w:szCs w:val="24"/>
        </w:rPr>
        <w:t xml:space="preserve"> (75% RDF + 25% VC 50%) followed by T</w:t>
      </w:r>
      <w:r w:rsidR="00D31349" w:rsidRPr="00311ECD">
        <w:rPr>
          <w:rFonts w:ascii="Times New Roman" w:hAnsi="Times New Roman" w:cs="Times New Roman"/>
          <w:sz w:val="24"/>
          <w:szCs w:val="24"/>
          <w:vertAlign w:val="subscript"/>
        </w:rPr>
        <w:t>8</w:t>
      </w:r>
      <w:r w:rsidR="00D31349" w:rsidRPr="00311ECD">
        <w:rPr>
          <w:rFonts w:ascii="Times New Roman" w:hAnsi="Times New Roman" w:cs="Times New Roman"/>
          <w:sz w:val="24"/>
          <w:szCs w:val="24"/>
        </w:rPr>
        <w:t xml:space="preserve"> (25% RDF + 25% FYM + 25% VC + 25% PM)</w:t>
      </w:r>
      <w:r w:rsidR="00D31349" w:rsidRPr="00311ECD">
        <w:rPr>
          <w:rFonts w:ascii="Times New Roman" w:eastAsia="Calibri" w:hAnsi="Times New Roman" w:cs="Times New Roman"/>
          <w:sz w:val="24"/>
          <w:szCs w:val="24"/>
        </w:rPr>
        <w:t xml:space="preserve"> with 7.24 mg. Minimum vitamin C content (3.53 mg) was observed in T</w:t>
      </w:r>
      <w:r w:rsidR="00D31349" w:rsidRPr="00311ECD">
        <w:rPr>
          <w:rFonts w:ascii="Times New Roman" w:eastAsia="Calibri" w:hAnsi="Times New Roman" w:cs="Times New Roman"/>
          <w:sz w:val="24"/>
          <w:szCs w:val="24"/>
          <w:vertAlign w:val="subscript"/>
        </w:rPr>
        <w:t>0</w:t>
      </w:r>
      <w:r w:rsidR="00D31349" w:rsidRPr="00311ECD">
        <w:rPr>
          <w:rFonts w:ascii="Times New Roman" w:eastAsia="Calibri" w:hAnsi="Times New Roman" w:cs="Times New Roman"/>
          <w:sz w:val="24"/>
          <w:szCs w:val="24"/>
        </w:rPr>
        <w:t xml:space="preserve"> (control). </w:t>
      </w:r>
      <w:r w:rsidRPr="00311ECD">
        <w:rPr>
          <w:rFonts w:ascii="Times New Roman" w:eastAsia="Calibri" w:hAnsi="Times New Roman" w:cs="Times New Roman"/>
          <w:sz w:val="24"/>
          <w:szCs w:val="24"/>
        </w:rPr>
        <w:t>In cowpea farming, the combination of 75% Recommended Dose of Fertilizers (RDF) and 25% Vermicompost (VC) typically leads to higher pod yields, ranking second only to the RDF 100% treatment among various integrated nutrient management strategies. This enhanced pod yield can be attributed to the synergistic benefits of organic and inorganic inputs in this blend</w:t>
      </w:r>
      <w:r w:rsidR="0010750C">
        <w:rPr>
          <w:rFonts w:ascii="Times New Roman" w:eastAsia="Calibri" w:hAnsi="Times New Roman" w:cs="Times New Roman"/>
          <w:sz w:val="24"/>
          <w:szCs w:val="24"/>
        </w:rPr>
        <w:t xml:space="preserve"> (Table 2 &amp; Fig. 2)</w:t>
      </w:r>
      <w:r w:rsidRPr="00311ECD">
        <w:rPr>
          <w:rFonts w:ascii="Times New Roman" w:eastAsia="Calibri" w:hAnsi="Times New Roman" w:cs="Times New Roman"/>
          <w:sz w:val="24"/>
          <w:szCs w:val="24"/>
        </w:rPr>
        <w:t xml:space="preserve">. Vermicompost enriches the soil with organic matter, beneficial microorganisms, and essential nutrients, which improve soil structure, fertility, and water retention. This creates </w:t>
      </w:r>
      <w:r w:rsidR="00D31349" w:rsidRPr="00311ECD">
        <w:rPr>
          <w:rFonts w:ascii="Times New Roman" w:eastAsia="Calibri" w:hAnsi="Times New Roman" w:cs="Times New Roman"/>
          <w:sz w:val="24"/>
          <w:szCs w:val="24"/>
        </w:rPr>
        <w:t>favourable</w:t>
      </w:r>
      <w:r w:rsidRPr="00311ECD">
        <w:rPr>
          <w:rFonts w:ascii="Times New Roman" w:eastAsia="Calibri" w:hAnsi="Times New Roman" w:cs="Times New Roman"/>
          <w:sz w:val="24"/>
          <w:szCs w:val="24"/>
        </w:rPr>
        <w:t xml:space="preserve"> conditions for root growth and nutrient uptake in cowpea plants. The 75% RDF ensures a balanced supply of crucial nutrients like nitrogen, phosphorus, and potassium, promoting healthy vegetative growth and reproductive development. The combined effect of VC and balanced RDF application optimizes flowering, pod formation, and filling, resulting in increased pod yield per plant. This approach enhances nutrient utilization efficiency and overall plant health, contributing to improved pod yield in cowpea compared to other integrated nutrient management strategies. Similar findings were reported by </w:t>
      </w:r>
      <w:proofErr w:type="spellStart"/>
      <w:r w:rsidRPr="00311ECD">
        <w:rPr>
          <w:rFonts w:ascii="Times New Roman" w:hAnsi="Times New Roman" w:cs="Times New Roman"/>
          <w:b/>
          <w:bCs/>
          <w:sz w:val="24"/>
          <w:szCs w:val="24"/>
        </w:rPr>
        <w:t>Indianraj</w:t>
      </w:r>
      <w:proofErr w:type="spellEnd"/>
      <w:r w:rsidRPr="00311ECD">
        <w:rPr>
          <w:rFonts w:ascii="Times New Roman" w:hAnsi="Times New Roman" w:cs="Times New Roman"/>
          <w:b/>
          <w:bCs/>
          <w:sz w:val="24"/>
          <w:szCs w:val="24"/>
        </w:rPr>
        <w:t xml:space="preserve">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(2023)</w:t>
      </w:r>
      <w:r w:rsidRPr="00311ECD">
        <w:rPr>
          <w:rFonts w:ascii="Times New Roman" w:eastAsia="Calibri" w:hAnsi="Times New Roman" w:cs="Times New Roman"/>
          <w:sz w:val="24"/>
          <w:szCs w:val="24"/>
        </w:rPr>
        <w:t xml:space="preserve"> in Cowpea.</w:t>
      </w:r>
    </w:p>
    <w:p w:rsidR="00F64BED" w:rsidRPr="00311ECD" w:rsidRDefault="00F64BED" w:rsidP="003716DD">
      <w:pPr>
        <w:pStyle w:val="ListParagraph"/>
        <w:numPr>
          <w:ilvl w:val="0"/>
          <w:numId w:val="10"/>
        </w:numPr>
        <w:spacing w:line="276" w:lineRule="auto"/>
        <w:ind w:left="0" w:right="27" w:firstLine="0"/>
        <w:jc w:val="both"/>
        <w:rPr>
          <w:rFonts w:ascii="Times New Roman" w:hAnsi="Times New Roman" w:cs="Times New Roman"/>
          <w:b/>
          <w:bCs/>
          <w:sz w:val="24"/>
          <w:szCs w:val="24"/>
        </w:rPr>
      </w:pPr>
      <w:r w:rsidRPr="00311ECD">
        <w:rPr>
          <w:rFonts w:ascii="Times New Roman" w:hAnsi="Times New Roman" w:cs="Times New Roman"/>
          <w:b/>
          <w:bCs/>
          <w:sz w:val="24"/>
          <w:szCs w:val="24"/>
        </w:rPr>
        <w:t>Economics parameters</w:t>
      </w:r>
    </w:p>
    <w:p w:rsidR="000C2FD6" w:rsidRPr="00311ECD" w:rsidRDefault="00F64BED" w:rsidP="003716DD">
      <w:pPr>
        <w:ind w:right="27"/>
        <w:jc w:val="both"/>
        <w:rPr>
          <w:rFonts w:ascii="Times New Roman" w:hAnsi="Times New Roman" w:cs="Times New Roman"/>
          <w:sz w:val="24"/>
          <w:szCs w:val="24"/>
        </w:rPr>
      </w:pPr>
      <w:r w:rsidRPr="00311ECD">
        <w:rPr>
          <w:rFonts w:ascii="Times New Roman" w:hAnsi="Times New Roman" w:cs="Times New Roman"/>
          <w:sz w:val="24"/>
          <w:szCs w:val="24"/>
        </w:rPr>
        <w:t>Maximum cost of cultivation incurred in treatment T</w:t>
      </w:r>
      <w:r w:rsidRPr="00311ECD">
        <w:rPr>
          <w:rFonts w:ascii="Times New Roman" w:hAnsi="Times New Roman" w:cs="Times New Roman"/>
          <w:sz w:val="24"/>
          <w:szCs w:val="24"/>
          <w:vertAlign w:val="subscript"/>
        </w:rPr>
        <w:t>2</w:t>
      </w:r>
      <w:r w:rsidRPr="00311ECD">
        <w:rPr>
          <w:rFonts w:ascii="Times New Roman" w:hAnsi="Times New Roman" w:cs="Times New Roman"/>
          <w:sz w:val="24"/>
          <w:szCs w:val="24"/>
        </w:rPr>
        <w:t xml:space="preserve"> (Farm</w:t>
      </w:r>
      <w:r w:rsidR="00D0128D">
        <w:rPr>
          <w:rFonts w:ascii="Times New Roman" w:hAnsi="Times New Roman" w:cs="Times New Roman"/>
          <w:sz w:val="24"/>
          <w:szCs w:val="24"/>
        </w:rPr>
        <w:t xml:space="preserve"> </w:t>
      </w:r>
      <w:r w:rsidRPr="00311ECD">
        <w:rPr>
          <w:rFonts w:ascii="Times New Roman" w:hAnsi="Times New Roman" w:cs="Times New Roman"/>
          <w:sz w:val="24"/>
          <w:szCs w:val="24"/>
        </w:rPr>
        <w:t>yard manure (FYM) 100%</w:t>
      </w:r>
      <w:r w:rsidR="00A11D83" w:rsidRPr="00311ECD">
        <w:rPr>
          <w:rFonts w:ascii="Times New Roman" w:hAnsi="Times New Roman" w:cs="Times New Roman"/>
          <w:sz w:val="24"/>
          <w:szCs w:val="24"/>
        </w:rPr>
        <w:t>) with</w:t>
      </w:r>
      <w:r w:rsidRPr="00311ECD">
        <w:rPr>
          <w:rFonts w:ascii="Times New Roman" w:hAnsi="Times New Roman" w:cs="Times New Roman"/>
          <w:sz w:val="24"/>
          <w:szCs w:val="24"/>
        </w:rPr>
        <w:t xml:space="preserve"> (</w:t>
      </w:r>
      <w:r w:rsidRPr="00311ECD">
        <w:rPr>
          <w:rFonts w:ascii="Times New Roman" w:hAnsi="Times New Roman" w:cs="Times New Roman"/>
          <w:sz w:val="24"/>
          <w:szCs w:val="24"/>
          <w:lang w:val="en-US"/>
        </w:rPr>
        <w:t xml:space="preserve">Rs </w:t>
      </w:r>
      <w:r w:rsidRPr="00311ECD">
        <w:rPr>
          <w:rFonts w:ascii="Times New Roman" w:hAnsi="Times New Roman" w:cs="Times New Roman"/>
          <w:sz w:val="24"/>
          <w:szCs w:val="24"/>
        </w:rPr>
        <w:t>1,04,125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and the minimum (</w:t>
      </w:r>
      <w:r w:rsidRPr="00311ECD">
        <w:rPr>
          <w:rFonts w:ascii="Times New Roman" w:hAnsi="Times New Roman" w:cs="Times New Roman"/>
          <w:sz w:val="24"/>
          <w:szCs w:val="24"/>
          <w:lang w:val="en-US"/>
        </w:rPr>
        <w:t>Rs</w:t>
      </w:r>
      <w:r w:rsidRPr="00311ECD">
        <w:rPr>
          <w:rFonts w:ascii="Times New Roman" w:hAnsi="Times New Roman" w:cs="Times New Roman"/>
          <w:sz w:val="24"/>
          <w:szCs w:val="24"/>
        </w:rPr>
        <w:t xml:space="preserve"> 85,375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was recorded in treatment T</w:t>
      </w:r>
      <w:r w:rsidRPr="00311ECD">
        <w:rPr>
          <w:rFonts w:ascii="Times New Roman" w:hAnsi="Times New Roman" w:cs="Times New Roman"/>
          <w:sz w:val="24"/>
          <w:szCs w:val="24"/>
          <w:vertAlign w:val="subscript"/>
        </w:rPr>
        <w:t>0</w:t>
      </w:r>
      <w:r w:rsidRPr="00311ECD">
        <w:rPr>
          <w:rFonts w:ascii="Times New Roman" w:hAnsi="Times New Roman" w:cs="Times New Roman"/>
          <w:sz w:val="24"/>
          <w:szCs w:val="24"/>
        </w:rPr>
        <w:t xml:space="preserve"> (Control). Maximum gross returns were recorded in treatment T</w:t>
      </w:r>
      <w:r w:rsidRPr="00311ECD">
        <w:rPr>
          <w:rFonts w:ascii="Times New Roman" w:hAnsi="Times New Roman" w:cs="Times New Roman"/>
          <w:sz w:val="24"/>
          <w:szCs w:val="24"/>
          <w:vertAlign w:val="subscript"/>
        </w:rPr>
        <w:t>1</w:t>
      </w:r>
      <w:r w:rsidRPr="00311ECD">
        <w:rPr>
          <w:rFonts w:ascii="Times New Roman" w:hAnsi="Times New Roman" w:cs="Times New Roman"/>
          <w:sz w:val="24"/>
          <w:szCs w:val="24"/>
        </w:rPr>
        <w:t xml:space="preserve"> (RDF 100% [NPK: 25:50:25 Kg/ha]</w:t>
      </w:r>
      <w:r w:rsidR="00A11D83" w:rsidRPr="00311ECD">
        <w:rPr>
          <w:rFonts w:ascii="Times New Roman" w:hAnsi="Times New Roman" w:cs="Times New Roman"/>
          <w:sz w:val="24"/>
          <w:szCs w:val="24"/>
        </w:rPr>
        <w:t>) with</w:t>
      </w:r>
      <w:r w:rsidRPr="00311ECD">
        <w:rPr>
          <w:rFonts w:ascii="Times New Roman" w:hAnsi="Times New Roman" w:cs="Times New Roman"/>
          <w:sz w:val="24"/>
          <w:szCs w:val="24"/>
        </w:rPr>
        <w:t xml:space="preserve"> (</w:t>
      </w:r>
      <w:r w:rsidRPr="00311ECD">
        <w:rPr>
          <w:rFonts w:ascii="Times New Roman" w:hAnsi="Times New Roman" w:cs="Times New Roman"/>
          <w:sz w:val="24"/>
          <w:szCs w:val="24"/>
          <w:lang w:val="en-US"/>
        </w:rPr>
        <w:t>Rs 195700</w:t>
      </w:r>
      <w:r w:rsidRPr="00311ECD">
        <w:rPr>
          <w:rFonts w:ascii="Times New Roman" w:hAnsi="Times New Roman" w:cs="Times New Roman"/>
          <w:sz w:val="24"/>
          <w:szCs w:val="24"/>
        </w:rPr>
        <w:t xml:space="preserve">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followed by 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 having Rs 191700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xml:space="preserve"> and the minimum (</w:t>
      </w:r>
      <w:r w:rsidRPr="00311ECD">
        <w:rPr>
          <w:rFonts w:ascii="Times New Roman" w:hAnsi="Times New Roman" w:cs="Times New Roman"/>
          <w:sz w:val="24"/>
          <w:szCs w:val="24"/>
          <w:lang w:val="en-US"/>
        </w:rPr>
        <w:t>Rs 113600</w:t>
      </w:r>
      <w:r w:rsidRPr="00311ECD">
        <w:rPr>
          <w:rFonts w:ascii="Times New Roman" w:hAnsi="Times New Roman" w:cs="Times New Roman"/>
          <w:sz w:val="24"/>
          <w:szCs w:val="24"/>
        </w:rPr>
        <w:t xml:space="preserve">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was recorded in treatment T</w:t>
      </w:r>
      <w:r w:rsidRPr="00311ECD">
        <w:rPr>
          <w:rFonts w:ascii="Times New Roman" w:hAnsi="Times New Roman" w:cs="Times New Roman"/>
          <w:sz w:val="24"/>
          <w:szCs w:val="24"/>
          <w:vertAlign w:val="subscript"/>
        </w:rPr>
        <w:t>0</w:t>
      </w:r>
      <w:r w:rsidRPr="00311ECD">
        <w:rPr>
          <w:rFonts w:ascii="Times New Roman" w:hAnsi="Times New Roman" w:cs="Times New Roman"/>
          <w:sz w:val="24"/>
          <w:szCs w:val="24"/>
        </w:rPr>
        <w:t xml:space="preserve"> (Control). Maximum net returns were recorded in treatment T</w:t>
      </w:r>
      <w:r w:rsidRPr="00311ECD">
        <w:rPr>
          <w:rFonts w:ascii="Times New Roman" w:hAnsi="Times New Roman" w:cs="Times New Roman"/>
          <w:sz w:val="24"/>
          <w:szCs w:val="24"/>
          <w:vertAlign w:val="subscript"/>
        </w:rPr>
        <w:t>1</w:t>
      </w:r>
      <w:r w:rsidRPr="00311ECD">
        <w:rPr>
          <w:rFonts w:ascii="Times New Roman" w:hAnsi="Times New Roman" w:cs="Times New Roman"/>
          <w:sz w:val="24"/>
          <w:szCs w:val="24"/>
        </w:rPr>
        <w:t xml:space="preserve"> (RDF 100% [NPK: 25:50:25 Kg/ha]</w:t>
      </w:r>
      <w:r w:rsidR="00A11D83" w:rsidRPr="00311ECD">
        <w:rPr>
          <w:rFonts w:ascii="Times New Roman" w:hAnsi="Times New Roman" w:cs="Times New Roman"/>
          <w:sz w:val="24"/>
          <w:szCs w:val="24"/>
        </w:rPr>
        <w:t>) with</w:t>
      </w:r>
      <w:r w:rsidRPr="00311ECD">
        <w:rPr>
          <w:rFonts w:ascii="Times New Roman" w:hAnsi="Times New Roman" w:cs="Times New Roman"/>
          <w:sz w:val="24"/>
          <w:szCs w:val="24"/>
        </w:rPr>
        <w:t xml:space="preserve"> (</w:t>
      </w:r>
      <w:r w:rsidRPr="00311ECD">
        <w:rPr>
          <w:rFonts w:ascii="Times New Roman" w:hAnsi="Times New Roman" w:cs="Times New Roman"/>
          <w:sz w:val="24"/>
          <w:szCs w:val="24"/>
          <w:lang w:val="en-US"/>
        </w:rPr>
        <w:t>Rs 1,06,431</w:t>
      </w:r>
      <w:r w:rsidRPr="00311ECD">
        <w:rPr>
          <w:rFonts w:ascii="Times New Roman" w:hAnsi="Times New Roman" w:cs="Times New Roman"/>
          <w:sz w:val="24"/>
          <w:szCs w:val="24"/>
        </w:rPr>
        <w:t xml:space="preserve">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followed by 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 having Rs 1,00,391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xml:space="preserve"> and the minimum (</w:t>
      </w:r>
      <w:r w:rsidRPr="00311ECD">
        <w:rPr>
          <w:rFonts w:ascii="Times New Roman" w:hAnsi="Times New Roman" w:cs="Times New Roman"/>
          <w:sz w:val="24"/>
          <w:szCs w:val="24"/>
          <w:lang w:val="en-US"/>
        </w:rPr>
        <w:t>Rs 28,225</w:t>
      </w:r>
      <w:r w:rsidRPr="00311ECD">
        <w:rPr>
          <w:rFonts w:ascii="Times New Roman" w:hAnsi="Times New Roman" w:cs="Times New Roman"/>
          <w:sz w:val="24"/>
          <w:szCs w:val="24"/>
        </w:rPr>
        <w:t xml:space="preserve">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was recorded in treatment T</w:t>
      </w:r>
      <w:r w:rsidRPr="00311ECD">
        <w:rPr>
          <w:rFonts w:ascii="Times New Roman" w:hAnsi="Times New Roman" w:cs="Times New Roman"/>
          <w:sz w:val="24"/>
          <w:szCs w:val="24"/>
          <w:vertAlign w:val="subscript"/>
        </w:rPr>
        <w:t>2</w:t>
      </w:r>
      <w:r w:rsidRPr="00311ECD">
        <w:rPr>
          <w:rFonts w:ascii="Times New Roman" w:hAnsi="Times New Roman" w:cs="Times New Roman"/>
          <w:sz w:val="24"/>
          <w:szCs w:val="24"/>
        </w:rPr>
        <w:t xml:space="preserve"> (100% Vermicompost). Maximum benefit cost ratio was recorded in treatment T</w:t>
      </w:r>
      <w:r w:rsidRPr="00311ECD">
        <w:rPr>
          <w:rFonts w:ascii="Times New Roman" w:hAnsi="Times New Roman" w:cs="Times New Roman"/>
          <w:sz w:val="24"/>
          <w:szCs w:val="24"/>
          <w:vertAlign w:val="subscript"/>
        </w:rPr>
        <w:t>1</w:t>
      </w:r>
      <w:r w:rsidRPr="00311ECD">
        <w:rPr>
          <w:rFonts w:ascii="Times New Roman" w:hAnsi="Times New Roman" w:cs="Times New Roman"/>
          <w:sz w:val="24"/>
          <w:szCs w:val="24"/>
        </w:rPr>
        <w:t xml:space="preserve"> (RDF 100% [NPK: 25:50:25 Kg/ha]</w:t>
      </w:r>
      <w:r w:rsidR="00A11D83" w:rsidRPr="00311ECD">
        <w:rPr>
          <w:rFonts w:ascii="Times New Roman" w:hAnsi="Times New Roman" w:cs="Times New Roman"/>
          <w:sz w:val="24"/>
          <w:szCs w:val="24"/>
        </w:rPr>
        <w:t>) with</w:t>
      </w:r>
      <w:r w:rsidRPr="00311ECD">
        <w:rPr>
          <w:rFonts w:ascii="Times New Roman" w:hAnsi="Times New Roman" w:cs="Times New Roman"/>
          <w:sz w:val="24"/>
          <w:szCs w:val="24"/>
        </w:rPr>
        <w:t xml:space="preserve"> (</w:t>
      </w:r>
      <w:r w:rsidRPr="00311ECD">
        <w:rPr>
          <w:rFonts w:ascii="Times New Roman" w:hAnsi="Times New Roman" w:cs="Times New Roman"/>
          <w:sz w:val="24"/>
          <w:szCs w:val="24"/>
          <w:lang w:val="en-US"/>
        </w:rPr>
        <w:t>2.19</w:t>
      </w:r>
      <w:r w:rsidRPr="00311ECD">
        <w:rPr>
          <w:rFonts w:ascii="Times New Roman" w:hAnsi="Times New Roman" w:cs="Times New Roman"/>
          <w:sz w:val="24"/>
          <w:szCs w:val="24"/>
        </w:rPr>
        <w:t>) followed by 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 having 2.10 and the minimum (</w:t>
      </w:r>
      <w:r w:rsidRPr="00311ECD">
        <w:rPr>
          <w:rFonts w:ascii="Times New Roman" w:hAnsi="Times New Roman" w:cs="Times New Roman"/>
          <w:sz w:val="24"/>
          <w:szCs w:val="24"/>
          <w:lang w:val="en-US"/>
        </w:rPr>
        <w:t>1.33</w:t>
      </w:r>
      <w:r w:rsidRPr="00311ECD">
        <w:rPr>
          <w:rFonts w:ascii="Times New Roman" w:hAnsi="Times New Roman" w:cs="Times New Roman"/>
          <w:sz w:val="24"/>
          <w:szCs w:val="24"/>
        </w:rPr>
        <w:t>) was recorded in treatment T</w:t>
      </w:r>
      <w:r w:rsidRPr="00311ECD">
        <w:rPr>
          <w:rFonts w:ascii="Times New Roman" w:hAnsi="Times New Roman" w:cs="Times New Roman"/>
          <w:sz w:val="24"/>
          <w:szCs w:val="24"/>
          <w:vertAlign w:val="subscript"/>
        </w:rPr>
        <w:t>2</w:t>
      </w:r>
      <w:r w:rsidRPr="00311ECD">
        <w:rPr>
          <w:rFonts w:ascii="Times New Roman" w:hAnsi="Times New Roman" w:cs="Times New Roman"/>
          <w:sz w:val="24"/>
          <w:szCs w:val="24"/>
        </w:rPr>
        <w:t xml:space="preserve"> (100% Vermicompost</w:t>
      </w:r>
      <w:proofErr w:type="gramStart"/>
      <w:r w:rsidRPr="00311ECD">
        <w:rPr>
          <w:rFonts w:ascii="Times New Roman" w:hAnsi="Times New Roman" w:cs="Times New Roman"/>
          <w:sz w:val="24"/>
          <w:szCs w:val="24"/>
        </w:rPr>
        <w:t>).</w:t>
      </w:r>
      <w:r w:rsidRPr="00311ECD">
        <w:rPr>
          <w:rFonts w:ascii="Times New Roman" w:eastAsia="Calibri" w:hAnsi="Times New Roman" w:cs="Times New Roman"/>
          <w:sz w:val="24"/>
          <w:szCs w:val="24"/>
        </w:rPr>
        <w:t>Similar</w:t>
      </w:r>
      <w:proofErr w:type="gramEnd"/>
      <w:r w:rsidRPr="00311ECD">
        <w:rPr>
          <w:rFonts w:ascii="Times New Roman" w:eastAsia="Calibri" w:hAnsi="Times New Roman" w:cs="Times New Roman"/>
          <w:sz w:val="24"/>
          <w:szCs w:val="24"/>
        </w:rPr>
        <w:t xml:space="preserve"> findings were reported by </w:t>
      </w:r>
      <w:r w:rsidRPr="00311ECD">
        <w:rPr>
          <w:rFonts w:ascii="Times New Roman" w:hAnsi="Times New Roman" w:cs="Times New Roman"/>
          <w:b/>
          <w:bCs/>
          <w:sz w:val="24"/>
          <w:szCs w:val="24"/>
        </w:rPr>
        <w:t xml:space="preserve">Singh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(2018)</w:t>
      </w:r>
      <w:r w:rsidRPr="00311ECD">
        <w:rPr>
          <w:rFonts w:ascii="Times New Roman" w:eastAsia="Calibri" w:hAnsi="Times New Roman" w:cs="Times New Roman"/>
          <w:sz w:val="24"/>
          <w:szCs w:val="24"/>
        </w:rPr>
        <w:t xml:space="preserve"> in Cowpea</w:t>
      </w:r>
      <w:r w:rsidR="00634361">
        <w:rPr>
          <w:rFonts w:ascii="Times New Roman" w:eastAsia="Calibri" w:hAnsi="Times New Roman" w:cs="Times New Roman"/>
          <w:sz w:val="24"/>
          <w:szCs w:val="24"/>
        </w:rPr>
        <w:t xml:space="preserve"> (Table 3)</w:t>
      </w:r>
      <w:r w:rsidRPr="00311ECD">
        <w:rPr>
          <w:rFonts w:ascii="Times New Roman" w:eastAsia="Calibri" w:hAnsi="Times New Roman" w:cs="Times New Roman"/>
          <w:sz w:val="24"/>
          <w:szCs w:val="24"/>
        </w:rPr>
        <w:t>.</w:t>
      </w:r>
    </w:p>
    <w:p w:rsidR="00B76981" w:rsidRPr="00311ECD" w:rsidRDefault="00B76981" w:rsidP="003716DD">
      <w:pPr>
        <w:ind w:right="27"/>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 xml:space="preserve">Conclusion </w:t>
      </w:r>
    </w:p>
    <w:p w:rsidR="00F373A2" w:rsidRDefault="001C7E7C" w:rsidP="003716DD">
      <w:pPr>
        <w:ind w:right="27"/>
        <w:jc w:val="both"/>
        <w:rPr>
          <w:rFonts w:ascii="Times New Roman" w:hAnsi="Times New Roman" w:cs="Times New Roman"/>
          <w:sz w:val="24"/>
          <w:szCs w:val="24"/>
        </w:rPr>
      </w:pPr>
      <w:r w:rsidRPr="00311ECD">
        <w:rPr>
          <w:rFonts w:ascii="Times New Roman" w:hAnsi="Times New Roman" w:cs="Times New Roman"/>
          <w:sz w:val="24"/>
          <w:szCs w:val="24"/>
        </w:rPr>
        <w:t>The overall results obtained from this present investigation revealed</w:t>
      </w:r>
      <w:r w:rsidR="00C40E1D">
        <w:rPr>
          <w:rFonts w:ascii="Times New Roman" w:hAnsi="Times New Roman" w:cs="Times New Roman"/>
          <w:sz w:val="24"/>
          <w:szCs w:val="24"/>
        </w:rPr>
        <w:t xml:space="preserve"> </w:t>
      </w:r>
      <w:r w:rsidRPr="00311ECD">
        <w:rPr>
          <w:rFonts w:ascii="Times New Roman" w:hAnsi="Times New Roman" w:cs="Times New Roman"/>
          <w:sz w:val="24"/>
          <w:szCs w:val="24"/>
        </w:rPr>
        <w:t>that the application of 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 showed the better performance for</w:t>
      </w:r>
      <w:r w:rsidR="00C40E1D">
        <w:rPr>
          <w:rFonts w:ascii="Times New Roman" w:hAnsi="Times New Roman" w:cs="Times New Roman"/>
          <w:sz w:val="24"/>
          <w:szCs w:val="24"/>
        </w:rPr>
        <w:t xml:space="preserve"> </w:t>
      </w:r>
      <w:r w:rsidRPr="00311ECD">
        <w:rPr>
          <w:rFonts w:ascii="Times New Roman" w:hAnsi="Times New Roman" w:cs="Times New Roman"/>
          <w:sz w:val="24"/>
          <w:szCs w:val="24"/>
        </w:rPr>
        <w:t>vegetative</w:t>
      </w:r>
      <w:r w:rsidR="00C40E1D">
        <w:rPr>
          <w:rFonts w:ascii="Times New Roman" w:hAnsi="Times New Roman" w:cs="Times New Roman"/>
          <w:sz w:val="24"/>
          <w:szCs w:val="24"/>
        </w:rPr>
        <w:t xml:space="preserve"> </w:t>
      </w:r>
      <w:r w:rsidRPr="00311ECD">
        <w:rPr>
          <w:rFonts w:ascii="Times New Roman" w:hAnsi="Times New Roman" w:cs="Times New Roman"/>
          <w:sz w:val="24"/>
          <w:szCs w:val="24"/>
        </w:rPr>
        <w:t xml:space="preserve">growth </w:t>
      </w:r>
      <w:r w:rsidRPr="00311ECD">
        <w:rPr>
          <w:rFonts w:ascii="Times New Roman" w:hAnsi="Times New Roman" w:cs="Times New Roman"/>
          <w:i/>
          <w:iCs/>
          <w:sz w:val="24"/>
          <w:szCs w:val="24"/>
        </w:rPr>
        <w:t xml:space="preserve">viz., </w:t>
      </w:r>
      <w:r w:rsidRPr="00311ECD">
        <w:rPr>
          <w:rFonts w:ascii="Times New Roman" w:hAnsi="Times New Roman" w:cs="Times New Roman"/>
          <w:sz w:val="24"/>
          <w:szCs w:val="24"/>
        </w:rPr>
        <w:t>plant</w:t>
      </w:r>
      <w:r w:rsidR="00C40E1D">
        <w:rPr>
          <w:rFonts w:ascii="Times New Roman" w:hAnsi="Times New Roman" w:cs="Times New Roman"/>
          <w:sz w:val="24"/>
          <w:szCs w:val="24"/>
        </w:rPr>
        <w:t xml:space="preserve"> </w:t>
      </w:r>
      <w:r w:rsidRPr="00311ECD">
        <w:rPr>
          <w:rFonts w:ascii="Times New Roman" w:hAnsi="Times New Roman" w:cs="Times New Roman"/>
          <w:sz w:val="24"/>
          <w:szCs w:val="24"/>
        </w:rPr>
        <w:t xml:space="preserve">height </w:t>
      </w:r>
      <w:r w:rsidRPr="00311ECD">
        <w:rPr>
          <w:rFonts w:ascii="Times New Roman" w:eastAsia="Calibri" w:hAnsi="Times New Roman" w:cs="Times New Roman"/>
          <w:sz w:val="24"/>
          <w:szCs w:val="24"/>
        </w:rPr>
        <w:t>(57.85 and 96.28 cm) at 30, 50 DAS respectively</w:t>
      </w:r>
      <w:r w:rsidRPr="00311ECD">
        <w:rPr>
          <w:rFonts w:ascii="Times New Roman" w:hAnsi="Times New Roman" w:cs="Times New Roman"/>
          <w:sz w:val="24"/>
          <w:szCs w:val="24"/>
        </w:rPr>
        <w:t>,</w:t>
      </w:r>
      <w:r w:rsidR="00C40E1D">
        <w:rPr>
          <w:rFonts w:ascii="Times New Roman" w:hAnsi="Times New Roman" w:cs="Times New Roman"/>
          <w:sz w:val="24"/>
          <w:szCs w:val="24"/>
        </w:rPr>
        <w:t xml:space="preserve"> </w:t>
      </w:r>
      <w:r w:rsidRPr="00311ECD">
        <w:rPr>
          <w:rFonts w:ascii="Times New Roman" w:hAnsi="Times New Roman" w:cs="Times New Roman"/>
          <w:sz w:val="24"/>
          <w:szCs w:val="24"/>
        </w:rPr>
        <w:t xml:space="preserve">number of branches per plant </w:t>
      </w:r>
      <w:r w:rsidRPr="00311ECD">
        <w:rPr>
          <w:rFonts w:ascii="Times New Roman" w:eastAsia="Calibri" w:hAnsi="Times New Roman" w:cs="Times New Roman"/>
          <w:sz w:val="24"/>
          <w:szCs w:val="24"/>
        </w:rPr>
        <w:t>(15.85 branches</w:t>
      </w:r>
      <w:r w:rsidRPr="00311ECD">
        <w:rPr>
          <w:rFonts w:ascii="Times New Roman" w:hAnsi="Times New Roman" w:cs="Times New Roman"/>
          <w:sz w:val="24"/>
          <w:szCs w:val="24"/>
        </w:rPr>
        <w:t>), yield attributes i.e., number of pods per</w:t>
      </w:r>
      <w:r w:rsidR="00C40E1D">
        <w:rPr>
          <w:rFonts w:ascii="Times New Roman" w:hAnsi="Times New Roman" w:cs="Times New Roman"/>
          <w:sz w:val="24"/>
          <w:szCs w:val="24"/>
        </w:rPr>
        <w:t xml:space="preserve"> </w:t>
      </w:r>
      <w:r w:rsidRPr="00311ECD">
        <w:rPr>
          <w:rFonts w:ascii="Times New Roman" w:hAnsi="Times New Roman" w:cs="Times New Roman"/>
          <w:sz w:val="24"/>
          <w:szCs w:val="24"/>
        </w:rPr>
        <w:t xml:space="preserve">plant </w:t>
      </w:r>
      <w:r w:rsidRPr="00311ECD">
        <w:rPr>
          <w:rFonts w:ascii="Times New Roman" w:eastAsia="Calibri" w:hAnsi="Times New Roman" w:cs="Times New Roman"/>
          <w:sz w:val="24"/>
          <w:szCs w:val="24"/>
        </w:rPr>
        <w:t>(27.40 pods)</w:t>
      </w:r>
      <w:r w:rsidRPr="00311ECD">
        <w:rPr>
          <w:rFonts w:ascii="Times New Roman" w:hAnsi="Times New Roman" w:cs="Times New Roman"/>
          <w:sz w:val="24"/>
          <w:szCs w:val="24"/>
        </w:rPr>
        <w:t xml:space="preserve">, pod weight </w:t>
      </w:r>
      <w:r w:rsidRPr="00311ECD">
        <w:rPr>
          <w:rFonts w:ascii="Times New Roman" w:eastAsia="Calibri" w:hAnsi="Times New Roman" w:cs="Times New Roman"/>
          <w:sz w:val="24"/>
          <w:szCs w:val="24"/>
        </w:rPr>
        <w:t>(16.51 grams)</w:t>
      </w:r>
      <w:r w:rsidRPr="00311ECD">
        <w:rPr>
          <w:rFonts w:ascii="Times New Roman" w:hAnsi="Times New Roman" w:cs="Times New Roman"/>
          <w:sz w:val="24"/>
          <w:szCs w:val="24"/>
        </w:rPr>
        <w:t>, pod yield (</w:t>
      </w:r>
      <w:r w:rsidRPr="00311ECD">
        <w:rPr>
          <w:rFonts w:ascii="Times New Roman" w:eastAsia="Calibri" w:hAnsi="Times New Roman" w:cs="Times New Roman"/>
          <w:sz w:val="24"/>
          <w:szCs w:val="24"/>
        </w:rPr>
        <w:t>6.52 t/ha</w:t>
      </w:r>
      <w:r w:rsidRPr="00311ECD">
        <w:rPr>
          <w:rFonts w:ascii="Times New Roman" w:hAnsi="Times New Roman" w:cs="Times New Roman"/>
          <w:sz w:val="24"/>
          <w:szCs w:val="24"/>
        </w:rPr>
        <w:t>)</w:t>
      </w:r>
      <w:r w:rsidR="004A7D62">
        <w:rPr>
          <w:rFonts w:ascii="Times New Roman" w:hAnsi="Times New Roman" w:cs="Times New Roman"/>
          <w:sz w:val="24"/>
          <w:szCs w:val="24"/>
        </w:rPr>
        <w:t xml:space="preserve"> </w:t>
      </w:r>
      <w:r w:rsidRPr="00311ECD">
        <w:rPr>
          <w:rFonts w:ascii="Times New Roman" w:hAnsi="Times New Roman" w:cs="Times New Roman"/>
          <w:sz w:val="24"/>
          <w:szCs w:val="24"/>
        </w:rPr>
        <w:t>of cowpea next to T</w:t>
      </w:r>
      <w:r w:rsidRPr="00311ECD">
        <w:rPr>
          <w:rFonts w:ascii="Times New Roman" w:hAnsi="Times New Roman" w:cs="Times New Roman"/>
          <w:sz w:val="24"/>
          <w:szCs w:val="24"/>
          <w:vertAlign w:val="subscript"/>
        </w:rPr>
        <w:t>1</w:t>
      </w:r>
      <w:r w:rsidRPr="00311ECD">
        <w:rPr>
          <w:rFonts w:ascii="Times New Roman" w:hAnsi="Times New Roman" w:cs="Times New Roman"/>
          <w:sz w:val="24"/>
          <w:szCs w:val="24"/>
        </w:rPr>
        <w:t xml:space="preserve"> (RDF 100% [NPK: 25:50:25 Kg/ha]). 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also recorded</w:t>
      </w:r>
      <w:r w:rsidR="008868B3">
        <w:rPr>
          <w:rFonts w:ascii="Times New Roman" w:hAnsi="Times New Roman" w:cs="Times New Roman"/>
          <w:sz w:val="24"/>
          <w:szCs w:val="24"/>
        </w:rPr>
        <w:t xml:space="preserve"> the</w:t>
      </w:r>
      <w:r w:rsidRPr="00311ECD">
        <w:rPr>
          <w:rFonts w:ascii="Times New Roman" w:hAnsi="Times New Roman" w:cs="Times New Roman"/>
          <w:sz w:val="24"/>
          <w:szCs w:val="24"/>
        </w:rPr>
        <w:t xml:space="preserve"> highest net return (Rs 1,06,431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xml:space="preserve">) and benefit cost ratio of 2.19. Thus, </w:t>
      </w:r>
      <w:r w:rsidRPr="00311ECD">
        <w:rPr>
          <w:rFonts w:ascii="Times New Roman" w:hAnsi="Times New Roman" w:cs="Times New Roman"/>
          <w:sz w:val="24"/>
          <w:szCs w:val="24"/>
        </w:rPr>
        <w:lastRenderedPageBreak/>
        <w:t>integrated use of nutrients may be suggested</w:t>
      </w:r>
      <w:r w:rsidR="00C40E1D">
        <w:rPr>
          <w:rFonts w:ascii="Times New Roman" w:hAnsi="Times New Roman" w:cs="Times New Roman"/>
          <w:sz w:val="24"/>
          <w:szCs w:val="24"/>
        </w:rPr>
        <w:t xml:space="preserve"> </w:t>
      </w:r>
      <w:r w:rsidRPr="00311ECD">
        <w:rPr>
          <w:rFonts w:ascii="Times New Roman" w:hAnsi="Times New Roman" w:cs="Times New Roman"/>
          <w:sz w:val="24"/>
          <w:szCs w:val="24"/>
        </w:rPr>
        <w:t xml:space="preserve">for higher crop productivity along with over all betterment of </w:t>
      </w:r>
      <w:r w:rsidR="004A7D62" w:rsidRPr="00311ECD">
        <w:rPr>
          <w:rFonts w:ascii="Times New Roman" w:hAnsi="Times New Roman" w:cs="Times New Roman"/>
          <w:sz w:val="24"/>
          <w:szCs w:val="24"/>
        </w:rPr>
        <w:t xml:space="preserve">cowpea </w:t>
      </w:r>
      <w:r w:rsidRPr="00311ECD">
        <w:rPr>
          <w:rFonts w:ascii="Times New Roman" w:hAnsi="Times New Roman" w:cs="Times New Roman"/>
          <w:sz w:val="24"/>
          <w:szCs w:val="24"/>
        </w:rPr>
        <w:t xml:space="preserve">under </w:t>
      </w:r>
      <w:proofErr w:type="spellStart"/>
      <w:r w:rsidRPr="00311ECD">
        <w:rPr>
          <w:rFonts w:ascii="Times New Roman" w:hAnsi="Times New Roman" w:cs="Times New Roman"/>
          <w:sz w:val="24"/>
          <w:szCs w:val="24"/>
        </w:rPr>
        <w:t>Balaghat</w:t>
      </w:r>
      <w:proofErr w:type="spellEnd"/>
      <w:r w:rsidRPr="00311ECD">
        <w:rPr>
          <w:rFonts w:ascii="Times New Roman" w:hAnsi="Times New Roman" w:cs="Times New Roman"/>
          <w:sz w:val="24"/>
          <w:szCs w:val="24"/>
        </w:rPr>
        <w:t xml:space="preserve"> (M.P.) conditions.</w:t>
      </w:r>
    </w:p>
    <w:p w:rsidR="00001CA3" w:rsidRPr="0025172A" w:rsidRDefault="00001CA3" w:rsidP="003716DD">
      <w:pPr>
        <w:ind w:right="27"/>
        <w:jc w:val="both"/>
        <w:rPr>
          <w:rFonts w:ascii="Times New Roman" w:hAnsi="Times New Roman" w:cs="Times New Roman"/>
          <w:b/>
          <w:bCs/>
          <w:sz w:val="24"/>
          <w:szCs w:val="24"/>
        </w:rPr>
      </w:pPr>
      <w:r w:rsidRPr="0025172A">
        <w:rPr>
          <w:rFonts w:ascii="Times New Roman" w:hAnsi="Times New Roman" w:cs="Times New Roman"/>
          <w:b/>
          <w:bCs/>
          <w:sz w:val="24"/>
          <w:szCs w:val="24"/>
        </w:rPr>
        <w:t>Disclaimer (Artificial Intelligence)</w:t>
      </w:r>
    </w:p>
    <w:p w:rsidR="00001CA3" w:rsidRDefault="00001CA3" w:rsidP="003716DD">
      <w:pPr>
        <w:ind w:right="27"/>
        <w:jc w:val="both"/>
        <w:rPr>
          <w:rFonts w:ascii="Times New Roman" w:hAnsi="Times New Roman" w:cs="Times New Roman"/>
          <w:sz w:val="24"/>
          <w:szCs w:val="24"/>
        </w:rPr>
      </w:pPr>
      <w:r>
        <w:rPr>
          <w:rFonts w:ascii="Times New Roman" w:hAnsi="Times New Roman" w:cs="Times New Roman"/>
          <w:sz w:val="24"/>
          <w:szCs w:val="24"/>
        </w:rPr>
        <w:t>I hereby declare that NO generative AI technologies such as Large Language Models (</w:t>
      </w:r>
      <w:proofErr w:type="spellStart"/>
      <w:r>
        <w:rPr>
          <w:rFonts w:ascii="Times New Roman" w:hAnsi="Times New Roman" w:cs="Times New Roman"/>
          <w:sz w:val="24"/>
          <w:szCs w:val="24"/>
        </w:rPr>
        <w:t>ChatGPT</w:t>
      </w:r>
      <w:proofErr w:type="spellEnd"/>
      <w:r>
        <w:rPr>
          <w:rFonts w:ascii="Times New Roman" w:hAnsi="Times New Roman" w:cs="Times New Roman"/>
          <w:sz w:val="24"/>
          <w:szCs w:val="24"/>
        </w:rPr>
        <w:t>, COPILOT, etc.)</w:t>
      </w:r>
      <w:r w:rsidR="0025172A">
        <w:rPr>
          <w:rFonts w:ascii="Times New Roman" w:hAnsi="Times New Roman" w:cs="Times New Roman"/>
          <w:sz w:val="24"/>
          <w:szCs w:val="24"/>
        </w:rPr>
        <w:t xml:space="preserve"> and text-to-image generators have been used during</w:t>
      </w:r>
      <w:r w:rsidR="00B07368">
        <w:rPr>
          <w:rFonts w:ascii="Times New Roman" w:hAnsi="Times New Roman" w:cs="Times New Roman"/>
          <w:sz w:val="24"/>
          <w:szCs w:val="24"/>
        </w:rPr>
        <w:t xml:space="preserve"> the</w:t>
      </w:r>
      <w:r w:rsidR="0025172A">
        <w:rPr>
          <w:rFonts w:ascii="Times New Roman" w:hAnsi="Times New Roman" w:cs="Times New Roman"/>
          <w:sz w:val="24"/>
          <w:szCs w:val="24"/>
        </w:rPr>
        <w:t xml:space="preserve"> writing or editing of this manuscript.</w:t>
      </w:r>
    </w:p>
    <w:p w:rsidR="0025172A" w:rsidRDefault="0025172A" w:rsidP="003716DD">
      <w:pPr>
        <w:ind w:right="27"/>
        <w:jc w:val="both"/>
        <w:rPr>
          <w:rFonts w:ascii="Times New Roman" w:hAnsi="Times New Roman" w:cs="Times New Roman"/>
          <w:b/>
          <w:bCs/>
          <w:sz w:val="24"/>
          <w:szCs w:val="24"/>
        </w:rPr>
      </w:pPr>
      <w:r w:rsidRPr="0025172A">
        <w:rPr>
          <w:rFonts w:ascii="Times New Roman" w:hAnsi="Times New Roman" w:cs="Times New Roman"/>
          <w:b/>
          <w:bCs/>
          <w:sz w:val="24"/>
          <w:szCs w:val="24"/>
        </w:rPr>
        <w:t>Competing Interests</w:t>
      </w:r>
    </w:p>
    <w:p w:rsidR="0025172A" w:rsidRPr="00665F7C" w:rsidRDefault="00665F7C" w:rsidP="003716DD">
      <w:pPr>
        <w:ind w:right="27"/>
        <w:jc w:val="both"/>
        <w:rPr>
          <w:rFonts w:ascii="Times New Roman" w:hAnsi="Times New Roman" w:cs="Times New Roman"/>
          <w:sz w:val="24"/>
          <w:szCs w:val="24"/>
        </w:rPr>
      </w:pPr>
      <w:r w:rsidRPr="00665F7C">
        <w:rPr>
          <w:rFonts w:ascii="Times New Roman" w:hAnsi="Times New Roman" w:cs="Times New Roman"/>
          <w:sz w:val="24"/>
          <w:szCs w:val="24"/>
        </w:rPr>
        <w:t>Authors have declared that no competing interests exist.</w:t>
      </w:r>
    </w:p>
    <w:p w:rsidR="00734A86" w:rsidRDefault="00734A86" w:rsidP="00CB7726">
      <w:pPr>
        <w:ind w:right="27"/>
        <w:rPr>
          <w:rFonts w:ascii="Times New Roman" w:hAnsi="Times New Roman" w:cs="Times New Roman"/>
          <w:b/>
          <w:sz w:val="24"/>
          <w:szCs w:val="24"/>
        </w:rPr>
      </w:pPr>
    </w:p>
    <w:p w:rsidR="00734A86" w:rsidRDefault="00734A86" w:rsidP="00CB7726">
      <w:pPr>
        <w:ind w:right="27"/>
        <w:rPr>
          <w:rFonts w:ascii="Times New Roman" w:hAnsi="Times New Roman" w:cs="Times New Roman"/>
          <w:b/>
          <w:sz w:val="24"/>
          <w:szCs w:val="24"/>
        </w:rPr>
      </w:pPr>
    </w:p>
    <w:p w:rsidR="00734A86" w:rsidRDefault="00734A86" w:rsidP="00CB7726">
      <w:pPr>
        <w:ind w:right="27"/>
        <w:rPr>
          <w:rFonts w:ascii="Times New Roman" w:hAnsi="Times New Roman" w:cs="Times New Roman"/>
          <w:b/>
          <w:sz w:val="24"/>
          <w:szCs w:val="24"/>
        </w:rPr>
      </w:pPr>
    </w:p>
    <w:p w:rsidR="00734A86" w:rsidRDefault="00734A86" w:rsidP="00CB7726">
      <w:pPr>
        <w:ind w:right="27"/>
        <w:rPr>
          <w:rFonts w:ascii="Times New Roman" w:hAnsi="Times New Roman" w:cs="Times New Roman"/>
          <w:b/>
          <w:sz w:val="24"/>
          <w:szCs w:val="24"/>
        </w:rPr>
      </w:pPr>
    </w:p>
    <w:p w:rsidR="00734A86" w:rsidRDefault="00734A86" w:rsidP="00CB7726">
      <w:pPr>
        <w:ind w:right="27"/>
        <w:rPr>
          <w:rFonts w:ascii="Times New Roman" w:hAnsi="Times New Roman" w:cs="Times New Roman"/>
          <w:b/>
          <w:sz w:val="24"/>
          <w:szCs w:val="24"/>
        </w:rPr>
      </w:pPr>
    </w:p>
    <w:p w:rsidR="00734A86" w:rsidRDefault="00734A86" w:rsidP="00CB7726">
      <w:pPr>
        <w:ind w:right="27"/>
        <w:rPr>
          <w:rFonts w:ascii="Times New Roman" w:hAnsi="Times New Roman" w:cs="Times New Roman"/>
          <w:b/>
          <w:sz w:val="24"/>
          <w:szCs w:val="24"/>
        </w:rPr>
      </w:pPr>
    </w:p>
    <w:p w:rsidR="00734A86" w:rsidRDefault="00734A86" w:rsidP="00CB7726">
      <w:pPr>
        <w:ind w:right="27"/>
        <w:rPr>
          <w:rFonts w:ascii="Times New Roman" w:hAnsi="Times New Roman" w:cs="Times New Roman"/>
          <w:b/>
          <w:sz w:val="24"/>
          <w:szCs w:val="24"/>
        </w:rPr>
      </w:pPr>
    </w:p>
    <w:p w:rsidR="00734A86" w:rsidRDefault="00734A86" w:rsidP="00CB7726">
      <w:pPr>
        <w:ind w:right="27"/>
        <w:rPr>
          <w:rFonts w:ascii="Times New Roman" w:hAnsi="Times New Roman" w:cs="Times New Roman"/>
          <w:b/>
          <w:sz w:val="24"/>
          <w:szCs w:val="24"/>
        </w:rPr>
      </w:pPr>
    </w:p>
    <w:p w:rsidR="00734A86" w:rsidRDefault="00734A86" w:rsidP="00CB7726">
      <w:pPr>
        <w:ind w:right="27"/>
        <w:rPr>
          <w:rFonts w:ascii="Times New Roman" w:hAnsi="Times New Roman" w:cs="Times New Roman"/>
          <w:b/>
          <w:sz w:val="24"/>
          <w:szCs w:val="24"/>
        </w:rPr>
      </w:pPr>
    </w:p>
    <w:p w:rsidR="00734A86" w:rsidRDefault="00734A86" w:rsidP="00CB7726">
      <w:pPr>
        <w:ind w:right="27"/>
        <w:rPr>
          <w:rFonts w:ascii="Times New Roman" w:hAnsi="Times New Roman" w:cs="Times New Roman"/>
          <w:b/>
          <w:sz w:val="24"/>
          <w:szCs w:val="24"/>
        </w:rPr>
      </w:pPr>
    </w:p>
    <w:p w:rsidR="00734A86" w:rsidRDefault="00734A86" w:rsidP="00CB7726">
      <w:pPr>
        <w:ind w:right="27"/>
        <w:rPr>
          <w:rFonts w:ascii="Times New Roman" w:hAnsi="Times New Roman" w:cs="Times New Roman"/>
          <w:b/>
          <w:sz w:val="24"/>
          <w:szCs w:val="24"/>
        </w:rPr>
      </w:pPr>
    </w:p>
    <w:p w:rsidR="00734A86" w:rsidRDefault="00734A86" w:rsidP="00CB7726">
      <w:pPr>
        <w:ind w:right="27"/>
        <w:rPr>
          <w:rFonts w:ascii="Times New Roman" w:hAnsi="Times New Roman" w:cs="Times New Roman"/>
          <w:b/>
          <w:sz w:val="24"/>
          <w:szCs w:val="24"/>
        </w:rPr>
      </w:pPr>
    </w:p>
    <w:p w:rsidR="00734A86" w:rsidRDefault="00734A86" w:rsidP="00CB7726">
      <w:pPr>
        <w:ind w:right="27"/>
        <w:rPr>
          <w:rFonts w:ascii="Times New Roman" w:hAnsi="Times New Roman" w:cs="Times New Roman"/>
          <w:b/>
          <w:sz w:val="24"/>
          <w:szCs w:val="24"/>
        </w:rPr>
      </w:pPr>
    </w:p>
    <w:p w:rsidR="00396F21" w:rsidRPr="00311ECD" w:rsidRDefault="00B76981" w:rsidP="00CB7726">
      <w:pPr>
        <w:ind w:right="27"/>
        <w:rPr>
          <w:rFonts w:ascii="Times New Roman" w:hAnsi="Times New Roman" w:cs="Times New Roman"/>
          <w:b/>
          <w:sz w:val="24"/>
          <w:szCs w:val="24"/>
        </w:rPr>
      </w:pPr>
      <w:r w:rsidRPr="00311ECD">
        <w:rPr>
          <w:rFonts w:ascii="Times New Roman" w:hAnsi="Times New Roman" w:cs="Times New Roman"/>
          <w:b/>
          <w:sz w:val="24"/>
          <w:szCs w:val="24"/>
        </w:rPr>
        <w:t>Ref</w:t>
      </w:r>
      <w:r w:rsidR="006801DA" w:rsidRPr="00311ECD">
        <w:rPr>
          <w:rFonts w:ascii="Times New Roman" w:hAnsi="Times New Roman" w:cs="Times New Roman"/>
          <w:b/>
          <w:sz w:val="24"/>
          <w:szCs w:val="24"/>
        </w:rPr>
        <w:t>e</w:t>
      </w:r>
      <w:r w:rsidRPr="00311ECD">
        <w:rPr>
          <w:rFonts w:ascii="Times New Roman" w:hAnsi="Times New Roman" w:cs="Times New Roman"/>
          <w:b/>
          <w:sz w:val="24"/>
          <w:szCs w:val="24"/>
        </w:rPr>
        <w:t>rences</w:t>
      </w:r>
    </w:p>
    <w:p w:rsidR="001C7E7C" w:rsidRPr="00311ECD" w:rsidRDefault="001C7E7C" w:rsidP="003716DD">
      <w:pPr>
        <w:ind w:left="720" w:right="27" w:hanging="720"/>
        <w:jc w:val="both"/>
        <w:rPr>
          <w:rFonts w:ascii="Times New Roman" w:hAnsi="Times New Roman" w:cs="Times New Roman"/>
          <w:b/>
          <w:bCs/>
          <w:sz w:val="24"/>
          <w:szCs w:val="24"/>
        </w:rPr>
      </w:pPr>
      <w:bookmarkStart w:id="1" w:name="_Hlk171538462"/>
      <w:proofErr w:type="spellStart"/>
      <w:r w:rsidRPr="00311ECD">
        <w:rPr>
          <w:rFonts w:ascii="Times New Roman" w:hAnsi="Times New Roman" w:cs="Times New Roman"/>
          <w:b/>
          <w:bCs/>
          <w:sz w:val="24"/>
          <w:szCs w:val="24"/>
        </w:rPr>
        <w:t>Alabadan</w:t>
      </w:r>
      <w:bookmarkEnd w:id="1"/>
      <w:proofErr w:type="spellEnd"/>
      <w:r w:rsidRPr="00311ECD">
        <w:rPr>
          <w:rFonts w:ascii="Times New Roman" w:hAnsi="Times New Roman" w:cs="Times New Roman"/>
          <w:b/>
          <w:bCs/>
          <w:sz w:val="24"/>
          <w:szCs w:val="24"/>
        </w:rPr>
        <w:t xml:space="preserve">, B. A., Adeoye, P. A. and </w:t>
      </w:r>
      <w:proofErr w:type="spellStart"/>
      <w:r w:rsidRPr="00311ECD">
        <w:rPr>
          <w:rFonts w:ascii="Times New Roman" w:hAnsi="Times New Roman" w:cs="Times New Roman"/>
          <w:b/>
          <w:bCs/>
          <w:sz w:val="24"/>
          <w:szCs w:val="24"/>
        </w:rPr>
        <w:t>Folorunso</w:t>
      </w:r>
      <w:proofErr w:type="spellEnd"/>
      <w:r w:rsidRPr="00311ECD">
        <w:rPr>
          <w:rFonts w:ascii="Times New Roman" w:hAnsi="Times New Roman" w:cs="Times New Roman"/>
          <w:b/>
          <w:bCs/>
          <w:sz w:val="24"/>
          <w:szCs w:val="24"/>
        </w:rPr>
        <w:t xml:space="preserve">, E. A. (2009). </w:t>
      </w:r>
      <w:r w:rsidRPr="00311ECD">
        <w:rPr>
          <w:rFonts w:ascii="Times New Roman" w:hAnsi="Times New Roman" w:cs="Times New Roman"/>
          <w:sz w:val="24"/>
          <w:szCs w:val="24"/>
        </w:rPr>
        <w:t xml:space="preserve">Effect of different poultry wastes on physical, chemical and biological properties of soil. </w:t>
      </w:r>
      <w:r w:rsidRPr="00311ECD">
        <w:rPr>
          <w:rFonts w:ascii="Times New Roman" w:hAnsi="Times New Roman" w:cs="Times New Roman"/>
          <w:i/>
          <w:iCs/>
          <w:sz w:val="24"/>
          <w:szCs w:val="24"/>
        </w:rPr>
        <w:t>Caspian Journal of Environmental Science.</w:t>
      </w:r>
      <w:r w:rsidRPr="00311ECD">
        <w:rPr>
          <w:rFonts w:ascii="Times New Roman" w:hAnsi="Times New Roman" w:cs="Times New Roman"/>
          <w:b/>
          <w:bCs/>
          <w:sz w:val="24"/>
          <w:szCs w:val="24"/>
        </w:rPr>
        <w:t>7</w:t>
      </w:r>
      <w:r w:rsidRPr="00311ECD">
        <w:rPr>
          <w:rFonts w:ascii="Times New Roman" w:hAnsi="Times New Roman" w:cs="Times New Roman"/>
          <w:sz w:val="24"/>
          <w:szCs w:val="24"/>
        </w:rPr>
        <w:t>: 31-35.</w:t>
      </w:r>
    </w:p>
    <w:p w:rsidR="001C7E7C" w:rsidRPr="00311ECD" w:rsidRDefault="001C7E7C" w:rsidP="003716DD">
      <w:pPr>
        <w:spacing w:before="240" w:after="120"/>
        <w:ind w:left="720" w:right="27" w:hanging="720"/>
        <w:jc w:val="both"/>
        <w:rPr>
          <w:rFonts w:ascii="Times New Roman" w:hAnsi="Times New Roman" w:cs="Times New Roman"/>
          <w:sz w:val="24"/>
          <w:szCs w:val="24"/>
        </w:rPr>
      </w:pPr>
      <w:proofErr w:type="spellStart"/>
      <w:r w:rsidRPr="00311ECD">
        <w:rPr>
          <w:rFonts w:ascii="Times New Roman" w:hAnsi="Times New Roman" w:cs="Times New Roman"/>
          <w:b/>
          <w:bCs/>
          <w:sz w:val="24"/>
          <w:szCs w:val="24"/>
        </w:rPr>
        <w:t>Begam</w:t>
      </w:r>
      <w:proofErr w:type="spellEnd"/>
      <w:r w:rsidRPr="00311ECD">
        <w:rPr>
          <w:rFonts w:ascii="Times New Roman" w:hAnsi="Times New Roman" w:cs="Times New Roman"/>
          <w:b/>
          <w:bCs/>
          <w:sz w:val="24"/>
          <w:szCs w:val="24"/>
        </w:rPr>
        <w:t xml:space="preserve">, A., </w:t>
      </w:r>
      <w:proofErr w:type="spellStart"/>
      <w:r w:rsidRPr="00311ECD">
        <w:rPr>
          <w:rFonts w:ascii="Times New Roman" w:hAnsi="Times New Roman" w:cs="Times New Roman"/>
          <w:b/>
          <w:bCs/>
          <w:sz w:val="24"/>
          <w:szCs w:val="24"/>
        </w:rPr>
        <w:t>Pramanick</w:t>
      </w:r>
      <w:proofErr w:type="spellEnd"/>
      <w:r w:rsidRPr="00311ECD">
        <w:rPr>
          <w:rFonts w:ascii="Times New Roman" w:hAnsi="Times New Roman" w:cs="Times New Roman"/>
          <w:b/>
          <w:bCs/>
          <w:sz w:val="24"/>
          <w:szCs w:val="24"/>
        </w:rPr>
        <w:t>, M., Dutta, S., Ray, M., &amp; Sengupta, K. (2023).</w:t>
      </w:r>
      <w:r w:rsidRPr="00311ECD">
        <w:rPr>
          <w:rFonts w:ascii="Times New Roman" w:hAnsi="Times New Roman" w:cs="Times New Roman"/>
          <w:sz w:val="24"/>
          <w:szCs w:val="24"/>
        </w:rPr>
        <w:t xml:space="preserve"> Growth and yield responses of cowpea (</w:t>
      </w:r>
      <w:r w:rsidRPr="00311ECD">
        <w:rPr>
          <w:rFonts w:ascii="Times New Roman" w:hAnsi="Times New Roman" w:cs="Times New Roman"/>
          <w:i/>
          <w:iCs/>
          <w:sz w:val="24"/>
          <w:szCs w:val="24"/>
        </w:rPr>
        <w:t xml:space="preserve">Vigna </w:t>
      </w:r>
      <w:proofErr w:type="spellStart"/>
      <w:r w:rsidRPr="00311ECD">
        <w:rPr>
          <w:rFonts w:ascii="Times New Roman" w:hAnsi="Times New Roman" w:cs="Times New Roman"/>
          <w:i/>
          <w:iCs/>
          <w:sz w:val="24"/>
          <w:szCs w:val="24"/>
        </w:rPr>
        <w:t>unguiculata</w:t>
      </w:r>
      <w:proofErr w:type="spellEnd"/>
      <w:r w:rsidRPr="00311ECD">
        <w:rPr>
          <w:rFonts w:ascii="Times New Roman" w:hAnsi="Times New Roman" w:cs="Times New Roman"/>
          <w:sz w:val="24"/>
          <w:szCs w:val="24"/>
        </w:rPr>
        <w:t xml:space="preserve"> L.) as influenced by crop geometry and nutrient management practices. </w:t>
      </w:r>
      <w:r w:rsidRPr="00311ECD">
        <w:rPr>
          <w:rFonts w:ascii="Times New Roman" w:hAnsi="Times New Roman" w:cs="Times New Roman"/>
          <w:i/>
          <w:iCs/>
          <w:sz w:val="24"/>
          <w:szCs w:val="24"/>
        </w:rPr>
        <w:t>Legume Research - An International Journal,</w:t>
      </w:r>
      <w:r w:rsidRPr="00311ECD">
        <w:rPr>
          <w:rFonts w:ascii="Times New Roman" w:hAnsi="Times New Roman" w:cs="Times New Roman"/>
          <w:b/>
          <w:bCs/>
          <w:sz w:val="24"/>
          <w:szCs w:val="24"/>
        </w:rPr>
        <w:t>46</w:t>
      </w:r>
      <w:r w:rsidRPr="00311ECD">
        <w:rPr>
          <w:rFonts w:ascii="Times New Roman" w:hAnsi="Times New Roman" w:cs="Times New Roman"/>
          <w:sz w:val="24"/>
          <w:szCs w:val="24"/>
        </w:rPr>
        <w:t>(9): 1184-1191.</w:t>
      </w:r>
    </w:p>
    <w:p w:rsidR="001C7E7C" w:rsidRPr="00311ECD" w:rsidRDefault="001C7E7C" w:rsidP="003716DD">
      <w:pPr>
        <w:spacing w:before="240" w:after="120"/>
        <w:ind w:left="720" w:right="27" w:hanging="720"/>
        <w:jc w:val="both"/>
        <w:rPr>
          <w:rFonts w:ascii="Times New Roman" w:hAnsi="Times New Roman" w:cs="Times New Roman"/>
          <w:sz w:val="24"/>
          <w:szCs w:val="24"/>
        </w:rPr>
      </w:pPr>
      <w:bookmarkStart w:id="2" w:name="_Hlk128313129"/>
      <w:proofErr w:type="spellStart"/>
      <w:r w:rsidRPr="00311ECD">
        <w:rPr>
          <w:rFonts w:ascii="Times New Roman" w:hAnsi="Times New Roman" w:cs="Times New Roman"/>
          <w:b/>
          <w:bCs/>
          <w:sz w:val="24"/>
          <w:szCs w:val="24"/>
        </w:rPr>
        <w:lastRenderedPageBreak/>
        <w:t>Egbadzor</w:t>
      </w:r>
      <w:bookmarkEnd w:id="2"/>
      <w:proofErr w:type="spellEnd"/>
      <w:r w:rsidRPr="00311ECD">
        <w:rPr>
          <w:rFonts w:ascii="Times New Roman" w:hAnsi="Times New Roman" w:cs="Times New Roman"/>
          <w:b/>
          <w:bCs/>
          <w:sz w:val="24"/>
          <w:szCs w:val="24"/>
        </w:rPr>
        <w:t xml:space="preserve">, K. F., Ofori, K., Yeboah, M., Aboagye, L. M., Opoku, A., Michael, O., Danquah, E. Y. and </w:t>
      </w:r>
      <w:proofErr w:type="spellStart"/>
      <w:r w:rsidRPr="00311ECD">
        <w:rPr>
          <w:rFonts w:ascii="Times New Roman" w:hAnsi="Times New Roman" w:cs="Times New Roman"/>
          <w:b/>
          <w:bCs/>
          <w:sz w:val="24"/>
          <w:szCs w:val="24"/>
        </w:rPr>
        <w:t>Offei</w:t>
      </w:r>
      <w:proofErr w:type="spellEnd"/>
      <w:r w:rsidRPr="00311ECD">
        <w:rPr>
          <w:rFonts w:ascii="Times New Roman" w:hAnsi="Times New Roman" w:cs="Times New Roman"/>
          <w:b/>
          <w:bCs/>
          <w:sz w:val="24"/>
          <w:szCs w:val="24"/>
        </w:rPr>
        <w:t>, S. K. (2014)</w:t>
      </w:r>
      <w:r w:rsidRPr="00311ECD">
        <w:rPr>
          <w:rFonts w:ascii="Times New Roman" w:hAnsi="Times New Roman" w:cs="Times New Roman"/>
          <w:sz w:val="24"/>
          <w:szCs w:val="24"/>
        </w:rPr>
        <w:t xml:space="preserve">. Diversity in 113 cowpea </w:t>
      </w:r>
      <w:r w:rsidRPr="00311ECD">
        <w:rPr>
          <w:rFonts w:ascii="Times New Roman" w:hAnsi="Times New Roman" w:cs="Times New Roman"/>
          <w:i/>
          <w:iCs/>
          <w:sz w:val="24"/>
          <w:szCs w:val="24"/>
        </w:rPr>
        <w:t xml:space="preserve">Vigna </w:t>
      </w:r>
      <w:proofErr w:type="spellStart"/>
      <w:r w:rsidRPr="00311ECD">
        <w:rPr>
          <w:rFonts w:ascii="Times New Roman" w:hAnsi="Times New Roman" w:cs="Times New Roman"/>
          <w:i/>
          <w:iCs/>
          <w:sz w:val="24"/>
          <w:szCs w:val="24"/>
        </w:rPr>
        <w:t>unguiculata</w:t>
      </w:r>
      <w:proofErr w:type="spellEnd"/>
      <w:r w:rsidRPr="00311ECD">
        <w:rPr>
          <w:rFonts w:ascii="Times New Roman" w:hAnsi="Times New Roman" w:cs="Times New Roman"/>
          <w:sz w:val="24"/>
          <w:szCs w:val="24"/>
        </w:rPr>
        <w:t xml:space="preserve"> (L) </w:t>
      </w:r>
      <w:proofErr w:type="spellStart"/>
      <w:r w:rsidRPr="00311ECD">
        <w:rPr>
          <w:rFonts w:ascii="Times New Roman" w:hAnsi="Times New Roman" w:cs="Times New Roman"/>
          <w:sz w:val="24"/>
          <w:szCs w:val="24"/>
        </w:rPr>
        <w:t>Walp</w:t>
      </w:r>
      <w:proofErr w:type="spellEnd"/>
      <w:r w:rsidRPr="00311ECD">
        <w:rPr>
          <w:rFonts w:ascii="Times New Roman" w:hAnsi="Times New Roman" w:cs="Times New Roman"/>
          <w:sz w:val="24"/>
          <w:szCs w:val="24"/>
        </w:rPr>
        <w:t xml:space="preserve">] accessions assessed with 458 SNP markers. </w:t>
      </w:r>
      <w:r w:rsidRPr="00311ECD">
        <w:rPr>
          <w:rFonts w:ascii="Times New Roman" w:hAnsi="Times New Roman" w:cs="Times New Roman"/>
          <w:i/>
          <w:iCs/>
          <w:sz w:val="24"/>
          <w:szCs w:val="24"/>
        </w:rPr>
        <w:t>Springer Plus</w:t>
      </w:r>
      <w:r w:rsidRPr="00311ECD">
        <w:rPr>
          <w:rFonts w:ascii="Times New Roman" w:hAnsi="Times New Roman" w:cs="Times New Roman"/>
          <w:sz w:val="24"/>
          <w:szCs w:val="24"/>
        </w:rPr>
        <w:t xml:space="preserve">. </w:t>
      </w:r>
      <w:r w:rsidRPr="00311ECD">
        <w:rPr>
          <w:rFonts w:ascii="Times New Roman" w:hAnsi="Times New Roman" w:cs="Times New Roman"/>
          <w:b/>
          <w:bCs/>
          <w:sz w:val="24"/>
          <w:szCs w:val="24"/>
        </w:rPr>
        <w:t>3</w:t>
      </w:r>
      <w:r w:rsidRPr="00311ECD">
        <w:rPr>
          <w:rFonts w:ascii="Times New Roman" w:hAnsi="Times New Roman" w:cs="Times New Roman"/>
          <w:sz w:val="24"/>
          <w:szCs w:val="24"/>
        </w:rPr>
        <w:t>: 541.</w:t>
      </w:r>
    </w:p>
    <w:p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Fisher, R. A. and Yates, F. (196</w:t>
      </w:r>
      <w:r w:rsidR="009C53B9" w:rsidRPr="00311ECD">
        <w:rPr>
          <w:rFonts w:ascii="Times New Roman" w:hAnsi="Times New Roman" w:cs="Times New Roman"/>
          <w:b/>
          <w:bCs/>
          <w:sz w:val="24"/>
          <w:szCs w:val="24"/>
        </w:rPr>
        <w:t>7</w:t>
      </w:r>
      <w:r w:rsidRPr="00311ECD">
        <w:rPr>
          <w:rFonts w:ascii="Times New Roman" w:hAnsi="Times New Roman" w:cs="Times New Roman"/>
          <w:b/>
          <w:bCs/>
          <w:sz w:val="24"/>
          <w:szCs w:val="24"/>
        </w:rPr>
        <w:t xml:space="preserve">). </w:t>
      </w:r>
      <w:r w:rsidRPr="00311ECD">
        <w:rPr>
          <w:rFonts w:ascii="Times New Roman" w:hAnsi="Times New Roman" w:cs="Times New Roman"/>
          <w:sz w:val="24"/>
          <w:szCs w:val="24"/>
        </w:rPr>
        <w:t xml:space="preserve">Statistical Tables for Biological, Agricultural and Medical Research. </w:t>
      </w:r>
      <w:r w:rsidRPr="00311ECD">
        <w:rPr>
          <w:rFonts w:ascii="Times New Roman" w:hAnsi="Times New Roman" w:cs="Times New Roman"/>
          <w:i/>
          <w:iCs/>
          <w:sz w:val="24"/>
          <w:szCs w:val="24"/>
        </w:rPr>
        <w:t>Oliver and Boyd, London</w:t>
      </w:r>
      <w:r w:rsidRPr="00311ECD">
        <w:rPr>
          <w:rFonts w:ascii="Times New Roman" w:hAnsi="Times New Roman" w:cs="Times New Roman"/>
          <w:sz w:val="24"/>
          <w:szCs w:val="24"/>
        </w:rPr>
        <w:t>: 143 p.</w:t>
      </w:r>
    </w:p>
    <w:p w:rsidR="001C7E7C" w:rsidRPr="00311ECD" w:rsidRDefault="001C7E7C" w:rsidP="003716DD">
      <w:pPr>
        <w:spacing w:before="240" w:after="120"/>
        <w:ind w:left="720" w:right="27" w:hanging="720"/>
        <w:jc w:val="both"/>
        <w:rPr>
          <w:rFonts w:ascii="Times New Roman" w:hAnsi="Times New Roman" w:cs="Times New Roman"/>
          <w:sz w:val="24"/>
          <w:szCs w:val="24"/>
        </w:rPr>
      </w:pPr>
      <w:proofErr w:type="spellStart"/>
      <w:r w:rsidRPr="00311ECD">
        <w:rPr>
          <w:rFonts w:ascii="Times New Roman" w:hAnsi="Times New Roman" w:cs="Times New Roman"/>
          <w:b/>
          <w:bCs/>
          <w:sz w:val="24"/>
          <w:szCs w:val="24"/>
        </w:rPr>
        <w:t>Indianraj</w:t>
      </w:r>
      <w:proofErr w:type="spellEnd"/>
      <w:r w:rsidRPr="00311ECD">
        <w:rPr>
          <w:rFonts w:ascii="Times New Roman" w:hAnsi="Times New Roman" w:cs="Times New Roman"/>
          <w:b/>
          <w:bCs/>
          <w:sz w:val="24"/>
          <w:szCs w:val="24"/>
        </w:rPr>
        <w:t xml:space="preserve">, N., Dheeraj, G., </w:t>
      </w:r>
      <w:proofErr w:type="spellStart"/>
      <w:r w:rsidRPr="00311ECD">
        <w:rPr>
          <w:rFonts w:ascii="Times New Roman" w:hAnsi="Times New Roman" w:cs="Times New Roman"/>
          <w:b/>
          <w:bCs/>
          <w:sz w:val="24"/>
          <w:szCs w:val="24"/>
        </w:rPr>
        <w:t>Pavadharini</w:t>
      </w:r>
      <w:proofErr w:type="spellEnd"/>
      <w:r w:rsidRPr="00311ECD">
        <w:rPr>
          <w:rFonts w:ascii="Times New Roman" w:hAnsi="Times New Roman" w:cs="Times New Roman"/>
          <w:b/>
          <w:bCs/>
          <w:sz w:val="24"/>
          <w:szCs w:val="24"/>
        </w:rPr>
        <w:t xml:space="preserve">, P., </w:t>
      </w:r>
      <w:proofErr w:type="spellStart"/>
      <w:r w:rsidRPr="00311ECD">
        <w:rPr>
          <w:rFonts w:ascii="Times New Roman" w:hAnsi="Times New Roman" w:cs="Times New Roman"/>
          <w:b/>
          <w:bCs/>
          <w:sz w:val="24"/>
          <w:szCs w:val="24"/>
        </w:rPr>
        <w:t>Priyadharshini</w:t>
      </w:r>
      <w:proofErr w:type="spellEnd"/>
      <w:r w:rsidRPr="00311ECD">
        <w:rPr>
          <w:rFonts w:ascii="Times New Roman" w:hAnsi="Times New Roman" w:cs="Times New Roman"/>
          <w:b/>
          <w:bCs/>
          <w:sz w:val="24"/>
          <w:szCs w:val="24"/>
        </w:rPr>
        <w:t xml:space="preserve">, A., Kamal, R. R., &amp; </w:t>
      </w:r>
      <w:proofErr w:type="spellStart"/>
      <w:r w:rsidRPr="00311ECD">
        <w:rPr>
          <w:rFonts w:ascii="Times New Roman" w:hAnsi="Times New Roman" w:cs="Times New Roman"/>
          <w:b/>
          <w:bCs/>
          <w:sz w:val="24"/>
          <w:szCs w:val="24"/>
        </w:rPr>
        <w:t>Subhalakshmi</w:t>
      </w:r>
      <w:proofErr w:type="spellEnd"/>
      <w:r w:rsidRPr="00311ECD">
        <w:rPr>
          <w:rFonts w:ascii="Times New Roman" w:hAnsi="Times New Roman" w:cs="Times New Roman"/>
          <w:b/>
          <w:bCs/>
          <w:sz w:val="24"/>
          <w:szCs w:val="24"/>
        </w:rPr>
        <w:t>, K. (2023).</w:t>
      </w:r>
      <w:r w:rsidRPr="00311ECD">
        <w:rPr>
          <w:rFonts w:ascii="Times New Roman" w:hAnsi="Times New Roman" w:cs="Times New Roman"/>
          <w:sz w:val="24"/>
          <w:szCs w:val="24"/>
        </w:rPr>
        <w:t xml:space="preserve"> Response of integrated nutrient management on growth and yield of cowpea. </w:t>
      </w:r>
      <w:r w:rsidRPr="00311ECD">
        <w:rPr>
          <w:rFonts w:ascii="Times New Roman" w:hAnsi="Times New Roman" w:cs="Times New Roman"/>
          <w:i/>
          <w:iCs/>
          <w:sz w:val="24"/>
          <w:szCs w:val="24"/>
        </w:rPr>
        <w:t>The International Journal of Analytical and Experimental Modal Analysis,</w:t>
      </w:r>
      <w:r w:rsidRPr="00311ECD">
        <w:rPr>
          <w:rFonts w:ascii="Times New Roman" w:hAnsi="Times New Roman" w:cs="Times New Roman"/>
          <w:b/>
          <w:bCs/>
          <w:sz w:val="24"/>
          <w:szCs w:val="24"/>
        </w:rPr>
        <w:t>15</w:t>
      </w:r>
      <w:r w:rsidRPr="00311ECD">
        <w:rPr>
          <w:rFonts w:ascii="Times New Roman" w:hAnsi="Times New Roman" w:cs="Times New Roman"/>
          <w:sz w:val="24"/>
          <w:szCs w:val="24"/>
        </w:rPr>
        <w:t>(8): 29-33.</w:t>
      </w:r>
    </w:p>
    <w:p w:rsidR="001C7E7C" w:rsidRPr="00311ECD" w:rsidRDefault="001C7E7C" w:rsidP="003716DD">
      <w:pPr>
        <w:spacing w:before="240" w:after="120"/>
        <w:ind w:left="720" w:right="27" w:hanging="720"/>
        <w:jc w:val="both"/>
        <w:rPr>
          <w:rFonts w:ascii="Times New Roman" w:hAnsi="Times New Roman" w:cs="Times New Roman"/>
          <w:sz w:val="24"/>
          <w:szCs w:val="24"/>
        </w:rPr>
      </w:pPr>
      <w:bookmarkStart w:id="3" w:name="_Hlk135521082"/>
      <w:r w:rsidRPr="00311ECD">
        <w:rPr>
          <w:rFonts w:ascii="Times New Roman" w:hAnsi="Times New Roman" w:cs="Times New Roman"/>
          <w:b/>
          <w:bCs/>
          <w:sz w:val="24"/>
          <w:szCs w:val="24"/>
        </w:rPr>
        <w:t>Kumar, S. and Srikant, J. N. (2017).</w:t>
      </w:r>
      <w:r w:rsidRPr="00311ECD">
        <w:rPr>
          <w:rFonts w:ascii="Times New Roman" w:hAnsi="Times New Roman" w:cs="Times New Roman"/>
          <w:sz w:val="24"/>
          <w:szCs w:val="24"/>
        </w:rPr>
        <w:t xml:space="preserve"> Evaluation of Cowpea Cultivars using Morphological Indices, </w:t>
      </w:r>
      <w:r w:rsidRPr="00311ECD">
        <w:rPr>
          <w:rFonts w:ascii="Times New Roman" w:hAnsi="Times New Roman" w:cs="Times New Roman"/>
          <w:i/>
          <w:iCs/>
          <w:sz w:val="24"/>
          <w:szCs w:val="24"/>
        </w:rPr>
        <w:t>Asian Journal of Multidisciplinary Studies</w:t>
      </w:r>
      <w:r w:rsidRPr="00311ECD">
        <w:rPr>
          <w:rFonts w:ascii="Times New Roman" w:hAnsi="Times New Roman" w:cs="Times New Roman"/>
          <w:sz w:val="24"/>
          <w:szCs w:val="24"/>
        </w:rPr>
        <w:t xml:space="preserve">. </w:t>
      </w:r>
      <w:r w:rsidRPr="00311ECD">
        <w:rPr>
          <w:rFonts w:ascii="Times New Roman" w:hAnsi="Times New Roman" w:cs="Times New Roman"/>
          <w:b/>
          <w:bCs/>
          <w:sz w:val="24"/>
          <w:szCs w:val="24"/>
        </w:rPr>
        <w:t>4</w:t>
      </w:r>
      <w:r w:rsidRPr="00311ECD">
        <w:rPr>
          <w:rFonts w:ascii="Times New Roman" w:hAnsi="Times New Roman" w:cs="Times New Roman"/>
          <w:sz w:val="24"/>
          <w:szCs w:val="24"/>
        </w:rPr>
        <w:t>(6): 65-69.</w:t>
      </w:r>
      <w:bookmarkEnd w:id="3"/>
    </w:p>
    <w:p w:rsidR="001C7E7C" w:rsidRPr="00311ECD" w:rsidRDefault="001C7E7C" w:rsidP="003716DD">
      <w:pPr>
        <w:spacing w:before="240" w:after="120"/>
        <w:ind w:left="720" w:right="27" w:hanging="720"/>
        <w:jc w:val="both"/>
        <w:rPr>
          <w:rFonts w:ascii="Times New Roman" w:hAnsi="Times New Roman" w:cs="Times New Roman"/>
          <w:sz w:val="24"/>
          <w:szCs w:val="24"/>
        </w:rPr>
      </w:pPr>
      <w:proofErr w:type="spellStart"/>
      <w:r w:rsidRPr="00311ECD">
        <w:rPr>
          <w:rFonts w:ascii="Times New Roman" w:hAnsi="Times New Roman" w:cs="Times New Roman"/>
          <w:b/>
          <w:bCs/>
          <w:sz w:val="24"/>
          <w:szCs w:val="24"/>
        </w:rPr>
        <w:t>Padulosil</w:t>
      </w:r>
      <w:proofErr w:type="spellEnd"/>
      <w:r w:rsidRPr="00311ECD">
        <w:rPr>
          <w:rFonts w:ascii="Times New Roman" w:hAnsi="Times New Roman" w:cs="Times New Roman"/>
          <w:b/>
          <w:bCs/>
          <w:sz w:val="24"/>
          <w:szCs w:val="24"/>
        </w:rPr>
        <w:t>, S.; Ng, N. Q. (1997).</w:t>
      </w:r>
      <w:r w:rsidRPr="00311ECD">
        <w:rPr>
          <w:rFonts w:ascii="Times New Roman" w:hAnsi="Times New Roman" w:cs="Times New Roman"/>
          <w:sz w:val="24"/>
          <w:szCs w:val="24"/>
        </w:rPr>
        <w:t xml:space="preserve"> "Origin, taxonomy, and morphology of </w:t>
      </w:r>
      <w:r w:rsidRPr="00311ECD">
        <w:rPr>
          <w:rFonts w:ascii="Times New Roman" w:hAnsi="Times New Roman" w:cs="Times New Roman"/>
          <w:i/>
          <w:iCs/>
          <w:sz w:val="24"/>
          <w:szCs w:val="24"/>
        </w:rPr>
        <w:t xml:space="preserve">Vigna </w:t>
      </w:r>
      <w:proofErr w:type="spellStart"/>
      <w:r w:rsidRPr="00311ECD">
        <w:rPr>
          <w:rFonts w:ascii="Times New Roman" w:hAnsi="Times New Roman" w:cs="Times New Roman"/>
          <w:i/>
          <w:iCs/>
          <w:sz w:val="24"/>
          <w:szCs w:val="24"/>
        </w:rPr>
        <w:t>unguiculata</w:t>
      </w:r>
      <w:proofErr w:type="spellEnd"/>
      <w:r w:rsidRPr="00311ECD">
        <w:rPr>
          <w:rFonts w:ascii="Times New Roman" w:hAnsi="Times New Roman" w:cs="Times New Roman"/>
          <w:sz w:val="24"/>
          <w:szCs w:val="24"/>
        </w:rPr>
        <w:t xml:space="preserve"> (L.) </w:t>
      </w:r>
      <w:proofErr w:type="spellStart"/>
      <w:r w:rsidRPr="00311ECD">
        <w:rPr>
          <w:rFonts w:ascii="Times New Roman" w:hAnsi="Times New Roman" w:cs="Times New Roman"/>
          <w:sz w:val="24"/>
          <w:szCs w:val="24"/>
        </w:rPr>
        <w:t>Walp</w:t>
      </w:r>
      <w:proofErr w:type="spellEnd"/>
      <w:r w:rsidRPr="00311ECD">
        <w:rPr>
          <w:rFonts w:ascii="Times New Roman" w:hAnsi="Times New Roman" w:cs="Times New Roman"/>
          <w:sz w:val="24"/>
          <w:szCs w:val="24"/>
        </w:rPr>
        <w:t xml:space="preserve">." (PDF). In Singh, B. B.; Mohan, D. R.; Dashiell, K. E.; </w:t>
      </w:r>
      <w:proofErr w:type="spellStart"/>
      <w:r w:rsidRPr="00311ECD">
        <w:rPr>
          <w:rFonts w:ascii="Times New Roman" w:hAnsi="Times New Roman" w:cs="Times New Roman"/>
          <w:sz w:val="24"/>
          <w:szCs w:val="24"/>
        </w:rPr>
        <w:t>Jackai</w:t>
      </w:r>
      <w:proofErr w:type="spellEnd"/>
      <w:r w:rsidRPr="00311ECD">
        <w:rPr>
          <w:rFonts w:ascii="Times New Roman" w:hAnsi="Times New Roman" w:cs="Times New Roman"/>
          <w:sz w:val="24"/>
          <w:szCs w:val="24"/>
        </w:rPr>
        <w:t xml:space="preserve">, L. E. N. (eds.). Advances in Cowpea Research. Ibadan, Nigeria: </w:t>
      </w:r>
      <w:r w:rsidRPr="00311ECD">
        <w:rPr>
          <w:rFonts w:ascii="Times New Roman" w:hAnsi="Times New Roman" w:cs="Times New Roman"/>
          <w:i/>
          <w:iCs/>
          <w:sz w:val="24"/>
          <w:szCs w:val="24"/>
        </w:rPr>
        <w:t xml:space="preserve">International Institute of Tropical Agriculture and Japan International Research </w:t>
      </w:r>
      <w:proofErr w:type="spellStart"/>
      <w:r w:rsidRPr="00311ECD">
        <w:rPr>
          <w:rFonts w:ascii="Times New Roman" w:hAnsi="Times New Roman" w:cs="Times New Roman"/>
          <w:i/>
          <w:iCs/>
          <w:sz w:val="24"/>
          <w:szCs w:val="24"/>
        </w:rPr>
        <w:t>Center</w:t>
      </w:r>
      <w:proofErr w:type="spellEnd"/>
      <w:r w:rsidRPr="00311ECD">
        <w:rPr>
          <w:rFonts w:ascii="Times New Roman" w:hAnsi="Times New Roman" w:cs="Times New Roman"/>
          <w:i/>
          <w:iCs/>
          <w:sz w:val="24"/>
          <w:szCs w:val="24"/>
        </w:rPr>
        <w:t xml:space="preserve"> for Agricultural Sciences</w:t>
      </w:r>
      <w:r w:rsidRPr="00311ECD">
        <w:rPr>
          <w:rFonts w:ascii="Times New Roman" w:hAnsi="Times New Roman" w:cs="Times New Roman"/>
          <w:sz w:val="24"/>
          <w:szCs w:val="24"/>
        </w:rPr>
        <w:t>.</w:t>
      </w:r>
    </w:p>
    <w:p w:rsidR="001C7E7C" w:rsidRPr="00311ECD" w:rsidRDefault="001C7E7C" w:rsidP="003716DD">
      <w:pPr>
        <w:spacing w:before="240" w:after="120"/>
        <w:ind w:left="720" w:right="27" w:hanging="720"/>
        <w:jc w:val="both"/>
        <w:rPr>
          <w:rFonts w:ascii="Times New Roman" w:hAnsi="Times New Roman" w:cs="Times New Roman"/>
          <w:sz w:val="24"/>
          <w:szCs w:val="24"/>
        </w:rPr>
      </w:pPr>
      <w:proofErr w:type="spellStart"/>
      <w:r w:rsidRPr="00311ECD">
        <w:rPr>
          <w:rFonts w:ascii="Times New Roman" w:hAnsi="Times New Roman" w:cs="Times New Roman"/>
          <w:b/>
          <w:bCs/>
          <w:sz w:val="24"/>
          <w:szCs w:val="24"/>
        </w:rPr>
        <w:t>Palaniappan</w:t>
      </w:r>
      <w:proofErr w:type="spellEnd"/>
      <w:r w:rsidRPr="00311ECD">
        <w:rPr>
          <w:rFonts w:ascii="Times New Roman" w:hAnsi="Times New Roman" w:cs="Times New Roman"/>
          <w:b/>
          <w:bCs/>
          <w:sz w:val="24"/>
          <w:szCs w:val="24"/>
        </w:rPr>
        <w:t>, S. P. and Annadurai, K. (2007).</w:t>
      </w:r>
      <w:r w:rsidRPr="00311ECD">
        <w:rPr>
          <w:rFonts w:ascii="Times New Roman" w:hAnsi="Times New Roman" w:cs="Times New Roman"/>
          <w:sz w:val="24"/>
          <w:szCs w:val="24"/>
        </w:rPr>
        <w:t xml:space="preserve"> Organic farming: theory and practices. Scientific Publishers, Jodhpur, India. pp. 169.</w:t>
      </w:r>
    </w:p>
    <w:p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 xml:space="preserve">Panda, R. K., </w:t>
      </w:r>
      <w:proofErr w:type="spellStart"/>
      <w:r w:rsidRPr="00311ECD">
        <w:rPr>
          <w:rFonts w:ascii="Times New Roman" w:hAnsi="Times New Roman" w:cs="Times New Roman"/>
          <w:b/>
          <w:bCs/>
          <w:sz w:val="24"/>
          <w:szCs w:val="24"/>
        </w:rPr>
        <w:t>Sahu</w:t>
      </w:r>
      <w:proofErr w:type="spellEnd"/>
      <w:r w:rsidRPr="00311ECD">
        <w:rPr>
          <w:rFonts w:ascii="Times New Roman" w:hAnsi="Times New Roman" w:cs="Times New Roman"/>
          <w:b/>
          <w:bCs/>
          <w:sz w:val="24"/>
          <w:szCs w:val="24"/>
        </w:rPr>
        <w:t xml:space="preserve">, G. S., Dash, S. K., </w:t>
      </w:r>
      <w:proofErr w:type="spellStart"/>
      <w:r w:rsidRPr="00311ECD">
        <w:rPr>
          <w:rFonts w:ascii="Times New Roman" w:hAnsi="Times New Roman" w:cs="Times New Roman"/>
          <w:b/>
          <w:bCs/>
          <w:sz w:val="24"/>
          <w:szCs w:val="24"/>
        </w:rPr>
        <w:t>Muduli</w:t>
      </w:r>
      <w:proofErr w:type="spellEnd"/>
      <w:r w:rsidRPr="00311ECD">
        <w:rPr>
          <w:rFonts w:ascii="Times New Roman" w:hAnsi="Times New Roman" w:cs="Times New Roman"/>
          <w:b/>
          <w:bCs/>
          <w:sz w:val="24"/>
          <w:szCs w:val="24"/>
        </w:rPr>
        <w:t xml:space="preserve">, K. C., </w:t>
      </w:r>
      <w:proofErr w:type="spellStart"/>
      <w:r w:rsidRPr="00311ECD">
        <w:rPr>
          <w:rFonts w:ascii="Times New Roman" w:hAnsi="Times New Roman" w:cs="Times New Roman"/>
          <w:b/>
          <w:bCs/>
          <w:sz w:val="24"/>
          <w:szCs w:val="24"/>
        </w:rPr>
        <w:t>Nahak</w:t>
      </w:r>
      <w:proofErr w:type="spellEnd"/>
      <w:r w:rsidRPr="00311ECD">
        <w:rPr>
          <w:rFonts w:ascii="Times New Roman" w:hAnsi="Times New Roman" w:cs="Times New Roman"/>
          <w:b/>
          <w:bCs/>
          <w:sz w:val="24"/>
          <w:szCs w:val="24"/>
        </w:rPr>
        <w:t xml:space="preserve">, S., Pradhan, S. R., &amp; </w:t>
      </w:r>
      <w:proofErr w:type="spellStart"/>
      <w:r w:rsidRPr="00311ECD">
        <w:rPr>
          <w:rFonts w:ascii="Times New Roman" w:hAnsi="Times New Roman" w:cs="Times New Roman"/>
          <w:b/>
          <w:bCs/>
          <w:sz w:val="24"/>
          <w:szCs w:val="24"/>
        </w:rPr>
        <w:t>Mangaraj</w:t>
      </w:r>
      <w:proofErr w:type="spellEnd"/>
      <w:r w:rsidRPr="00311ECD">
        <w:rPr>
          <w:rFonts w:ascii="Times New Roman" w:hAnsi="Times New Roman" w:cs="Times New Roman"/>
          <w:b/>
          <w:bCs/>
          <w:sz w:val="24"/>
          <w:szCs w:val="24"/>
        </w:rPr>
        <w:t>, S. (2017).</w:t>
      </w:r>
      <w:r w:rsidRPr="00311ECD">
        <w:rPr>
          <w:rFonts w:ascii="Times New Roman" w:hAnsi="Times New Roman" w:cs="Times New Roman"/>
          <w:sz w:val="24"/>
          <w:szCs w:val="24"/>
        </w:rPr>
        <w:t xml:space="preserve"> Integrated nutrient management for seed production in cowpea (</w:t>
      </w:r>
      <w:r w:rsidRPr="00311ECD">
        <w:rPr>
          <w:rFonts w:ascii="Times New Roman" w:hAnsi="Times New Roman" w:cs="Times New Roman"/>
          <w:i/>
          <w:iCs/>
          <w:sz w:val="24"/>
          <w:szCs w:val="24"/>
        </w:rPr>
        <w:t xml:space="preserve">Vigna </w:t>
      </w:r>
      <w:proofErr w:type="spellStart"/>
      <w:r w:rsidRPr="00311ECD">
        <w:rPr>
          <w:rFonts w:ascii="Times New Roman" w:hAnsi="Times New Roman" w:cs="Times New Roman"/>
          <w:i/>
          <w:iCs/>
          <w:sz w:val="24"/>
          <w:szCs w:val="24"/>
        </w:rPr>
        <w:t>unguiculata</w:t>
      </w:r>
      <w:proofErr w:type="spellEnd"/>
      <w:r w:rsidRPr="00311ECD">
        <w:rPr>
          <w:rFonts w:ascii="Times New Roman" w:hAnsi="Times New Roman" w:cs="Times New Roman"/>
          <w:sz w:val="24"/>
          <w:szCs w:val="24"/>
        </w:rPr>
        <w:t xml:space="preserve"> L.). </w:t>
      </w:r>
      <w:r w:rsidRPr="00311ECD">
        <w:rPr>
          <w:rFonts w:ascii="Times New Roman" w:hAnsi="Times New Roman" w:cs="Times New Roman"/>
          <w:i/>
          <w:iCs/>
          <w:sz w:val="24"/>
          <w:szCs w:val="24"/>
        </w:rPr>
        <w:t>Journal of Pharmacognosy and Phytochemistry</w:t>
      </w:r>
      <w:r w:rsidRPr="00311ECD">
        <w:rPr>
          <w:rFonts w:ascii="Times New Roman" w:hAnsi="Times New Roman" w:cs="Times New Roman"/>
          <w:sz w:val="24"/>
          <w:szCs w:val="24"/>
        </w:rPr>
        <w:t xml:space="preserve">, </w:t>
      </w:r>
      <w:r w:rsidRPr="00311ECD">
        <w:rPr>
          <w:rFonts w:ascii="Times New Roman" w:hAnsi="Times New Roman" w:cs="Times New Roman"/>
          <w:b/>
          <w:bCs/>
          <w:sz w:val="24"/>
          <w:szCs w:val="24"/>
        </w:rPr>
        <w:t>6</w:t>
      </w:r>
      <w:r w:rsidRPr="00311ECD">
        <w:rPr>
          <w:rFonts w:ascii="Times New Roman" w:hAnsi="Times New Roman" w:cs="Times New Roman"/>
          <w:sz w:val="24"/>
          <w:szCs w:val="24"/>
        </w:rPr>
        <w:t>(5): 1845-1849.</w:t>
      </w:r>
    </w:p>
    <w:p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Patel, D. M., and Kumari, S. (2018).</w:t>
      </w:r>
      <w:r w:rsidRPr="00311ECD">
        <w:rPr>
          <w:rFonts w:ascii="Times New Roman" w:hAnsi="Times New Roman" w:cs="Times New Roman"/>
          <w:sz w:val="24"/>
          <w:szCs w:val="24"/>
        </w:rPr>
        <w:t xml:space="preserve"> Varietal evaluation of vegetable cowpea (</w:t>
      </w:r>
      <w:r w:rsidRPr="00311ECD">
        <w:rPr>
          <w:rFonts w:ascii="Times New Roman" w:hAnsi="Times New Roman" w:cs="Times New Roman"/>
          <w:i/>
          <w:iCs/>
          <w:sz w:val="24"/>
          <w:szCs w:val="24"/>
        </w:rPr>
        <w:t xml:space="preserve">Vigna </w:t>
      </w:r>
      <w:proofErr w:type="spellStart"/>
      <w:r w:rsidRPr="00311ECD">
        <w:rPr>
          <w:rFonts w:ascii="Times New Roman" w:hAnsi="Times New Roman" w:cs="Times New Roman"/>
          <w:i/>
          <w:iCs/>
          <w:sz w:val="24"/>
          <w:szCs w:val="24"/>
        </w:rPr>
        <w:t>unguiculata</w:t>
      </w:r>
      <w:proofErr w:type="spellEnd"/>
      <w:r w:rsidRPr="00311ECD">
        <w:rPr>
          <w:rFonts w:ascii="Times New Roman" w:hAnsi="Times New Roman" w:cs="Times New Roman"/>
          <w:sz w:val="24"/>
          <w:szCs w:val="24"/>
        </w:rPr>
        <w:t xml:space="preserve"> (L.) </w:t>
      </w:r>
      <w:proofErr w:type="spellStart"/>
      <w:r w:rsidRPr="00311ECD">
        <w:rPr>
          <w:rFonts w:ascii="Times New Roman" w:hAnsi="Times New Roman" w:cs="Times New Roman"/>
          <w:sz w:val="24"/>
          <w:szCs w:val="24"/>
        </w:rPr>
        <w:t>walp</w:t>
      </w:r>
      <w:proofErr w:type="spellEnd"/>
      <w:r w:rsidRPr="00311ECD">
        <w:rPr>
          <w:rFonts w:ascii="Times New Roman" w:hAnsi="Times New Roman" w:cs="Times New Roman"/>
          <w:sz w:val="24"/>
          <w:szCs w:val="24"/>
        </w:rPr>
        <w:t xml:space="preserve">) with respect to yield under North Gujarat condition. </w:t>
      </w:r>
      <w:r w:rsidRPr="00311ECD">
        <w:rPr>
          <w:rFonts w:ascii="Times New Roman" w:hAnsi="Times New Roman" w:cs="Times New Roman"/>
          <w:i/>
          <w:iCs/>
          <w:sz w:val="24"/>
          <w:szCs w:val="24"/>
        </w:rPr>
        <w:t>Journal of Pharmacognosy and Phytochemistry.</w:t>
      </w:r>
      <w:r w:rsidRPr="00311ECD">
        <w:rPr>
          <w:rFonts w:ascii="Times New Roman" w:hAnsi="Times New Roman" w:cs="Times New Roman"/>
          <w:b/>
          <w:bCs/>
          <w:sz w:val="24"/>
          <w:szCs w:val="24"/>
        </w:rPr>
        <w:t>7</w:t>
      </w:r>
      <w:r w:rsidRPr="00311ECD">
        <w:rPr>
          <w:rFonts w:ascii="Times New Roman" w:hAnsi="Times New Roman" w:cs="Times New Roman"/>
          <w:sz w:val="24"/>
          <w:szCs w:val="24"/>
        </w:rPr>
        <w:t>(4): 424-427.</w:t>
      </w:r>
    </w:p>
    <w:p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 xml:space="preserve">Patel, A. J., </w:t>
      </w:r>
      <w:proofErr w:type="spellStart"/>
      <w:r w:rsidRPr="00311ECD">
        <w:rPr>
          <w:rFonts w:ascii="Times New Roman" w:hAnsi="Times New Roman" w:cs="Times New Roman"/>
          <w:b/>
          <w:bCs/>
          <w:sz w:val="24"/>
          <w:szCs w:val="24"/>
        </w:rPr>
        <w:t>Chudasama</w:t>
      </w:r>
      <w:proofErr w:type="spellEnd"/>
      <w:r w:rsidRPr="00311ECD">
        <w:rPr>
          <w:rFonts w:ascii="Times New Roman" w:hAnsi="Times New Roman" w:cs="Times New Roman"/>
          <w:b/>
          <w:bCs/>
          <w:sz w:val="24"/>
          <w:szCs w:val="24"/>
        </w:rPr>
        <w:t>, V. R., Patel, R. C., Kumar, M., &amp; Rathod, K. D. (2021).</w:t>
      </w:r>
      <w:r w:rsidRPr="00311ECD">
        <w:rPr>
          <w:rFonts w:ascii="Times New Roman" w:hAnsi="Times New Roman" w:cs="Times New Roman"/>
          <w:sz w:val="24"/>
          <w:szCs w:val="24"/>
        </w:rPr>
        <w:t xml:space="preserve"> Effect of integrated nutrient management on growth and yield of vegetable cowpea (</w:t>
      </w:r>
      <w:r w:rsidRPr="00311ECD">
        <w:rPr>
          <w:rFonts w:ascii="Times New Roman" w:hAnsi="Times New Roman" w:cs="Times New Roman"/>
          <w:i/>
          <w:iCs/>
          <w:sz w:val="24"/>
          <w:szCs w:val="24"/>
        </w:rPr>
        <w:t xml:space="preserve">Vigna </w:t>
      </w:r>
      <w:proofErr w:type="spellStart"/>
      <w:r w:rsidRPr="00311ECD">
        <w:rPr>
          <w:rFonts w:ascii="Times New Roman" w:hAnsi="Times New Roman" w:cs="Times New Roman"/>
          <w:i/>
          <w:iCs/>
          <w:sz w:val="24"/>
          <w:szCs w:val="24"/>
        </w:rPr>
        <w:t>unguiculata</w:t>
      </w:r>
      <w:proofErr w:type="spellEnd"/>
      <w:r w:rsidRPr="00311ECD">
        <w:rPr>
          <w:rFonts w:ascii="Times New Roman" w:hAnsi="Times New Roman" w:cs="Times New Roman"/>
          <w:sz w:val="24"/>
          <w:szCs w:val="24"/>
        </w:rPr>
        <w:t xml:space="preserve"> L.). </w:t>
      </w:r>
      <w:r w:rsidRPr="00311ECD">
        <w:rPr>
          <w:rFonts w:ascii="Times New Roman" w:hAnsi="Times New Roman" w:cs="Times New Roman"/>
          <w:i/>
          <w:iCs/>
          <w:sz w:val="24"/>
          <w:szCs w:val="24"/>
        </w:rPr>
        <w:t>International Journal of Chemical Studies</w:t>
      </w:r>
      <w:r w:rsidRPr="00311ECD">
        <w:rPr>
          <w:rFonts w:ascii="Times New Roman" w:hAnsi="Times New Roman" w:cs="Times New Roman"/>
          <w:sz w:val="24"/>
          <w:szCs w:val="24"/>
        </w:rPr>
        <w:t xml:space="preserve">. </w:t>
      </w:r>
      <w:r w:rsidRPr="00311ECD">
        <w:rPr>
          <w:rFonts w:ascii="Times New Roman" w:hAnsi="Times New Roman" w:cs="Times New Roman"/>
          <w:b/>
          <w:bCs/>
          <w:sz w:val="24"/>
          <w:szCs w:val="24"/>
        </w:rPr>
        <w:t>9</w:t>
      </w:r>
      <w:r w:rsidRPr="00311ECD">
        <w:rPr>
          <w:rFonts w:ascii="Times New Roman" w:hAnsi="Times New Roman" w:cs="Times New Roman"/>
          <w:sz w:val="24"/>
          <w:szCs w:val="24"/>
        </w:rPr>
        <w:t>(1): 1265-1268.</w:t>
      </w:r>
    </w:p>
    <w:p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 xml:space="preserve">Patel, P., </w:t>
      </w:r>
      <w:proofErr w:type="spellStart"/>
      <w:r w:rsidRPr="00311ECD">
        <w:rPr>
          <w:rFonts w:ascii="Times New Roman" w:hAnsi="Times New Roman" w:cs="Times New Roman"/>
          <w:b/>
          <w:bCs/>
          <w:sz w:val="24"/>
          <w:szCs w:val="24"/>
        </w:rPr>
        <w:t>Ghodeshwar</w:t>
      </w:r>
      <w:proofErr w:type="spellEnd"/>
      <w:r w:rsidRPr="00311ECD">
        <w:rPr>
          <w:rFonts w:ascii="Times New Roman" w:hAnsi="Times New Roman" w:cs="Times New Roman"/>
          <w:b/>
          <w:bCs/>
          <w:sz w:val="24"/>
          <w:szCs w:val="24"/>
        </w:rPr>
        <w:t xml:space="preserve">, P., Choudhary, A. S., &amp; </w:t>
      </w:r>
      <w:proofErr w:type="spellStart"/>
      <w:r w:rsidRPr="00311ECD">
        <w:rPr>
          <w:rFonts w:ascii="Times New Roman" w:hAnsi="Times New Roman" w:cs="Times New Roman"/>
          <w:b/>
          <w:bCs/>
          <w:sz w:val="24"/>
          <w:szCs w:val="24"/>
        </w:rPr>
        <w:t>Satankar</w:t>
      </w:r>
      <w:proofErr w:type="spellEnd"/>
      <w:r w:rsidRPr="00311ECD">
        <w:rPr>
          <w:rFonts w:ascii="Times New Roman" w:hAnsi="Times New Roman" w:cs="Times New Roman"/>
          <w:b/>
          <w:bCs/>
          <w:sz w:val="24"/>
          <w:szCs w:val="24"/>
        </w:rPr>
        <w:t>, N. (2023).</w:t>
      </w:r>
      <w:r w:rsidRPr="00311ECD">
        <w:rPr>
          <w:rFonts w:ascii="Times New Roman" w:hAnsi="Times New Roman" w:cs="Times New Roman"/>
          <w:sz w:val="24"/>
          <w:szCs w:val="24"/>
        </w:rPr>
        <w:t xml:space="preserve"> Impact of integrated nutrient management on the yield of cowpea (</w:t>
      </w:r>
      <w:r w:rsidRPr="00311ECD">
        <w:rPr>
          <w:rFonts w:ascii="Times New Roman" w:hAnsi="Times New Roman" w:cs="Times New Roman"/>
          <w:i/>
          <w:iCs/>
          <w:sz w:val="24"/>
          <w:szCs w:val="24"/>
        </w:rPr>
        <w:t xml:space="preserve">Vigna </w:t>
      </w:r>
      <w:proofErr w:type="spellStart"/>
      <w:r w:rsidRPr="00311ECD">
        <w:rPr>
          <w:rFonts w:ascii="Times New Roman" w:hAnsi="Times New Roman" w:cs="Times New Roman"/>
          <w:i/>
          <w:iCs/>
          <w:sz w:val="24"/>
          <w:szCs w:val="24"/>
        </w:rPr>
        <w:t>unguiculata</w:t>
      </w:r>
      <w:proofErr w:type="spellEnd"/>
      <w:r w:rsidRPr="00311ECD">
        <w:rPr>
          <w:rFonts w:ascii="Times New Roman" w:hAnsi="Times New Roman" w:cs="Times New Roman"/>
          <w:sz w:val="24"/>
          <w:szCs w:val="24"/>
        </w:rPr>
        <w:t xml:space="preserve"> L. </w:t>
      </w:r>
      <w:proofErr w:type="spellStart"/>
      <w:r w:rsidRPr="00311ECD">
        <w:rPr>
          <w:rFonts w:ascii="Times New Roman" w:hAnsi="Times New Roman" w:cs="Times New Roman"/>
          <w:sz w:val="24"/>
          <w:szCs w:val="24"/>
        </w:rPr>
        <w:t>walp</w:t>
      </w:r>
      <w:proofErr w:type="spellEnd"/>
      <w:r w:rsidRPr="00311ECD">
        <w:rPr>
          <w:rFonts w:ascii="Times New Roman" w:hAnsi="Times New Roman" w:cs="Times New Roman"/>
          <w:sz w:val="24"/>
          <w:szCs w:val="24"/>
        </w:rPr>
        <w:t xml:space="preserve">). </w:t>
      </w:r>
      <w:r w:rsidRPr="00311ECD">
        <w:rPr>
          <w:rFonts w:ascii="Times New Roman" w:hAnsi="Times New Roman" w:cs="Times New Roman"/>
          <w:i/>
          <w:iCs/>
          <w:sz w:val="24"/>
          <w:szCs w:val="24"/>
        </w:rPr>
        <w:t>International Journal of Theoretical &amp; Applied Sciences,</w:t>
      </w:r>
      <w:r w:rsidRPr="00311ECD">
        <w:rPr>
          <w:rFonts w:ascii="Times New Roman" w:hAnsi="Times New Roman" w:cs="Times New Roman"/>
          <w:b/>
          <w:bCs/>
          <w:sz w:val="24"/>
          <w:szCs w:val="24"/>
        </w:rPr>
        <w:t>15</w:t>
      </w:r>
      <w:r w:rsidRPr="00311ECD">
        <w:rPr>
          <w:rFonts w:ascii="Times New Roman" w:hAnsi="Times New Roman" w:cs="Times New Roman"/>
          <w:sz w:val="24"/>
          <w:szCs w:val="24"/>
        </w:rPr>
        <w:t>(2): 103-108.</w:t>
      </w:r>
    </w:p>
    <w:p w:rsidR="001C7E7C" w:rsidRPr="00311ECD" w:rsidRDefault="001C7E7C" w:rsidP="003716DD">
      <w:pPr>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 xml:space="preserve">Pushpa, K., </w:t>
      </w:r>
      <w:proofErr w:type="spellStart"/>
      <w:r w:rsidRPr="00311ECD">
        <w:rPr>
          <w:rFonts w:ascii="Times New Roman" w:hAnsi="Times New Roman" w:cs="Times New Roman"/>
          <w:b/>
          <w:bCs/>
          <w:sz w:val="24"/>
          <w:szCs w:val="24"/>
        </w:rPr>
        <w:t>Pruthviraj</w:t>
      </w:r>
      <w:proofErr w:type="spellEnd"/>
      <w:r w:rsidRPr="00311ECD">
        <w:rPr>
          <w:rFonts w:ascii="Times New Roman" w:hAnsi="Times New Roman" w:cs="Times New Roman"/>
          <w:b/>
          <w:bCs/>
          <w:sz w:val="24"/>
          <w:szCs w:val="24"/>
        </w:rPr>
        <w:t>, N., &amp; Vinay, M. G. (2022).</w:t>
      </w:r>
      <w:r w:rsidRPr="00311ECD">
        <w:rPr>
          <w:rFonts w:ascii="Times New Roman" w:hAnsi="Times New Roman" w:cs="Times New Roman"/>
          <w:sz w:val="24"/>
          <w:szCs w:val="24"/>
        </w:rPr>
        <w:t xml:space="preserve"> Integrated nutrient management for improving growth and yield of cowpea. </w:t>
      </w:r>
      <w:r w:rsidRPr="00311ECD">
        <w:rPr>
          <w:rFonts w:ascii="Times New Roman" w:hAnsi="Times New Roman" w:cs="Times New Roman"/>
          <w:i/>
          <w:iCs/>
          <w:sz w:val="24"/>
          <w:szCs w:val="24"/>
        </w:rPr>
        <w:t>Journal of Crop and Weed.</w:t>
      </w:r>
      <w:r w:rsidRPr="00311ECD">
        <w:rPr>
          <w:rFonts w:ascii="Times New Roman" w:hAnsi="Times New Roman" w:cs="Times New Roman"/>
          <w:b/>
          <w:bCs/>
          <w:sz w:val="24"/>
          <w:szCs w:val="24"/>
        </w:rPr>
        <w:t>18</w:t>
      </w:r>
      <w:r w:rsidRPr="00311ECD">
        <w:rPr>
          <w:rFonts w:ascii="Times New Roman" w:hAnsi="Times New Roman" w:cs="Times New Roman"/>
          <w:sz w:val="24"/>
          <w:szCs w:val="24"/>
        </w:rPr>
        <w:t>(3): 26-30.</w:t>
      </w:r>
    </w:p>
    <w:p w:rsidR="001C7E7C" w:rsidRPr="00311ECD" w:rsidRDefault="001C7E7C" w:rsidP="003716DD">
      <w:pPr>
        <w:ind w:left="720" w:right="27" w:hanging="720"/>
        <w:jc w:val="both"/>
        <w:rPr>
          <w:rFonts w:ascii="Times New Roman" w:hAnsi="Times New Roman" w:cs="Times New Roman"/>
          <w:sz w:val="24"/>
          <w:szCs w:val="24"/>
          <w:lang w:val="en-US"/>
        </w:rPr>
      </w:pPr>
      <w:r w:rsidRPr="00311ECD">
        <w:rPr>
          <w:rFonts w:ascii="Times New Roman" w:hAnsi="Times New Roman" w:cs="Times New Roman"/>
          <w:b/>
          <w:bCs/>
          <w:sz w:val="24"/>
          <w:szCs w:val="24"/>
          <w:lang w:val="en-US"/>
        </w:rPr>
        <w:lastRenderedPageBreak/>
        <w:t>Singh, G. B. and Biswas. B. P. (2000).</w:t>
      </w:r>
      <w:r w:rsidRPr="00311ECD">
        <w:rPr>
          <w:rFonts w:ascii="Times New Roman" w:hAnsi="Times New Roman" w:cs="Times New Roman"/>
          <w:sz w:val="24"/>
          <w:szCs w:val="24"/>
          <w:lang w:val="en-US"/>
        </w:rPr>
        <w:t xml:space="preserve"> Balanced and integrated nutrient management for sustainable crop production: Limitations and future strategies. </w:t>
      </w:r>
      <w:r w:rsidRPr="00311ECD">
        <w:rPr>
          <w:rFonts w:ascii="Times New Roman" w:hAnsi="Times New Roman" w:cs="Times New Roman"/>
          <w:i/>
          <w:iCs/>
          <w:sz w:val="24"/>
          <w:szCs w:val="24"/>
          <w:lang w:val="en-US"/>
        </w:rPr>
        <w:t>Fertilizer News</w:t>
      </w:r>
      <w:r w:rsidRPr="00311ECD">
        <w:rPr>
          <w:rFonts w:ascii="Times New Roman" w:hAnsi="Times New Roman" w:cs="Times New Roman"/>
          <w:sz w:val="24"/>
          <w:szCs w:val="24"/>
          <w:lang w:val="en-US"/>
        </w:rPr>
        <w:t xml:space="preserve">. </w:t>
      </w:r>
      <w:r w:rsidRPr="00311ECD">
        <w:rPr>
          <w:rFonts w:ascii="Times New Roman" w:hAnsi="Times New Roman" w:cs="Times New Roman"/>
          <w:b/>
          <w:bCs/>
          <w:sz w:val="24"/>
          <w:szCs w:val="24"/>
          <w:lang w:val="en-US"/>
        </w:rPr>
        <w:t>45</w:t>
      </w:r>
      <w:r w:rsidRPr="00311ECD">
        <w:rPr>
          <w:rFonts w:ascii="Times New Roman" w:hAnsi="Times New Roman" w:cs="Times New Roman"/>
          <w:sz w:val="24"/>
          <w:szCs w:val="24"/>
          <w:lang w:val="en-US"/>
        </w:rPr>
        <w:t>(2): 55- 60.</w:t>
      </w:r>
    </w:p>
    <w:p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Singh, P., Swaroop, N., Thomas, T., &amp; David, A. A. (2017).</w:t>
      </w:r>
      <w:r w:rsidRPr="00311ECD">
        <w:rPr>
          <w:rFonts w:ascii="Times New Roman" w:hAnsi="Times New Roman" w:cs="Times New Roman"/>
          <w:sz w:val="24"/>
          <w:szCs w:val="24"/>
        </w:rPr>
        <w:t xml:space="preserve"> Effect of integrated nutrient management on chemical and physical properties of soil and yield of cowpea (</w:t>
      </w:r>
      <w:r w:rsidRPr="00311ECD">
        <w:rPr>
          <w:rFonts w:ascii="Times New Roman" w:hAnsi="Times New Roman" w:cs="Times New Roman"/>
          <w:i/>
          <w:iCs/>
          <w:sz w:val="24"/>
          <w:szCs w:val="24"/>
        </w:rPr>
        <w:t xml:space="preserve">Vigna </w:t>
      </w:r>
      <w:proofErr w:type="spellStart"/>
      <w:r w:rsidRPr="00311ECD">
        <w:rPr>
          <w:rFonts w:ascii="Times New Roman" w:hAnsi="Times New Roman" w:cs="Times New Roman"/>
          <w:i/>
          <w:iCs/>
          <w:sz w:val="24"/>
          <w:szCs w:val="24"/>
        </w:rPr>
        <w:t>unguiculata</w:t>
      </w:r>
      <w:proofErr w:type="spellEnd"/>
      <w:r w:rsidRPr="00311ECD">
        <w:rPr>
          <w:rFonts w:ascii="Times New Roman" w:hAnsi="Times New Roman" w:cs="Times New Roman"/>
          <w:sz w:val="24"/>
          <w:szCs w:val="24"/>
        </w:rPr>
        <w:t xml:space="preserve"> L.). </w:t>
      </w:r>
      <w:r w:rsidRPr="00311ECD">
        <w:rPr>
          <w:rFonts w:ascii="Times New Roman" w:hAnsi="Times New Roman" w:cs="Times New Roman"/>
          <w:i/>
          <w:iCs/>
          <w:sz w:val="24"/>
          <w:szCs w:val="24"/>
        </w:rPr>
        <w:t>Chemical Science Review and Letters,</w:t>
      </w:r>
      <w:r w:rsidRPr="00311ECD">
        <w:rPr>
          <w:rFonts w:ascii="Times New Roman" w:hAnsi="Times New Roman" w:cs="Times New Roman"/>
          <w:b/>
          <w:bCs/>
          <w:sz w:val="24"/>
          <w:szCs w:val="24"/>
        </w:rPr>
        <w:t>6</w:t>
      </w:r>
      <w:r w:rsidRPr="00311ECD">
        <w:rPr>
          <w:rFonts w:ascii="Times New Roman" w:hAnsi="Times New Roman" w:cs="Times New Roman"/>
          <w:sz w:val="24"/>
          <w:szCs w:val="24"/>
        </w:rPr>
        <w:t>(22): 967-970.</w:t>
      </w:r>
    </w:p>
    <w:p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 xml:space="preserve">Singh, P., Swaroop, N., </w:t>
      </w:r>
      <w:proofErr w:type="spellStart"/>
      <w:r w:rsidRPr="00311ECD">
        <w:rPr>
          <w:rFonts w:ascii="Times New Roman" w:hAnsi="Times New Roman" w:cs="Times New Roman"/>
          <w:b/>
          <w:bCs/>
          <w:sz w:val="24"/>
          <w:szCs w:val="24"/>
        </w:rPr>
        <w:t>Jajoria</w:t>
      </w:r>
      <w:proofErr w:type="spellEnd"/>
      <w:r w:rsidRPr="00311ECD">
        <w:rPr>
          <w:rFonts w:ascii="Times New Roman" w:hAnsi="Times New Roman" w:cs="Times New Roman"/>
          <w:b/>
          <w:bCs/>
          <w:sz w:val="24"/>
          <w:szCs w:val="24"/>
        </w:rPr>
        <w:t>, M., &amp; Ola, R. (2018).</w:t>
      </w:r>
      <w:r w:rsidRPr="00311ECD">
        <w:rPr>
          <w:rFonts w:ascii="Times New Roman" w:hAnsi="Times New Roman" w:cs="Times New Roman"/>
          <w:sz w:val="24"/>
          <w:szCs w:val="24"/>
        </w:rPr>
        <w:t xml:space="preserve"> Effect of integrated nutrient management on growth and yield of cowpea (</w:t>
      </w:r>
      <w:r w:rsidRPr="00311ECD">
        <w:rPr>
          <w:rFonts w:ascii="Times New Roman" w:hAnsi="Times New Roman" w:cs="Times New Roman"/>
          <w:i/>
          <w:iCs/>
          <w:sz w:val="24"/>
          <w:szCs w:val="24"/>
        </w:rPr>
        <w:t xml:space="preserve">Vigna </w:t>
      </w:r>
      <w:proofErr w:type="spellStart"/>
      <w:r w:rsidRPr="00311ECD">
        <w:rPr>
          <w:rFonts w:ascii="Times New Roman" w:hAnsi="Times New Roman" w:cs="Times New Roman"/>
          <w:i/>
          <w:iCs/>
          <w:sz w:val="24"/>
          <w:szCs w:val="24"/>
        </w:rPr>
        <w:t>unguiculata</w:t>
      </w:r>
      <w:proofErr w:type="spellEnd"/>
      <w:r w:rsidRPr="00311ECD">
        <w:rPr>
          <w:rFonts w:ascii="Times New Roman" w:hAnsi="Times New Roman" w:cs="Times New Roman"/>
          <w:sz w:val="24"/>
          <w:szCs w:val="24"/>
        </w:rPr>
        <w:t xml:space="preserve"> L.). </w:t>
      </w:r>
      <w:r w:rsidRPr="00311ECD">
        <w:rPr>
          <w:rFonts w:ascii="Times New Roman" w:hAnsi="Times New Roman" w:cs="Times New Roman"/>
          <w:i/>
          <w:iCs/>
          <w:sz w:val="24"/>
          <w:szCs w:val="24"/>
        </w:rPr>
        <w:t>International Journal of Current Microbiology and Applied Sciences</w:t>
      </w:r>
      <w:r w:rsidRPr="00311ECD">
        <w:rPr>
          <w:rFonts w:ascii="Times New Roman" w:hAnsi="Times New Roman" w:cs="Times New Roman"/>
          <w:sz w:val="24"/>
          <w:szCs w:val="24"/>
        </w:rPr>
        <w:t xml:space="preserve">, </w:t>
      </w:r>
      <w:r w:rsidRPr="00311ECD">
        <w:rPr>
          <w:rFonts w:ascii="Times New Roman" w:hAnsi="Times New Roman" w:cs="Times New Roman"/>
          <w:b/>
          <w:bCs/>
          <w:sz w:val="24"/>
          <w:szCs w:val="24"/>
        </w:rPr>
        <w:t>Special Issue</w:t>
      </w:r>
      <w:r w:rsidRPr="00311ECD">
        <w:rPr>
          <w:rFonts w:ascii="Times New Roman" w:hAnsi="Times New Roman" w:cs="Times New Roman"/>
          <w:sz w:val="24"/>
          <w:szCs w:val="24"/>
        </w:rPr>
        <w:t>: 3509-3512.</w:t>
      </w:r>
    </w:p>
    <w:p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Venkatesan, M., Prakash, M. and Ganesan, J. (2003).</w:t>
      </w:r>
      <w:r w:rsidRPr="00311ECD">
        <w:rPr>
          <w:rFonts w:ascii="Times New Roman" w:hAnsi="Times New Roman" w:cs="Times New Roman"/>
          <w:sz w:val="24"/>
          <w:szCs w:val="24"/>
        </w:rPr>
        <w:t xml:space="preserve"> Genetic variability, heritability and genetic advance analysis in Cowpea (</w:t>
      </w:r>
      <w:r w:rsidRPr="00311ECD">
        <w:rPr>
          <w:rFonts w:ascii="Times New Roman" w:hAnsi="Times New Roman" w:cs="Times New Roman"/>
          <w:i/>
          <w:iCs/>
          <w:sz w:val="24"/>
          <w:szCs w:val="24"/>
        </w:rPr>
        <w:t xml:space="preserve">Vigna </w:t>
      </w:r>
      <w:proofErr w:type="spellStart"/>
      <w:r w:rsidRPr="00311ECD">
        <w:rPr>
          <w:rFonts w:ascii="Times New Roman" w:hAnsi="Times New Roman" w:cs="Times New Roman"/>
          <w:i/>
          <w:iCs/>
          <w:sz w:val="24"/>
          <w:szCs w:val="24"/>
        </w:rPr>
        <w:t>unguiculata</w:t>
      </w:r>
      <w:proofErr w:type="spellEnd"/>
      <w:r w:rsidRPr="00311ECD">
        <w:rPr>
          <w:rFonts w:ascii="Times New Roman" w:hAnsi="Times New Roman" w:cs="Times New Roman"/>
          <w:sz w:val="24"/>
          <w:szCs w:val="24"/>
        </w:rPr>
        <w:t xml:space="preserve"> L). </w:t>
      </w:r>
      <w:r w:rsidRPr="00311ECD">
        <w:rPr>
          <w:rFonts w:ascii="Times New Roman" w:hAnsi="Times New Roman" w:cs="Times New Roman"/>
          <w:i/>
          <w:iCs/>
          <w:sz w:val="24"/>
          <w:szCs w:val="24"/>
        </w:rPr>
        <w:t>Legume Research.</w:t>
      </w:r>
      <w:r w:rsidRPr="00311ECD">
        <w:rPr>
          <w:rFonts w:ascii="Times New Roman" w:hAnsi="Times New Roman" w:cs="Times New Roman"/>
          <w:b/>
          <w:bCs/>
          <w:sz w:val="24"/>
          <w:szCs w:val="24"/>
        </w:rPr>
        <w:t>26</w:t>
      </w:r>
      <w:r w:rsidRPr="00311ECD">
        <w:rPr>
          <w:rFonts w:ascii="Times New Roman" w:hAnsi="Times New Roman" w:cs="Times New Roman"/>
          <w:sz w:val="24"/>
          <w:szCs w:val="24"/>
        </w:rPr>
        <w:t>:155-156.</w:t>
      </w:r>
    </w:p>
    <w:p w:rsidR="00B510C0" w:rsidRPr="00311ECD" w:rsidRDefault="00B510C0" w:rsidP="005833CD">
      <w:pPr>
        <w:ind w:left="720" w:hanging="720"/>
        <w:jc w:val="both"/>
        <w:rPr>
          <w:rFonts w:ascii="Times New Roman" w:hAnsi="Times New Roman" w:cs="Times New Roman"/>
          <w:sz w:val="24"/>
          <w:szCs w:val="24"/>
        </w:rPr>
      </w:pPr>
    </w:p>
    <w:p w:rsidR="00B510C0" w:rsidRPr="00311ECD" w:rsidRDefault="00B510C0" w:rsidP="005833CD">
      <w:pPr>
        <w:tabs>
          <w:tab w:val="left" w:pos="5085"/>
        </w:tabs>
        <w:rPr>
          <w:rFonts w:ascii="Times New Roman" w:hAnsi="Times New Roman" w:cs="Times New Roman"/>
          <w:sz w:val="24"/>
          <w:szCs w:val="24"/>
        </w:rPr>
        <w:sectPr w:rsidR="00B510C0" w:rsidRPr="00311ECD" w:rsidSect="00F0112F">
          <w:footerReference w:type="default" r:id="rId8"/>
          <w:pgSz w:w="11907" w:h="16839" w:code="9"/>
          <w:pgMar w:top="1440" w:right="1440" w:bottom="1440" w:left="1440" w:header="0" w:footer="1410" w:gutter="0"/>
          <w:pgNumType w:fmt="lowerRoman" w:start="1"/>
          <w:cols w:space="720"/>
        </w:sectPr>
      </w:pPr>
    </w:p>
    <w:p w:rsidR="001812A1" w:rsidRPr="00311ECD" w:rsidRDefault="00B256B4" w:rsidP="005833CD">
      <w:pPr>
        <w:spacing w:before="240" w:after="120"/>
        <w:ind w:left="720" w:hanging="720"/>
        <w:jc w:val="center"/>
        <w:rPr>
          <w:rFonts w:ascii="Times New Roman" w:hAnsi="Times New Roman" w:cs="Times New Roman"/>
          <w:b/>
          <w:bCs/>
          <w:sz w:val="24"/>
          <w:szCs w:val="24"/>
        </w:rPr>
      </w:pPr>
      <w:r w:rsidRPr="00311ECD">
        <w:rPr>
          <w:rFonts w:ascii="Times New Roman" w:hAnsi="Times New Roman" w:cs="Times New Roman"/>
          <w:b/>
          <w:bCs/>
          <w:sz w:val="24"/>
          <w:szCs w:val="24"/>
        </w:rPr>
        <w:lastRenderedPageBreak/>
        <w:t>Table 1</w:t>
      </w:r>
      <w:r w:rsidR="00895E38">
        <w:rPr>
          <w:rFonts w:ascii="Times New Roman" w:hAnsi="Times New Roman" w:cs="Times New Roman"/>
          <w:b/>
          <w:bCs/>
          <w:sz w:val="24"/>
          <w:szCs w:val="24"/>
        </w:rPr>
        <w:t xml:space="preserve">: </w:t>
      </w:r>
      <w:r w:rsidR="002D26A4" w:rsidRPr="00311ECD">
        <w:rPr>
          <w:rFonts w:ascii="Times New Roman" w:hAnsi="Times New Roman" w:cs="Times New Roman"/>
          <w:b/>
          <w:sz w:val="24"/>
          <w:szCs w:val="24"/>
        </w:rPr>
        <w:t xml:space="preserve">Effect of integrated nutrient management on </w:t>
      </w:r>
      <w:r w:rsidR="00D31349" w:rsidRPr="00311ECD">
        <w:rPr>
          <w:rFonts w:ascii="Times New Roman" w:hAnsi="Times New Roman" w:cs="Times New Roman"/>
          <w:b/>
          <w:sz w:val="24"/>
          <w:szCs w:val="24"/>
        </w:rPr>
        <w:t>growth and earliness parameters</w:t>
      </w:r>
      <w:r w:rsidR="002D26A4" w:rsidRPr="00311ECD">
        <w:rPr>
          <w:rFonts w:ascii="Times New Roman" w:hAnsi="Times New Roman" w:cs="Times New Roman"/>
          <w:b/>
          <w:sz w:val="24"/>
          <w:szCs w:val="24"/>
        </w:rPr>
        <w:t xml:space="preserve"> of cowpea</w:t>
      </w:r>
    </w:p>
    <w:tbl>
      <w:tblPr>
        <w:tblStyle w:val="TableGrid"/>
        <w:tblW w:w="14711" w:type="dxa"/>
        <w:tblLook w:val="00A0" w:firstRow="1" w:lastRow="0" w:firstColumn="1" w:lastColumn="0" w:noHBand="0" w:noVBand="0"/>
      </w:tblPr>
      <w:tblGrid>
        <w:gridCol w:w="1309"/>
        <w:gridCol w:w="3782"/>
        <w:gridCol w:w="1259"/>
        <w:gridCol w:w="1385"/>
        <w:gridCol w:w="1433"/>
        <w:gridCol w:w="1439"/>
        <w:gridCol w:w="1391"/>
        <w:gridCol w:w="1401"/>
        <w:gridCol w:w="1312"/>
      </w:tblGrid>
      <w:tr w:rsidR="00194C77" w:rsidRPr="00311ECD" w:rsidTr="00F71C08">
        <w:trPr>
          <w:trHeight w:val="315"/>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Treatment Symbols</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ind w:left="720"/>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Treatment combination</w:t>
            </w:r>
          </w:p>
        </w:tc>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Plant height (cm)</w:t>
            </w:r>
          </w:p>
        </w:tc>
        <w:tc>
          <w:tcPr>
            <w:tcW w:w="1437" w:type="dxa"/>
            <w:vMerge w:val="restart"/>
            <w:tcBorders>
              <w:top w:val="single" w:sz="4" w:space="0" w:color="000000" w:themeColor="text1"/>
              <w:left w:val="single" w:sz="4" w:space="0" w:color="000000" w:themeColor="text1"/>
              <w:right w:val="single" w:sz="4" w:space="0" w:color="000000" w:themeColor="text1"/>
            </w:tcBorders>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No of branches per plant</w:t>
            </w:r>
          </w:p>
        </w:tc>
        <w:tc>
          <w:tcPr>
            <w:tcW w:w="1442" w:type="dxa"/>
            <w:vMerge w:val="restart"/>
            <w:tcBorders>
              <w:top w:val="single" w:sz="4" w:space="0" w:color="000000" w:themeColor="text1"/>
              <w:left w:val="single" w:sz="4" w:space="0" w:color="000000" w:themeColor="text1"/>
              <w:right w:val="single" w:sz="4" w:space="0" w:color="000000" w:themeColor="text1"/>
            </w:tcBorders>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Days to 50% flowering</w:t>
            </w:r>
          </w:p>
        </w:tc>
        <w:tc>
          <w:tcPr>
            <w:tcW w:w="1398" w:type="dxa"/>
            <w:vMerge w:val="restart"/>
            <w:tcBorders>
              <w:top w:val="single" w:sz="4" w:space="0" w:color="000000" w:themeColor="text1"/>
              <w:left w:val="single" w:sz="4" w:space="0" w:color="000000" w:themeColor="text1"/>
              <w:right w:val="single" w:sz="4" w:space="0" w:color="000000" w:themeColor="text1"/>
            </w:tcBorders>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Days to 50% pod setting</w:t>
            </w:r>
          </w:p>
        </w:tc>
        <w:tc>
          <w:tcPr>
            <w:tcW w:w="1407" w:type="dxa"/>
            <w:vMerge w:val="restart"/>
            <w:tcBorders>
              <w:top w:val="single" w:sz="4" w:space="0" w:color="000000" w:themeColor="text1"/>
              <w:left w:val="single" w:sz="4" w:space="0" w:color="000000" w:themeColor="text1"/>
              <w:right w:val="single" w:sz="4" w:space="0" w:color="000000" w:themeColor="text1"/>
            </w:tcBorders>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Days to first pod picking</w:t>
            </w:r>
          </w:p>
        </w:tc>
        <w:tc>
          <w:tcPr>
            <w:tcW w:w="1320" w:type="dxa"/>
            <w:vMerge w:val="restart"/>
            <w:tcBorders>
              <w:top w:val="single" w:sz="4" w:space="0" w:color="000000" w:themeColor="text1"/>
              <w:left w:val="single" w:sz="4" w:space="0" w:color="000000" w:themeColor="text1"/>
              <w:right w:val="single" w:sz="4" w:space="0" w:color="000000" w:themeColor="text1"/>
            </w:tcBorders>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No of pods per plant</w:t>
            </w:r>
          </w:p>
        </w:tc>
      </w:tr>
      <w:tr w:rsidR="00194C77" w:rsidRPr="00311ECD" w:rsidTr="00F71C08">
        <w:trPr>
          <w:trHeight w:val="291"/>
        </w:trPr>
        <w:tc>
          <w:tcPr>
            <w:tcW w:w="50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sz w:val="24"/>
                <w:szCs w:val="24"/>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At 30 DAS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At 50 DAS</w:t>
            </w:r>
          </w:p>
        </w:tc>
        <w:tc>
          <w:tcPr>
            <w:tcW w:w="1437" w:type="dxa"/>
            <w:vMerge/>
            <w:tcBorders>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rPr>
            </w:pPr>
          </w:p>
        </w:tc>
        <w:tc>
          <w:tcPr>
            <w:tcW w:w="1442" w:type="dxa"/>
            <w:vMerge/>
            <w:tcBorders>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rPr>
            </w:pPr>
          </w:p>
        </w:tc>
        <w:tc>
          <w:tcPr>
            <w:tcW w:w="1398" w:type="dxa"/>
            <w:vMerge/>
            <w:tcBorders>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rPr>
            </w:pPr>
          </w:p>
        </w:tc>
        <w:tc>
          <w:tcPr>
            <w:tcW w:w="1407" w:type="dxa"/>
            <w:vMerge/>
            <w:tcBorders>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rPr>
            </w:pPr>
          </w:p>
        </w:tc>
        <w:tc>
          <w:tcPr>
            <w:tcW w:w="1320" w:type="dxa"/>
            <w:vMerge/>
            <w:tcBorders>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rPr>
            </w:pPr>
          </w:p>
        </w:tc>
      </w:tr>
      <w:tr w:rsidR="00194C77" w:rsidRPr="00311ECD" w:rsidTr="00F71C08">
        <w:trPr>
          <w:trHeight w:val="312"/>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0</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Control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42.29</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80.43</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6.28</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51.21</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62.41</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74.85</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13.89</w:t>
            </w:r>
          </w:p>
        </w:tc>
      </w:tr>
      <w:tr w:rsidR="00194C77" w:rsidRPr="00311ECD" w:rsidTr="00F71C08">
        <w:trPr>
          <w:trHeight w:val="28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1</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lang w:val="sv-SE"/>
              </w:rPr>
            </w:pPr>
            <w:r w:rsidRPr="00311ECD">
              <w:rPr>
                <w:rFonts w:ascii="Times New Roman" w:hAnsi="Times New Roman" w:cs="Times New Roman"/>
                <w:sz w:val="24"/>
                <w:szCs w:val="24"/>
              </w:rPr>
              <w:t xml:space="preserve"> RDF 100% [NPK: 25:50:25 Kg/ha]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57.85</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96.28</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lang w:val="sv-SE"/>
              </w:rPr>
              <w:t>15.85</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42.15</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50.59</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62.03</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27.40</w:t>
            </w:r>
          </w:p>
        </w:tc>
      </w:tr>
      <w:tr w:rsidR="00194C77" w:rsidRPr="00311ECD" w:rsidTr="00F71C08">
        <w:trPr>
          <w:trHeight w:val="247"/>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2</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Farmyard manure (FYM) 100%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43.05</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82.89</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7.15</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50.41</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57.18</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68.96</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17.10</w:t>
            </w:r>
          </w:p>
        </w:tc>
      </w:tr>
      <w:tr w:rsidR="00194C77" w:rsidRPr="00311ECD" w:rsidTr="00F71C08">
        <w:trPr>
          <w:trHeight w:val="276"/>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3</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Vermicompost (VC) 100%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51.72</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88.99</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13.33</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44.04</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52.48</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64.25</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21.85</w:t>
            </w:r>
          </w:p>
        </w:tc>
      </w:tr>
      <w:tr w:rsidR="00194C77" w:rsidRPr="00311ECD" w:rsidTr="00F71C08">
        <w:trPr>
          <w:trHeight w:val="315"/>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4</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Poultry Manure (PM) 100%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50.38</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88.12</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11.65</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44.63</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53.16</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64.20</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21.61</w:t>
            </w:r>
          </w:p>
        </w:tc>
      </w:tr>
      <w:tr w:rsidR="00194C77" w:rsidRPr="00311ECD" w:rsidTr="00F71C08">
        <w:trPr>
          <w:trHeight w:val="315"/>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5</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FYM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46.61</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84.82</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8.73</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48.17</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57.37</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66.41</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17.41</w:t>
            </w:r>
          </w:p>
        </w:tc>
      </w:tr>
      <w:tr w:rsidR="00194C77" w:rsidRPr="00311ECD" w:rsidTr="00F71C08">
        <w:trPr>
          <w:trHeight w:val="315"/>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6</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VC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54.95</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95.31</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15.30</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45.48</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54.34</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64.72</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24.94</w:t>
            </w:r>
          </w:p>
        </w:tc>
      </w:tr>
      <w:tr w:rsidR="00194C77" w:rsidRPr="00311ECD" w:rsidTr="00F71C08">
        <w:trPr>
          <w:trHeight w:val="315"/>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7</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PM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54.43</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85.84</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8.92</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45.74</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54.40</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65.65</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16.94</w:t>
            </w:r>
          </w:p>
        </w:tc>
      </w:tr>
      <w:tr w:rsidR="00194C77" w:rsidRPr="00311ECD" w:rsidTr="00F71C08">
        <w:trPr>
          <w:trHeight w:val="315"/>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8</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25% RDF + 25% FYM + 25% VC + 25% PM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51.57</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91.66</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lang w:val="en-GB"/>
              </w:rPr>
              <w:t>14.33</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43.64</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52.50</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63.87</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23.88</w:t>
            </w:r>
          </w:p>
        </w:tc>
      </w:tr>
      <w:tr w:rsidR="00194C77" w:rsidRPr="00311ECD" w:rsidTr="00F71C08">
        <w:trPr>
          <w:trHeight w:val="315"/>
        </w:trPr>
        <w:tc>
          <w:tcPr>
            <w:tcW w:w="50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CD</w:t>
            </w:r>
            <w:r w:rsidRPr="00311ECD">
              <w:rPr>
                <w:rFonts w:ascii="Times New Roman" w:hAnsi="Times New Roman" w:cs="Times New Roman"/>
                <w:b/>
                <w:bCs/>
                <w:sz w:val="24"/>
                <w:szCs w:val="24"/>
                <w:vertAlign w:val="subscript"/>
              </w:rPr>
              <w:t>0.05</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2.97</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3.22</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0.58</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1.81</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1.93</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3.14</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1.56</w:t>
            </w:r>
          </w:p>
        </w:tc>
      </w:tr>
      <w:tr w:rsidR="00194C77" w:rsidRPr="00311ECD" w:rsidTr="00F71C08">
        <w:trPr>
          <w:trHeight w:val="315"/>
        </w:trPr>
        <w:tc>
          <w:tcPr>
            <w:tcW w:w="50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SE. m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1.00</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1.08</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0.19</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0.64</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0.65</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1.06</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0.53</w:t>
            </w:r>
          </w:p>
        </w:tc>
      </w:tr>
    </w:tbl>
    <w:p w:rsidR="001C405C" w:rsidRDefault="001C4B6E" w:rsidP="00636B3D">
      <w:pPr>
        <w:spacing w:before="240" w:after="0" w:line="240" w:lineRule="auto"/>
        <w:ind w:left="720" w:firstLine="720"/>
        <w:rPr>
          <w:rFonts w:ascii="Times New Roman" w:hAnsi="Times New Roman" w:cs="Times New Roman"/>
          <w:b/>
          <w:bCs/>
          <w:sz w:val="24"/>
          <w:szCs w:val="24"/>
        </w:rPr>
      </w:pPr>
      <w:r>
        <w:rPr>
          <w:rFonts w:ascii="Times New Roman" w:hAnsi="Times New Roman" w:cs="Times New Roman"/>
          <w:b/>
          <w:bCs/>
          <w:sz w:val="24"/>
          <w:szCs w:val="24"/>
        </w:rPr>
        <w:t>CD- Critical difference</w:t>
      </w:r>
    </w:p>
    <w:p w:rsidR="001C4B6E" w:rsidRDefault="001C4B6E" w:rsidP="00636B3D">
      <w:pPr>
        <w:spacing w:before="240" w:after="0" w:line="240" w:lineRule="auto"/>
        <w:ind w:left="720" w:firstLine="720"/>
        <w:rPr>
          <w:rFonts w:ascii="Times New Roman" w:hAnsi="Times New Roman" w:cs="Times New Roman"/>
          <w:b/>
          <w:bCs/>
          <w:sz w:val="24"/>
          <w:szCs w:val="24"/>
        </w:rPr>
      </w:pPr>
      <w:r w:rsidRPr="00311ECD">
        <w:rPr>
          <w:rFonts w:ascii="Times New Roman" w:hAnsi="Times New Roman" w:cs="Times New Roman"/>
          <w:b/>
          <w:bCs/>
          <w:sz w:val="24"/>
          <w:szCs w:val="24"/>
        </w:rPr>
        <w:t xml:space="preserve">SE. </w:t>
      </w:r>
      <w:r>
        <w:rPr>
          <w:rFonts w:ascii="Times New Roman" w:hAnsi="Times New Roman" w:cs="Times New Roman"/>
          <w:b/>
          <w:bCs/>
          <w:sz w:val="24"/>
          <w:szCs w:val="24"/>
        </w:rPr>
        <w:t>m- Standard error of the mean</w:t>
      </w:r>
    </w:p>
    <w:p w:rsidR="001C4B6E" w:rsidRDefault="001C4B6E" w:rsidP="00636B3D">
      <w:pPr>
        <w:spacing w:before="240" w:after="0"/>
        <w:ind w:left="720" w:hanging="720"/>
        <w:rPr>
          <w:rFonts w:ascii="Times New Roman" w:hAnsi="Times New Roman" w:cs="Times New Roman"/>
          <w:b/>
          <w:bCs/>
          <w:sz w:val="24"/>
          <w:szCs w:val="24"/>
        </w:rPr>
      </w:pPr>
    </w:p>
    <w:p w:rsidR="001C405C" w:rsidRDefault="001C405C" w:rsidP="005833CD">
      <w:pPr>
        <w:spacing w:before="240" w:after="120"/>
        <w:ind w:left="720" w:hanging="720"/>
        <w:jc w:val="center"/>
        <w:rPr>
          <w:rFonts w:ascii="Times New Roman" w:hAnsi="Times New Roman" w:cs="Times New Roman"/>
          <w:b/>
          <w:bCs/>
          <w:sz w:val="24"/>
          <w:szCs w:val="24"/>
        </w:rPr>
      </w:pPr>
    </w:p>
    <w:p w:rsidR="001C405C" w:rsidRDefault="001C405C" w:rsidP="005833CD">
      <w:pPr>
        <w:spacing w:before="240" w:after="120"/>
        <w:ind w:left="720" w:hanging="720"/>
        <w:jc w:val="center"/>
        <w:rPr>
          <w:rFonts w:ascii="Times New Roman" w:hAnsi="Times New Roman" w:cs="Times New Roman"/>
          <w:b/>
          <w:bCs/>
          <w:sz w:val="24"/>
          <w:szCs w:val="24"/>
        </w:rPr>
      </w:pPr>
    </w:p>
    <w:p w:rsidR="001C405C" w:rsidRDefault="001C405C" w:rsidP="005833CD">
      <w:pPr>
        <w:spacing w:before="240" w:after="120"/>
        <w:ind w:left="720" w:hanging="720"/>
        <w:jc w:val="center"/>
        <w:rPr>
          <w:rFonts w:ascii="Times New Roman" w:hAnsi="Times New Roman" w:cs="Times New Roman"/>
          <w:b/>
          <w:bCs/>
          <w:sz w:val="24"/>
          <w:szCs w:val="24"/>
        </w:rPr>
      </w:pPr>
    </w:p>
    <w:p w:rsidR="001C405C" w:rsidRDefault="001C405C" w:rsidP="005833CD">
      <w:pPr>
        <w:spacing w:before="240" w:after="120"/>
        <w:ind w:left="720" w:hanging="720"/>
        <w:jc w:val="center"/>
        <w:rPr>
          <w:rFonts w:ascii="Times New Roman" w:hAnsi="Times New Roman" w:cs="Times New Roman"/>
          <w:b/>
          <w:bCs/>
          <w:sz w:val="24"/>
          <w:szCs w:val="24"/>
        </w:rPr>
      </w:pPr>
    </w:p>
    <w:p w:rsidR="001C405C" w:rsidRDefault="001C405C" w:rsidP="005833CD">
      <w:pPr>
        <w:spacing w:before="240" w:after="120"/>
        <w:ind w:left="720" w:hanging="720"/>
        <w:jc w:val="center"/>
        <w:rPr>
          <w:rFonts w:ascii="Times New Roman" w:hAnsi="Times New Roman" w:cs="Times New Roman"/>
          <w:b/>
          <w:bCs/>
          <w:sz w:val="24"/>
          <w:szCs w:val="24"/>
        </w:rPr>
      </w:pPr>
    </w:p>
    <w:p w:rsidR="00B256B4" w:rsidRPr="00311ECD" w:rsidRDefault="00B256B4" w:rsidP="005833CD">
      <w:pPr>
        <w:spacing w:before="240" w:after="120"/>
        <w:ind w:left="720" w:hanging="720"/>
        <w:jc w:val="center"/>
        <w:rPr>
          <w:rFonts w:ascii="Times New Roman" w:hAnsi="Times New Roman" w:cs="Times New Roman"/>
          <w:b/>
          <w:bCs/>
          <w:sz w:val="24"/>
          <w:szCs w:val="24"/>
        </w:rPr>
      </w:pPr>
      <w:r w:rsidRPr="00311ECD">
        <w:rPr>
          <w:rFonts w:ascii="Times New Roman" w:hAnsi="Times New Roman" w:cs="Times New Roman"/>
          <w:b/>
          <w:bCs/>
          <w:sz w:val="24"/>
          <w:szCs w:val="24"/>
        </w:rPr>
        <w:t>Table 2</w:t>
      </w:r>
      <w:r w:rsidR="00895E38">
        <w:rPr>
          <w:rFonts w:ascii="Times New Roman" w:hAnsi="Times New Roman" w:cs="Times New Roman"/>
          <w:b/>
          <w:bCs/>
          <w:sz w:val="24"/>
          <w:szCs w:val="24"/>
        </w:rPr>
        <w:t xml:space="preserve">: </w:t>
      </w:r>
      <w:r w:rsidRPr="00311ECD">
        <w:rPr>
          <w:rFonts w:ascii="Times New Roman" w:hAnsi="Times New Roman" w:cs="Times New Roman"/>
          <w:b/>
          <w:bCs/>
          <w:sz w:val="24"/>
          <w:szCs w:val="24"/>
        </w:rPr>
        <w:t xml:space="preserve"> </w:t>
      </w:r>
      <w:r w:rsidR="00D31349" w:rsidRPr="00311ECD">
        <w:rPr>
          <w:rFonts w:ascii="Times New Roman" w:hAnsi="Times New Roman" w:cs="Times New Roman"/>
          <w:b/>
          <w:sz w:val="24"/>
          <w:szCs w:val="24"/>
        </w:rPr>
        <w:t>Effect of integrated nutrient management on yield and quality parameters of cowpea</w:t>
      </w:r>
    </w:p>
    <w:tbl>
      <w:tblPr>
        <w:tblStyle w:val="TableGrid"/>
        <w:tblW w:w="14814" w:type="dxa"/>
        <w:tblLook w:val="00A0" w:firstRow="1" w:lastRow="0" w:firstColumn="1" w:lastColumn="0" w:noHBand="0" w:noVBand="0"/>
      </w:tblPr>
      <w:tblGrid>
        <w:gridCol w:w="1648"/>
        <w:gridCol w:w="4406"/>
        <w:gridCol w:w="1752"/>
        <w:gridCol w:w="1752"/>
        <w:gridCol w:w="1752"/>
        <w:gridCol w:w="1752"/>
        <w:gridCol w:w="1752"/>
      </w:tblGrid>
      <w:tr w:rsidR="00194C77" w:rsidRPr="00311ECD" w:rsidTr="00F71C08">
        <w:trPr>
          <w:trHeight w:val="501"/>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Treatment Symbols</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ind w:left="720"/>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Treatment combination</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b/>
                <w:bCs/>
                <w:sz w:val="24"/>
                <w:szCs w:val="24"/>
              </w:rPr>
            </w:pPr>
            <w:r w:rsidRPr="00311ECD">
              <w:rPr>
                <w:rFonts w:ascii="Times New Roman" w:hAnsi="Times New Roman" w:cs="Times New Roman"/>
                <w:b/>
                <w:bCs/>
                <w:sz w:val="24"/>
                <w:szCs w:val="24"/>
              </w:rPr>
              <w:t xml:space="preserve">Pod length (cm)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b/>
                <w:bCs/>
                <w:sz w:val="24"/>
                <w:szCs w:val="24"/>
              </w:rPr>
            </w:pPr>
            <w:r w:rsidRPr="00311ECD">
              <w:rPr>
                <w:rFonts w:ascii="Times New Roman" w:hAnsi="Times New Roman" w:cs="Times New Roman"/>
                <w:b/>
                <w:bCs/>
                <w:sz w:val="24"/>
                <w:szCs w:val="24"/>
              </w:rPr>
              <w:t>Individual Pod weight (grams)</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b/>
                <w:bCs/>
                <w:sz w:val="24"/>
                <w:szCs w:val="24"/>
              </w:rPr>
            </w:pPr>
            <w:r w:rsidRPr="00311ECD">
              <w:rPr>
                <w:rFonts w:ascii="Times New Roman" w:hAnsi="Times New Roman" w:cs="Times New Roman"/>
                <w:b/>
                <w:bCs/>
                <w:sz w:val="24"/>
                <w:szCs w:val="24"/>
              </w:rPr>
              <w:t>Pod yield per plant (g/plant)</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b/>
                <w:bCs/>
                <w:sz w:val="24"/>
                <w:szCs w:val="24"/>
              </w:rPr>
            </w:pPr>
            <w:r w:rsidRPr="00311ECD">
              <w:rPr>
                <w:rFonts w:ascii="Times New Roman" w:hAnsi="Times New Roman" w:cs="Times New Roman"/>
                <w:b/>
                <w:bCs/>
                <w:sz w:val="24"/>
                <w:szCs w:val="24"/>
              </w:rPr>
              <w:t>Pod yield per hectare (t/ha)</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b/>
                <w:bCs/>
                <w:sz w:val="24"/>
                <w:szCs w:val="24"/>
              </w:rPr>
            </w:pPr>
            <w:r w:rsidRPr="00311ECD">
              <w:rPr>
                <w:rFonts w:ascii="Times New Roman" w:hAnsi="Times New Roman" w:cs="Times New Roman"/>
                <w:b/>
                <w:bCs/>
                <w:sz w:val="24"/>
                <w:szCs w:val="24"/>
              </w:rPr>
              <w:t>Vitamin C content (mg)</w:t>
            </w:r>
          </w:p>
        </w:tc>
      </w:tr>
      <w:tr w:rsidR="00194C77" w:rsidRPr="00311ECD" w:rsidTr="00F71C08">
        <w:trPr>
          <w:trHeight w:val="244"/>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0</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Control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12.89</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11.15</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154.43</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3.79</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3.53</w:t>
            </w:r>
          </w:p>
        </w:tc>
      </w:tr>
      <w:tr w:rsidR="00194C77" w:rsidRPr="00311ECD" w:rsidTr="00F71C08">
        <w:trPr>
          <w:trHeight w:val="219"/>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1</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lang w:val="sv-SE"/>
              </w:rPr>
            </w:pPr>
            <w:r w:rsidRPr="00311ECD">
              <w:rPr>
                <w:rFonts w:ascii="Times New Roman" w:hAnsi="Times New Roman" w:cs="Times New Roman"/>
                <w:sz w:val="24"/>
                <w:szCs w:val="24"/>
              </w:rPr>
              <w:t xml:space="preserve"> RDF 100% [NPK: 25:50:25 Kg/ha]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21.57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16.51</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452.88</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6.52</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6.50</w:t>
            </w:r>
          </w:p>
        </w:tc>
      </w:tr>
      <w:tr w:rsidR="00194C77" w:rsidRPr="00311ECD" w:rsidTr="00F71C08">
        <w:trPr>
          <w:trHeight w:val="193"/>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2</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Farmyard manure (FYM) 100%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15.23</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12.47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213.15</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4.23</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4.43</w:t>
            </w:r>
          </w:p>
        </w:tc>
      </w:tr>
      <w:tr w:rsidR="00194C77" w:rsidRPr="00311ECD" w:rsidTr="00F71C08">
        <w:trPr>
          <w:trHeight w:val="216"/>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3</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Vermicompost (VC) 100%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18.51</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14.10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307.68</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6.10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6.14</w:t>
            </w:r>
          </w:p>
        </w:tc>
      </w:tr>
      <w:tr w:rsidR="00194C77" w:rsidRPr="00311ECD" w:rsidTr="00F71C08">
        <w:trPr>
          <w:trHeight w:val="246"/>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4</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Poultry Manure (PM) 100%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17.89</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14.63</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316.30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5.37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5.65</w:t>
            </w:r>
          </w:p>
        </w:tc>
      </w:tr>
      <w:tr w:rsidR="00194C77" w:rsidRPr="00311ECD" w:rsidTr="00F71C08">
        <w:trPr>
          <w:trHeight w:val="246"/>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5</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FYM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16.29</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13.64</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237.57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4.32</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4.86</w:t>
            </w:r>
          </w:p>
        </w:tc>
      </w:tr>
      <w:tr w:rsidR="00194C77" w:rsidRPr="00311ECD" w:rsidTr="00F71C08">
        <w:trPr>
          <w:trHeight w:val="246"/>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6</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VC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19.88</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15.77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393.42</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6.39</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7.40</w:t>
            </w:r>
          </w:p>
        </w:tc>
      </w:tr>
      <w:tr w:rsidR="00194C77" w:rsidRPr="00311ECD" w:rsidTr="00F71C08">
        <w:trPr>
          <w:trHeight w:val="246"/>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7</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PM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16.95</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14.07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238.40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5.27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5.34</w:t>
            </w:r>
          </w:p>
        </w:tc>
      </w:tr>
      <w:tr w:rsidR="00194C77" w:rsidRPr="00311ECD" w:rsidTr="00F71C08">
        <w:trPr>
          <w:trHeight w:val="246"/>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8</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25% RDF + 25% FYM + 25% VC + 25% PM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19.03</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15.22</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363.60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6.32</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7.24</w:t>
            </w:r>
          </w:p>
        </w:tc>
      </w:tr>
      <w:tr w:rsidR="00194C77" w:rsidRPr="00311ECD" w:rsidTr="00F71C08">
        <w:trPr>
          <w:trHeight w:val="246"/>
        </w:trPr>
        <w:tc>
          <w:tcPr>
            <w:tcW w:w="6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CD</w:t>
            </w:r>
            <w:r w:rsidRPr="00311ECD">
              <w:rPr>
                <w:rFonts w:ascii="Times New Roman" w:hAnsi="Times New Roman" w:cs="Times New Roman"/>
                <w:b/>
                <w:bCs/>
                <w:sz w:val="24"/>
                <w:szCs w:val="24"/>
                <w:vertAlign w:val="subscript"/>
              </w:rPr>
              <w:t>0.05</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0.55</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0.81</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29.90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0.25</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0.39</w:t>
            </w:r>
          </w:p>
        </w:tc>
      </w:tr>
      <w:tr w:rsidR="00194C77" w:rsidRPr="00311ECD" w:rsidTr="00F71C08">
        <w:trPr>
          <w:trHeight w:val="246"/>
        </w:trPr>
        <w:tc>
          <w:tcPr>
            <w:tcW w:w="6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SE. m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0.18</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0.27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10.06</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0.08</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0.13</w:t>
            </w:r>
          </w:p>
        </w:tc>
      </w:tr>
    </w:tbl>
    <w:p w:rsidR="00B76981" w:rsidRPr="00311ECD" w:rsidRDefault="00F71C08" w:rsidP="005833CD">
      <w:pPr>
        <w:ind w:firstLine="720"/>
        <w:jc w:val="center"/>
        <w:rPr>
          <w:rFonts w:ascii="Times New Roman" w:hAnsi="Times New Roman" w:cs="Times New Roman"/>
          <w:sz w:val="24"/>
          <w:szCs w:val="24"/>
        </w:rPr>
      </w:pPr>
      <w:r w:rsidRPr="00311ECD">
        <w:rPr>
          <w:rFonts w:ascii="Times New Roman" w:hAnsi="Times New Roman" w:cs="Times New Roman"/>
          <w:noProof/>
          <w:sz w:val="24"/>
          <w:szCs w:val="24"/>
          <w:lang w:val="en-US" w:bidi="hi-IN"/>
        </w:rPr>
        <w:lastRenderedPageBreak/>
        <w:drawing>
          <wp:anchor distT="0" distB="0" distL="114300" distR="114300" simplePos="0" relativeHeight="251662336" behindDoc="0" locked="0" layoutInCell="1" allowOverlap="1">
            <wp:simplePos x="0" y="0"/>
            <wp:positionH relativeFrom="column">
              <wp:posOffset>461645</wp:posOffset>
            </wp:positionH>
            <wp:positionV relativeFrom="paragraph">
              <wp:posOffset>0</wp:posOffset>
            </wp:positionV>
            <wp:extent cx="8766175" cy="4949190"/>
            <wp:effectExtent l="0" t="0" r="15875" b="3810"/>
            <wp:wrapThrough wrapText="bothSides">
              <wp:wrapPolygon edited="0">
                <wp:start x="0" y="0"/>
                <wp:lineTo x="0" y="21533"/>
                <wp:lineTo x="21592" y="21533"/>
                <wp:lineTo x="21592" y="0"/>
                <wp:lineTo x="0" y="0"/>
              </wp:wrapPolygon>
            </wp:wrapThrough>
            <wp:docPr id="442014297" name="Chart 1">
              <a:extLst xmlns:a="http://schemas.openxmlformats.org/drawingml/2006/main">
                <a:ext uri="{FF2B5EF4-FFF2-40B4-BE49-F238E27FC236}">
                  <a16:creationId xmlns:a16="http://schemas.microsoft.com/office/drawing/2014/main" id="{DA3375B2-92AF-FAE4-2E5B-B278A11B7D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311ECD">
        <w:rPr>
          <w:rFonts w:ascii="Times New Roman" w:hAnsi="Times New Roman" w:cs="Times New Roman"/>
          <w:b/>
          <w:bCs/>
          <w:sz w:val="24"/>
          <w:szCs w:val="24"/>
        </w:rPr>
        <w:t>Figure 1:</w:t>
      </w:r>
      <w:r w:rsidR="00D0128D">
        <w:rPr>
          <w:rFonts w:ascii="Times New Roman" w:hAnsi="Times New Roman" w:cs="Times New Roman"/>
          <w:b/>
          <w:bCs/>
          <w:sz w:val="24"/>
          <w:szCs w:val="24"/>
        </w:rPr>
        <w:t xml:space="preserve"> </w:t>
      </w:r>
      <w:r w:rsidRPr="00311ECD">
        <w:rPr>
          <w:rFonts w:ascii="Times New Roman" w:hAnsi="Times New Roman" w:cs="Times New Roman"/>
          <w:b/>
          <w:sz w:val="24"/>
          <w:szCs w:val="24"/>
        </w:rPr>
        <w:t>Graphical representation of effect of integrated nutrient management on growth parameters of cowpea</w:t>
      </w:r>
    </w:p>
    <w:p w:rsidR="00211953" w:rsidRPr="00311ECD" w:rsidRDefault="00211953" w:rsidP="005833CD">
      <w:pPr>
        <w:spacing w:before="120" w:after="120"/>
        <w:jc w:val="center"/>
        <w:rPr>
          <w:rFonts w:ascii="Times New Roman" w:eastAsia="Times New Roman" w:hAnsi="Times New Roman" w:cs="Times New Roman"/>
          <w:b/>
          <w:bCs/>
          <w:sz w:val="24"/>
          <w:szCs w:val="24"/>
        </w:rPr>
      </w:pPr>
    </w:p>
    <w:p w:rsidR="002838AE" w:rsidRPr="00311ECD" w:rsidRDefault="002838AE" w:rsidP="005833CD">
      <w:pPr>
        <w:spacing w:before="120" w:after="120"/>
        <w:jc w:val="center"/>
        <w:rPr>
          <w:rFonts w:ascii="Times New Roman" w:hAnsi="Times New Roman" w:cs="Times New Roman"/>
          <w:b/>
          <w:bCs/>
          <w:sz w:val="24"/>
          <w:szCs w:val="24"/>
        </w:rPr>
      </w:pPr>
      <w:r w:rsidRPr="00311ECD">
        <w:rPr>
          <w:rFonts w:ascii="Times New Roman" w:hAnsi="Times New Roman" w:cs="Times New Roman"/>
          <w:noProof/>
          <w:sz w:val="24"/>
          <w:szCs w:val="24"/>
          <w:lang w:val="en-US" w:bidi="hi-IN"/>
        </w:rPr>
        <w:lastRenderedPageBreak/>
        <w:drawing>
          <wp:anchor distT="0" distB="0" distL="114300" distR="114300" simplePos="0" relativeHeight="251661312" behindDoc="0" locked="0" layoutInCell="1" allowOverlap="1">
            <wp:simplePos x="0" y="0"/>
            <wp:positionH relativeFrom="margin">
              <wp:posOffset>-107950</wp:posOffset>
            </wp:positionH>
            <wp:positionV relativeFrom="paragraph">
              <wp:posOffset>0</wp:posOffset>
            </wp:positionV>
            <wp:extent cx="9756775" cy="4625340"/>
            <wp:effectExtent l="0" t="0" r="15875" b="3810"/>
            <wp:wrapThrough wrapText="bothSides">
              <wp:wrapPolygon edited="0">
                <wp:start x="0" y="0"/>
                <wp:lineTo x="0" y="21529"/>
                <wp:lineTo x="21593" y="21529"/>
                <wp:lineTo x="21593" y="0"/>
                <wp:lineTo x="0" y="0"/>
              </wp:wrapPolygon>
            </wp:wrapThrough>
            <wp:docPr id="326127613" name="Chart 1">
              <a:extLst xmlns:a="http://schemas.openxmlformats.org/drawingml/2006/main">
                <a:ext uri="{FF2B5EF4-FFF2-40B4-BE49-F238E27FC236}">
                  <a16:creationId xmlns:a16="http://schemas.microsoft.com/office/drawing/2014/main" id="{5F2F1361-030B-FB61-AF2F-D4CFD0F266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311ECD">
        <w:rPr>
          <w:rFonts w:ascii="Times New Roman" w:hAnsi="Times New Roman" w:cs="Times New Roman"/>
          <w:b/>
          <w:bCs/>
          <w:sz w:val="24"/>
          <w:szCs w:val="24"/>
        </w:rPr>
        <w:t xml:space="preserve">Figure </w:t>
      </w:r>
      <w:r w:rsidR="00F71C08" w:rsidRPr="00311ECD">
        <w:rPr>
          <w:rFonts w:ascii="Times New Roman" w:hAnsi="Times New Roman" w:cs="Times New Roman"/>
          <w:b/>
          <w:bCs/>
          <w:sz w:val="24"/>
          <w:szCs w:val="24"/>
        </w:rPr>
        <w:t>2</w:t>
      </w:r>
      <w:r w:rsidRPr="00311ECD">
        <w:rPr>
          <w:rFonts w:ascii="Times New Roman" w:hAnsi="Times New Roman" w:cs="Times New Roman"/>
          <w:b/>
          <w:bCs/>
          <w:sz w:val="24"/>
          <w:szCs w:val="24"/>
        </w:rPr>
        <w:t>:</w:t>
      </w:r>
      <w:r w:rsidR="00D0128D">
        <w:rPr>
          <w:rFonts w:ascii="Times New Roman" w:hAnsi="Times New Roman" w:cs="Times New Roman"/>
          <w:b/>
          <w:bCs/>
          <w:sz w:val="24"/>
          <w:szCs w:val="24"/>
        </w:rPr>
        <w:t xml:space="preserve"> </w:t>
      </w:r>
      <w:r w:rsidRPr="00311ECD">
        <w:rPr>
          <w:rFonts w:ascii="Times New Roman" w:hAnsi="Times New Roman" w:cs="Times New Roman"/>
          <w:b/>
          <w:sz w:val="24"/>
          <w:szCs w:val="24"/>
        </w:rPr>
        <w:t>Graphical representation of effect of integrated nutrient management on yield parameters of cowpea</w:t>
      </w:r>
    </w:p>
    <w:p w:rsidR="00211953" w:rsidRPr="00311ECD" w:rsidRDefault="00211953" w:rsidP="005833CD">
      <w:pPr>
        <w:spacing w:before="120" w:after="120"/>
        <w:jc w:val="center"/>
        <w:rPr>
          <w:rFonts w:ascii="Times New Roman" w:eastAsia="Times New Roman" w:hAnsi="Times New Roman" w:cs="Times New Roman"/>
          <w:b/>
          <w:bCs/>
          <w:sz w:val="24"/>
          <w:szCs w:val="24"/>
        </w:rPr>
      </w:pPr>
    </w:p>
    <w:p w:rsidR="00211953" w:rsidRPr="00311ECD" w:rsidRDefault="00211953" w:rsidP="005833CD">
      <w:pPr>
        <w:spacing w:before="120" w:after="120"/>
        <w:jc w:val="center"/>
        <w:rPr>
          <w:rFonts w:ascii="Times New Roman" w:eastAsia="Times New Roman" w:hAnsi="Times New Roman" w:cs="Times New Roman"/>
          <w:b/>
          <w:bCs/>
          <w:sz w:val="24"/>
          <w:szCs w:val="24"/>
        </w:rPr>
      </w:pPr>
    </w:p>
    <w:p w:rsidR="00211953" w:rsidRPr="00311ECD" w:rsidRDefault="00211953" w:rsidP="005833CD">
      <w:pPr>
        <w:spacing w:before="120" w:after="120"/>
        <w:jc w:val="center"/>
        <w:rPr>
          <w:rFonts w:ascii="Times New Roman" w:eastAsia="Times New Roman" w:hAnsi="Times New Roman" w:cs="Times New Roman"/>
          <w:b/>
          <w:bCs/>
          <w:sz w:val="24"/>
          <w:szCs w:val="24"/>
        </w:rPr>
      </w:pPr>
    </w:p>
    <w:p w:rsidR="00211953" w:rsidRPr="00311ECD" w:rsidRDefault="00211953" w:rsidP="005833CD">
      <w:pPr>
        <w:spacing w:before="120" w:after="120"/>
        <w:jc w:val="center"/>
        <w:rPr>
          <w:rFonts w:ascii="Times New Roman" w:eastAsia="Times New Roman" w:hAnsi="Times New Roman" w:cs="Times New Roman"/>
          <w:b/>
          <w:bCs/>
          <w:sz w:val="24"/>
          <w:szCs w:val="24"/>
        </w:rPr>
      </w:pPr>
      <w:r w:rsidRPr="00311ECD">
        <w:rPr>
          <w:rFonts w:ascii="Times New Roman" w:eastAsia="Times New Roman" w:hAnsi="Times New Roman" w:cs="Times New Roman"/>
          <w:b/>
          <w:bCs/>
          <w:sz w:val="24"/>
          <w:szCs w:val="24"/>
        </w:rPr>
        <w:t xml:space="preserve">Table 3. </w:t>
      </w:r>
      <w:r w:rsidR="00D31349" w:rsidRPr="00311ECD">
        <w:rPr>
          <w:rFonts w:ascii="Times New Roman" w:eastAsia="Times New Roman" w:hAnsi="Times New Roman" w:cs="Times New Roman"/>
          <w:b/>
          <w:bCs/>
          <w:sz w:val="24"/>
          <w:szCs w:val="24"/>
        </w:rPr>
        <w:t>Economics as influenced by different treatments applied in Cowpea</w:t>
      </w:r>
    </w:p>
    <w:tbl>
      <w:tblPr>
        <w:tblStyle w:val="TableGrid"/>
        <w:tblW w:w="15054" w:type="dxa"/>
        <w:tblLook w:val="00A0" w:firstRow="1" w:lastRow="0" w:firstColumn="1" w:lastColumn="0" w:noHBand="0" w:noVBand="0"/>
      </w:tblPr>
      <w:tblGrid>
        <w:gridCol w:w="2112"/>
        <w:gridCol w:w="3607"/>
        <w:gridCol w:w="2667"/>
        <w:gridCol w:w="2222"/>
        <w:gridCol w:w="2222"/>
        <w:gridCol w:w="2224"/>
      </w:tblGrid>
      <w:tr w:rsidR="00194C77" w:rsidRPr="00311ECD" w:rsidTr="00D31349">
        <w:trPr>
          <w:trHeight w:val="62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Treatment Symbols</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Treatment combination</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Cost of cultivation (Rs)</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Gross return (Rs)</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Net return (Rs)</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BC ratio</w:t>
            </w:r>
          </w:p>
        </w:tc>
      </w:tr>
      <w:tr w:rsidR="00194C77" w:rsidRPr="00311ECD" w:rsidTr="00D31349">
        <w:trPr>
          <w:trHeight w:val="579"/>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0</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Control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85,375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1,13,600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28,225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1.33</w:t>
            </w:r>
          </w:p>
        </w:tc>
      </w:tr>
      <w:tr w:rsidR="00194C77" w:rsidRPr="00311ECD" w:rsidTr="00D31349">
        <w:trPr>
          <w:trHeight w:val="345"/>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1</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lang w:val="sv-SE"/>
              </w:rPr>
            </w:pPr>
            <w:r w:rsidRPr="00311ECD">
              <w:rPr>
                <w:rFonts w:ascii="Times New Roman" w:hAnsi="Times New Roman" w:cs="Times New Roman"/>
                <w:sz w:val="24"/>
                <w:szCs w:val="24"/>
              </w:rPr>
              <w:t xml:space="preserve"> RDF 100% [NPK: 25:50:25 Kg/ha]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lang w:val="sv-SE"/>
              </w:rPr>
            </w:pPr>
            <w:r w:rsidRPr="00311ECD">
              <w:rPr>
                <w:rFonts w:ascii="Times New Roman" w:hAnsi="Times New Roman" w:cs="Times New Roman"/>
                <w:sz w:val="24"/>
                <w:szCs w:val="24"/>
              </w:rPr>
              <w:t>89,269</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1,95,700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1,06,431</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2.19</w:t>
            </w:r>
          </w:p>
        </w:tc>
      </w:tr>
      <w:tr w:rsidR="00194C77" w:rsidRPr="00311ECD" w:rsidTr="00D31349">
        <w:trPr>
          <w:trHeight w:val="52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2</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Farmyard manure (FYM) 100%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1,04,125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1,26,800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22,675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1.22</w:t>
            </w:r>
          </w:p>
        </w:tc>
      </w:tr>
      <w:tr w:rsidR="00194C77" w:rsidRPr="00311ECD" w:rsidTr="00D31349">
        <w:trPr>
          <w:trHeight w:val="459"/>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3</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Vermicompost (VC) 100%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97,375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1,83,000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85,625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1.88</w:t>
            </w:r>
          </w:p>
        </w:tc>
      </w:tr>
      <w:tr w:rsidR="00194C77" w:rsidRPr="00311ECD" w:rsidTr="00D31349">
        <w:trPr>
          <w:trHeight w:val="62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4</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Poultry Manure (PM) 100%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1,03,375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1,61,200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57,825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1.56</w:t>
            </w:r>
          </w:p>
        </w:tc>
      </w:tr>
      <w:tr w:rsidR="00194C77" w:rsidRPr="00311ECD" w:rsidTr="00D31349">
        <w:trPr>
          <w:trHeight w:val="62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5</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FYM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92,997</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1,29,600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36,603</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1.39</w:t>
            </w:r>
          </w:p>
        </w:tc>
      </w:tr>
      <w:tr w:rsidR="00194C77" w:rsidRPr="00311ECD" w:rsidTr="00D31349">
        <w:trPr>
          <w:trHeight w:val="62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6</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VC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91,309</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1,91,700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1,00,391</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2.10</w:t>
            </w:r>
          </w:p>
        </w:tc>
      </w:tr>
      <w:tr w:rsidR="00194C77" w:rsidRPr="00311ECD" w:rsidTr="00D31349">
        <w:trPr>
          <w:trHeight w:val="62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7</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PM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92,809</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1,58,100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65,291</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1.70</w:t>
            </w:r>
          </w:p>
        </w:tc>
      </w:tr>
      <w:tr w:rsidR="00194C77" w:rsidRPr="00311ECD" w:rsidTr="00D31349">
        <w:trPr>
          <w:trHeight w:val="62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8</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25% RDF + 25% FYM + 25% VC + 25% PM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both"/>
              <w:rPr>
                <w:rFonts w:ascii="Times New Roman" w:hAnsi="Times New Roman" w:cs="Times New Roman"/>
                <w:sz w:val="24"/>
                <w:szCs w:val="24"/>
                <w:lang w:val="en-GB"/>
              </w:rPr>
            </w:pPr>
            <w:r w:rsidRPr="00311ECD">
              <w:rPr>
                <w:rFonts w:ascii="Times New Roman" w:hAnsi="Times New Roman" w:cs="Times New Roman"/>
                <w:sz w:val="24"/>
                <w:szCs w:val="24"/>
              </w:rPr>
              <w:t>98,529</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1,89,700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91,171</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1.93</w:t>
            </w:r>
          </w:p>
        </w:tc>
      </w:tr>
      <w:tr w:rsidR="00194C77" w:rsidRPr="00311ECD" w:rsidTr="00D31349">
        <w:trPr>
          <w:trHeight w:val="628"/>
        </w:trPr>
        <w:tc>
          <w:tcPr>
            <w:tcW w:w="1505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349" w:rsidRPr="00311ECD" w:rsidRDefault="00D31349" w:rsidP="005833CD">
            <w:pPr>
              <w:spacing w:line="276" w:lineRule="auto"/>
              <w:contextualSpacing/>
              <w:jc w:val="center"/>
              <w:rPr>
                <w:rFonts w:ascii="Times New Roman" w:hAnsi="Times New Roman" w:cs="Times New Roman"/>
                <w:sz w:val="24"/>
                <w:szCs w:val="24"/>
              </w:rPr>
            </w:pPr>
            <w:r w:rsidRPr="00311ECD">
              <w:rPr>
                <w:rFonts w:ascii="Times New Roman" w:hAnsi="Times New Roman" w:cs="Times New Roman"/>
                <w:sz w:val="24"/>
                <w:szCs w:val="24"/>
              </w:rPr>
              <w:t xml:space="preserve">Selling price of Cowpea: Rs 30/kg </w:t>
            </w:r>
          </w:p>
        </w:tc>
      </w:tr>
    </w:tbl>
    <w:p w:rsidR="00211953" w:rsidRPr="00311ECD" w:rsidRDefault="00211953" w:rsidP="005833CD">
      <w:pPr>
        <w:rPr>
          <w:rFonts w:ascii="Times New Roman" w:hAnsi="Times New Roman" w:cs="Times New Roman"/>
          <w:sz w:val="24"/>
          <w:szCs w:val="24"/>
        </w:rPr>
        <w:sectPr w:rsidR="00211953" w:rsidRPr="00311ECD" w:rsidSect="0040395B">
          <w:footerReference w:type="default" r:id="rId11"/>
          <w:pgSz w:w="16839" w:h="11907" w:code="9"/>
          <w:pgMar w:top="1440" w:right="1440" w:bottom="1440" w:left="1440" w:header="709" w:footer="709" w:gutter="0"/>
          <w:pgNumType w:start="42"/>
          <w:cols w:space="708"/>
          <w:docGrid w:linePitch="360"/>
        </w:sectPr>
      </w:pPr>
    </w:p>
    <w:p w:rsidR="00211953" w:rsidRPr="00311ECD" w:rsidRDefault="00211953" w:rsidP="005833CD">
      <w:pPr>
        <w:jc w:val="both"/>
        <w:rPr>
          <w:rFonts w:ascii="Times New Roman" w:hAnsi="Times New Roman" w:cs="Times New Roman"/>
          <w:sz w:val="24"/>
          <w:szCs w:val="24"/>
        </w:rPr>
      </w:pPr>
    </w:p>
    <w:sectPr w:rsidR="00211953" w:rsidRPr="00311ECD" w:rsidSect="00F0112F">
      <w:footerReference w:type="default" r:id="rId1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CAB" w:rsidRDefault="00667CAB" w:rsidP="00CC2AFD">
      <w:pPr>
        <w:spacing w:after="0" w:line="240" w:lineRule="auto"/>
      </w:pPr>
      <w:r>
        <w:separator/>
      </w:r>
    </w:p>
  </w:endnote>
  <w:endnote w:type="continuationSeparator" w:id="0">
    <w:p w:rsidR="00667CAB" w:rsidRDefault="00667CAB" w:rsidP="00CC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0C0" w:rsidRPr="00427E4C" w:rsidRDefault="00B510C0">
    <w:pPr>
      <w:pStyle w:val="Footer"/>
      <w:jc w:val="center"/>
      <w:rPr>
        <w:rFonts w:ascii="Times New Roman" w:hAnsi="Times New Roman" w:cs="Times New Roman"/>
      </w:rPr>
    </w:pPr>
  </w:p>
  <w:p w:rsidR="00B510C0" w:rsidRDefault="00B510C0">
    <w:pPr>
      <w:pStyle w:val="BodyText"/>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953" w:rsidRPr="00097161" w:rsidRDefault="00211953" w:rsidP="00097161">
    <w:pPr>
      <w:pStyle w:val="Footer"/>
      <w:pBdr>
        <w:top w:val="single" w:sz="4" w:space="1" w:color="D9D9D9" w:themeColor="background1" w:themeShade="D9"/>
      </w:pBdr>
      <w:ind w:right="252"/>
      <w:jc w:val="right"/>
      <w:rPr>
        <w:rFonts w:ascii="Times New Roman" w:hAnsi="Times New Roman" w:cs="Times New Roman"/>
      </w:rPr>
    </w:pPr>
  </w:p>
  <w:p w:rsidR="00211953" w:rsidRPr="00097161" w:rsidRDefault="00211953">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AFD" w:rsidRDefault="00CC2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CAB" w:rsidRDefault="00667CAB" w:rsidP="00CC2AFD">
      <w:pPr>
        <w:spacing w:after="0" w:line="240" w:lineRule="auto"/>
      </w:pPr>
      <w:r>
        <w:separator/>
      </w:r>
    </w:p>
  </w:footnote>
  <w:footnote w:type="continuationSeparator" w:id="0">
    <w:p w:rsidR="00667CAB" w:rsidRDefault="00667CAB" w:rsidP="00CC2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299E"/>
    <w:multiLevelType w:val="hybridMultilevel"/>
    <w:tmpl w:val="207CB96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F3619F"/>
    <w:multiLevelType w:val="hybridMultilevel"/>
    <w:tmpl w:val="9B8A8126"/>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F92AA7"/>
    <w:multiLevelType w:val="hybridMultilevel"/>
    <w:tmpl w:val="439AE88E"/>
    <w:lvl w:ilvl="0" w:tplc="719E15CA">
      <w:start w:val="1"/>
      <w:numFmt w:val="decimal"/>
      <w:lvlText w:val="%1."/>
      <w:lvlJc w:val="left"/>
      <w:pPr>
        <w:ind w:left="773" w:hanging="360"/>
      </w:pPr>
      <w:rPr>
        <w:rFonts w:hint="default"/>
      </w:rPr>
    </w:lvl>
    <w:lvl w:ilvl="1" w:tplc="40090019" w:tentative="1">
      <w:start w:val="1"/>
      <w:numFmt w:val="lowerLetter"/>
      <w:lvlText w:val="%2."/>
      <w:lvlJc w:val="left"/>
      <w:pPr>
        <w:ind w:left="1493" w:hanging="360"/>
      </w:pPr>
    </w:lvl>
    <w:lvl w:ilvl="2" w:tplc="4009001B" w:tentative="1">
      <w:start w:val="1"/>
      <w:numFmt w:val="lowerRoman"/>
      <w:lvlText w:val="%3."/>
      <w:lvlJc w:val="right"/>
      <w:pPr>
        <w:ind w:left="2213" w:hanging="180"/>
      </w:pPr>
    </w:lvl>
    <w:lvl w:ilvl="3" w:tplc="4009000F" w:tentative="1">
      <w:start w:val="1"/>
      <w:numFmt w:val="decimal"/>
      <w:lvlText w:val="%4."/>
      <w:lvlJc w:val="left"/>
      <w:pPr>
        <w:ind w:left="2933" w:hanging="360"/>
      </w:pPr>
    </w:lvl>
    <w:lvl w:ilvl="4" w:tplc="40090019" w:tentative="1">
      <w:start w:val="1"/>
      <w:numFmt w:val="lowerLetter"/>
      <w:lvlText w:val="%5."/>
      <w:lvlJc w:val="left"/>
      <w:pPr>
        <w:ind w:left="3653" w:hanging="360"/>
      </w:pPr>
    </w:lvl>
    <w:lvl w:ilvl="5" w:tplc="4009001B" w:tentative="1">
      <w:start w:val="1"/>
      <w:numFmt w:val="lowerRoman"/>
      <w:lvlText w:val="%6."/>
      <w:lvlJc w:val="right"/>
      <w:pPr>
        <w:ind w:left="4373" w:hanging="180"/>
      </w:pPr>
    </w:lvl>
    <w:lvl w:ilvl="6" w:tplc="4009000F" w:tentative="1">
      <w:start w:val="1"/>
      <w:numFmt w:val="decimal"/>
      <w:lvlText w:val="%7."/>
      <w:lvlJc w:val="left"/>
      <w:pPr>
        <w:ind w:left="5093" w:hanging="360"/>
      </w:pPr>
    </w:lvl>
    <w:lvl w:ilvl="7" w:tplc="40090019" w:tentative="1">
      <w:start w:val="1"/>
      <w:numFmt w:val="lowerLetter"/>
      <w:lvlText w:val="%8."/>
      <w:lvlJc w:val="left"/>
      <w:pPr>
        <w:ind w:left="5813" w:hanging="360"/>
      </w:pPr>
    </w:lvl>
    <w:lvl w:ilvl="8" w:tplc="4009001B" w:tentative="1">
      <w:start w:val="1"/>
      <w:numFmt w:val="lowerRoman"/>
      <w:lvlText w:val="%9."/>
      <w:lvlJc w:val="right"/>
      <w:pPr>
        <w:ind w:left="6533" w:hanging="180"/>
      </w:pPr>
    </w:lvl>
  </w:abstractNum>
  <w:abstractNum w:abstractNumId="3" w15:restartNumberingAfterBreak="0">
    <w:nsid w:val="17BF297C"/>
    <w:multiLevelType w:val="hybridMultilevel"/>
    <w:tmpl w:val="B09E1F08"/>
    <w:lvl w:ilvl="0" w:tplc="FB266FE0">
      <w:start w:val="1"/>
      <w:numFmt w:val="decimal"/>
      <w:lvlText w:val="%1."/>
      <w:lvlJc w:val="left"/>
      <w:pPr>
        <w:ind w:left="1080" w:hanging="360"/>
      </w:pPr>
      <w:rPr>
        <w:rFonts w:ascii="Times New Roman" w:eastAsiaTheme="minorEastAsia" w:hAnsi="Times New Roman" w:cstheme="minorBidi"/>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A210765"/>
    <w:multiLevelType w:val="hybridMultilevel"/>
    <w:tmpl w:val="04EE7E32"/>
    <w:lvl w:ilvl="0" w:tplc="7F00ABC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236204"/>
    <w:multiLevelType w:val="multilevel"/>
    <w:tmpl w:val="0B005B02"/>
    <w:lvl w:ilvl="0">
      <w:start w:val="4"/>
      <w:numFmt w:val="decimal"/>
      <w:lvlText w:val="%1"/>
      <w:lvlJc w:val="left"/>
      <w:pPr>
        <w:ind w:left="420" w:hanging="420"/>
      </w:pPr>
      <w:rPr>
        <w:rFonts w:eastAsia="Calibri" w:hint="default"/>
        <w:b/>
      </w:rPr>
    </w:lvl>
    <w:lvl w:ilvl="1">
      <w:start w:val="11"/>
      <w:numFmt w:val="decimal"/>
      <w:lvlText w:val="%1.%2"/>
      <w:lvlJc w:val="left"/>
      <w:pPr>
        <w:ind w:left="780" w:hanging="420"/>
      </w:pPr>
      <w:rPr>
        <w:rFonts w:eastAsia="Calibri" w:hint="default"/>
        <w:b/>
      </w:rPr>
    </w:lvl>
    <w:lvl w:ilvl="2">
      <w:start w:val="1"/>
      <w:numFmt w:val="upperLetter"/>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6" w15:restartNumberingAfterBreak="0">
    <w:nsid w:val="3B160C5A"/>
    <w:multiLevelType w:val="hybridMultilevel"/>
    <w:tmpl w:val="C22C944C"/>
    <w:lvl w:ilvl="0" w:tplc="8EE43DAC">
      <w:start w:val="1"/>
      <w:numFmt w:val="decimal"/>
      <w:lvlText w:val="%1."/>
      <w:lvlJc w:val="left"/>
      <w:pPr>
        <w:ind w:left="720" w:hanging="360"/>
      </w:pPr>
      <w:rPr>
        <w:rFonts w:ascii="Times New Roman" w:hAnsi="Times New Roman" w:cs="Times New Roman"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E345594"/>
    <w:multiLevelType w:val="hybridMultilevel"/>
    <w:tmpl w:val="E40C525C"/>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8" w15:restartNumberingAfterBreak="0">
    <w:nsid w:val="538D158F"/>
    <w:multiLevelType w:val="hybridMultilevel"/>
    <w:tmpl w:val="40A43E9E"/>
    <w:lvl w:ilvl="0" w:tplc="677A09C6">
      <w:start w:val="1"/>
      <w:numFmt w:val="decimal"/>
      <w:lvlText w:val="%1."/>
      <w:lvlJc w:val="left"/>
      <w:pPr>
        <w:ind w:left="720" w:hanging="360"/>
      </w:pPr>
      <w:rPr>
        <w:rFonts w:eastAsia="Calibr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E1118B2"/>
    <w:multiLevelType w:val="hybridMultilevel"/>
    <w:tmpl w:val="2E00FFE8"/>
    <w:lvl w:ilvl="0" w:tplc="A67EA166">
      <w:start w:val="1"/>
      <w:numFmt w:val="upp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5"/>
  </w:num>
  <w:num w:numId="2">
    <w:abstractNumId w:val="6"/>
  </w:num>
  <w:num w:numId="3">
    <w:abstractNumId w:val="0"/>
  </w:num>
  <w:num w:numId="4">
    <w:abstractNumId w:val="4"/>
  </w:num>
  <w:num w:numId="5">
    <w:abstractNumId w:val="2"/>
  </w:num>
  <w:num w:numId="6">
    <w:abstractNumId w:val="9"/>
  </w:num>
  <w:num w:numId="7">
    <w:abstractNumId w:val="3"/>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DBF"/>
    <w:rsid w:val="00001CA3"/>
    <w:rsid w:val="00020FC4"/>
    <w:rsid w:val="00033223"/>
    <w:rsid w:val="00033A4F"/>
    <w:rsid w:val="000446C1"/>
    <w:rsid w:val="00050D31"/>
    <w:rsid w:val="000535DB"/>
    <w:rsid w:val="00053EF2"/>
    <w:rsid w:val="00060D2C"/>
    <w:rsid w:val="000632CA"/>
    <w:rsid w:val="000666A9"/>
    <w:rsid w:val="00073A1B"/>
    <w:rsid w:val="000945CF"/>
    <w:rsid w:val="00095A27"/>
    <w:rsid w:val="000A4941"/>
    <w:rsid w:val="000A772E"/>
    <w:rsid w:val="000C2FD6"/>
    <w:rsid w:val="000C57D3"/>
    <w:rsid w:val="000C5CE8"/>
    <w:rsid w:val="000E17B9"/>
    <w:rsid w:val="0010750C"/>
    <w:rsid w:val="001205DB"/>
    <w:rsid w:val="0014358F"/>
    <w:rsid w:val="001569ED"/>
    <w:rsid w:val="00171220"/>
    <w:rsid w:val="001812A1"/>
    <w:rsid w:val="00191539"/>
    <w:rsid w:val="00194C77"/>
    <w:rsid w:val="001C405C"/>
    <w:rsid w:val="001C4B6E"/>
    <w:rsid w:val="001C55A1"/>
    <w:rsid w:val="001C7E7C"/>
    <w:rsid w:val="001D01C9"/>
    <w:rsid w:val="001D47C9"/>
    <w:rsid w:val="00211953"/>
    <w:rsid w:val="00222C54"/>
    <w:rsid w:val="00232470"/>
    <w:rsid w:val="00233091"/>
    <w:rsid w:val="0023367E"/>
    <w:rsid w:val="002359B7"/>
    <w:rsid w:val="0025172A"/>
    <w:rsid w:val="00257CDD"/>
    <w:rsid w:val="002720BD"/>
    <w:rsid w:val="002838AE"/>
    <w:rsid w:val="002A0143"/>
    <w:rsid w:val="002A7BB0"/>
    <w:rsid w:val="002B6528"/>
    <w:rsid w:val="002C1D8A"/>
    <w:rsid w:val="002D26A4"/>
    <w:rsid w:val="002D3123"/>
    <w:rsid w:val="002E53DE"/>
    <w:rsid w:val="002F51D8"/>
    <w:rsid w:val="002F5CDA"/>
    <w:rsid w:val="002F6DB6"/>
    <w:rsid w:val="00306C71"/>
    <w:rsid w:val="00311ECD"/>
    <w:rsid w:val="00320DD3"/>
    <w:rsid w:val="00330EAD"/>
    <w:rsid w:val="003364B7"/>
    <w:rsid w:val="00344B2D"/>
    <w:rsid w:val="003579A1"/>
    <w:rsid w:val="00361892"/>
    <w:rsid w:val="003624B4"/>
    <w:rsid w:val="0036338B"/>
    <w:rsid w:val="00363A64"/>
    <w:rsid w:val="00363FDE"/>
    <w:rsid w:val="003716DD"/>
    <w:rsid w:val="00371B74"/>
    <w:rsid w:val="003867FF"/>
    <w:rsid w:val="00396F21"/>
    <w:rsid w:val="003B138F"/>
    <w:rsid w:val="003B3837"/>
    <w:rsid w:val="003C0C25"/>
    <w:rsid w:val="003D1258"/>
    <w:rsid w:val="003E0D71"/>
    <w:rsid w:val="003F2E46"/>
    <w:rsid w:val="003F7A67"/>
    <w:rsid w:val="0040395B"/>
    <w:rsid w:val="00411013"/>
    <w:rsid w:val="0042568D"/>
    <w:rsid w:val="00425F6F"/>
    <w:rsid w:val="00430DAC"/>
    <w:rsid w:val="00451CEB"/>
    <w:rsid w:val="00454E58"/>
    <w:rsid w:val="00463B04"/>
    <w:rsid w:val="004644B5"/>
    <w:rsid w:val="004715A3"/>
    <w:rsid w:val="004851CF"/>
    <w:rsid w:val="00487B25"/>
    <w:rsid w:val="004A619B"/>
    <w:rsid w:val="004A7D62"/>
    <w:rsid w:val="004E3F1F"/>
    <w:rsid w:val="004F4A6D"/>
    <w:rsid w:val="004F7DAE"/>
    <w:rsid w:val="00503733"/>
    <w:rsid w:val="00505999"/>
    <w:rsid w:val="0051156E"/>
    <w:rsid w:val="00514038"/>
    <w:rsid w:val="005304DE"/>
    <w:rsid w:val="0053414E"/>
    <w:rsid w:val="00544558"/>
    <w:rsid w:val="005526A1"/>
    <w:rsid w:val="005656F8"/>
    <w:rsid w:val="00567B96"/>
    <w:rsid w:val="00573A3C"/>
    <w:rsid w:val="00576BFC"/>
    <w:rsid w:val="005833CD"/>
    <w:rsid w:val="00590B76"/>
    <w:rsid w:val="00591810"/>
    <w:rsid w:val="005A3CFF"/>
    <w:rsid w:val="005A5243"/>
    <w:rsid w:val="0060467B"/>
    <w:rsid w:val="00610456"/>
    <w:rsid w:val="00613DEB"/>
    <w:rsid w:val="00616D38"/>
    <w:rsid w:val="00625E18"/>
    <w:rsid w:val="00634361"/>
    <w:rsid w:val="00634AAC"/>
    <w:rsid w:val="00636B3D"/>
    <w:rsid w:val="006422DF"/>
    <w:rsid w:val="006438C6"/>
    <w:rsid w:val="0065227C"/>
    <w:rsid w:val="00657F8B"/>
    <w:rsid w:val="00665F7C"/>
    <w:rsid w:val="00666089"/>
    <w:rsid w:val="00667CAB"/>
    <w:rsid w:val="00671D1B"/>
    <w:rsid w:val="00671D5C"/>
    <w:rsid w:val="006801DA"/>
    <w:rsid w:val="006818F4"/>
    <w:rsid w:val="006A0E87"/>
    <w:rsid w:val="006B154B"/>
    <w:rsid w:val="006B1AB5"/>
    <w:rsid w:val="006B5084"/>
    <w:rsid w:val="006C75C7"/>
    <w:rsid w:val="006D5431"/>
    <w:rsid w:val="006D57AE"/>
    <w:rsid w:val="006E280E"/>
    <w:rsid w:val="006F1038"/>
    <w:rsid w:val="006F715F"/>
    <w:rsid w:val="007015AC"/>
    <w:rsid w:val="00725ACA"/>
    <w:rsid w:val="00734A86"/>
    <w:rsid w:val="00734B88"/>
    <w:rsid w:val="007457F6"/>
    <w:rsid w:val="00755FC5"/>
    <w:rsid w:val="00775641"/>
    <w:rsid w:val="00775E49"/>
    <w:rsid w:val="007942CC"/>
    <w:rsid w:val="00796A38"/>
    <w:rsid w:val="0079797C"/>
    <w:rsid w:val="007A3235"/>
    <w:rsid w:val="007A6453"/>
    <w:rsid w:val="007B3CEF"/>
    <w:rsid w:val="007B4447"/>
    <w:rsid w:val="007C6D7F"/>
    <w:rsid w:val="007D26B9"/>
    <w:rsid w:val="00803623"/>
    <w:rsid w:val="00807B6E"/>
    <w:rsid w:val="00816FCD"/>
    <w:rsid w:val="00830AF4"/>
    <w:rsid w:val="00832108"/>
    <w:rsid w:val="00836595"/>
    <w:rsid w:val="00842150"/>
    <w:rsid w:val="00866A91"/>
    <w:rsid w:val="00872FC3"/>
    <w:rsid w:val="0087371D"/>
    <w:rsid w:val="008868B3"/>
    <w:rsid w:val="00893646"/>
    <w:rsid w:val="00895E38"/>
    <w:rsid w:val="008D72A9"/>
    <w:rsid w:val="008D7EF1"/>
    <w:rsid w:val="008E5AF2"/>
    <w:rsid w:val="008E6D2C"/>
    <w:rsid w:val="008F4763"/>
    <w:rsid w:val="008F4C88"/>
    <w:rsid w:val="00900EDC"/>
    <w:rsid w:val="009144F3"/>
    <w:rsid w:val="00923A2D"/>
    <w:rsid w:val="00947403"/>
    <w:rsid w:val="00966C9F"/>
    <w:rsid w:val="00970615"/>
    <w:rsid w:val="009944E6"/>
    <w:rsid w:val="009C2E1B"/>
    <w:rsid w:val="009C4A21"/>
    <w:rsid w:val="009C53B9"/>
    <w:rsid w:val="009F1452"/>
    <w:rsid w:val="00A06967"/>
    <w:rsid w:val="00A11D83"/>
    <w:rsid w:val="00A33AB9"/>
    <w:rsid w:val="00A40574"/>
    <w:rsid w:val="00A64F34"/>
    <w:rsid w:val="00A73268"/>
    <w:rsid w:val="00A73D0F"/>
    <w:rsid w:val="00A779D8"/>
    <w:rsid w:val="00A93271"/>
    <w:rsid w:val="00A97535"/>
    <w:rsid w:val="00AB006D"/>
    <w:rsid w:val="00AB471F"/>
    <w:rsid w:val="00AD07B5"/>
    <w:rsid w:val="00AE6D79"/>
    <w:rsid w:val="00AE7D29"/>
    <w:rsid w:val="00AF2F89"/>
    <w:rsid w:val="00AF4794"/>
    <w:rsid w:val="00B03119"/>
    <w:rsid w:val="00B07368"/>
    <w:rsid w:val="00B07F25"/>
    <w:rsid w:val="00B141CF"/>
    <w:rsid w:val="00B256B4"/>
    <w:rsid w:val="00B26F1C"/>
    <w:rsid w:val="00B31BDA"/>
    <w:rsid w:val="00B344B4"/>
    <w:rsid w:val="00B449B8"/>
    <w:rsid w:val="00B45866"/>
    <w:rsid w:val="00B475F8"/>
    <w:rsid w:val="00B510C0"/>
    <w:rsid w:val="00B667E9"/>
    <w:rsid w:val="00B76981"/>
    <w:rsid w:val="00B87E7D"/>
    <w:rsid w:val="00BA4748"/>
    <w:rsid w:val="00BB21EB"/>
    <w:rsid w:val="00BB3E86"/>
    <w:rsid w:val="00BE129F"/>
    <w:rsid w:val="00BE2CE8"/>
    <w:rsid w:val="00C02CDC"/>
    <w:rsid w:val="00C369F9"/>
    <w:rsid w:val="00C40E1D"/>
    <w:rsid w:val="00C41918"/>
    <w:rsid w:val="00C73310"/>
    <w:rsid w:val="00C87F80"/>
    <w:rsid w:val="00CB7726"/>
    <w:rsid w:val="00CC2AFD"/>
    <w:rsid w:val="00CC5B56"/>
    <w:rsid w:val="00CC685E"/>
    <w:rsid w:val="00CE2374"/>
    <w:rsid w:val="00D0128D"/>
    <w:rsid w:val="00D228BD"/>
    <w:rsid w:val="00D24FBE"/>
    <w:rsid w:val="00D31349"/>
    <w:rsid w:val="00D400ED"/>
    <w:rsid w:val="00D60858"/>
    <w:rsid w:val="00D61D95"/>
    <w:rsid w:val="00D819F1"/>
    <w:rsid w:val="00D93BA7"/>
    <w:rsid w:val="00DA0CC9"/>
    <w:rsid w:val="00DA5B47"/>
    <w:rsid w:val="00DB7414"/>
    <w:rsid w:val="00DE3EDB"/>
    <w:rsid w:val="00E019AF"/>
    <w:rsid w:val="00E01E0B"/>
    <w:rsid w:val="00E15FD5"/>
    <w:rsid w:val="00E26B7D"/>
    <w:rsid w:val="00E32F6D"/>
    <w:rsid w:val="00E43620"/>
    <w:rsid w:val="00E45203"/>
    <w:rsid w:val="00E46DBF"/>
    <w:rsid w:val="00E62A1E"/>
    <w:rsid w:val="00E83BB1"/>
    <w:rsid w:val="00E9334E"/>
    <w:rsid w:val="00E962D1"/>
    <w:rsid w:val="00EA21E6"/>
    <w:rsid w:val="00EB6B7B"/>
    <w:rsid w:val="00ED3339"/>
    <w:rsid w:val="00EE5A54"/>
    <w:rsid w:val="00F0112F"/>
    <w:rsid w:val="00F015B0"/>
    <w:rsid w:val="00F106E4"/>
    <w:rsid w:val="00F235CF"/>
    <w:rsid w:val="00F27225"/>
    <w:rsid w:val="00F373A2"/>
    <w:rsid w:val="00F4126E"/>
    <w:rsid w:val="00F642D8"/>
    <w:rsid w:val="00F64BED"/>
    <w:rsid w:val="00F71C08"/>
    <w:rsid w:val="00F80FB7"/>
    <w:rsid w:val="00FC193F"/>
    <w:rsid w:val="00FD0D78"/>
    <w:rsid w:val="00FE430D"/>
    <w:rsid w:val="00FF328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1A6188"/>
  <w15:docId w15:val="{9EA3DECA-580B-4F01-BFA1-05853116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6A9"/>
    <w:pPr>
      <w:spacing w:after="160" w:line="259" w:lineRule="auto"/>
      <w:ind w:left="720"/>
      <w:contextualSpacing/>
    </w:pPr>
    <w:rPr>
      <w:rFonts w:eastAsiaTheme="minorEastAsia"/>
    </w:rPr>
  </w:style>
  <w:style w:type="table" w:styleId="TableGrid">
    <w:name w:val="Table Grid"/>
    <w:basedOn w:val="TableNormal"/>
    <w:uiPriority w:val="59"/>
    <w:rsid w:val="00734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
    <w:name w:val="List Table 4 - Accent 31"/>
    <w:basedOn w:val="TableNormal"/>
    <w:uiPriority w:val="49"/>
    <w:rsid w:val="00A97535"/>
    <w:pPr>
      <w:spacing w:after="0" w:line="240" w:lineRule="auto"/>
    </w:pPr>
    <w:rPr>
      <w:szCs w:val="20"/>
      <w:lang w:val="en-US" w:bidi="hi-I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41">
    <w:name w:val="Grid Table 1 Light - Accent 41"/>
    <w:basedOn w:val="TableNormal"/>
    <w:uiPriority w:val="46"/>
    <w:rsid w:val="00A97535"/>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7457F6"/>
    <w:pPr>
      <w:spacing w:after="0" w:line="240" w:lineRule="auto"/>
    </w:pPr>
    <w:rPr>
      <w:szCs w:val="20"/>
      <w:lang w:val="en-US" w:bidi="hi-I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457F6"/>
    <w:pPr>
      <w:spacing w:before="100" w:beforeAutospacing="1" w:after="100" w:afterAutospacing="1" w:line="240" w:lineRule="auto"/>
    </w:pPr>
    <w:rPr>
      <w:rFonts w:ascii="Times New Roman" w:eastAsia="Times New Roman" w:hAnsi="Times New Roman" w:cs="Times New Roman"/>
      <w:sz w:val="24"/>
      <w:szCs w:val="24"/>
      <w:lang w:val="en-GB" w:eastAsia="en-GB" w:bidi="hi-IN"/>
    </w:rPr>
  </w:style>
  <w:style w:type="table" w:customStyle="1" w:styleId="TableGridLight1">
    <w:name w:val="Table Grid Light1"/>
    <w:basedOn w:val="TableNormal"/>
    <w:uiPriority w:val="40"/>
    <w:rsid w:val="00487B25"/>
    <w:pPr>
      <w:spacing w:after="0" w:line="240" w:lineRule="auto"/>
    </w:pPr>
    <w:rPr>
      <w:szCs w:val="20"/>
      <w:lang w:val="en-US"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CC2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AFD"/>
  </w:style>
  <w:style w:type="paragraph" w:styleId="Footer">
    <w:name w:val="footer"/>
    <w:basedOn w:val="Normal"/>
    <w:link w:val="FooterChar"/>
    <w:uiPriority w:val="99"/>
    <w:unhideWhenUsed/>
    <w:rsid w:val="00CC2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AFD"/>
  </w:style>
  <w:style w:type="paragraph" w:styleId="BodyText">
    <w:name w:val="Body Text"/>
    <w:basedOn w:val="Normal"/>
    <w:link w:val="BodyTextChar"/>
    <w:uiPriority w:val="99"/>
    <w:unhideWhenUsed/>
    <w:rsid w:val="00591810"/>
    <w:pPr>
      <w:spacing w:after="120" w:line="259" w:lineRule="auto"/>
    </w:pPr>
    <w:rPr>
      <w:rFonts w:eastAsiaTheme="minorEastAsia"/>
    </w:rPr>
  </w:style>
  <w:style w:type="character" w:customStyle="1" w:styleId="BodyTextChar">
    <w:name w:val="Body Text Char"/>
    <w:basedOn w:val="DefaultParagraphFont"/>
    <w:link w:val="BodyText"/>
    <w:uiPriority w:val="99"/>
    <w:rsid w:val="00591810"/>
    <w:rPr>
      <w:rFonts w:eastAsiaTheme="minorEastAsia"/>
    </w:rPr>
  </w:style>
  <w:style w:type="character" w:styleId="Hyperlink">
    <w:name w:val="Hyperlink"/>
    <w:basedOn w:val="DefaultParagraphFont"/>
    <w:uiPriority w:val="99"/>
    <w:unhideWhenUsed/>
    <w:rsid w:val="00B510C0"/>
    <w:rPr>
      <w:color w:val="0000FF" w:themeColor="hyperlink"/>
      <w:u w:val="single"/>
    </w:rPr>
  </w:style>
  <w:style w:type="paragraph" w:styleId="BalloonText">
    <w:name w:val="Balloon Text"/>
    <w:basedOn w:val="Normal"/>
    <w:link w:val="BalloonTextChar"/>
    <w:uiPriority w:val="99"/>
    <w:semiHidden/>
    <w:unhideWhenUsed/>
    <w:rsid w:val="00311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ECD"/>
    <w:rPr>
      <w:rFonts w:ascii="Tahoma" w:hAnsi="Tahoma" w:cs="Tahoma"/>
      <w:sz w:val="16"/>
      <w:szCs w:val="16"/>
    </w:rPr>
  </w:style>
  <w:style w:type="character" w:styleId="UnresolvedMention">
    <w:name w:val="Unresolved Mention"/>
    <w:basedOn w:val="DefaultParagraphFont"/>
    <w:uiPriority w:val="99"/>
    <w:semiHidden/>
    <w:unhideWhenUsed/>
    <w:rsid w:val="00B87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151380">
      <w:bodyDiv w:val="1"/>
      <w:marLeft w:val="0"/>
      <w:marRight w:val="0"/>
      <w:marTop w:val="0"/>
      <w:marBottom w:val="0"/>
      <w:divBdr>
        <w:top w:val="none" w:sz="0" w:space="0" w:color="auto"/>
        <w:left w:val="none" w:sz="0" w:space="0" w:color="auto"/>
        <w:bottom w:val="none" w:sz="0" w:space="0" w:color="auto"/>
        <w:right w:val="none" w:sz="0" w:space="0" w:color="auto"/>
      </w:divBdr>
    </w:div>
    <w:div w:id="1400519141">
      <w:bodyDiv w:val="1"/>
      <w:marLeft w:val="0"/>
      <w:marRight w:val="0"/>
      <w:marTop w:val="0"/>
      <w:marBottom w:val="0"/>
      <w:divBdr>
        <w:top w:val="none" w:sz="0" w:space="0" w:color="auto"/>
        <w:left w:val="none" w:sz="0" w:space="0" w:color="auto"/>
        <w:bottom w:val="none" w:sz="0" w:space="0" w:color="auto"/>
        <w:right w:val="none" w:sz="0" w:space="0" w:color="auto"/>
      </w:divBdr>
    </w:div>
    <w:div w:id="1536850115">
      <w:bodyDiv w:val="1"/>
      <w:marLeft w:val="0"/>
      <w:marRight w:val="0"/>
      <w:marTop w:val="0"/>
      <w:marBottom w:val="0"/>
      <w:divBdr>
        <w:top w:val="none" w:sz="0" w:space="0" w:color="auto"/>
        <w:left w:val="none" w:sz="0" w:space="0" w:color="auto"/>
        <w:bottom w:val="none" w:sz="0" w:space="0" w:color="auto"/>
        <w:right w:val="none" w:sz="0" w:space="0" w:color="auto"/>
      </w:divBdr>
    </w:div>
    <w:div w:id="203583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Thesis\3.%20Balaghat\2024\Horticulture\unpaid\6.%20Adasrh%20Rahangdale\Adarsh%20cowpea%20data%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Thesis\3.%20Balaghat\2024\Horticulture\unpaid\6.%20Adasrh%20Rahangdale\Adarsh%20cowpea%20data%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876659432420704E-2"/>
          <c:y val="2.5891711573004923E-2"/>
          <c:w val="0.77927032029362864"/>
          <c:h val="0.85386639025779976"/>
        </c:manualLayout>
      </c:layout>
      <c:barChart>
        <c:barDir val="col"/>
        <c:grouping val="clustered"/>
        <c:varyColors val="0"/>
        <c:ser>
          <c:idx val="0"/>
          <c:order val="0"/>
          <c:tx>
            <c:strRef>
              <c:f>Sheet7!$B$1</c:f>
              <c:strCache>
                <c:ptCount val="1"/>
                <c:pt idx="0">
                  <c:v>Plant height (cm) At 30 DAS</c:v>
                </c:pt>
              </c:strCache>
            </c:strRef>
          </c:tx>
          <c:spPr>
            <a:solidFill>
              <a:schemeClr val="accent1"/>
            </a:solidFill>
            <a:ln>
              <a:noFill/>
            </a:ln>
            <a:effectLst/>
          </c:spPr>
          <c:invertIfNegative val="0"/>
          <c:cat>
            <c:strRef>
              <c:f>Sheet7!$A$2:$A$10</c:f>
              <c:strCache>
                <c:ptCount val="9"/>
                <c:pt idx="0">
                  <c:v>T0</c:v>
                </c:pt>
                <c:pt idx="1">
                  <c:v>T1</c:v>
                </c:pt>
                <c:pt idx="2">
                  <c:v>T2</c:v>
                </c:pt>
                <c:pt idx="3">
                  <c:v>T3</c:v>
                </c:pt>
                <c:pt idx="4">
                  <c:v>T4</c:v>
                </c:pt>
                <c:pt idx="5">
                  <c:v>T5</c:v>
                </c:pt>
                <c:pt idx="6">
                  <c:v>T6</c:v>
                </c:pt>
                <c:pt idx="7">
                  <c:v>T7</c:v>
                </c:pt>
                <c:pt idx="8">
                  <c:v>T8</c:v>
                </c:pt>
              </c:strCache>
            </c:strRef>
          </c:cat>
          <c:val>
            <c:numRef>
              <c:f>Sheet7!$B$2:$B$10</c:f>
              <c:numCache>
                <c:formatCode>General</c:formatCode>
                <c:ptCount val="9"/>
                <c:pt idx="0">
                  <c:v>42.290000000000013</c:v>
                </c:pt>
                <c:pt idx="1">
                  <c:v>57.85</c:v>
                </c:pt>
                <c:pt idx="2">
                  <c:v>43.05</c:v>
                </c:pt>
                <c:pt idx="3">
                  <c:v>51.720000000000013</c:v>
                </c:pt>
                <c:pt idx="4">
                  <c:v>50.38</c:v>
                </c:pt>
                <c:pt idx="5">
                  <c:v>46.61</c:v>
                </c:pt>
                <c:pt idx="6">
                  <c:v>54.95</c:v>
                </c:pt>
                <c:pt idx="7">
                  <c:v>54.43</c:v>
                </c:pt>
                <c:pt idx="8">
                  <c:v>51.57</c:v>
                </c:pt>
              </c:numCache>
            </c:numRef>
          </c:val>
          <c:extLst>
            <c:ext xmlns:c16="http://schemas.microsoft.com/office/drawing/2014/chart" uri="{C3380CC4-5D6E-409C-BE32-E72D297353CC}">
              <c16:uniqueId val="{00000000-1DC0-4BA8-BBD6-946C16CBC2F7}"/>
            </c:ext>
          </c:extLst>
        </c:ser>
        <c:ser>
          <c:idx val="1"/>
          <c:order val="1"/>
          <c:tx>
            <c:strRef>
              <c:f>Sheet7!$C$1</c:f>
              <c:strCache>
                <c:ptCount val="1"/>
                <c:pt idx="0">
                  <c:v>Plant height (cm) At 50 DAS</c:v>
                </c:pt>
              </c:strCache>
            </c:strRef>
          </c:tx>
          <c:spPr>
            <a:solidFill>
              <a:schemeClr val="accent2"/>
            </a:solidFill>
            <a:ln>
              <a:noFill/>
            </a:ln>
            <a:effectLst/>
          </c:spPr>
          <c:invertIfNegative val="0"/>
          <c:cat>
            <c:strRef>
              <c:f>Sheet7!$A$2:$A$10</c:f>
              <c:strCache>
                <c:ptCount val="9"/>
                <c:pt idx="0">
                  <c:v>T0</c:v>
                </c:pt>
                <c:pt idx="1">
                  <c:v>T1</c:v>
                </c:pt>
                <c:pt idx="2">
                  <c:v>T2</c:v>
                </c:pt>
                <c:pt idx="3">
                  <c:v>T3</c:v>
                </c:pt>
                <c:pt idx="4">
                  <c:v>T4</c:v>
                </c:pt>
                <c:pt idx="5">
                  <c:v>T5</c:v>
                </c:pt>
                <c:pt idx="6">
                  <c:v>T6</c:v>
                </c:pt>
                <c:pt idx="7">
                  <c:v>T7</c:v>
                </c:pt>
                <c:pt idx="8">
                  <c:v>T8</c:v>
                </c:pt>
              </c:strCache>
            </c:strRef>
          </c:cat>
          <c:val>
            <c:numRef>
              <c:f>Sheet7!$C$2:$C$10</c:f>
              <c:numCache>
                <c:formatCode>General</c:formatCode>
                <c:ptCount val="9"/>
                <c:pt idx="0">
                  <c:v>80.430000000000007</c:v>
                </c:pt>
                <c:pt idx="1">
                  <c:v>96.28</c:v>
                </c:pt>
                <c:pt idx="2">
                  <c:v>82.89</c:v>
                </c:pt>
                <c:pt idx="3">
                  <c:v>88.990000000000023</c:v>
                </c:pt>
                <c:pt idx="4">
                  <c:v>88.11999999999999</c:v>
                </c:pt>
                <c:pt idx="5">
                  <c:v>84.82</c:v>
                </c:pt>
                <c:pt idx="6">
                  <c:v>95.31</c:v>
                </c:pt>
                <c:pt idx="7">
                  <c:v>85.84</c:v>
                </c:pt>
                <c:pt idx="8">
                  <c:v>91.66</c:v>
                </c:pt>
              </c:numCache>
            </c:numRef>
          </c:val>
          <c:extLst>
            <c:ext xmlns:c16="http://schemas.microsoft.com/office/drawing/2014/chart" uri="{C3380CC4-5D6E-409C-BE32-E72D297353CC}">
              <c16:uniqueId val="{00000001-1DC0-4BA8-BBD6-946C16CBC2F7}"/>
            </c:ext>
          </c:extLst>
        </c:ser>
        <c:ser>
          <c:idx val="3"/>
          <c:order val="3"/>
          <c:tx>
            <c:strRef>
              <c:f>Sheet7!$E$1</c:f>
              <c:strCache>
                <c:ptCount val="1"/>
                <c:pt idx="0">
                  <c:v>Days to 50% flowering</c:v>
                </c:pt>
              </c:strCache>
            </c:strRef>
          </c:tx>
          <c:spPr>
            <a:solidFill>
              <a:schemeClr val="accent4"/>
            </a:solidFill>
            <a:ln>
              <a:noFill/>
            </a:ln>
            <a:effectLst/>
          </c:spPr>
          <c:invertIfNegative val="0"/>
          <c:cat>
            <c:strRef>
              <c:f>Sheet7!$A$2:$A$10</c:f>
              <c:strCache>
                <c:ptCount val="9"/>
                <c:pt idx="0">
                  <c:v>T0</c:v>
                </c:pt>
                <c:pt idx="1">
                  <c:v>T1</c:v>
                </c:pt>
                <c:pt idx="2">
                  <c:v>T2</c:v>
                </c:pt>
                <c:pt idx="3">
                  <c:v>T3</c:v>
                </c:pt>
                <c:pt idx="4">
                  <c:v>T4</c:v>
                </c:pt>
                <c:pt idx="5">
                  <c:v>T5</c:v>
                </c:pt>
                <c:pt idx="6">
                  <c:v>T6</c:v>
                </c:pt>
                <c:pt idx="7">
                  <c:v>T7</c:v>
                </c:pt>
                <c:pt idx="8">
                  <c:v>T8</c:v>
                </c:pt>
              </c:strCache>
            </c:strRef>
          </c:cat>
          <c:val>
            <c:numRef>
              <c:f>Sheet7!$E$2:$E$10</c:f>
              <c:numCache>
                <c:formatCode>General</c:formatCode>
                <c:ptCount val="9"/>
                <c:pt idx="0">
                  <c:v>51.21</c:v>
                </c:pt>
                <c:pt idx="1">
                  <c:v>42.15</c:v>
                </c:pt>
                <c:pt idx="2">
                  <c:v>50.41</c:v>
                </c:pt>
                <c:pt idx="3">
                  <c:v>44.04</c:v>
                </c:pt>
                <c:pt idx="4">
                  <c:v>44.63</c:v>
                </c:pt>
                <c:pt idx="5">
                  <c:v>48.17</c:v>
                </c:pt>
                <c:pt idx="6">
                  <c:v>45.48</c:v>
                </c:pt>
                <c:pt idx="7">
                  <c:v>45.74</c:v>
                </c:pt>
                <c:pt idx="8">
                  <c:v>43.64</c:v>
                </c:pt>
              </c:numCache>
            </c:numRef>
          </c:val>
          <c:extLst>
            <c:ext xmlns:c16="http://schemas.microsoft.com/office/drawing/2014/chart" uri="{C3380CC4-5D6E-409C-BE32-E72D297353CC}">
              <c16:uniqueId val="{00000002-1DC0-4BA8-BBD6-946C16CBC2F7}"/>
            </c:ext>
          </c:extLst>
        </c:ser>
        <c:ser>
          <c:idx val="4"/>
          <c:order val="4"/>
          <c:tx>
            <c:strRef>
              <c:f>Sheet7!$F$1</c:f>
              <c:strCache>
                <c:ptCount val="1"/>
                <c:pt idx="0">
                  <c:v>Days to 50% pod setting</c:v>
                </c:pt>
              </c:strCache>
            </c:strRef>
          </c:tx>
          <c:spPr>
            <a:solidFill>
              <a:schemeClr val="accent5"/>
            </a:solidFill>
            <a:ln>
              <a:noFill/>
            </a:ln>
            <a:effectLst/>
          </c:spPr>
          <c:invertIfNegative val="0"/>
          <c:cat>
            <c:strRef>
              <c:f>Sheet7!$A$2:$A$10</c:f>
              <c:strCache>
                <c:ptCount val="9"/>
                <c:pt idx="0">
                  <c:v>T0</c:v>
                </c:pt>
                <c:pt idx="1">
                  <c:v>T1</c:v>
                </c:pt>
                <c:pt idx="2">
                  <c:v>T2</c:v>
                </c:pt>
                <c:pt idx="3">
                  <c:v>T3</c:v>
                </c:pt>
                <c:pt idx="4">
                  <c:v>T4</c:v>
                </c:pt>
                <c:pt idx="5">
                  <c:v>T5</c:v>
                </c:pt>
                <c:pt idx="6">
                  <c:v>T6</c:v>
                </c:pt>
                <c:pt idx="7">
                  <c:v>T7</c:v>
                </c:pt>
                <c:pt idx="8">
                  <c:v>T8</c:v>
                </c:pt>
              </c:strCache>
            </c:strRef>
          </c:cat>
          <c:val>
            <c:numRef>
              <c:f>Sheet7!$F$2:$F$10</c:f>
              <c:numCache>
                <c:formatCode>General</c:formatCode>
                <c:ptCount val="9"/>
                <c:pt idx="0">
                  <c:v>62.41</c:v>
                </c:pt>
                <c:pt idx="1">
                  <c:v>50.59</c:v>
                </c:pt>
                <c:pt idx="2">
                  <c:v>57.18</c:v>
                </c:pt>
                <c:pt idx="3">
                  <c:v>52.48</c:v>
                </c:pt>
                <c:pt idx="4">
                  <c:v>53.160000000000011</c:v>
                </c:pt>
                <c:pt idx="5">
                  <c:v>57.37</c:v>
                </c:pt>
                <c:pt idx="6">
                  <c:v>54.34</c:v>
                </c:pt>
                <c:pt idx="7">
                  <c:v>54.4</c:v>
                </c:pt>
                <c:pt idx="8">
                  <c:v>52.5</c:v>
                </c:pt>
              </c:numCache>
            </c:numRef>
          </c:val>
          <c:extLst>
            <c:ext xmlns:c16="http://schemas.microsoft.com/office/drawing/2014/chart" uri="{C3380CC4-5D6E-409C-BE32-E72D297353CC}">
              <c16:uniqueId val="{00000003-1DC0-4BA8-BBD6-946C16CBC2F7}"/>
            </c:ext>
          </c:extLst>
        </c:ser>
        <c:ser>
          <c:idx val="5"/>
          <c:order val="5"/>
          <c:tx>
            <c:strRef>
              <c:f>Sheet7!$G$1</c:f>
              <c:strCache>
                <c:ptCount val="1"/>
                <c:pt idx="0">
                  <c:v>Days to first pod picking</c:v>
                </c:pt>
              </c:strCache>
            </c:strRef>
          </c:tx>
          <c:spPr>
            <a:solidFill>
              <a:schemeClr val="accent6"/>
            </a:solidFill>
            <a:ln>
              <a:noFill/>
            </a:ln>
            <a:effectLst/>
          </c:spPr>
          <c:invertIfNegative val="0"/>
          <c:cat>
            <c:strRef>
              <c:f>Sheet7!$A$2:$A$10</c:f>
              <c:strCache>
                <c:ptCount val="9"/>
                <c:pt idx="0">
                  <c:v>T0</c:v>
                </c:pt>
                <c:pt idx="1">
                  <c:v>T1</c:v>
                </c:pt>
                <c:pt idx="2">
                  <c:v>T2</c:v>
                </c:pt>
                <c:pt idx="3">
                  <c:v>T3</c:v>
                </c:pt>
                <c:pt idx="4">
                  <c:v>T4</c:v>
                </c:pt>
                <c:pt idx="5">
                  <c:v>T5</c:v>
                </c:pt>
                <c:pt idx="6">
                  <c:v>T6</c:v>
                </c:pt>
                <c:pt idx="7">
                  <c:v>T7</c:v>
                </c:pt>
                <c:pt idx="8">
                  <c:v>T8</c:v>
                </c:pt>
              </c:strCache>
            </c:strRef>
          </c:cat>
          <c:val>
            <c:numRef>
              <c:f>Sheet7!$G$2:$G$10</c:f>
              <c:numCache>
                <c:formatCode>General</c:formatCode>
                <c:ptCount val="9"/>
                <c:pt idx="0">
                  <c:v>74.849999999999994</c:v>
                </c:pt>
                <c:pt idx="1">
                  <c:v>62.03</c:v>
                </c:pt>
                <c:pt idx="2">
                  <c:v>68.959999999999994</c:v>
                </c:pt>
                <c:pt idx="3">
                  <c:v>64.25</c:v>
                </c:pt>
                <c:pt idx="4">
                  <c:v>64.2</c:v>
                </c:pt>
                <c:pt idx="5">
                  <c:v>66.410000000000025</c:v>
                </c:pt>
                <c:pt idx="6">
                  <c:v>64.72</c:v>
                </c:pt>
                <c:pt idx="7">
                  <c:v>65.649999999999991</c:v>
                </c:pt>
                <c:pt idx="8">
                  <c:v>63.87</c:v>
                </c:pt>
              </c:numCache>
            </c:numRef>
          </c:val>
          <c:extLst>
            <c:ext xmlns:c16="http://schemas.microsoft.com/office/drawing/2014/chart" uri="{C3380CC4-5D6E-409C-BE32-E72D297353CC}">
              <c16:uniqueId val="{00000004-1DC0-4BA8-BBD6-946C16CBC2F7}"/>
            </c:ext>
          </c:extLst>
        </c:ser>
        <c:dLbls>
          <c:showLegendKey val="0"/>
          <c:showVal val="0"/>
          <c:showCatName val="0"/>
          <c:showSerName val="0"/>
          <c:showPercent val="0"/>
          <c:showBubbleSize val="0"/>
        </c:dLbls>
        <c:gapWidth val="150"/>
        <c:axId val="81276288"/>
        <c:axId val="85239680"/>
      </c:barChart>
      <c:lineChart>
        <c:grouping val="stacked"/>
        <c:varyColors val="0"/>
        <c:ser>
          <c:idx val="2"/>
          <c:order val="2"/>
          <c:tx>
            <c:strRef>
              <c:f>Sheet7!$D$1</c:f>
              <c:strCache>
                <c:ptCount val="1"/>
                <c:pt idx="0">
                  <c:v>No of branches per plant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Sheet7!$A$2:$A$10</c:f>
              <c:strCache>
                <c:ptCount val="9"/>
                <c:pt idx="0">
                  <c:v>T0</c:v>
                </c:pt>
                <c:pt idx="1">
                  <c:v>T1</c:v>
                </c:pt>
                <c:pt idx="2">
                  <c:v>T2</c:v>
                </c:pt>
                <c:pt idx="3">
                  <c:v>T3</c:v>
                </c:pt>
                <c:pt idx="4">
                  <c:v>T4</c:v>
                </c:pt>
                <c:pt idx="5">
                  <c:v>T5</c:v>
                </c:pt>
                <c:pt idx="6">
                  <c:v>T6</c:v>
                </c:pt>
                <c:pt idx="7">
                  <c:v>T7</c:v>
                </c:pt>
                <c:pt idx="8">
                  <c:v>T8</c:v>
                </c:pt>
              </c:strCache>
            </c:strRef>
          </c:cat>
          <c:val>
            <c:numRef>
              <c:f>Sheet7!$D$2:$D$10</c:f>
              <c:numCache>
                <c:formatCode>General</c:formatCode>
                <c:ptCount val="9"/>
                <c:pt idx="0">
                  <c:v>6.28</c:v>
                </c:pt>
                <c:pt idx="1">
                  <c:v>15.85000000000001</c:v>
                </c:pt>
                <c:pt idx="2">
                  <c:v>7.1499999999999995</c:v>
                </c:pt>
                <c:pt idx="3">
                  <c:v>13.33</c:v>
                </c:pt>
                <c:pt idx="4">
                  <c:v>11.65</c:v>
                </c:pt>
                <c:pt idx="5">
                  <c:v>8.73</c:v>
                </c:pt>
                <c:pt idx="6">
                  <c:v>15.3</c:v>
                </c:pt>
                <c:pt idx="7">
                  <c:v>8.92</c:v>
                </c:pt>
                <c:pt idx="8">
                  <c:v>14.33</c:v>
                </c:pt>
              </c:numCache>
            </c:numRef>
          </c:val>
          <c:smooth val="0"/>
          <c:extLst>
            <c:ext xmlns:c16="http://schemas.microsoft.com/office/drawing/2014/chart" uri="{C3380CC4-5D6E-409C-BE32-E72D297353CC}">
              <c16:uniqueId val="{00000005-1DC0-4BA8-BBD6-946C16CBC2F7}"/>
            </c:ext>
          </c:extLst>
        </c:ser>
        <c:dLbls>
          <c:showLegendKey val="0"/>
          <c:showVal val="0"/>
          <c:showCatName val="0"/>
          <c:showSerName val="0"/>
          <c:showPercent val="0"/>
          <c:showBubbleSize val="0"/>
        </c:dLbls>
        <c:marker val="1"/>
        <c:smooth val="0"/>
        <c:axId val="85252736"/>
        <c:axId val="85251200"/>
      </c:lineChart>
      <c:catAx>
        <c:axId val="81276288"/>
        <c:scaling>
          <c:orientation val="minMax"/>
        </c:scaling>
        <c:delete val="0"/>
        <c:axPos val="b"/>
        <c:title>
          <c:tx>
            <c:rich>
              <a:bodyPr rot="0" spcFirstLastPara="1" vertOverflow="ellipsis" vert="horz" wrap="square" anchor="ctr" anchorCtr="1"/>
              <a:lstStyle/>
              <a:p>
                <a:pPr>
                  <a:defRPr lang="en-GB"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Treatment Notation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5239680"/>
        <c:crosses val="autoZero"/>
        <c:auto val="1"/>
        <c:lblAlgn val="ctr"/>
        <c:lblOffset val="100"/>
        <c:noMultiLvlLbl val="0"/>
      </c:catAx>
      <c:valAx>
        <c:axId val="85239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GB"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1276288"/>
        <c:crosses val="autoZero"/>
        <c:crossBetween val="between"/>
      </c:valAx>
      <c:valAx>
        <c:axId val="8525120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GB"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5252736"/>
        <c:crosses val="max"/>
        <c:crossBetween val="between"/>
      </c:valAx>
      <c:catAx>
        <c:axId val="85252736"/>
        <c:scaling>
          <c:orientation val="minMax"/>
        </c:scaling>
        <c:delete val="1"/>
        <c:axPos val="b"/>
        <c:numFmt formatCode="General" sourceLinked="1"/>
        <c:majorTickMark val="out"/>
        <c:minorTickMark val="none"/>
        <c:tickLblPos val="nextTo"/>
        <c:crossAx val="85251200"/>
        <c:crosses val="autoZero"/>
        <c:auto val="1"/>
        <c:lblAlgn val="ctr"/>
        <c:lblOffset val="100"/>
        <c:noMultiLvlLbl val="0"/>
      </c:catAx>
      <c:spPr>
        <a:noFill/>
        <a:ln>
          <a:noFill/>
        </a:ln>
        <a:effectLst/>
      </c:spPr>
    </c:plotArea>
    <c:legend>
      <c:legendPos val="r"/>
      <c:layout>
        <c:manualLayout>
          <c:xMode val="edge"/>
          <c:yMode val="edge"/>
          <c:x val="0.87374801438483896"/>
          <c:y val="3.252673669832841E-2"/>
          <c:w val="0.11755948289875563"/>
          <c:h val="0.85796423253098109"/>
        </c:manualLayout>
      </c:layout>
      <c:overlay val="0"/>
      <c:spPr>
        <a:noFill/>
        <a:ln>
          <a:noFill/>
        </a:ln>
        <a:effectLst/>
      </c:spPr>
      <c:txPr>
        <a:bodyPr rot="0" spcFirstLastPara="1" vertOverflow="ellipsis" vert="horz" wrap="square" anchor="ctr" anchorCtr="1"/>
        <a:lstStyle/>
        <a:p>
          <a:pPr>
            <a:defRPr lang="en-GB"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Sheet6!$B$1</c:f>
              <c:strCache>
                <c:ptCount val="1"/>
                <c:pt idx="0">
                  <c:v>Pod length (cm) </c:v>
                </c:pt>
              </c:strCache>
            </c:strRef>
          </c:tx>
          <c:spPr>
            <a:solidFill>
              <a:schemeClr val="accent1"/>
            </a:solidFill>
            <a:ln>
              <a:noFill/>
            </a:ln>
            <a:effectLst/>
          </c:spPr>
          <c:invertIfNegative val="0"/>
          <c:cat>
            <c:strRef>
              <c:f>Sheet6!$A$2:$A$10</c:f>
              <c:strCache>
                <c:ptCount val="9"/>
                <c:pt idx="0">
                  <c:v>T0</c:v>
                </c:pt>
                <c:pt idx="1">
                  <c:v>T1</c:v>
                </c:pt>
                <c:pt idx="2">
                  <c:v>T2</c:v>
                </c:pt>
                <c:pt idx="3">
                  <c:v>T3</c:v>
                </c:pt>
                <c:pt idx="4">
                  <c:v>T4</c:v>
                </c:pt>
                <c:pt idx="5">
                  <c:v>T5</c:v>
                </c:pt>
                <c:pt idx="6">
                  <c:v>T6</c:v>
                </c:pt>
                <c:pt idx="7">
                  <c:v>T7</c:v>
                </c:pt>
                <c:pt idx="8">
                  <c:v>T8</c:v>
                </c:pt>
              </c:strCache>
            </c:strRef>
          </c:cat>
          <c:val>
            <c:numRef>
              <c:f>Sheet6!$B$2:$B$10</c:f>
              <c:numCache>
                <c:formatCode>General</c:formatCode>
                <c:ptCount val="9"/>
                <c:pt idx="0">
                  <c:v>12.89</c:v>
                </c:pt>
                <c:pt idx="1">
                  <c:v>21.57</c:v>
                </c:pt>
                <c:pt idx="2">
                  <c:v>15.23</c:v>
                </c:pt>
                <c:pt idx="3">
                  <c:v>18.510000000000005</c:v>
                </c:pt>
                <c:pt idx="4">
                  <c:v>17.89</c:v>
                </c:pt>
                <c:pt idx="5">
                  <c:v>16.29</c:v>
                </c:pt>
                <c:pt idx="6">
                  <c:v>19.88</c:v>
                </c:pt>
                <c:pt idx="7">
                  <c:v>16.95</c:v>
                </c:pt>
                <c:pt idx="8">
                  <c:v>19.03</c:v>
                </c:pt>
              </c:numCache>
            </c:numRef>
          </c:val>
          <c:extLst>
            <c:ext xmlns:c16="http://schemas.microsoft.com/office/drawing/2014/chart" uri="{C3380CC4-5D6E-409C-BE32-E72D297353CC}">
              <c16:uniqueId val="{00000000-8D3A-4A54-89B8-11904578C790}"/>
            </c:ext>
          </c:extLst>
        </c:ser>
        <c:ser>
          <c:idx val="1"/>
          <c:order val="1"/>
          <c:tx>
            <c:strRef>
              <c:f>Sheet6!$C$1</c:f>
              <c:strCache>
                <c:ptCount val="1"/>
                <c:pt idx="0">
                  <c:v>Individual Pod weight (grams)</c:v>
                </c:pt>
              </c:strCache>
            </c:strRef>
          </c:tx>
          <c:spPr>
            <a:solidFill>
              <a:schemeClr val="accent2"/>
            </a:solidFill>
            <a:ln>
              <a:noFill/>
            </a:ln>
            <a:effectLst/>
          </c:spPr>
          <c:invertIfNegative val="0"/>
          <c:cat>
            <c:strRef>
              <c:f>Sheet6!$A$2:$A$10</c:f>
              <c:strCache>
                <c:ptCount val="9"/>
                <c:pt idx="0">
                  <c:v>T0</c:v>
                </c:pt>
                <c:pt idx="1">
                  <c:v>T1</c:v>
                </c:pt>
                <c:pt idx="2">
                  <c:v>T2</c:v>
                </c:pt>
                <c:pt idx="3">
                  <c:v>T3</c:v>
                </c:pt>
                <c:pt idx="4">
                  <c:v>T4</c:v>
                </c:pt>
                <c:pt idx="5">
                  <c:v>T5</c:v>
                </c:pt>
                <c:pt idx="6">
                  <c:v>T6</c:v>
                </c:pt>
                <c:pt idx="7">
                  <c:v>T7</c:v>
                </c:pt>
                <c:pt idx="8">
                  <c:v>T8</c:v>
                </c:pt>
              </c:strCache>
            </c:strRef>
          </c:cat>
          <c:val>
            <c:numRef>
              <c:f>Sheet6!$C$2:$C$10</c:f>
              <c:numCache>
                <c:formatCode>General</c:formatCode>
                <c:ptCount val="9"/>
                <c:pt idx="0">
                  <c:v>11.15</c:v>
                </c:pt>
                <c:pt idx="1">
                  <c:v>16.510000000000005</c:v>
                </c:pt>
                <c:pt idx="2">
                  <c:v>12.47</c:v>
                </c:pt>
                <c:pt idx="3">
                  <c:v>14.1</c:v>
                </c:pt>
                <c:pt idx="4">
                  <c:v>14.63</c:v>
                </c:pt>
                <c:pt idx="5">
                  <c:v>13.64</c:v>
                </c:pt>
                <c:pt idx="6">
                  <c:v>15.77</c:v>
                </c:pt>
                <c:pt idx="7">
                  <c:v>14.07</c:v>
                </c:pt>
                <c:pt idx="8">
                  <c:v>15.22</c:v>
                </c:pt>
              </c:numCache>
            </c:numRef>
          </c:val>
          <c:extLst>
            <c:ext xmlns:c16="http://schemas.microsoft.com/office/drawing/2014/chart" uri="{C3380CC4-5D6E-409C-BE32-E72D297353CC}">
              <c16:uniqueId val="{00000001-8D3A-4A54-89B8-11904578C790}"/>
            </c:ext>
          </c:extLst>
        </c:ser>
        <c:ser>
          <c:idx val="3"/>
          <c:order val="3"/>
          <c:tx>
            <c:strRef>
              <c:f>Sheet6!$E$1</c:f>
              <c:strCache>
                <c:ptCount val="1"/>
                <c:pt idx="0">
                  <c:v>Pod yield per hectare (t/ha)</c:v>
                </c:pt>
              </c:strCache>
            </c:strRef>
          </c:tx>
          <c:spPr>
            <a:solidFill>
              <a:schemeClr val="accent4"/>
            </a:solidFill>
            <a:ln>
              <a:noFill/>
            </a:ln>
            <a:effectLst/>
          </c:spPr>
          <c:invertIfNegative val="0"/>
          <c:cat>
            <c:strRef>
              <c:f>Sheet6!$A$2:$A$10</c:f>
              <c:strCache>
                <c:ptCount val="9"/>
                <c:pt idx="0">
                  <c:v>T0</c:v>
                </c:pt>
                <c:pt idx="1">
                  <c:v>T1</c:v>
                </c:pt>
                <c:pt idx="2">
                  <c:v>T2</c:v>
                </c:pt>
                <c:pt idx="3">
                  <c:v>T3</c:v>
                </c:pt>
                <c:pt idx="4">
                  <c:v>T4</c:v>
                </c:pt>
                <c:pt idx="5">
                  <c:v>T5</c:v>
                </c:pt>
                <c:pt idx="6">
                  <c:v>T6</c:v>
                </c:pt>
                <c:pt idx="7">
                  <c:v>T7</c:v>
                </c:pt>
                <c:pt idx="8">
                  <c:v>T8</c:v>
                </c:pt>
              </c:strCache>
            </c:strRef>
          </c:cat>
          <c:val>
            <c:numRef>
              <c:f>Sheet6!$E$2:$E$10</c:f>
              <c:numCache>
                <c:formatCode>General</c:formatCode>
                <c:ptCount val="9"/>
                <c:pt idx="0">
                  <c:v>3.79</c:v>
                </c:pt>
                <c:pt idx="1">
                  <c:v>6.52</c:v>
                </c:pt>
                <c:pt idx="2">
                  <c:v>4.2300000000000004</c:v>
                </c:pt>
                <c:pt idx="3">
                  <c:v>6.1</c:v>
                </c:pt>
                <c:pt idx="4">
                  <c:v>5.37</c:v>
                </c:pt>
                <c:pt idx="5">
                  <c:v>4.3199999999999985</c:v>
                </c:pt>
                <c:pt idx="6">
                  <c:v>6.39</c:v>
                </c:pt>
                <c:pt idx="7">
                  <c:v>5.2700000000000014</c:v>
                </c:pt>
                <c:pt idx="8">
                  <c:v>6.3199999999999985</c:v>
                </c:pt>
              </c:numCache>
            </c:numRef>
          </c:val>
          <c:extLst>
            <c:ext xmlns:c16="http://schemas.microsoft.com/office/drawing/2014/chart" uri="{C3380CC4-5D6E-409C-BE32-E72D297353CC}">
              <c16:uniqueId val="{00000002-8D3A-4A54-89B8-11904578C790}"/>
            </c:ext>
          </c:extLst>
        </c:ser>
        <c:dLbls>
          <c:showLegendKey val="0"/>
          <c:showVal val="0"/>
          <c:showCatName val="0"/>
          <c:showSerName val="0"/>
          <c:showPercent val="0"/>
          <c:showBubbleSize val="0"/>
        </c:dLbls>
        <c:gapWidth val="219"/>
        <c:axId val="110769280"/>
        <c:axId val="110781952"/>
      </c:barChart>
      <c:lineChart>
        <c:grouping val="stacked"/>
        <c:varyColors val="0"/>
        <c:ser>
          <c:idx val="2"/>
          <c:order val="2"/>
          <c:tx>
            <c:strRef>
              <c:f>Sheet6!$D$1</c:f>
              <c:strCache>
                <c:ptCount val="1"/>
                <c:pt idx="0">
                  <c:v>Pod yield per plant (g/plant)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Sheet6!$A$2:$A$10</c:f>
              <c:strCache>
                <c:ptCount val="9"/>
                <c:pt idx="0">
                  <c:v>T0</c:v>
                </c:pt>
                <c:pt idx="1">
                  <c:v>T1</c:v>
                </c:pt>
                <c:pt idx="2">
                  <c:v>T2</c:v>
                </c:pt>
                <c:pt idx="3">
                  <c:v>T3</c:v>
                </c:pt>
                <c:pt idx="4">
                  <c:v>T4</c:v>
                </c:pt>
                <c:pt idx="5">
                  <c:v>T5</c:v>
                </c:pt>
                <c:pt idx="6">
                  <c:v>T6</c:v>
                </c:pt>
                <c:pt idx="7">
                  <c:v>T7</c:v>
                </c:pt>
                <c:pt idx="8">
                  <c:v>T8</c:v>
                </c:pt>
              </c:strCache>
            </c:strRef>
          </c:cat>
          <c:val>
            <c:numRef>
              <c:f>Sheet6!$D$2:$D$10</c:f>
              <c:numCache>
                <c:formatCode>General</c:formatCode>
                <c:ptCount val="9"/>
                <c:pt idx="0">
                  <c:v>154.43</c:v>
                </c:pt>
                <c:pt idx="1">
                  <c:v>452.88</c:v>
                </c:pt>
                <c:pt idx="2">
                  <c:v>213.15</c:v>
                </c:pt>
                <c:pt idx="3">
                  <c:v>307.68</c:v>
                </c:pt>
                <c:pt idx="4">
                  <c:v>316.3</c:v>
                </c:pt>
                <c:pt idx="5">
                  <c:v>237.57</c:v>
                </c:pt>
                <c:pt idx="6">
                  <c:v>393.41999999999967</c:v>
                </c:pt>
                <c:pt idx="7">
                  <c:v>238.4</c:v>
                </c:pt>
                <c:pt idx="8">
                  <c:v>363.6</c:v>
                </c:pt>
              </c:numCache>
            </c:numRef>
          </c:val>
          <c:smooth val="0"/>
          <c:extLst>
            <c:ext xmlns:c16="http://schemas.microsoft.com/office/drawing/2014/chart" uri="{C3380CC4-5D6E-409C-BE32-E72D297353CC}">
              <c16:uniqueId val="{00000003-8D3A-4A54-89B8-11904578C790}"/>
            </c:ext>
          </c:extLst>
        </c:ser>
        <c:dLbls>
          <c:showLegendKey val="0"/>
          <c:showVal val="0"/>
          <c:showCatName val="0"/>
          <c:showSerName val="0"/>
          <c:showPercent val="0"/>
          <c:showBubbleSize val="0"/>
        </c:dLbls>
        <c:marker val="1"/>
        <c:smooth val="0"/>
        <c:axId val="110799104"/>
        <c:axId val="110797184"/>
      </c:lineChart>
      <c:catAx>
        <c:axId val="11076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0781952"/>
        <c:crosses val="autoZero"/>
        <c:auto val="1"/>
        <c:lblAlgn val="ctr"/>
        <c:lblOffset val="100"/>
        <c:noMultiLvlLbl val="0"/>
      </c:catAx>
      <c:valAx>
        <c:axId val="110781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GB"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0769280"/>
        <c:crosses val="autoZero"/>
        <c:crossBetween val="between"/>
      </c:valAx>
      <c:valAx>
        <c:axId val="11079718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GB"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0799104"/>
        <c:crosses val="max"/>
        <c:crossBetween val="between"/>
      </c:valAx>
      <c:catAx>
        <c:axId val="110799104"/>
        <c:scaling>
          <c:orientation val="minMax"/>
        </c:scaling>
        <c:delete val="1"/>
        <c:axPos val="b"/>
        <c:numFmt formatCode="General" sourceLinked="1"/>
        <c:majorTickMark val="out"/>
        <c:minorTickMark val="none"/>
        <c:tickLblPos val="nextTo"/>
        <c:crossAx val="1107971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lang="en-GB"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CAD38-F98D-4F08-BA3F-B28EF6B3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4469</Words>
  <Characters>25478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1137</cp:lastModifiedBy>
  <cp:revision>75</cp:revision>
  <dcterms:created xsi:type="dcterms:W3CDTF">2025-07-21T08:31:00Z</dcterms:created>
  <dcterms:modified xsi:type="dcterms:W3CDTF">2025-07-30T11:01:00Z</dcterms:modified>
</cp:coreProperties>
</file>