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F76" w:rsidRDefault="001037FC">
      <w:pPr>
        <w:jc w:val="center"/>
        <w:rPr>
          <w:rFonts w:ascii="Times New Roman" w:hAnsi="Times New Roman" w:cs="Times New Roman"/>
          <w:b/>
          <w:sz w:val="24"/>
          <w:szCs w:val="24"/>
        </w:rPr>
      </w:pPr>
      <w:r>
        <w:rPr>
          <w:rFonts w:ascii="Times New Roman" w:hAnsi="Times New Roman" w:cs="Times New Roman"/>
          <w:b/>
          <w:bCs/>
          <w:sz w:val="24"/>
          <w:szCs w:val="24"/>
          <w:lang w:val="en-GB"/>
        </w:rPr>
        <w:t xml:space="preserve">Impact of Pasture Grazing on Hemato-Biochemical Variables in Sirohi Doeling under Different Rearing Systems in </w:t>
      </w:r>
      <w:r w:rsidR="0058419A">
        <w:rPr>
          <w:rFonts w:ascii="Times New Roman" w:hAnsi="Times New Roman" w:cs="Times New Roman"/>
          <w:b/>
          <w:bCs/>
          <w:sz w:val="24"/>
          <w:szCs w:val="24"/>
          <w:lang w:val="en-GB"/>
        </w:rPr>
        <w:t>Rajasthan, India</w:t>
      </w:r>
      <w:bookmarkStart w:id="0" w:name="_GoBack"/>
      <w:bookmarkEnd w:id="0"/>
      <w:r w:rsidR="0058419A">
        <w:rPr>
          <w:rFonts w:ascii="Times New Roman" w:hAnsi="Times New Roman" w:cs="Times New Roman"/>
          <w:b/>
          <w:bCs/>
          <w:sz w:val="24"/>
          <w:szCs w:val="24"/>
          <w:lang w:val="en-GB"/>
        </w:rPr>
        <w:t xml:space="preserve"> </w:t>
      </w:r>
    </w:p>
    <w:p w:rsidR="004E0F76" w:rsidRDefault="001037FC">
      <w:pPr>
        <w:jc w:val="center"/>
        <w:rPr>
          <w:rFonts w:ascii="Times New Roman" w:hAnsi="Times New Roman" w:cs="Times New Roman"/>
          <w:b/>
          <w:sz w:val="24"/>
          <w:szCs w:val="24"/>
        </w:rPr>
      </w:pPr>
      <w:r>
        <w:rPr>
          <w:rFonts w:ascii="Times New Roman" w:hAnsi="Times New Roman" w:cs="Times New Roman"/>
          <w:b/>
          <w:sz w:val="24"/>
          <w:szCs w:val="24"/>
        </w:rPr>
        <w:t>Abstract</w:t>
      </w:r>
    </w:p>
    <w:p w:rsidR="004E0F76" w:rsidRDefault="001037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goal of the current study was to compare the effects of grazing versus stall feeding on the hemato</w:t>
      </w:r>
      <w:r>
        <w:rPr>
          <w:rFonts w:ascii="Times New Roman" w:hAnsi="Times New Roman" w:cs="Times New Roman"/>
          <w:sz w:val="24"/>
          <w:szCs w:val="24"/>
        </w:rPr>
        <w:t>-biochemical variables of Sirohi doeling. The animals were randomly assigned to three groups: Intensive, Semi-intensive, and Extensive rearing groups. The mean values of red blood cell, haemoglobin, packed cell volume, glucose and total protein were signif</w:t>
      </w:r>
      <w:r>
        <w:rPr>
          <w:rFonts w:ascii="Times New Roman" w:hAnsi="Times New Roman" w:cs="Times New Roman"/>
          <w:sz w:val="24"/>
          <w:szCs w:val="24"/>
        </w:rPr>
        <w:t>icantly higher (p&lt;0.05) in intensive rearing group as compared to semi-intensive and extensive rearing groups. The mean values of cholesterol, triglyceride, aspartate amino transferase and alanine amino transferase were significantly higher (p&lt;0.05) in ext</w:t>
      </w:r>
      <w:r>
        <w:rPr>
          <w:rFonts w:ascii="Times New Roman" w:hAnsi="Times New Roman" w:cs="Times New Roman"/>
          <w:sz w:val="24"/>
          <w:szCs w:val="24"/>
        </w:rPr>
        <w:t xml:space="preserve">ensive rearing group as compared to intensive and semi-intensive groups, while the mean value of white blood cell was significantly differed (p&lt;0.05) in all rearing groups of Sirohi Doelings. On the </w:t>
      </w:r>
      <w:r>
        <w:rPr>
          <w:rFonts w:ascii="Times New Roman" w:hAnsi="Times New Roman" w:cs="Times New Roman"/>
          <w:color w:val="000000"/>
          <w:sz w:val="24"/>
          <w:szCs w:val="24"/>
        </w:rPr>
        <w:t xml:space="preserve">basis of the present study, it can be concluded that the </w:t>
      </w:r>
      <w:r>
        <w:rPr>
          <w:rFonts w:ascii="Times New Roman" w:hAnsi="Times New Roman" w:cs="Times New Roman"/>
          <w:color w:val="000000"/>
          <w:sz w:val="24"/>
          <w:szCs w:val="24"/>
        </w:rPr>
        <w:t>Intensive rearing system is superior to Semi-intensive and Extensive rearing systems due to its significant advantageous effects on hemato-biochemical variables.</w:t>
      </w:r>
      <w:r>
        <w:rPr>
          <w:rFonts w:ascii="Times New Roman" w:hAnsi="Times New Roman" w:cs="Times New Roman"/>
          <w:sz w:val="24"/>
          <w:szCs w:val="24"/>
        </w:rPr>
        <w:t xml:space="preserve">  </w:t>
      </w:r>
    </w:p>
    <w:p w:rsidR="004E0F76" w:rsidRDefault="001037F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Extensive, Grazing, Hemato-Biochemical Variables, Intensive, Semi-intensive, Siroh</w:t>
      </w:r>
      <w:r>
        <w:rPr>
          <w:rFonts w:ascii="Times New Roman" w:hAnsi="Times New Roman" w:cs="Times New Roman"/>
          <w:sz w:val="24"/>
          <w:szCs w:val="24"/>
        </w:rPr>
        <w:t>i doeling, Stall feeding.</w:t>
      </w:r>
    </w:p>
    <w:p w:rsidR="004E0F76" w:rsidRDefault="001037FC">
      <w:pPr>
        <w:tabs>
          <w:tab w:val="left" w:pos="5203"/>
        </w:tabs>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p>
    <w:p w:rsidR="004E0F76" w:rsidRDefault="001037FC">
      <w:pPr>
        <w:spacing w:line="360" w:lineRule="auto"/>
        <w:ind w:right="-46"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 Goats have been domesticated since the dawn of agriculture, serving as an essential socio-economic resource that provides goods and services to people worldwide, especially in developing countries. The 20th livesto</w:t>
      </w:r>
      <w:r>
        <w:rPr>
          <w:rFonts w:ascii="Times New Roman" w:hAnsi="Times New Roman" w:cs="Times New Roman"/>
          <w:sz w:val="24"/>
          <w:szCs w:val="24"/>
        </w:rPr>
        <w:t>ck census estimates that there are 535.78 million animals in India (BAHS, 2019), which goats make up 27.78%.</w:t>
      </w:r>
      <w:r>
        <w:rPr>
          <w:rFonts w:ascii="Times New Roman" w:eastAsia="Times New Roman" w:hAnsi="Times New Roman" w:cs="Times New Roman"/>
          <w:sz w:val="24"/>
          <w:szCs w:val="24"/>
        </w:rPr>
        <w:t xml:space="preserve"> </w:t>
      </w:r>
      <w:r>
        <w:rPr>
          <w:rFonts w:ascii="Times New Roman" w:hAnsi="Times New Roman" w:cs="Times New Roman"/>
          <w:sz w:val="24"/>
          <w:szCs w:val="24"/>
        </w:rPr>
        <w:t>The Sirohi goats are generally found in Arawali Hills, and semi-arid regions. This breed is well-suited to the arid and semi-arid regions of Rajast</w:t>
      </w:r>
      <w:r>
        <w:rPr>
          <w:rFonts w:ascii="Times New Roman" w:hAnsi="Times New Roman" w:cs="Times New Roman"/>
          <w:sz w:val="24"/>
          <w:szCs w:val="24"/>
        </w:rPr>
        <w:t xml:space="preserve">han, </w:t>
      </w:r>
      <w:r>
        <w:rPr>
          <w:rFonts w:ascii="Times New Roman" w:eastAsia="Times New Roman" w:hAnsi="Times New Roman" w:cs="Times New Roman"/>
          <w:sz w:val="24"/>
          <w:szCs w:val="24"/>
          <w:lang w:bidi="hi-IN"/>
        </w:rPr>
        <w:t>which are predominantly distributed in the </w:t>
      </w:r>
      <w:hyperlink r:id="rId7" w:tooltip="Ajmer district" w:history="1">
        <w:r>
          <w:rPr>
            <w:rStyle w:val="Hyperlink"/>
            <w:rFonts w:ascii="Times New Roman" w:eastAsia="Times New Roman" w:hAnsi="Times New Roman" w:cs="Times New Roman"/>
            <w:color w:val="auto"/>
            <w:sz w:val="24"/>
            <w:szCs w:val="24"/>
            <w:u w:val="none"/>
            <w:lang w:bidi="hi-IN"/>
          </w:rPr>
          <w:t>Ajmer</w:t>
        </w:r>
      </w:hyperlink>
      <w:r>
        <w:rPr>
          <w:rFonts w:ascii="Times New Roman" w:eastAsia="Times New Roman" w:hAnsi="Times New Roman" w:cs="Times New Roman"/>
          <w:sz w:val="24"/>
          <w:szCs w:val="24"/>
          <w:lang w:bidi="hi-IN"/>
        </w:rPr>
        <w:t>, </w:t>
      </w:r>
      <w:hyperlink r:id="rId8" w:tooltip="Bhilwara district" w:history="1">
        <w:r>
          <w:rPr>
            <w:rStyle w:val="Hyperlink"/>
            <w:rFonts w:ascii="Times New Roman" w:eastAsia="Times New Roman" w:hAnsi="Times New Roman" w:cs="Times New Roman"/>
            <w:color w:val="auto"/>
            <w:sz w:val="24"/>
            <w:szCs w:val="24"/>
            <w:u w:val="none"/>
            <w:lang w:bidi="hi-IN"/>
          </w:rPr>
          <w:t>Bhilwara</w:t>
        </w:r>
      </w:hyperlink>
      <w:r>
        <w:rPr>
          <w:rFonts w:ascii="Times New Roman" w:eastAsia="Times New Roman" w:hAnsi="Times New Roman" w:cs="Times New Roman"/>
          <w:sz w:val="24"/>
          <w:szCs w:val="24"/>
          <w:lang w:bidi="hi-IN"/>
        </w:rPr>
        <w:t>, </w:t>
      </w:r>
      <w:proofErr w:type="spellStart"/>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"https://en.</w:instrText>
      </w:r>
      <w:r>
        <w:rPr>
          <w:rFonts w:ascii="Times New Roman" w:hAnsi="Times New Roman" w:cs="Times New Roman"/>
          <w:sz w:val="24"/>
          <w:szCs w:val="24"/>
        </w:rPr>
        <w:instrText xml:space="preserve">wikipedia.org/wiki/Tonk_district" \o "Tonk district" </w:instrText>
      </w:r>
      <w:r>
        <w:rPr>
          <w:rFonts w:ascii="Times New Roman" w:hAnsi="Times New Roman" w:cs="Times New Roman"/>
          <w:sz w:val="24"/>
          <w:szCs w:val="24"/>
        </w:rPr>
        <w:fldChar w:fldCharType="separate"/>
      </w:r>
      <w:r>
        <w:rPr>
          <w:rStyle w:val="Hyperlink"/>
          <w:rFonts w:ascii="Times New Roman" w:eastAsia="Times New Roman" w:hAnsi="Times New Roman" w:cs="Times New Roman"/>
          <w:color w:val="auto"/>
          <w:sz w:val="24"/>
          <w:szCs w:val="24"/>
          <w:u w:val="none"/>
          <w:lang w:bidi="hi-IN"/>
        </w:rPr>
        <w:t>Tonk</w:t>
      </w:r>
      <w:proofErr w:type="spellEnd"/>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Times New Roman" w:hAnsi="Times New Roman" w:cs="Times New Roman"/>
          <w:sz w:val="24"/>
          <w:szCs w:val="24"/>
          <w:lang w:bidi="hi-IN"/>
        </w:rPr>
        <w:t xml:space="preserve"> </w:t>
      </w:r>
      <w:hyperlink r:id="rId9" w:tooltip="Jaipur district" w:history="1">
        <w:r>
          <w:rPr>
            <w:rStyle w:val="Hyperlink"/>
            <w:rFonts w:ascii="Times New Roman" w:eastAsia="Times New Roman" w:hAnsi="Times New Roman" w:cs="Times New Roman"/>
            <w:color w:val="auto"/>
            <w:sz w:val="24"/>
            <w:szCs w:val="24"/>
            <w:u w:val="none"/>
            <w:lang w:bidi="hi-IN"/>
          </w:rPr>
          <w:t>Jaipur</w:t>
        </w:r>
      </w:hyperlink>
      <w:r>
        <w:rPr>
          <w:rFonts w:ascii="Times New Roman" w:hAnsi="Times New Roman" w:cs="Times New Roman"/>
          <w:sz w:val="24"/>
          <w:szCs w:val="24"/>
        </w:rPr>
        <w:t xml:space="preserve">, Chittorgarh, </w:t>
      </w:r>
      <w:proofErr w:type="spellStart"/>
      <w:r>
        <w:rPr>
          <w:rFonts w:ascii="Times New Roman" w:hAnsi="Times New Roman" w:cs="Times New Roman"/>
          <w:sz w:val="24"/>
          <w:szCs w:val="24"/>
        </w:rPr>
        <w:t>Rajsamand</w:t>
      </w:r>
      <w:proofErr w:type="spellEnd"/>
      <w:r>
        <w:rPr>
          <w:rFonts w:ascii="Times New Roman" w:hAnsi="Times New Roman" w:cs="Times New Roman"/>
          <w:sz w:val="24"/>
          <w:szCs w:val="24"/>
        </w:rPr>
        <w:t xml:space="preserve"> and Udaipur </w:t>
      </w:r>
      <w:r>
        <w:rPr>
          <w:rFonts w:ascii="Times New Roman" w:eastAsia="Times New Roman" w:hAnsi="Times New Roman" w:cs="Times New Roman"/>
          <w:sz w:val="24"/>
          <w:szCs w:val="24"/>
          <w:lang w:bidi="hi-IN"/>
        </w:rPr>
        <w:t xml:space="preserve">districts, </w:t>
      </w:r>
      <w:r>
        <w:rPr>
          <w:rFonts w:ascii="Times New Roman" w:hAnsi="Times New Roman" w:cs="Times New Roman"/>
          <w:sz w:val="24"/>
          <w:szCs w:val="24"/>
        </w:rPr>
        <w:t xml:space="preserve">making them a valuable asset to local farmers. </w:t>
      </w:r>
      <w:r>
        <w:rPr>
          <w:rFonts w:ascii="Times New Roman" w:hAnsi="Times New Roman" w:cs="Times New Roman"/>
          <w:bCs/>
          <w:sz w:val="24"/>
          <w:szCs w:val="24"/>
        </w:rPr>
        <w:t>Goat husbandry is the vital occupation of villagers because it may survive even on minimum expense value, due to their low maintenance cost and resilience, goats are often referred to as the poor man's cow”. In the context of Rajasthan, heat stress is an i</w:t>
      </w:r>
      <w:r>
        <w:rPr>
          <w:rFonts w:ascii="Times New Roman" w:hAnsi="Times New Roman" w:cs="Times New Roman"/>
          <w:bCs/>
          <w:sz w:val="24"/>
          <w:szCs w:val="24"/>
        </w:rPr>
        <w:t xml:space="preserve">mportant aspect influencing the physiology as well as economic values (Sharma and Yadav, 2020). </w:t>
      </w:r>
      <w:r>
        <w:rPr>
          <w:rFonts w:ascii="Times New Roman" w:eastAsia="Times New Roman" w:hAnsi="Times New Roman" w:cs="Times New Roman"/>
          <w:sz w:val="24"/>
          <w:szCs w:val="24"/>
        </w:rPr>
        <w:t xml:space="preserve">Sirohi goat is a multipurpose breed prized for both meat and milk, and they thrive in dry environments (Yadav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t>
      </w:r>
      <w:r>
        <w:rPr>
          <w:rFonts w:ascii="Times New Roman" w:hAnsi="Times New Roman" w:cs="Times New Roman"/>
          <w:sz w:val="24"/>
          <w:szCs w:val="24"/>
        </w:rPr>
        <w:lastRenderedPageBreak/>
        <w:t xml:space="preserve">Grazing is a natural and efficient </w:t>
      </w:r>
      <w:r>
        <w:rPr>
          <w:rFonts w:ascii="Times New Roman" w:hAnsi="Times New Roman" w:cs="Times New Roman"/>
          <w:sz w:val="24"/>
          <w:szCs w:val="24"/>
        </w:rPr>
        <w:t xml:space="preserve">method of harvesting forage by allowing livestock to consume grasses, legumes, and forbs directly in pastures or rangelands. This practice benefits both the animals and the environment. Grazing provides animals with a steady supply of fresh, nutrient-rich </w:t>
      </w:r>
      <w:r>
        <w:rPr>
          <w:rFonts w:ascii="Times New Roman" w:hAnsi="Times New Roman" w:cs="Times New Roman"/>
          <w:sz w:val="24"/>
          <w:szCs w:val="24"/>
        </w:rPr>
        <w:t xml:space="preserve">forage, which can improve their overall health and productivity. </w:t>
      </w:r>
      <w:r>
        <w:rPr>
          <w:rFonts w:ascii="Times New Roman" w:hAnsi="Times New Roman" w:cs="Times New Roman"/>
          <w:bCs/>
          <w:sz w:val="24"/>
          <w:szCs w:val="24"/>
        </w:rPr>
        <w:t xml:space="preserve">Pathophysiological changes can provide baseline information essential for livestock epidemiology. </w:t>
      </w:r>
      <w:r>
        <w:rPr>
          <w:rFonts w:ascii="Times New Roman" w:eastAsia="Times New Roman" w:hAnsi="Times New Roman" w:cs="Times New Roman"/>
          <w:sz w:val="24"/>
          <w:szCs w:val="24"/>
        </w:rPr>
        <w:t>Hemato-biochemical measures serve as sensitive markers of physiological and nutritional statu</w:t>
      </w:r>
      <w:r>
        <w:rPr>
          <w:rFonts w:ascii="Times New Roman" w:eastAsia="Times New Roman" w:hAnsi="Times New Roman" w:cs="Times New Roman"/>
          <w:sz w:val="24"/>
          <w:szCs w:val="24"/>
        </w:rPr>
        <w:t>s in various management systems. According to previous research, blood profiles of Sirohi youngsters and goats raised on grazing as opposed to stall-fed or semi-intensive systems showed few notable differences, with most values falling within normal ranges</w:t>
      </w:r>
      <w:r>
        <w:rPr>
          <w:rFonts w:ascii="Times New Roman" w:eastAsia="Times New Roman" w:hAnsi="Times New Roman" w:cs="Times New Roman"/>
          <w:sz w:val="24"/>
          <w:szCs w:val="24"/>
        </w:rPr>
        <w:t xml:space="preserve"> (Yadav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w:t>
      </w:r>
      <w:r>
        <w:rPr>
          <w:rFonts w:ascii="Times New Roman" w:hAnsi="Times New Roman" w:cs="Times New Roman"/>
          <w:sz w:val="24"/>
          <w:szCs w:val="24"/>
        </w:rPr>
        <w:t>Blood biochemistry gives a reliable and consolidated measure of the sufficiency of dietary nutrients that can be used regardless of the physiological state of the animal. Biochemical variables of blood are generally used to monitor a</w:t>
      </w:r>
      <w:r>
        <w:rPr>
          <w:rFonts w:ascii="Times New Roman" w:hAnsi="Times New Roman" w:cs="Times New Roman"/>
          <w:sz w:val="24"/>
          <w:szCs w:val="24"/>
        </w:rPr>
        <w:t xml:space="preserve">nd evaluate health, nutritional and physiological status of ruminants (Gupta </w:t>
      </w:r>
      <w:r>
        <w:rPr>
          <w:rFonts w:ascii="Times New Roman" w:hAnsi="Times New Roman" w:cs="Times New Roman"/>
          <w:i/>
          <w:sz w:val="24"/>
          <w:szCs w:val="24"/>
        </w:rPr>
        <w:t>et al</w:t>
      </w:r>
      <w:r>
        <w:rPr>
          <w:rFonts w:ascii="Times New Roman" w:hAnsi="Times New Roman" w:cs="Times New Roman"/>
          <w:sz w:val="24"/>
          <w:szCs w:val="24"/>
        </w:rPr>
        <w:t xml:space="preserve">., 2007 and Al-Eissa </w:t>
      </w:r>
      <w:r>
        <w:rPr>
          <w:rFonts w:ascii="Times New Roman" w:hAnsi="Times New Roman" w:cs="Times New Roman"/>
          <w:i/>
          <w:sz w:val="24"/>
          <w:szCs w:val="24"/>
        </w:rPr>
        <w:t>et al</w:t>
      </w:r>
      <w:r>
        <w:rPr>
          <w:rFonts w:ascii="Times New Roman" w:hAnsi="Times New Roman" w:cs="Times New Roman"/>
          <w:sz w:val="24"/>
          <w:szCs w:val="24"/>
        </w:rPr>
        <w:t>., 2012). The evaluation of blood constituents has been widely used as a marker to determine the efficacy of feed nutrient content and supplements (</w:t>
      </w:r>
      <w:r>
        <w:rPr>
          <w:rFonts w:ascii="Times New Roman" w:hAnsi="Times New Roman" w:cs="Times New Roman"/>
          <w:sz w:val="24"/>
          <w:szCs w:val="24"/>
        </w:rPr>
        <w:t xml:space="preserve">Akingbade </w:t>
      </w:r>
      <w:r>
        <w:rPr>
          <w:rFonts w:ascii="Times New Roman" w:hAnsi="Times New Roman" w:cs="Times New Roman"/>
          <w:i/>
          <w:sz w:val="24"/>
          <w:szCs w:val="24"/>
        </w:rPr>
        <w:t>et al</w:t>
      </w:r>
      <w:r>
        <w:rPr>
          <w:rFonts w:ascii="Times New Roman" w:hAnsi="Times New Roman" w:cs="Times New Roman"/>
          <w:sz w:val="24"/>
          <w:szCs w:val="24"/>
        </w:rPr>
        <w:t xml:space="preserve">., 2002; Belewu </w:t>
      </w:r>
      <w:r>
        <w:rPr>
          <w:rFonts w:ascii="Times New Roman" w:hAnsi="Times New Roman" w:cs="Times New Roman"/>
          <w:i/>
          <w:sz w:val="24"/>
          <w:szCs w:val="24"/>
        </w:rPr>
        <w:t>et al</w:t>
      </w:r>
      <w:r>
        <w:rPr>
          <w:rFonts w:ascii="Times New Roman" w:hAnsi="Times New Roman" w:cs="Times New Roman"/>
          <w:sz w:val="24"/>
          <w:szCs w:val="24"/>
        </w:rPr>
        <w:t>., 2009 and Belewu and Ogunsola, 2010). Metabolites that reflect an animal’s protein status and energy source include total protein, glucose and triglyceride. Blood biochemical parameters serve as indicators of physiolog</w:t>
      </w:r>
      <w:r>
        <w:rPr>
          <w:rFonts w:ascii="Times New Roman" w:hAnsi="Times New Roman" w:cs="Times New Roman"/>
          <w:sz w:val="24"/>
          <w:szCs w:val="24"/>
        </w:rPr>
        <w:t>ical state and a true reflection of the health status of animals. The biochemical and hematology profiles can also be used to assess the immunity status in goats (Al-Seaf and AlHarbi, 2012). Nutrition, stress, reproductive status, age, sex, genetics, manag</w:t>
      </w:r>
      <w:r>
        <w:rPr>
          <w:rFonts w:ascii="Times New Roman" w:hAnsi="Times New Roman" w:cs="Times New Roman"/>
          <w:sz w:val="24"/>
          <w:szCs w:val="24"/>
        </w:rPr>
        <w:t xml:space="preserve">ement, housing, and other environmental factors (temperature, relative humidity etc.) are known to have a profound effect on biochemical profiles of small ruminants (Balikci </w:t>
      </w:r>
      <w:r>
        <w:rPr>
          <w:rFonts w:ascii="Times New Roman" w:hAnsi="Times New Roman" w:cs="Times New Roman"/>
          <w:i/>
          <w:sz w:val="24"/>
          <w:szCs w:val="24"/>
        </w:rPr>
        <w:t>et al</w:t>
      </w:r>
      <w:r>
        <w:rPr>
          <w:rFonts w:ascii="Times New Roman" w:hAnsi="Times New Roman" w:cs="Times New Roman"/>
          <w:sz w:val="24"/>
          <w:szCs w:val="24"/>
        </w:rPr>
        <w:t xml:space="preserve">., 2007 and Olayemi </w:t>
      </w:r>
      <w:r>
        <w:rPr>
          <w:rFonts w:ascii="Times New Roman" w:hAnsi="Times New Roman" w:cs="Times New Roman"/>
          <w:i/>
          <w:sz w:val="24"/>
          <w:szCs w:val="24"/>
        </w:rPr>
        <w:t>et al</w:t>
      </w:r>
      <w:r>
        <w:rPr>
          <w:rFonts w:ascii="Times New Roman" w:hAnsi="Times New Roman" w:cs="Times New Roman"/>
          <w:sz w:val="24"/>
          <w:szCs w:val="24"/>
        </w:rPr>
        <w:t xml:space="preserve">., 2009). </w:t>
      </w:r>
      <w:r>
        <w:rPr>
          <w:rFonts w:ascii="Times New Roman" w:eastAsia="Times New Roman" w:hAnsi="Times New Roman" w:cs="Times New Roman"/>
          <w:sz w:val="24"/>
          <w:szCs w:val="24"/>
        </w:rPr>
        <w:t>This study compares intensive and semi-int</w:t>
      </w:r>
      <w:r>
        <w:rPr>
          <w:rFonts w:ascii="Times New Roman" w:eastAsia="Times New Roman" w:hAnsi="Times New Roman" w:cs="Times New Roman"/>
          <w:sz w:val="24"/>
          <w:szCs w:val="24"/>
        </w:rPr>
        <w:t>ensive grazing systems in Sirohi goat doelings, evaluating how structured grazing affects their blood and biochemical health. Intensive systems involve full stall-feeding—produced fodder, crop leftovers, concentrates, and compound feeds—while semi-intensiv</w:t>
      </w:r>
      <w:r>
        <w:rPr>
          <w:rFonts w:ascii="Times New Roman" w:eastAsia="Times New Roman" w:hAnsi="Times New Roman" w:cs="Times New Roman"/>
          <w:sz w:val="24"/>
          <w:szCs w:val="24"/>
        </w:rPr>
        <w:t>e systems blend limited grazing with stall feeding. Given deforestation and dwindling pastures, intensive rearing helps maintain productivity with minimal inputs. In Rajasthan, Sirohi goat farming ranges from low-cost traditional grazing to high-yield inte</w:t>
      </w:r>
      <w:r>
        <w:rPr>
          <w:rFonts w:ascii="Times New Roman" w:eastAsia="Times New Roman" w:hAnsi="Times New Roman" w:cs="Times New Roman"/>
          <w:sz w:val="24"/>
          <w:szCs w:val="24"/>
        </w:rPr>
        <w:t>nsive system, and semi-intensive system, combining pasture access with supplementary feeding, offer a practical, sustainable approach for many local farmers</w:t>
      </w:r>
      <w:r>
        <w:rPr>
          <w:rFonts w:ascii="Times New Roman" w:hAnsi="Times New Roman" w:cs="Times New Roman"/>
          <w:sz w:val="24"/>
          <w:szCs w:val="24"/>
        </w:rPr>
        <w:t>. Therefore, the current experiment was undertaken to compare the grazing system and stall feeding s</w:t>
      </w:r>
      <w:r>
        <w:rPr>
          <w:rFonts w:ascii="Times New Roman" w:hAnsi="Times New Roman" w:cs="Times New Roman"/>
          <w:sz w:val="24"/>
          <w:szCs w:val="24"/>
        </w:rPr>
        <w:t xml:space="preserve">ystem in small ruminants i.e. goats.   </w:t>
      </w:r>
    </w:p>
    <w:p w:rsidR="004E0F76" w:rsidRDefault="001037F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Materials and Methods: </w:t>
      </w:r>
    </w:p>
    <w:p w:rsidR="004E0F76" w:rsidRDefault="001037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investigated the Impact of Pasture Grazing on Hemato-Biochemical Variables in Sirohi Doeling under different rearing systems in Rajasthan. Blood samples were collected for haematolo</w:t>
      </w:r>
      <w:r>
        <w:rPr>
          <w:rFonts w:ascii="Times New Roman" w:hAnsi="Times New Roman" w:cs="Times New Roman"/>
          <w:sz w:val="24"/>
          <w:szCs w:val="24"/>
        </w:rPr>
        <w:t xml:space="preserve">gy as well as to harvest the serum from apparently thirty healthy Sirohi doeling of 6-12 months age (10 Doelings in each group), from </w:t>
      </w:r>
      <w:r>
        <w:rPr>
          <w:rFonts w:ascii="Times New Roman" w:hAnsi="Times New Roman" w:cs="Times New Roman"/>
          <w:sz w:val="24"/>
          <w:szCs w:val="24"/>
          <w:lang w:val="en-GB"/>
        </w:rPr>
        <w:t>Sirohi goat farm LRS, Bojunda, Chittorgarh maintained under standard management conditions. In present investigation the d</w:t>
      </w:r>
      <w:r>
        <w:rPr>
          <w:rFonts w:ascii="Times New Roman" w:hAnsi="Times New Roman" w:cs="Times New Roman"/>
          <w:sz w:val="24"/>
          <w:szCs w:val="24"/>
          <w:lang w:val="en-GB"/>
        </w:rPr>
        <w:t xml:space="preserve">oelings were divided into 3 groups. </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w:t>
      </w:r>
      <w:r>
        <w:rPr>
          <w:rFonts w:ascii="Times New Roman" w:hAnsi="Times New Roman" w:cs="Times New Roman"/>
          <w:sz w:val="24"/>
          <w:szCs w:val="24"/>
          <w:lang w:val="en-GB"/>
        </w:rPr>
        <w:t>group</w:t>
      </w:r>
      <w:r>
        <w:rPr>
          <w:rFonts w:ascii="Times New Roman" w:hAnsi="Times New Roman" w:cs="Times New Roman"/>
          <w:bCs/>
          <w:sz w:val="24"/>
          <w:szCs w:val="24"/>
        </w:rPr>
        <w:t xml:space="preserve"> (Intensive rearing group) served as control group in which all the selected animals were stall-fed solely without pasture grazing. The animals of 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group (Semi-intensive rearing group) were stall-fed in the </w:t>
      </w:r>
      <w:r>
        <w:rPr>
          <w:rFonts w:ascii="Times New Roman" w:hAnsi="Times New Roman" w:cs="Times New Roman"/>
          <w:bCs/>
          <w:sz w:val="24"/>
          <w:szCs w:val="24"/>
        </w:rPr>
        <w:t>morning thereafter grazed single time for 4 hours duration. The animals of T</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 group (Extensive rearing group) were grazed twice for 4 hours duration each time with minimal feeding at farm. All the selected animals were watered </w:t>
      </w:r>
      <w:r>
        <w:rPr>
          <w:rFonts w:ascii="Times New Roman" w:hAnsi="Times New Roman" w:cs="Times New Roman"/>
          <w:bCs/>
          <w:i/>
          <w:sz w:val="24"/>
          <w:szCs w:val="24"/>
        </w:rPr>
        <w:t>ad libitum</w:t>
      </w:r>
      <w:r>
        <w:rPr>
          <w:rFonts w:ascii="Times New Roman" w:hAnsi="Times New Roman" w:cs="Times New Roman"/>
          <w:bCs/>
          <w:sz w:val="24"/>
          <w:szCs w:val="24"/>
        </w:rPr>
        <w:t>.</w:t>
      </w:r>
      <w:r>
        <w:rPr>
          <w:rFonts w:ascii="Times New Roman" w:hAnsi="Times New Roman" w:cs="Times New Roman"/>
          <w:sz w:val="24"/>
          <w:szCs w:val="24"/>
          <w:lang w:val="en-GB"/>
        </w:rPr>
        <w:t xml:space="preserve"> The blood samples</w:t>
      </w:r>
      <w:r>
        <w:rPr>
          <w:rFonts w:ascii="Times New Roman" w:hAnsi="Times New Roman" w:cs="Times New Roman"/>
          <w:sz w:val="24"/>
          <w:szCs w:val="24"/>
          <w:lang w:val="en-GB"/>
        </w:rPr>
        <w:t xml:space="preserve"> were collected from September to November months in the morning hours. All efforts were made to analyse serum samples immediately, however, if needed, collected serum samples were stored in a deep freeze at -20</w:t>
      </w:r>
      <w:r>
        <w:rPr>
          <w:rFonts w:ascii="Times New Roman" w:hAnsi="Times New Roman" w:cs="Times New Roman"/>
          <w:sz w:val="24"/>
          <w:szCs w:val="24"/>
          <w:vertAlign w:val="superscript"/>
          <w:lang w:val="en-GB"/>
        </w:rPr>
        <w:t>0</w:t>
      </w:r>
      <w:r>
        <w:rPr>
          <w:rFonts w:ascii="Times New Roman" w:hAnsi="Times New Roman" w:cs="Times New Roman"/>
          <w:sz w:val="24"/>
          <w:szCs w:val="24"/>
          <w:lang w:val="en-GB"/>
        </w:rPr>
        <w:t>C till analysis. The haematological paramete</w:t>
      </w:r>
      <w:r>
        <w:rPr>
          <w:rFonts w:ascii="Times New Roman" w:hAnsi="Times New Roman" w:cs="Times New Roman"/>
          <w:sz w:val="24"/>
          <w:szCs w:val="24"/>
          <w:lang w:val="en-GB"/>
        </w:rPr>
        <w:t xml:space="preserve">rs were determined </w:t>
      </w:r>
      <w:r>
        <w:rPr>
          <w:rFonts w:ascii="Times New Roman" w:hAnsi="Times New Roman" w:cs="Times New Roman"/>
          <w:sz w:val="24"/>
          <w:szCs w:val="24"/>
        </w:rPr>
        <w:t>by automatic haematological analyzer (Rescholar) and biochemical variables by semi-automatic biochemical analyzer (Biogen) using the kit methods.</w:t>
      </w:r>
      <w:r>
        <w:rPr>
          <w:rFonts w:ascii="Times New Roman" w:eastAsia="Times" w:hAnsi="Times New Roman" w:cs="Times New Roman"/>
          <w:sz w:val="24"/>
          <w:szCs w:val="24"/>
        </w:rPr>
        <w:t xml:space="preserve"> </w:t>
      </w:r>
      <w:r>
        <w:rPr>
          <w:rFonts w:ascii="Times New Roman" w:hAnsi="Times New Roman" w:cs="Times New Roman"/>
          <w:sz w:val="24"/>
          <w:szCs w:val="24"/>
        </w:rPr>
        <w:t xml:space="preserve">The data were analyzed by standard statistical (ANOVA) method (Snedecor, G.W. and Cochran, </w:t>
      </w:r>
      <w:r>
        <w:rPr>
          <w:rFonts w:ascii="Times New Roman" w:hAnsi="Times New Roman" w:cs="Times New Roman"/>
          <w:sz w:val="24"/>
          <w:szCs w:val="24"/>
        </w:rPr>
        <w:t>W.G., 1989).</w:t>
      </w:r>
    </w:p>
    <w:p w:rsidR="004E0F76" w:rsidRDefault="001037FC">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4E0F76" w:rsidRDefault="001037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 values of hematological and biochemical parameters for Sirohi doelings reared under Intensive, Semi-intensive, and Extensive systems are summarized in Table 1.   </w:t>
      </w:r>
    </w:p>
    <w:p w:rsidR="004E0F76" w:rsidRDefault="001037FC">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1: Mean ± SEM Values of Haemoglobin, Red </w:t>
      </w:r>
      <w:r>
        <w:rPr>
          <w:rFonts w:ascii="Times New Roman" w:hAnsi="Times New Roman" w:cs="Times New Roman"/>
          <w:b/>
          <w:color w:val="000000"/>
          <w:sz w:val="24"/>
          <w:szCs w:val="24"/>
        </w:rPr>
        <w:t xml:space="preserve">Blood Cell, White Blood Cell, Packed Cell Volume, AST, ALT, Blood glucose, Cholesterol, Total protein and Triglyceride in the blood samples of </w:t>
      </w:r>
      <w:r>
        <w:rPr>
          <w:rFonts w:ascii="Times New Roman" w:hAnsi="Times New Roman" w:cs="Times New Roman"/>
          <w:b/>
          <w:i/>
          <w:iCs/>
          <w:color w:val="000000"/>
          <w:sz w:val="24"/>
          <w:szCs w:val="24"/>
        </w:rPr>
        <w:t xml:space="preserve">Sirohi </w:t>
      </w:r>
      <w:r>
        <w:rPr>
          <w:rFonts w:ascii="Times New Roman" w:hAnsi="Times New Roman" w:cs="Times New Roman"/>
          <w:b/>
          <w:color w:val="000000"/>
          <w:sz w:val="24"/>
          <w:szCs w:val="24"/>
        </w:rPr>
        <w:t xml:space="preserve">doeling in various trial groups  </w:t>
      </w:r>
    </w:p>
    <w:tbl>
      <w:tblPr>
        <w:tblStyle w:val="TableGrid"/>
        <w:tblW w:w="8174" w:type="dxa"/>
        <w:jc w:val="center"/>
        <w:tblLook w:val="04A0" w:firstRow="1" w:lastRow="0" w:firstColumn="1" w:lastColumn="0" w:noHBand="0" w:noVBand="1"/>
      </w:tblPr>
      <w:tblGrid>
        <w:gridCol w:w="2414"/>
        <w:gridCol w:w="1800"/>
        <w:gridCol w:w="1890"/>
        <w:gridCol w:w="2070"/>
      </w:tblGrid>
      <w:tr w:rsidR="004E0F76">
        <w:trPr>
          <w:jc w:val="center"/>
        </w:trPr>
        <w:tc>
          <w:tcPr>
            <w:tcW w:w="2414" w:type="dxa"/>
            <w:vMerge w:val="restart"/>
            <w:vAlign w:val="center"/>
          </w:tcPr>
          <w:p w:rsidR="004E0F76" w:rsidRDefault="001037FC">
            <w:pPr>
              <w:spacing w:before="40" w:after="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Parameters</w:t>
            </w:r>
          </w:p>
        </w:tc>
        <w:tc>
          <w:tcPr>
            <w:tcW w:w="5760" w:type="dxa"/>
            <w:gridSpan w:val="3"/>
            <w:vAlign w:val="center"/>
          </w:tcPr>
          <w:p w:rsidR="004E0F76" w:rsidRDefault="001037FC">
            <w:pPr>
              <w:spacing w:before="40" w:after="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Groups</w:t>
            </w:r>
          </w:p>
        </w:tc>
      </w:tr>
      <w:tr w:rsidR="004E0F76">
        <w:trPr>
          <w:jc w:val="center"/>
        </w:trPr>
        <w:tc>
          <w:tcPr>
            <w:tcW w:w="2414" w:type="dxa"/>
            <w:vMerge/>
            <w:vAlign w:val="center"/>
          </w:tcPr>
          <w:p w:rsidR="004E0F76" w:rsidRDefault="004E0F76">
            <w:pPr>
              <w:spacing w:before="40" w:after="40"/>
              <w:jc w:val="center"/>
              <w:rPr>
                <w:rFonts w:ascii="Times New Roman" w:hAnsi="Times New Roman" w:cs="Times New Roman"/>
                <w:b/>
                <w:bCs/>
                <w:color w:val="000000"/>
                <w:sz w:val="24"/>
                <w:szCs w:val="24"/>
              </w:rPr>
            </w:pPr>
          </w:p>
        </w:tc>
        <w:tc>
          <w:tcPr>
            <w:tcW w:w="1800" w:type="dxa"/>
            <w:vAlign w:val="center"/>
          </w:tcPr>
          <w:p w:rsidR="004E0F76" w:rsidRDefault="001037FC">
            <w:pPr>
              <w:spacing w:before="40" w:after="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T1(Control)</w:t>
            </w:r>
          </w:p>
        </w:tc>
        <w:tc>
          <w:tcPr>
            <w:tcW w:w="1890" w:type="dxa"/>
            <w:vAlign w:val="center"/>
          </w:tcPr>
          <w:p w:rsidR="004E0F76" w:rsidRDefault="001037FC">
            <w:pPr>
              <w:spacing w:before="40" w:after="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T2</w:t>
            </w:r>
          </w:p>
        </w:tc>
        <w:tc>
          <w:tcPr>
            <w:tcW w:w="2070" w:type="dxa"/>
            <w:vAlign w:val="center"/>
          </w:tcPr>
          <w:p w:rsidR="004E0F76" w:rsidRDefault="001037FC">
            <w:pPr>
              <w:spacing w:before="40" w:after="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T3</w:t>
            </w:r>
          </w:p>
        </w:tc>
      </w:tr>
      <w:tr w:rsidR="004E0F76">
        <w:trPr>
          <w:jc w:val="center"/>
        </w:trPr>
        <w:tc>
          <w:tcPr>
            <w:tcW w:w="2414" w:type="dxa"/>
          </w:tcPr>
          <w:p w:rsidR="004E0F76" w:rsidRDefault="001037FC">
            <w:pPr>
              <w:tabs>
                <w:tab w:val="center" w:pos="791"/>
                <w:tab w:val="left" w:pos="1469"/>
              </w:tabs>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Hb (gm / dL)</w:t>
            </w:r>
          </w:p>
        </w:tc>
        <w:tc>
          <w:tcPr>
            <w:tcW w:w="180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8.766 ± .13</w:t>
            </w:r>
            <w:r>
              <w:rPr>
                <w:rFonts w:ascii="Times New Roman" w:hAnsi="Times New Roman" w:cs="Times New Roman"/>
                <w:color w:val="000000"/>
                <w:sz w:val="24"/>
                <w:szCs w:val="24"/>
                <w:vertAlign w:val="superscript"/>
              </w:rPr>
              <w:t>b</w:t>
            </w:r>
          </w:p>
        </w:tc>
        <w:tc>
          <w:tcPr>
            <w:tcW w:w="189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7.481 ±</w:t>
            </w:r>
            <w:r>
              <w:rPr>
                <w:rFonts w:ascii="Times New Roman" w:hAnsi="Times New Roman" w:cs="Times New Roman"/>
                <w:color w:val="000000"/>
                <w:sz w:val="24"/>
                <w:szCs w:val="24"/>
              </w:rPr>
              <w:t xml:space="preserve"> .04</w:t>
            </w:r>
            <w:r>
              <w:rPr>
                <w:rFonts w:ascii="Times New Roman" w:hAnsi="Times New Roman" w:cs="Times New Roman"/>
                <w:color w:val="000000"/>
                <w:sz w:val="24"/>
                <w:szCs w:val="24"/>
                <w:vertAlign w:val="superscript"/>
              </w:rPr>
              <w:t>a</w:t>
            </w:r>
          </w:p>
        </w:tc>
        <w:tc>
          <w:tcPr>
            <w:tcW w:w="207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7.488 ± .04</w:t>
            </w:r>
            <w:r>
              <w:rPr>
                <w:rFonts w:ascii="Times New Roman" w:hAnsi="Times New Roman" w:cs="Times New Roman"/>
                <w:color w:val="000000"/>
                <w:sz w:val="24"/>
                <w:szCs w:val="24"/>
                <w:vertAlign w:val="superscript"/>
              </w:rPr>
              <w:t>a</w:t>
            </w: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RBC (×10</w:t>
            </w:r>
            <w:r>
              <w:rPr>
                <w:rFonts w:ascii="Times New Roman" w:hAnsi="Times New Roman" w:cs="Times New Roman"/>
                <w:color w:val="000000"/>
                <w:sz w:val="24"/>
                <w:szCs w:val="24"/>
                <w:vertAlign w:val="superscript"/>
              </w:rPr>
              <w:t>6</w:t>
            </w:r>
            <w:r>
              <w:rPr>
                <w:rFonts w:ascii="Times New Roman" w:hAnsi="Times New Roman" w:cs="Times New Roman"/>
                <w:color w:val="000000"/>
                <w:sz w:val="24"/>
                <w:szCs w:val="24"/>
              </w:rPr>
              <w:t xml:space="preserve"> / μL)</w:t>
            </w:r>
          </w:p>
        </w:tc>
        <w:tc>
          <w:tcPr>
            <w:tcW w:w="180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11.577 ± .05</w:t>
            </w:r>
            <w:r>
              <w:rPr>
                <w:rFonts w:ascii="Times New Roman" w:hAnsi="Times New Roman" w:cs="Times New Roman"/>
                <w:color w:val="000000"/>
                <w:sz w:val="24"/>
                <w:szCs w:val="24"/>
                <w:vertAlign w:val="superscript"/>
              </w:rPr>
              <w:t>b</w:t>
            </w:r>
          </w:p>
        </w:tc>
        <w:tc>
          <w:tcPr>
            <w:tcW w:w="189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10.418 ± .02</w:t>
            </w:r>
            <w:r>
              <w:rPr>
                <w:rFonts w:ascii="Times New Roman" w:hAnsi="Times New Roman" w:cs="Times New Roman"/>
                <w:color w:val="000000"/>
                <w:sz w:val="24"/>
                <w:szCs w:val="24"/>
                <w:vertAlign w:val="superscript"/>
              </w:rPr>
              <w:t>a</w:t>
            </w:r>
          </w:p>
        </w:tc>
        <w:tc>
          <w:tcPr>
            <w:tcW w:w="207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10.424 ± .02</w:t>
            </w:r>
            <w:r>
              <w:rPr>
                <w:rFonts w:ascii="Times New Roman" w:hAnsi="Times New Roman" w:cs="Times New Roman"/>
                <w:color w:val="000000"/>
                <w:sz w:val="24"/>
                <w:szCs w:val="24"/>
                <w:vertAlign w:val="superscript"/>
              </w:rPr>
              <w:t>a</w:t>
            </w: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WBC (×10</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 μL)</w:t>
            </w:r>
          </w:p>
        </w:tc>
        <w:tc>
          <w:tcPr>
            <w:tcW w:w="180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8.527 ± .08</w:t>
            </w:r>
            <w:r>
              <w:rPr>
                <w:rFonts w:ascii="Times New Roman" w:hAnsi="Times New Roman" w:cs="Times New Roman"/>
                <w:color w:val="000000"/>
                <w:sz w:val="24"/>
                <w:szCs w:val="24"/>
                <w:vertAlign w:val="superscript"/>
              </w:rPr>
              <w:t>a</w:t>
            </w:r>
          </w:p>
        </w:tc>
        <w:tc>
          <w:tcPr>
            <w:tcW w:w="189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8.873 ± .06</w:t>
            </w:r>
            <w:r>
              <w:rPr>
                <w:rFonts w:ascii="Times New Roman" w:hAnsi="Times New Roman" w:cs="Times New Roman"/>
                <w:color w:val="000000"/>
                <w:sz w:val="24"/>
                <w:szCs w:val="24"/>
                <w:vertAlign w:val="superscript"/>
              </w:rPr>
              <w:t>b</w:t>
            </w:r>
          </w:p>
        </w:tc>
        <w:tc>
          <w:tcPr>
            <w:tcW w:w="207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9.733 ± .09</w:t>
            </w:r>
            <w:r>
              <w:rPr>
                <w:rFonts w:ascii="Times New Roman" w:hAnsi="Times New Roman" w:cs="Times New Roman"/>
                <w:color w:val="000000"/>
                <w:sz w:val="24"/>
                <w:szCs w:val="24"/>
                <w:vertAlign w:val="superscript"/>
              </w:rPr>
              <w:t>c</w:t>
            </w: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PCV (%)</w:t>
            </w:r>
          </w:p>
        </w:tc>
        <w:tc>
          <w:tcPr>
            <w:tcW w:w="180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29.955 ± .51</w:t>
            </w:r>
            <w:r>
              <w:rPr>
                <w:rFonts w:ascii="Times New Roman" w:hAnsi="Times New Roman" w:cs="Times New Roman"/>
                <w:color w:val="000000"/>
                <w:sz w:val="24"/>
                <w:szCs w:val="24"/>
                <w:vertAlign w:val="superscript"/>
              </w:rPr>
              <w:t>b</w:t>
            </w:r>
          </w:p>
        </w:tc>
        <w:tc>
          <w:tcPr>
            <w:tcW w:w="189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25.164 ± .31</w:t>
            </w:r>
            <w:r>
              <w:rPr>
                <w:rFonts w:ascii="Times New Roman" w:hAnsi="Times New Roman" w:cs="Times New Roman"/>
                <w:color w:val="000000"/>
                <w:sz w:val="24"/>
                <w:szCs w:val="24"/>
                <w:vertAlign w:val="superscript"/>
              </w:rPr>
              <w:t>a</w:t>
            </w:r>
          </w:p>
        </w:tc>
        <w:tc>
          <w:tcPr>
            <w:tcW w:w="2070"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25.052 ± .27</w:t>
            </w:r>
            <w:r>
              <w:rPr>
                <w:rFonts w:ascii="Times New Roman" w:hAnsi="Times New Roman" w:cs="Times New Roman"/>
                <w:color w:val="000000"/>
                <w:sz w:val="24"/>
                <w:szCs w:val="24"/>
                <w:vertAlign w:val="superscript"/>
              </w:rPr>
              <w:t>a</w:t>
            </w: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AST (U / L)</w:t>
            </w:r>
          </w:p>
        </w:tc>
        <w:tc>
          <w:tcPr>
            <w:tcW w:w="1800" w:type="dxa"/>
            <w:vAlign w:val="center"/>
          </w:tcPr>
          <w:p w:rsidR="004E0F76" w:rsidRDefault="001037FC">
            <w:pPr>
              <w:spacing w:before="10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71.084 ± .39</w:t>
            </w:r>
            <w:r>
              <w:rPr>
                <w:rFonts w:ascii="Times New Roman" w:hAnsi="Times New Roman" w:cs="Times New Roman"/>
                <w:color w:val="000000"/>
                <w:sz w:val="24"/>
                <w:szCs w:val="24"/>
                <w:vertAlign w:val="superscript"/>
              </w:rPr>
              <w:t>a</w:t>
            </w:r>
          </w:p>
        </w:tc>
        <w:tc>
          <w:tcPr>
            <w:tcW w:w="1890" w:type="dxa"/>
            <w:vAlign w:val="center"/>
          </w:tcPr>
          <w:p w:rsidR="004E0F76" w:rsidRDefault="001037FC">
            <w:pPr>
              <w:spacing w:before="10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73.703 ± .48</w:t>
            </w:r>
            <w:r>
              <w:rPr>
                <w:rFonts w:ascii="Times New Roman" w:hAnsi="Times New Roman" w:cs="Times New Roman"/>
                <w:color w:val="000000"/>
                <w:sz w:val="24"/>
                <w:szCs w:val="24"/>
                <w:vertAlign w:val="superscript"/>
              </w:rPr>
              <w:t>a</w:t>
            </w:r>
          </w:p>
        </w:tc>
        <w:tc>
          <w:tcPr>
            <w:tcW w:w="2070" w:type="dxa"/>
            <w:vAlign w:val="center"/>
          </w:tcPr>
          <w:p w:rsidR="004E0F76" w:rsidRDefault="001037FC">
            <w:pPr>
              <w:spacing w:before="10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89.045 ± 1.36</w:t>
            </w:r>
            <w:r>
              <w:rPr>
                <w:rFonts w:ascii="Times New Roman" w:hAnsi="Times New Roman" w:cs="Times New Roman"/>
                <w:color w:val="000000"/>
                <w:sz w:val="24"/>
                <w:szCs w:val="24"/>
                <w:vertAlign w:val="superscript"/>
              </w:rPr>
              <w:t>b</w:t>
            </w: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ALT (U / L)</w:t>
            </w:r>
          </w:p>
        </w:tc>
        <w:tc>
          <w:tcPr>
            <w:tcW w:w="1800" w:type="dxa"/>
            <w:vAlign w:val="center"/>
          </w:tcPr>
          <w:p w:rsidR="004E0F76" w:rsidRDefault="001037FC">
            <w:pPr>
              <w:spacing w:before="10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6.313 ± .04</w:t>
            </w:r>
            <w:r>
              <w:rPr>
                <w:rFonts w:ascii="Times New Roman" w:hAnsi="Times New Roman" w:cs="Times New Roman"/>
                <w:color w:val="000000"/>
                <w:sz w:val="24"/>
                <w:szCs w:val="24"/>
                <w:vertAlign w:val="superscript"/>
              </w:rPr>
              <w:t>a</w:t>
            </w:r>
          </w:p>
        </w:tc>
        <w:tc>
          <w:tcPr>
            <w:tcW w:w="1890" w:type="dxa"/>
            <w:vAlign w:val="center"/>
          </w:tcPr>
          <w:p w:rsidR="004E0F76" w:rsidRDefault="001037FC">
            <w:pPr>
              <w:spacing w:before="10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6.601 ± .03</w:t>
            </w:r>
            <w:r>
              <w:rPr>
                <w:rFonts w:ascii="Times New Roman" w:hAnsi="Times New Roman" w:cs="Times New Roman"/>
                <w:color w:val="000000"/>
                <w:sz w:val="24"/>
                <w:szCs w:val="24"/>
                <w:vertAlign w:val="superscript"/>
              </w:rPr>
              <w:t>a</w:t>
            </w:r>
          </w:p>
        </w:tc>
        <w:tc>
          <w:tcPr>
            <w:tcW w:w="2070" w:type="dxa"/>
            <w:vAlign w:val="center"/>
          </w:tcPr>
          <w:p w:rsidR="004E0F76" w:rsidRDefault="001037FC">
            <w:pPr>
              <w:spacing w:before="100" w:after="60"/>
              <w:jc w:val="center"/>
              <w:rPr>
                <w:rFonts w:ascii="Times New Roman" w:hAnsi="Times New Roman" w:cs="Times New Roman"/>
                <w:color w:val="000000"/>
                <w:sz w:val="24"/>
                <w:szCs w:val="24"/>
              </w:rPr>
            </w:pPr>
            <w:r>
              <w:rPr>
                <w:rFonts w:ascii="Times New Roman" w:hAnsi="Times New Roman" w:cs="Times New Roman"/>
                <w:color w:val="000000"/>
                <w:sz w:val="24"/>
                <w:szCs w:val="24"/>
              </w:rPr>
              <w:t>7.850 ± .15</w:t>
            </w:r>
            <w:r>
              <w:rPr>
                <w:rFonts w:ascii="Times New Roman" w:hAnsi="Times New Roman" w:cs="Times New Roman"/>
                <w:color w:val="000000"/>
                <w:sz w:val="24"/>
                <w:szCs w:val="24"/>
                <w:vertAlign w:val="superscript"/>
              </w:rPr>
              <w:t>b</w:t>
            </w: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Blood glucose (mg / dl)</w:t>
            </w:r>
          </w:p>
        </w:tc>
        <w:tc>
          <w:tcPr>
            <w:tcW w:w="180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53.524 ± .56</w:t>
            </w:r>
            <w:r>
              <w:rPr>
                <w:rFonts w:ascii="Times New Roman" w:hAnsi="Times New Roman" w:cs="Times New Roman"/>
                <w:color w:val="000000"/>
                <w:sz w:val="24"/>
                <w:szCs w:val="24"/>
                <w:vertAlign w:val="superscript"/>
              </w:rPr>
              <w:t>b</w:t>
            </w:r>
          </w:p>
        </w:tc>
        <w:tc>
          <w:tcPr>
            <w:tcW w:w="189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48.162 ± .29</w:t>
            </w:r>
            <w:r>
              <w:rPr>
                <w:rFonts w:ascii="Times New Roman" w:hAnsi="Times New Roman" w:cs="Times New Roman"/>
                <w:color w:val="000000"/>
                <w:sz w:val="24"/>
                <w:szCs w:val="24"/>
                <w:vertAlign w:val="superscript"/>
              </w:rPr>
              <w:t>a</w:t>
            </w:r>
          </w:p>
        </w:tc>
        <w:tc>
          <w:tcPr>
            <w:tcW w:w="207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48.213 ± .33</w:t>
            </w:r>
            <w:r>
              <w:rPr>
                <w:rFonts w:ascii="Times New Roman" w:hAnsi="Times New Roman" w:cs="Times New Roman"/>
                <w:color w:val="000000"/>
                <w:sz w:val="24"/>
                <w:szCs w:val="24"/>
                <w:vertAlign w:val="superscript"/>
              </w:rPr>
              <w:t>a</w:t>
            </w:r>
          </w:p>
          <w:p w:rsidR="004E0F76" w:rsidRDefault="004E0F76">
            <w:pPr>
              <w:jc w:val="center"/>
              <w:rPr>
                <w:rFonts w:ascii="Times New Roman" w:hAnsi="Times New Roman" w:cs="Times New Roman"/>
                <w:color w:val="000000"/>
                <w:sz w:val="24"/>
                <w:szCs w:val="24"/>
              </w:rPr>
            </w:pP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Cholesterol (mg / dl)</w:t>
            </w:r>
          </w:p>
        </w:tc>
        <w:tc>
          <w:tcPr>
            <w:tcW w:w="180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103.185 ± .15</w:t>
            </w:r>
            <w:r>
              <w:rPr>
                <w:rFonts w:ascii="Times New Roman" w:hAnsi="Times New Roman" w:cs="Times New Roman"/>
                <w:color w:val="000000"/>
                <w:sz w:val="24"/>
                <w:szCs w:val="24"/>
                <w:vertAlign w:val="superscript"/>
              </w:rPr>
              <w:t>a</w:t>
            </w:r>
          </w:p>
        </w:tc>
        <w:tc>
          <w:tcPr>
            <w:tcW w:w="189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102.653 ± .10</w:t>
            </w:r>
            <w:r>
              <w:rPr>
                <w:rFonts w:ascii="Times New Roman" w:hAnsi="Times New Roman" w:cs="Times New Roman"/>
                <w:color w:val="000000"/>
                <w:sz w:val="24"/>
                <w:szCs w:val="24"/>
                <w:vertAlign w:val="superscript"/>
              </w:rPr>
              <w:t>a</w:t>
            </w:r>
          </w:p>
        </w:tc>
        <w:tc>
          <w:tcPr>
            <w:tcW w:w="207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105.216 ± .35</w:t>
            </w:r>
            <w:r>
              <w:rPr>
                <w:rFonts w:ascii="Times New Roman" w:hAnsi="Times New Roman" w:cs="Times New Roman"/>
                <w:color w:val="000000"/>
                <w:sz w:val="24"/>
                <w:szCs w:val="24"/>
                <w:vertAlign w:val="superscript"/>
              </w:rPr>
              <w:t>b</w:t>
            </w:r>
          </w:p>
          <w:p w:rsidR="004E0F76" w:rsidRDefault="004E0F76">
            <w:pPr>
              <w:jc w:val="center"/>
              <w:rPr>
                <w:rFonts w:ascii="Times New Roman" w:hAnsi="Times New Roman" w:cs="Times New Roman"/>
                <w:color w:val="000000"/>
                <w:sz w:val="24"/>
                <w:szCs w:val="24"/>
              </w:rPr>
            </w:pP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Total protein (mg / dl)</w:t>
            </w:r>
          </w:p>
        </w:tc>
        <w:tc>
          <w:tcPr>
            <w:tcW w:w="180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6.695 ± .05</w:t>
            </w:r>
            <w:r>
              <w:rPr>
                <w:rFonts w:ascii="Times New Roman" w:hAnsi="Times New Roman" w:cs="Times New Roman"/>
                <w:color w:val="000000"/>
                <w:sz w:val="24"/>
                <w:szCs w:val="24"/>
                <w:vertAlign w:val="superscript"/>
              </w:rPr>
              <w:t>b</w:t>
            </w:r>
          </w:p>
        </w:tc>
        <w:tc>
          <w:tcPr>
            <w:tcW w:w="189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6.277 ± .03</w:t>
            </w:r>
            <w:r>
              <w:rPr>
                <w:rFonts w:ascii="Times New Roman" w:hAnsi="Times New Roman" w:cs="Times New Roman"/>
                <w:color w:val="000000"/>
                <w:sz w:val="24"/>
                <w:szCs w:val="24"/>
                <w:vertAlign w:val="superscript"/>
              </w:rPr>
              <w:t>a</w:t>
            </w:r>
          </w:p>
        </w:tc>
        <w:tc>
          <w:tcPr>
            <w:tcW w:w="2070" w:type="dxa"/>
            <w:vAlign w:val="center"/>
          </w:tcPr>
          <w:p w:rsidR="004E0F76" w:rsidRDefault="001037FC">
            <w:pPr>
              <w:jc w:val="center"/>
              <w:rPr>
                <w:rFonts w:ascii="Times New Roman" w:hAnsi="Times New Roman" w:cs="Times New Roman"/>
                <w:color w:val="000000"/>
                <w:sz w:val="24"/>
                <w:szCs w:val="24"/>
              </w:rPr>
            </w:pPr>
            <w:r>
              <w:rPr>
                <w:rFonts w:ascii="Times New Roman" w:hAnsi="Times New Roman" w:cs="Times New Roman"/>
                <w:color w:val="000000"/>
                <w:sz w:val="24"/>
                <w:szCs w:val="24"/>
              </w:rPr>
              <w:t>6.246 ± .03</w:t>
            </w:r>
            <w:r>
              <w:rPr>
                <w:rFonts w:ascii="Times New Roman" w:hAnsi="Times New Roman" w:cs="Times New Roman"/>
                <w:color w:val="000000"/>
                <w:sz w:val="24"/>
                <w:szCs w:val="24"/>
                <w:vertAlign w:val="superscript"/>
              </w:rPr>
              <w:t>a</w:t>
            </w:r>
          </w:p>
          <w:p w:rsidR="004E0F76" w:rsidRDefault="004E0F76">
            <w:pPr>
              <w:jc w:val="center"/>
              <w:rPr>
                <w:rFonts w:ascii="Times New Roman" w:hAnsi="Times New Roman" w:cs="Times New Roman"/>
                <w:color w:val="000000"/>
                <w:sz w:val="24"/>
                <w:szCs w:val="24"/>
              </w:rPr>
            </w:pPr>
          </w:p>
        </w:tc>
      </w:tr>
      <w:tr w:rsidR="004E0F76">
        <w:trPr>
          <w:jc w:val="center"/>
        </w:trPr>
        <w:tc>
          <w:tcPr>
            <w:tcW w:w="2414" w:type="dxa"/>
          </w:tcPr>
          <w:p w:rsidR="004E0F76" w:rsidRDefault="001037FC">
            <w:pPr>
              <w:spacing w:before="40" w:after="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Triglyceride </w:t>
            </w:r>
            <w:r>
              <w:rPr>
                <w:rFonts w:ascii="Times New Roman" w:hAnsi="Times New Roman" w:cs="Times New Roman"/>
                <w:color w:val="000000"/>
                <w:sz w:val="24"/>
                <w:szCs w:val="24"/>
              </w:rPr>
              <w:t>(mg / dl)</w:t>
            </w:r>
          </w:p>
        </w:tc>
        <w:tc>
          <w:tcPr>
            <w:tcW w:w="1800" w:type="dxa"/>
            <w:vAlign w:val="center"/>
          </w:tcPr>
          <w:p w:rsidR="004E0F76" w:rsidRDefault="001037FC">
            <w:pPr>
              <w:spacing w:before="40"/>
              <w:jc w:val="center"/>
              <w:rPr>
                <w:rFonts w:ascii="Times New Roman" w:hAnsi="Times New Roman" w:cs="Times New Roman"/>
                <w:color w:val="000000"/>
                <w:sz w:val="24"/>
                <w:szCs w:val="24"/>
              </w:rPr>
            </w:pPr>
            <w:r>
              <w:rPr>
                <w:rFonts w:ascii="Times New Roman" w:hAnsi="Times New Roman" w:cs="Times New Roman"/>
                <w:color w:val="000000"/>
                <w:sz w:val="24"/>
                <w:szCs w:val="24"/>
              </w:rPr>
              <w:t>7.507 ± .23</w:t>
            </w:r>
            <w:r>
              <w:rPr>
                <w:rFonts w:ascii="Times New Roman" w:hAnsi="Times New Roman" w:cs="Times New Roman"/>
                <w:color w:val="000000"/>
                <w:sz w:val="24"/>
                <w:szCs w:val="24"/>
                <w:vertAlign w:val="superscript"/>
              </w:rPr>
              <w:t>a</w:t>
            </w:r>
          </w:p>
        </w:tc>
        <w:tc>
          <w:tcPr>
            <w:tcW w:w="1890" w:type="dxa"/>
            <w:vAlign w:val="center"/>
          </w:tcPr>
          <w:p w:rsidR="004E0F76" w:rsidRDefault="001037FC">
            <w:pPr>
              <w:spacing w:before="40"/>
              <w:jc w:val="center"/>
              <w:rPr>
                <w:rFonts w:ascii="Times New Roman" w:hAnsi="Times New Roman" w:cs="Times New Roman"/>
                <w:color w:val="000000"/>
                <w:sz w:val="24"/>
                <w:szCs w:val="24"/>
              </w:rPr>
            </w:pPr>
            <w:r>
              <w:rPr>
                <w:rFonts w:ascii="Times New Roman" w:hAnsi="Times New Roman" w:cs="Times New Roman"/>
                <w:color w:val="000000"/>
                <w:sz w:val="24"/>
                <w:szCs w:val="24"/>
              </w:rPr>
              <w:t>7.710 ± .25</w:t>
            </w:r>
            <w:r>
              <w:rPr>
                <w:rFonts w:ascii="Times New Roman" w:hAnsi="Times New Roman" w:cs="Times New Roman"/>
                <w:color w:val="000000"/>
                <w:sz w:val="24"/>
                <w:szCs w:val="24"/>
                <w:vertAlign w:val="superscript"/>
              </w:rPr>
              <w:t>a</w:t>
            </w:r>
          </w:p>
        </w:tc>
        <w:tc>
          <w:tcPr>
            <w:tcW w:w="2070" w:type="dxa"/>
            <w:vAlign w:val="center"/>
          </w:tcPr>
          <w:p w:rsidR="004E0F76" w:rsidRDefault="001037FC">
            <w:pPr>
              <w:spacing w:before="40"/>
              <w:jc w:val="center"/>
              <w:rPr>
                <w:rFonts w:ascii="Times New Roman" w:hAnsi="Times New Roman" w:cs="Times New Roman"/>
                <w:color w:val="000000"/>
                <w:sz w:val="24"/>
                <w:szCs w:val="24"/>
              </w:rPr>
            </w:pPr>
            <w:r>
              <w:rPr>
                <w:rFonts w:ascii="Times New Roman" w:hAnsi="Times New Roman" w:cs="Times New Roman"/>
                <w:color w:val="000000"/>
                <w:sz w:val="24"/>
                <w:szCs w:val="24"/>
              </w:rPr>
              <w:t>10.179 ± .40</w:t>
            </w:r>
            <w:r>
              <w:rPr>
                <w:rFonts w:ascii="Times New Roman" w:hAnsi="Times New Roman" w:cs="Times New Roman"/>
                <w:color w:val="000000"/>
                <w:sz w:val="24"/>
                <w:szCs w:val="24"/>
                <w:vertAlign w:val="superscript"/>
              </w:rPr>
              <w:t>b</w:t>
            </w:r>
          </w:p>
        </w:tc>
      </w:tr>
    </w:tbl>
    <w:p w:rsidR="004E0F76" w:rsidRDefault="001037FC">
      <w:pPr>
        <w:spacing w:before="60"/>
        <w:jc w:val="both"/>
        <w:rPr>
          <w:rFonts w:ascii="Times New Roman" w:hAnsi="Times New Roman" w:cs="Times New Roman"/>
          <w:color w:val="000000"/>
          <w:sz w:val="24"/>
          <w:szCs w:val="24"/>
        </w:rPr>
      </w:pPr>
      <w:r>
        <w:rPr>
          <w:rFonts w:ascii="Times New Roman" w:hAnsi="Times New Roman" w:cs="Times New Roman"/>
          <w:color w:val="000000"/>
          <w:sz w:val="24"/>
          <w:szCs w:val="24"/>
        </w:rPr>
        <w:t>(a, b and c-: Values with different superscripts for the same parameter within the row differ significantly (p&lt;0.05)</w:t>
      </w:r>
    </w:p>
    <w:p w:rsidR="004E0F76" w:rsidRDefault="001037FC">
      <w:pPr>
        <w:spacing w:before="160" w:after="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color w:val="000000"/>
          <w:sz w:val="24"/>
          <w:szCs w:val="24"/>
        </w:rPr>
        <w:t>The results revealed that mean values of Haemoglobin (Hb) ,</w:t>
      </w:r>
      <w:r>
        <w:rPr>
          <w:rFonts w:ascii="Times New Roman" w:hAnsi="Times New Roman" w:cs="Times New Roman"/>
          <w:color w:val="000000"/>
          <w:sz w:val="24"/>
          <w:szCs w:val="24"/>
        </w:rPr>
        <w:t xml:space="preserve"> Red Blood Cell (RBC) and Packed Cell Volume (PCV) were significantly (p&lt;0.05) higher in Intensive rearing group than Semi-intensive and Extensive rearing groups (Table 1). These results were in agreement with the findings of Patil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(2014), Kochewad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(2017) and Mane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(2022), who reported significantly higher RBC, Hb and PCV in Intensive rearing group. While the findings of Adenkola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(2018), Karthik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(2021) and Bhinder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disagreed with the present study. </w:t>
      </w:r>
      <w:r>
        <w:rPr>
          <w:rFonts w:ascii="Times New Roman" w:eastAsia="Times New Roman" w:hAnsi="Times New Roman" w:cs="Times New Roman"/>
          <w:color w:val="000000"/>
          <w:sz w:val="24"/>
          <w:szCs w:val="24"/>
          <w:lang w:eastAsia="en-IN"/>
        </w:rPr>
        <w:t>Good veterin</w:t>
      </w:r>
      <w:r>
        <w:rPr>
          <w:rFonts w:ascii="Times New Roman" w:eastAsia="Times New Roman" w:hAnsi="Times New Roman" w:cs="Times New Roman"/>
          <w:color w:val="000000"/>
          <w:sz w:val="24"/>
          <w:szCs w:val="24"/>
          <w:lang w:eastAsia="en-IN"/>
        </w:rPr>
        <w:t>ary care and a lesser parasite challenge may be the cause of the greater erythrocyte count seen in the intensive group. It has been shown that animals fed a high-protein diet in stall feeding were better able to bind iron overall than those fed a low-prote</w:t>
      </w:r>
      <w:r>
        <w:rPr>
          <w:rFonts w:ascii="Times New Roman" w:eastAsia="Times New Roman" w:hAnsi="Times New Roman" w:cs="Times New Roman"/>
          <w:color w:val="000000"/>
          <w:sz w:val="24"/>
          <w:szCs w:val="24"/>
          <w:lang w:eastAsia="en-IN"/>
        </w:rPr>
        <w:t xml:space="preserve">in diet in Extensive Rearing System. In erythropoiesis, iron has a beneficial effect. Unlike the goats under the extensive system, the goats under intensive management received a high-quality protein concentrate as a supplement in their feed.  </w:t>
      </w:r>
    </w:p>
    <w:p w:rsidR="004E0F76" w:rsidRDefault="001037FC">
      <w:pPr>
        <w:spacing w:before="160" w:after="0" w:line="372"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color w:val="000000"/>
          <w:sz w:val="24"/>
          <w:szCs w:val="24"/>
        </w:rPr>
        <w:t xml:space="preserve">The mean value of White Blood Cell (WBC) was differed significantly (p&lt;0.05) in all rearing groups. The finding of Karthik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(2021) in sheep was similar with the present study. While the findings of Patil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(2014), Adenkola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(2018), Singh </w:t>
      </w:r>
      <w:r>
        <w:rPr>
          <w:rFonts w:ascii="Times New Roman" w:hAnsi="Times New Roman" w:cs="Times New Roman"/>
          <w:i/>
          <w:iCs/>
          <w:color w:val="000000"/>
          <w:sz w:val="24"/>
          <w:szCs w:val="24"/>
        </w:rPr>
        <w:t>e</w:t>
      </w:r>
      <w:r>
        <w:rPr>
          <w:rFonts w:ascii="Times New Roman" w:hAnsi="Times New Roman" w:cs="Times New Roman"/>
          <w:i/>
          <w:iCs/>
          <w:color w:val="000000"/>
          <w:sz w:val="24"/>
          <w:szCs w:val="24"/>
        </w:rPr>
        <w:t>t al.</w:t>
      </w:r>
      <w:r>
        <w:rPr>
          <w:rFonts w:ascii="Times New Roman" w:hAnsi="Times New Roman" w:cs="Times New Roman"/>
          <w:color w:val="000000"/>
          <w:sz w:val="24"/>
          <w:szCs w:val="24"/>
        </w:rPr>
        <w:t xml:space="preserve"> (2020), Mane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(2022), Bhinder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and Yadav </w:t>
      </w:r>
      <w:r>
        <w:rPr>
          <w:rFonts w:ascii="Times New Roman" w:hAnsi="Times New Roman" w:cs="Times New Roman"/>
          <w:i/>
          <w:iCs/>
          <w:color w:val="000000"/>
          <w:sz w:val="24"/>
          <w:szCs w:val="24"/>
        </w:rPr>
        <w:t>et al.</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(2023) disagreed with the present study. </w:t>
      </w:r>
      <w:r>
        <w:rPr>
          <w:rFonts w:ascii="Times New Roman" w:eastAsia="Times New Roman" w:hAnsi="Times New Roman" w:cs="Times New Roman"/>
          <w:color w:val="000000"/>
          <w:sz w:val="24"/>
          <w:szCs w:val="24"/>
          <w:lang w:eastAsia="en-IN"/>
        </w:rPr>
        <w:t>On the other hand, Attia (2016) found that the total leucocyte count had barely changed. Leukocytes primarily function to phagocytosis foreign</w:t>
      </w:r>
      <w:r>
        <w:rPr>
          <w:rFonts w:ascii="Times New Roman" w:eastAsia="Times New Roman" w:hAnsi="Times New Roman" w:cs="Times New Roman"/>
          <w:color w:val="000000"/>
          <w:sz w:val="24"/>
          <w:szCs w:val="24"/>
          <w:lang w:eastAsia="en-IN"/>
        </w:rPr>
        <w:t xml:space="preserve"> organisms, prevent infections, and produce antibodies as part of the immune response. </w:t>
      </w:r>
    </w:p>
    <w:p w:rsidR="004E0F76" w:rsidRDefault="001037FC">
      <w:pPr>
        <w:spacing w:before="160" w:after="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color w:val="000000"/>
          <w:sz w:val="24"/>
          <w:szCs w:val="24"/>
        </w:rPr>
        <w:t xml:space="preserve">Aspartate aminotransferase (AST) and Alanine transaminase (ALT) were significantly higher (p&lt;0.05) in Extensive rearing group than Intensive and Semi-intensive rearing </w:t>
      </w:r>
      <w:r>
        <w:rPr>
          <w:rFonts w:ascii="Times New Roman" w:hAnsi="Times New Roman" w:cs="Times New Roman"/>
          <w:color w:val="000000"/>
          <w:sz w:val="24"/>
          <w:szCs w:val="24"/>
        </w:rPr>
        <w:t xml:space="preserve">groups. These results were in agreement with Kochewad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(2017), Adenkola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(2018), Karthik </w:t>
      </w:r>
      <w:r>
        <w:rPr>
          <w:rFonts w:ascii="Times New Roman" w:hAnsi="Times New Roman" w:cs="Times New Roman"/>
          <w:i/>
          <w:iCs/>
          <w:color w:val="000000"/>
          <w:sz w:val="24"/>
          <w:szCs w:val="24"/>
        </w:rPr>
        <w:t xml:space="preserve">et </w:t>
      </w:r>
      <w:r>
        <w:rPr>
          <w:rFonts w:ascii="Times New Roman" w:hAnsi="Times New Roman" w:cs="Times New Roman"/>
          <w:i/>
          <w:iCs/>
          <w:color w:val="000000"/>
          <w:sz w:val="24"/>
          <w:szCs w:val="24"/>
        </w:rPr>
        <w:lastRenderedPageBreak/>
        <w:t>al.</w:t>
      </w:r>
      <w:r>
        <w:rPr>
          <w:rFonts w:ascii="Times New Roman" w:hAnsi="Times New Roman" w:cs="Times New Roman"/>
          <w:color w:val="000000"/>
          <w:sz w:val="24"/>
          <w:szCs w:val="24"/>
        </w:rPr>
        <w:t xml:space="preserve"> (2021) and Bhinder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While the findings of Indu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(2014) and Yadav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disagreed with the present study. </w:t>
      </w:r>
      <w:r>
        <w:rPr>
          <w:rFonts w:ascii="Times New Roman" w:eastAsia="Times New Roman" w:hAnsi="Times New Roman" w:cs="Times New Roman"/>
          <w:color w:val="000000"/>
          <w:sz w:val="24"/>
          <w:szCs w:val="24"/>
          <w:lang w:eastAsia="en-IN"/>
        </w:rPr>
        <w:t xml:space="preserve">Muscle enzymes </w:t>
      </w:r>
      <w:r>
        <w:rPr>
          <w:rFonts w:ascii="Times New Roman" w:eastAsia="Times New Roman" w:hAnsi="Times New Roman" w:cs="Times New Roman"/>
          <w:color w:val="000000"/>
          <w:sz w:val="24"/>
          <w:szCs w:val="24"/>
          <w:lang w:eastAsia="en-IN"/>
        </w:rPr>
        <w:t xml:space="preserve">have been demonstrated to rise in animals under the stress and excitement of constraint because of increased cell permeability and cell injury (Duncan and Prasse, 1986). </w:t>
      </w:r>
    </w:p>
    <w:p w:rsidR="004E0F76" w:rsidRDefault="001037FC">
      <w:pPr>
        <w:spacing w:before="160" w:after="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 Serum Glucose and Total Protein (TP) were significantly (p&lt;0.05) higher in Intensive</w:t>
      </w:r>
      <w:r>
        <w:rPr>
          <w:rFonts w:ascii="Times New Roman" w:hAnsi="Times New Roman" w:cs="Times New Roman"/>
          <w:sz w:val="24"/>
          <w:szCs w:val="24"/>
        </w:rPr>
        <w:t xml:space="preserve"> rearing group than Semi-intensive and Extensive rearing groups. These results were in agreement with the findings of Gupta </w:t>
      </w:r>
      <w:r>
        <w:rPr>
          <w:rFonts w:ascii="Times New Roman" w:hAnsi="Times New Roman" w:cs="Times New Roman"/>
          <w:i/>
          <w:sz w:val="24"/>
          <w:szCs w:val="24"/>
        </w:rPr>
        <w:t>et al</w:t>
      </w:r>
      <w:r>
        <w:rPr>
          <w:rFonts w:ascii="Times New Roman" w:hAnsi="Times New Roman" w:cs="Times New Roman"/>
          <w:sz w:val="24"/>
          <w:szCs w:val="24"/>
        </w:rPr>
        <w:t xml:space="preserve">. (2005), Nayak et al. (2013), Manat </w:t>
      </w:r>
      <w:r>
        <w:rPr>
          <w:rFonts w:ascii="Times New Roman" w:hAnsi="Times New Roman" w:cs="Times New Roman"/>
          <w:i/>
          <w:sz w:val="24"/>
          <w:szCs w:val="24"/>
        </w:rPr>
        <w:t>et al.</w:t>
      </w:r>
      <w:r>
        <w:rPr>
          <w:rFonts w:ascii="Times New Roman" w:hAnsi="Times New Roman" w:cs="Times New Roman"/>
          <w:sz w:val="24"/>
          <w:szCs w:val="24"/>
        </w:rPr>
        <w:t xml:space="preserve"> (2016), Singh </w:t>
      </w:r>
      <w:r>
        <w:rPr>
          <w:rFonts w:ascii="Times New Roman" w:hAnsi="Times New Roman" w:cs="Times New Roman"/>
          <w:i/>
          <w:sz w:val="24"/>
          <w:szCs w:val="24"/>
        </w:rPr>
        <w:t>et al</w:t>
      </w:r>
      <w:r>
        <w:rPr>
          <w:rFonts w:ascii="Times New Roman" w:hAnsi="Times New Roman" w:cs="Times New Roman"/>
          <w:sz w:val="24"/>
          <w:szCs w:val="24"/>
        </w:rPr>
        <w:t xml:space="preserve">. (2020), Karthik </w:t>
      </w:r>
      <w:r>
        <w:rPr>
          <w:rFonts w:ascii="Times New Roman" w:hAnsi="Times New Roman" w:cs="Times New Roman"/>
          <w:i/>
          <w:sz w:val="24"/>
          <w:szCs w:val="24"/>
        </w:rPr>
        <w:t>et al</w:t>
      </w:r>
      <w:r>
        <w:rPr>
          <w:rFonts w:ascii="Times New Roman" w:hAnsi="Times New Roman" w:cs="Times New Roman"/>
          <w:sz w:val="24"/>
          <w:szCs w:val="24"/>
        </w:rPr>
        <w:t xml:space="preserve">. (2021), Debbarma </w:t>
      </w:r>
      <w:r>
        <w:rPr>
          <w:rFonts w:ascii="Times New Roman" w:hAnsi="Times New Roman" w:cs="Times New Roman"/>
          <w:i/>
          <w:sz w:val="24"/>
          <w:szCs w:val="24"/>
        </w:rPr>
        <w:t>et al</w:t>
      </w:r>
      <w:r>
        <w:rPr>
          <w:rFonts w:ascii="Times New Roman" w:hAnsi="Times New Roman" w:cs="Times New Roman"/>
          <w:sz w:val="24"/>
          <w:szCs w:val="24"/>
        </w:rPr>
        <w:t xml:space="preserve">. (2022) and Mane </w:t>
      </w:r>
      <w:r>
        <w:rPr>
          <w:rFonts w:ascii="Times New Roman" w:hAnsi="Times New Roman" w:cs="Times New Roman"/>
          <w:i/>
          <w:sz w:val="24"/>
          <w:szCs w:val="24"/>
        </w:rPr>
        <w:t>et al.</w:t>
      </w:r>
      <w:r>
        <w:rPr>
          <w:rFonts w:ascii="Times New Roman" w:hAnsi="Times New Roman" w:cs="Times New Roman"/>
          <w:sz w:val="24"/>
          <w:szCs w:val="24"/>
        </w:rPr>
        <w:t xml:space="preserve"> (2022). While the findings of Raju </w:t>
      </w:r>
      <w:r>
        <w:rPr>
          <w:rFonts w:ascii="Times New Roman" w:hAnsi="Times New Roman" w:cs="Times New Roman"/>
          <w:i/>
          <w:sz w:val="24"/>
          <w:szCs w:val="24"/>
        </w:rPr>
        <w:t>et al.</w:t>
      </w:r>
      <w:r>
        <w:rPr>
          <w:rFonts w:ascii="Times New Roman" w:hAnsi="Times New Roman" w:cs="Times New Roman"/>
          <w:sz w:val="24"/>
          <w:szCs w:val="24"/>
        </w:rPr>
        <w:t xml:space="preserve"> (2015), Attia </w:t>
      </w:r>
      <w:r>
        <w:rPr>
          <w:rFonts w:ascii="Times New Roman" w:hAnsi="Times New Roman" w:cs="Times New Roman"/>
          <w:i/>
          <w:sz w:val="24"/>
          <w:szCs w:val="24"/>
        </w:rPr>
        <w:t>et al</w:t>
      </w:r>
      <w:r>
        <w:rPr>
          <w:rFonts w:ascii="Times New Roman" w:hAnsi="Times New Roman" w:cs="Times New Roman"/>
          <w:sz w:val="24"/>
          <w:szCs w:val="24"/>
        </w:rPr>
        <w:t xml:space="preserve">. (2016) and Yadav </w:t>
      </w:r>
      <w:r>
        <w:rPr>
          <w:rFonts w:ascii="Times New Roman" w:hAnsi="Times New Roman" w:cs="Times New Roman"/>
          <w:i/>
          <w:sz w:val="24"/>
          <w:szCs w:val="24"/>
        </w:rPr>
        <w:t>et al.</w:t>
      </w:r>
      <w:r>
        <w:rPr>
          <w:rFonts w:ascii="Times New Roman" w:hAnsi="Times New Roman" w:cs="Times New Roman"/>
          <w:sz w:val="24"/>
          <w:szCs w:val="24"/>
        </w:rPr>
        <w:t xml:space="preserve"> (2023) disagreed with the present study.</w:t>
      </w:r>
      <w:r>
        <w:rPr>
          <w:rFonts w:ascii="Times New Roman" w:eastAsia="Times New Roman" w:hAnsi="Times New Roman" w:cs="Times New Roman"/>
          <w:color w:val="000000"/>
          <w:sz w:val="24"/>
          <w:szCs w:val="24"/>
          <w:lang w:eastAsia="en-IN"/>
        </w:rPr>
        <w:t xml:space="preserve"> In nutritional studies, a number of researchers (Okoruwa, 2014; Okoruwa </w:t>
      </w:r>
      <w:r>
        <w:rPr>
          <w:rFonts w:ascii="Times New Roman" w:eastAsia="Times New Roman" w:hAnsi="Times New Roman" w:cs="Times New Roman"/>
          <w:i/>
          <w:iCs/>
          <w:color w:val="000000"/>
          <w:sz w:val="24"/>
          <w:szCs w:val="24"/>
          <w:lang w:eastAsia="en-IN"/>
        </w:rPr>
        <w:t>et al.</w:t>
      </w:r>
      <w:r>
        <w:rPr>
          <w:rFonts w:ascii="Times New Roman" w:eastAsia="Times New Roman" w:hAnsi="Times New Roman" w:cs="Times New Roman"/>
          <w:color w:val="000000"/>
          <w:sz w:val="24"/>
          <w:szCs w:val="24"/>
          <w:lang w:eastAsia="en-IN"/>
        </w:rPr>
        <w:t xml:space="preserve"> 2014; Olafadehan </w:t>
      </w:r>
      <w:r>
        <w:rPr>
          <w:rFonts w:ascii="Times New Roman" w:eastAsia="Times New Roman" w:hAnsi="Times New Roman" w:cs="Times New Roman"/>
          <w:i/>
          <w:iCs/>
          <w:color w:val="000000"/>
          <w:sz w:val="24"/>
          <w:szCs w:val="24"/>
          <w:lang w:eastAsia="en-IN"/>
        </w:rPr>
        <w:t>et al.</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2014) had linked higher serum total protein and albumin to higher protein intake. According to Yadav et al. (2023), the higher total protein levels observed in stall-fed systems, compared to Semi-intensive and Extensive systems, may be attributed to greate</w:t>
      </w:r>
      <w:r>
        <w:rPr>
          <w:rFonts w:ascii="Times New Roman" w:eastAsia="Times New Roman" w:hAnsi="Times New Roman" w:cs="Times New Roman"/>
          <w:color w:val="000000"/>
          <w:sz w:val="24"/>
          <w:szCs w:val="24"/>
          <w:lang w:eastAsia="en-IN"/>
        </w:rPr>
        <w:t xml:space="preserve">r concentrate intake.  </w:t>
      </w:r>
    </w:p>
    <w:p w:rsidR="004E0F76" w:rsidRDefault="001037FC">
      <w:pPr>
        <w:spacing w:before="160"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Serum Cholesterol was significantly (p&lt;0.05) higher in Extensive rearing group than Semi-intensive and Intensive rearing groups. The finding was similar to the observations of Adenkola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(2018), Debbarma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(2022), Mane </w:t>
      </w:r>
      <w:r>
        <w:rPr>
          <w:rFonts w:ascii="Times New Roman" w:hAnsi="Times New Roman" w:cs="Times New Roman"/>
          <w:i/>
          <w:iCs/>
          <w:color w:val="000000"/>
          <w:sz w:val="24"/>
          <w:szCs w:val="24"/>
        </w:rPr>
        <w:t>et</w:t>
      </w:r>
      <w:r>
        <w:rPr>
          <w:rFonts w:ascii="Times New Roman" w:hAnsi="Times New Roman" w:cs="Times New Roman"/>
          <w:i/>
          <w:iCs/>
          <w:color w:val="000000"/>
          <w:sz w:val="24"/>
          <w:szCs w:val="24"/>
        </w:rPr>
        <w:t xml:space="preserve"> al.</w:t>
      </w:r>
      <w:r>
        <w:rPr>
          <w:rFonts w:ascii="Times New Roman" w:hAnsi="Times New Roman" w:cs="Times New Roman"/>
          <w:color w:val="000000"/>
          <w:sz w:val="24"/>
          <w:szCs w:val="24"/>
        </w:rPr>
        <w:t xml:space="preserve"> (2022) and Yadav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While the results of Raju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(2015), Manat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(2016), Singh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(2020), Karthik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(2021) and Bhinder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were contrast with present study.</w:t>
      </w:r>
      <w:r>
        <w:rPr>
          <w:rFonts w:ascii="Times New Roman" w:eastAsia="Times New Roman" w:hAnsi="Times New Roman" w:cs="Times New Roman"/>
          <w:color w:val="000000"/>
          <w:sz w:val="24"/>
          <w:szCs w:val="24"/>
          <w:lang w:eastAsia="en-IN"/>
        </w:rPr>
        <w:t xml:space="preserve"> </w:t>
      </w:r>
      <w:r>
        <w:rPr>
          <w:rFonts w:ascii="Times New Roman" w:hAnsi="Times New Roman" w:cs="Times New Roman"/>
          <w:color w:val="000000"/>
          <w:sz w:val="24"/>
          <w:szCs w:val="24"/>
        </w:rPr>
        <w:t xml:space="preserve"> </w:t>
      </w:r>
    </w:p>
    <w:p w:rsidR="004E0F76" w:rsidRDefault="001037FC">
      <w:pPr>
        <w:spacing w:before="140" w:after="0" w:line="353"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mean value of triglyceride was significantly (p&lt;</w:t>
      </w:r>
      <w:r>
        <w:rPr>
          <w:rFonts w:ascii="Times New Roman" w:hAnsi="Times New Roman" w:cs="Times New Roman"/>
          <w:color w:val="000000"/>
          <w:sz w:val="24"/>
          <w:szCs w:val="24"/>
        </w:rPr>
        <w:t xml:space="preserve">0.05) higher in Extensive rearing group than Semi-intensive and Intensive rearing groups. This result was in agreement with findings of Singh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(2020). While the results of Raju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(2015) and Bhinder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(2023) disagreed</w:t>
      </w:r>
      <w:r>
        <w:rPr>
          <w:rFonts w:ascii="Times New Roman" w:hAnsi="Times New Roman" w:cs="Times New Roman"/>
          <w:sz w:val="24"/>
          <w:szCs w:val="24"/>
        </w:rPr>
        <w:t xml:space="preserve"> with the present study.</w:t>
      </w:r>
      <w:r>
        <w:rPr>
          <w:rFonts w:ascii="Times New Roman" w:hAnsi="Times New Roman" w:cs="Times New Roman"/>
          <w:sz w:val="24"/>
          <w:szCs w:val="24"/>
        </w:rPr>
        <w:t xml:space="preserve"> </w:t>
      </w:r>
      <w:r>
        <w:rPr>
          <w:rFonts w:ascii="Times New Roman" w:hAnsi="Times New Roman" w:cs="Times New Roman"/>
          <w:color w:val="000000"/>
          <w:sz w:val="24"/>
          <w:szCs w:val="24"/>
        </w:rPr>
        <w:t>Smith RW and Walsh A. (1975)</w:t>
      </w:r>
      <w:r>
        <w:rPr>
          <w:rFonts w:ascii="Times New Roman" w:eastAsia="Times New Roman" w:hAnsi="Times New Roman" w:cs="Times New Roman"/>
          <w:color w:val="000000"/>
          <w:sz w:val="24"/>
          <w:szCs w:val="24"/>
          <w:lang w:eastAsia="en-IN"/>
        </w:rPr>
        <w:t xml:space="preserve"> reported a higher quantity of these substances in the ewes' liver. In intensive methods of raising, there may be a significant decrease in blood triglycerides due to increased lipolysis, which is hormonally controlled and not </w:t>
      </w:r>
      <w:r>
        <w:rPr>
          <w:rFonts w:ascii="Times New Roman" w:eastAsia="Times New Roman" w:hAnsi="Times New Roman" w:cs="Times New Roman"/>
          <w:color w:val="000000"/>
          <w:sz w:val="24"/>
          <w:szCs w:val="24"/>
          <w:lang w:eastAsia="en-IN"/>
        </w:rPr>
        <w:t xml:space="preserve">a sign of an energy deficiency (Holtenius and Hjort, 1990). </w:t>
      </w:r>
    </w:p>
    <w:p w:rsidR="004E0F76" w:rsidRDefault="001037FC">
      <w:pPr>
        <w:spacing w:line="36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 xml:space="preserve">Conclusion: </w:t>
      </w:r>
    </w:p>
    <w:p w:rsidR="004E0F76" w:rsidRDefault="001037FC">
      <w:pPr>
        <w:spacing w:line="360" w:lineRule="auto"/>
        <w:jc w:val="both"/>
        <w:rPr>
          <w:rFonts w:cs="Times New Roman"/>
          <w:kern w:val="2"/>
          <w:highlight w:val="yellow"/>
        </w:rPr>
      </w:pPr>
      <w:r>
        <w:rPr>
          <w:rFonts w:ascii="Times New Roman" w:hAnsi="Times New Roman" w:cs="Times New Roman"/>
          <w:color w:val="000000"/>
          <w:sz w:val="24"/>
          <w:szCs w:val="24"/>
        </w:rPr>
        <w:tab/>
      </w:r>
      <w:bookmarkStart w:id="1" w:name="_Hlk201835975"/>
      <w:bookmarkStart w:id="2" w:name="_Hlk193540946"/>
      <w:bookmarkStart w:id="3" w:name="_Hlk180402183"/>
      <w:bookmarkStart w:id="4" w:name="_Hlk183680988"/>
      <w:bookmarkStart w:id="5" w:name="_Hlk197173371"/>
      <w:r>
        <w:rPr>
          <w:rFonts w:ascii="Times New Roman" w:hAnsi="Times New Roman" w:cs="Times New Roman"/>
          <w:color w:val="000000"/>
          <w:sz w:val="24"/>
          <w:szCs w:val="24"/>
        </w:rPr>
        <w:t xml:space="preserve">Based on the current study's findings, it can be said that the Intensive rearing system has positive effects on hemato-biochemical variables </w:t>
      </w:r>
      <w:r>
        <w:rPr>
          <w:rFonts w:ascii="Times New Roman" w:hAnsi="Times New Roman" w:cs="Times New Roman"/>
          <w:color w:val="000000"/>
          <w:sz w:val="24"/>
          <w:szCs w:val="24"/>
        </w:rPr>
        <w:t xml:space="preserve">over Semi-intensive and Extensive rearing systems. Though it produces greater results, the Intensive raising approach is relatively </w:t>
      </w:r>
      <w:r>
        <w:rPr>
          <w:rFonts w:ascii="Times New Roman" w:hAnsi="Times New Roman" w:cs="Times New Roman"/>
          <w:color w:val="000000"/>
          <w:sz w:val="24"/>
          <w:szCs w:val="24"/>
        </w:rPr>
        <w:lastRenderedPageBreak/>
        <w:t>expensive.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Thus, while still backed by scientific research, the Semi-intensive raising strategy turns out to be a more econo</w:t>
      </w:r>
      <w:r>
        <w:rPr>
          <w:rFonts w:ascii="Times New Roman" w:hAnsi="Times New Roman" w:cs="Times New Roman"/>
          <w:color w:val="000000"/>
          <w:sz w:val="24"/>
          <w:szCs w:val="24"/>
        </w:rPr>
        <w:t xml:space="preserve">mical option. Additional research in other seasons is required to confirm and improve these findings.   </w:t>
      </w:r>
      <w:r>
        <w:rPr>
          <w:rFonts w:cs="Times New Roman"/>
          <w:kern w:val="2"/>
          <w:highlight w:val="yellow"/>
        </w:rPr>
        <w:t>Disclaimer (Artificial intelligence)</w:t>
      </w:r>
    </w:p>
    <w:p w:rsidR="004E0F76" w:rsidRDefault="001037FC">
      <w:pPr>
        <w:rPr>
          <w:rFonts w:cs="Times New Roman"/>
          <w:kern w:val="2"/>
          <w:highlight w:val="yellow"/>
        </w:rPr>
      </w:pPr>
      <w:r>
        <w:rPr>
          <w:rFonts w:cs="Times New Roman"/>
          <w:kern w:val="2"/>
          <w:highlight w:val="yellow"/>
        </w:rPr>
        <w:t xml:space="preserve">Option 1: </w:t>
      </w:r>
      <w:r>
        <w:rPr>
          <w:rFonts w:cs="Times New Roman"/>
          <w:kern w:val="2"/>
        </w:rPr>
        <w:t>NO AI used in this manuscript</w:t>
      </w:r>
      <w:r>
        <w:rPr>
          <w:rFonts w:cs="Times New Roman"/>
          <w:kern w:val="2"/>
          <w:highlight w:val="yellow"/>
        </w:rPr>
        <w:t xml:space="preserve"> </w:t>
      </w:r>
    </w:p>
    <w:p w:rsidR="004E0F76" w:rsidRDefault="001037FC">
      <w:pPr>
        <w:rPr>
          <w:rFonts w:cs="Times New Roman"/>
          <w:kern w:val="2"/>
          <w:highlight w:val="yellow"/>
        </w:rPr>
      </w:pPr>
      <w:r>
        <w:rPr>
          <w:rFonts w:cs="Times New Roman"/>
          <w:kern w:val="2"/>
          <w:highlight w:val="yellow"/>
        </w:rPr>
        <w:t xml:space="preserve">Author(s) hereby declare that NO generative AI technologies such as Large </w:t>
      </w:r>
      <w:r>
        <w:rPr>
          <w:rFonts w:cs="Times New Roman"/>
          <w:kern w:val="2"/>
          <w:highlight w:val="yellow"/>
        </w:rPr>
        <w:t xml:space="preserve">Language Models (ChatGPT, manuscript. </w:t>
      </w:r>
    </w:p>
    <w:p w:rsidR="004E0F76" w:rsidRDefault="001037FC">
      <w:pPr>
        <w:rPr>
          <w:rFonts w:cs="Times New Roman"/>
          <w:kern w:val="2"/>
          <w:highlight w:val="yellow"/>
        </w:rPr>
      </w:pPr>
      <w:r>
        <w:rPr>
          <w:rFonts w:cs="Times New Roman"/>
          <w:kern w:val="2"/>
          <w:highlight w:val="yellow"/>
        </w:rPr>
        <w:t xml:space="preserve">Option 2: </w:t>
      </w:r>
    </w:p>
    <w:p w:rsidR="004E0F76" w:rsidRDefault="001037FC">
      <w:pPr>
        <w:rPr>
          <w:rFonts w:cs="Times New Roman"/>
          <w:kern w:val="2"/>
          <w:highlight w:val="yellow"/>
        </w:rPr>
      </w:pPr>
      <w:r>
        <w:rPr>
          <w:rFonts w:cs="Times New Roman"/>
          <w:kern w:val="2"/>
          <w:highlight w:val="yellow"/>
        </w:rPr>
        <w:t>Author(s) hereby declare that generative AI technologies such as Large Language Models, etc. have been used during the writing or editing of manuscripts. This explanation will include the name, version, mod</w:t>
      </w:r>
      <w:r>
        <w:rPr>
          <w:rFonts w:cs="Times New Roman"/>
          <w:kern w:val="2"/>
          <w:highlight w:val="yellow"/>
        </w:rPr>
        <w:t>el, and source of the generative AI technology and as well as all input prompts provided to the generative AI technology</w:t>
      </w:r>
    </w:p>
    <w:p w:rsidR="004E0F76" w:rsidRDefault="001037FC">
      <w:pPr>
        <w:rPr>
          <w:rFonts w:cs="Times New Roman"/>
          <w:kern w:val="2"/>
          <w:highlight w:val="yellow"/>
        </w:rPr>
      </w:pPr>
      <w:r>
        <w:rPr>
          <w:rFonts w:cs="Times New Roman"/>
          <w:kern w:val="2"/>
          <w:highlight w:val="yellow"/>
        </w:rPr>
        <w:t>Details of the AI usage are given below:</w:t>
      </w:r>
    </w:p>
    <w:p w:rsidR="004E0F76" w:rsidRDefault="001037FC">
      <w:pPr>
        <w:rPr>
          <w:rFonts w:cs="Times New Roman"/>
          <w:kern w:val="2"/>
          <w:highlight w:val="yellow"/>
        </w:rPr>
      </w:pPr>
      <w:r>
        <w:rPr>
          <w:rFonts w:cs="Times New Roman"/>
          <w:kern w:val="2"/>
          <w:highlight w:val="yellow"/>
        </w:rPr>
        <w:t>1.</w:t>
      </w:r>
    </w:p>
    <w:p w:rsidR="004E0F76" w:rsidRDefault="001037FC">
      <w:pPr>
        <w:rPr>
          <w:rFonts w:cs="Times New Roman"/>
          <w:kern w:val="2"/>
          <w:highlight w:val="yellow"/>
        </w:rPr>
      </w:pPr>
      <w:r>
        <w:rPr>
          <w:rFonts w:cs="Times New Roman"/>
          <w:kern w:val="2"/>
          <w:highlight w:val="yellow"/>
        </w:rPr>
        <w:t>2.</w:t>
      </w:r>
      <w:bookmarkEnd w:id="1"/>
    </w:p>
    <w:p w:rsidR="004E0F76" w:rsidRDefault="001037FC">
      <w:pPr>
        <w:rPr>
          <w:rFonts w:cs="Times New Roman"/>
          <w:kern w:val="2"/>
        </w:rPr>
      </w:pPr>
      <w:r>
        <w:rPr>
          <w:rFonts w:cs="Times New Roman"/>
          <w:kern w:val="2"/>
          <w:highlight w:val="yellow"/>
        </w:rPr>
        <w:t>3.</w:t>
      </w:r>
      <w:bookmarkEnd w:id="2"/>
    </w:p>
    <w:bookmarkEnd w:id="3"/>
    <w:bookmarkEnd w:id="4"/>
    <w:bookmarkEnd w:id="5"/>
    <w:p w:rsidR="004E0F76" w:rsidRDefault="004E0F76">
      <w:pPr>
        <w:spacing w:line="360" w:lineRule="auto"/>
        <w:jc w:val="both"/>
        <w:rPr>
          <w:rFonts w:ascii="Times New Roman" w:hAnsi="Times New Roman" w:cs="Times New Roman"/>
          <w:color w:val="000000"/>
          <w:sz w:val="24"/>
          <w:szCs w:val="24"/>
        </w:rPr>
      </w:pPr>
    </w:p>
    <w:p w:rsidR="004E0F76" w:rsidRDefault="001037FC">
      <w:pPr>
        <w:spacing w:before="140" w:after="0" w:line="353"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Adenkola, A.Y. and Tuleun</w:t>
      </w:r>
      <w:r>
        <w:rPr>
          <w:rFonts w:ascii="Times New Roman" w:hAnsi="Times New Roman" w:cs="Times New Roman"/>
          <w:sz w:val="24"/>
          <w:szCs w:val="24"/>
        </w:rPr>
        <w:t>, C.D. (2011). Erythrocyte osmotic fragility and haematological parameters of growing Japanese quail (</w:t>
      </w:r>
      <w:r>
        <w:rPr>
          <w:rFonts w:ascii="Times New Roman" w:hAnsi="Times New Roman" w:cs="Times New Roman"/>
          <w:i/>
          <w:iCs/>
          <w:sz w:val="24"/>
          <w:szCs w:val="24"/>
        </w:rPr>
        <w:t>Coturnix cortunix japonica</w:t>
      </w:r>
      <w:r>
        <w:rPr>
          <w:rFonts w:ascii="Times New Roman" w:hAnsi="Times New Roman" w:cs="Times New Roman"/>
          <w:sz w:val="24"/>
          <w:szCs w:val="24"/>
        </w:rPr>
        <w:t>) fed different level of protein diets. In: Proc. 36th Annual Conference of Nigeria Society of Animal Production, Abuja, Nigeria</w:t>
      </w:r>
      <w:r>
        <w:rPr>
          <w:rFonts w:ascii="Times New Roman" w:hAnsi="Times New Roman" w:cs="Times New Roman"/>
          <w:sz w:val="24"/>
          <w:szCs w:val="24"/>
        </w:rPr>
        <w:t>. pp. 114-116.</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Adenkola, A.Y., Adah, A.S. and Azeez, O.M. (2018). Oxidative stress and haematological profiles of goats reared under different management systems. Malaysian Journal of Veterinary Research, </w:t>
      </w:r>
      <w:r>
        <w:rPr>
          <w:rFonts w:ascii="Times New Roman" w:hAnsi="Times New Roman" w:cs="Times New Roman"/>
          <w:b/>
          <w:sz w:val="24"/>
          <w:szCs w:val="24"/>
        </w:rPr>
        <w:t>9</w:t>
      </w:r>
      <w:r>
        <w:rPr>
          <w:rFonts w:ascii="Times New Roman" w:hAnsi="Times New Roman" w:cs="Times New Roman"/>
          <w:sz w:val="24"/>
          <w:szCs w:val="24"/>
        </w:rPr>
        <w:t>(2): 19-29.</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Adenkola, A.Y., Ayoade, J.A., Babadusi</w:t>
      </w:r>
      <w:r>
        <w:rPr>
          <w:rFonts w:ascii="Times New Roman" w:hAnsi="Times New Roman" w:cs="Times New Roman"/>
          <w:sz w:val="24"/>
          <w:szCs w:val="24"/>
        </w:rPr>
        <w:t>, D.R. and Igoche, S.G. (2009). Growth performance, carcass and haematological characteristics of rabbits fed graded levels of tiger nuts (</w:t>
      </w:r>
      <w:r>
        <w:rPr>
          <w:rFonts w:ascii="Times New Roman" w:hAnsi="Times New Roman" w:cs="Times New Roman"/>
          <w:i/>
          <w:iCs/>
          <w:sz w:val="24"/>
          <w:szCs w:val="24"/>
        </w:rPr>
        <w:t>Cyperus esculentus</w:t>
      </w:r>
      <w:r>
        <w:rPr>
          <w:rFonts w:ascii="Times New Roman" w:hAnsi="Times New Roman" w:cs="Times New Roman"/>
          <w:sz w:val="24"/>
          <w:szCs w:val="24"/>
        </w:rPr>
        <w:t xml:space="preserve">). </w:t>
      </w:r>
      <w:hyperlink r:id="rId10" w:history="1">
        <w:r>
          <w:rPr>
            <w:rStyle w:val="Hyperlink"/>
            <w:rFonts w:ascii="Times New Roman" w:hAnsi="Times New Roman" w:cs="Times New Roman"/>
            <w:color w:val="auto"/>
            <w:sz w:val="24"/>
            <w:szCs w:val="24"/>
            <w:bdr w:val="none" w:sz="0" w:space="0" w:color="auto" w:frame="1"/>
          </w:rPr>
          <w:t>Animal Production Research Advances</w:t>
        </w:r>
      </w:hyperlink>
      <w:r>
        <w:rPr>
          <w:rFonts w:ascii="Times New Roman" w:hAnsi="Times New Roman" w:cs="Times New Roman"/>
          <w:sz w:val="24"/>
          <w:szCs w:val="24"/>
        </w:rPr>
        <w:t>,</w:t>
      </w:r>
      <w:r>
        <w:rPr>
          <w:rFonts w:ascii="Times New Roman" w:hAnsi="Times New Roman" w:cs="Times New Roman"/>
          <w:b/>
          <w:sz w:val="24"/>
          <w:szCs w:val="24"/>
        </w:rPr>
        <w:t xml:space="preserve"> 5</w:t>
      </w:r>
      <w:r>
        <w:rPr>
          <w:rFonts w:ascii="Times New Roman" w:hAnsi="Times New Roman" w:cs="Times New Roman"/>
          <w:sz w:val="24"/>
          <w:szCs w:val="24"/>
        </w:rPr>
        <w:t>(2): 128-133.</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Akingbade, A.A., Nsahlai, I.V., Morris, C.D. and Iji, P.A. (2002). Field activities and blood profile of pregnant So</w:t>
      </w:r>
      <w:r>
        <w:rPr>
          <w:rFonts w:ascii="Times New Roman" w:hAnsi="Times New Roman" w:cs="Times New Roman"/>
          <w:sz w:val="24"/>
          <w:szCs w:val="24"/>
        </w:rPr>
        <w:t>uth African indigenous goats after receiving dihydroxy pyridine-</w:t>
      </w:r>
      <w:r>
        <w:rPr>
          <w:rFonts w:ascii="Times New Roman" w:hAnsi="Times New Roman" w:cs="Times New Roman"/>
          <w:sz w:val="24"/>
          <w:szCs w:val="24"/>
        </w:rPr>
        <w:lastRenderedPageBreak/>
        <w:t xml:space="preserve">degrading rumen bacteria and grazing </w:t>
      </w:r>
      <w:r>
        <w:rPr>
          <w:rFonts w:ascii="Times New Roman" w:hAnsi="Times New Roman" w:cs="Times New Roman"/>
          <w:i/>
          <w:iCs/>
          <w:sz w:val="24"/>
          <w:szCs w:val="24"/>
        </w:rPr>
        <w:t>Leucaena leucocephala</w:t>
      </w:r>
      <w:r>
        <w:rPr>
          <w:rFonts w:ascii="Times New Roman" w:hAnsi="Times New Roman" w:cs="Times New Roman"/>
          <w:sz w:val="24"/>
          <w:szCs w:val="24"/>
        </w:rPr>
        <w:t xml:space="preserve"> grass or natural pastures. The Journal of Agricultural Science, </w:t>
      </w:r>
      <w:r>
        <w:rPr>
          <w:rFonts w:ascii="Times New Roman" w:hAnsi="Times New Roman" w:cs="Times New Roman"/>
          <w:b/>
          <w:sz w:val="24"/>
          <w:szCs w:val="24"/>
        </w:rPr>
        <w:t>138</w:t>
      </w:r>
      <w:r>
        <w:rPr>
          <w:rFonts w:ascii="Times New Roman" w:hAnsi="Times New Roman" w:cs="Times New Roman"/>
          <w:sz w:val="24"/>
          <w:szCs w:val="24"/>
        </w:rPr>
        <w:t xml:space="preserve">: 103-113. </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Al-Eissa, M.S., Alkahtani, S., Al-Farraj, S.A., Alarif</w:t>
      </w:r>
      <w:r>
        <w:rPr>
          <w:rFonts w:ascii="Times New Roman" w:hAnsi="Times New Roman" w:cs="Times New Roman"/>
          <w:sz w:val="24"/>
          <w:szCs w:val="24"/>
        </w:rPr>
        <w:t>i, S.A., Al-Dahmash, B. and Al-Yahya, H. (2012). Seasonal variation effects on the composition of blood in Nubian ibex (</w:t>
      </w:r>
      <w:r>
        <w:rPr>
          <w:rFonts w:ascii="Times New Roman" w:hAnsi="Times New Roman" w:cs="Times New Roman"/>
          <w:i/>
          <w:iCs/>
          <w:sz w:val="24"/>
          <w:szCs w:val="24"/>
        </w:rPr>
        <w:t>Capra nubiana</w:t>
      </w:r>
      <w:r>
        <w:rPr>
          <w:rFonts w:ascii="Times New Roman" w:hAnsi="Times New Roman" w:cs="Times New Roman"/>
          <w:sz w:val="24"/>
          <w:szCs w:val="24"/>
        </w:rPr>
        <w:t xml:space="preserve">) in Saudi Arabia. African Journal of Biotechnology, </w:t>
      </w:r>
      <w:r>
        <w:rPr>
          <w:rFonts w:ascii="Times New Roman" w:hAnsi="Times New Roman" w:cs="Times New Roman"/>
          <w:b/>
          <w:sz w:val="24"/>
          <w:szCs w:val="24"/>
        </w:rPr>
        <w:t>11</w:t>
      </w:r>
      <w:r>
        <w:rPr>
          <w:rFonts w:ascii="Times New Roman" w:hAnsi="Times New Roman" w:cs="Times New Roman"/>
          <w:sz w:val="24"/>
          <w:szCs w:val="24"/>
        </w:rPr>
        <w:t>(5): 1283-1286.</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Al-Seaf, A.M. and Al-Harbi, K.B. (2012). Variability</w:t>
      </w:r>
      <w:r>
        <w:rPr>
          <w:rFonts w:ascii="Times New Roman" w:hAnsi="Times New Roman" w:cs="Times New Roman"/>
          <w:sz w:val="24"/>
          <w:szCs w:val="24"/>
        </w:rPr>
        <w:t xml:space="preserve"> of disease resistance, hematological parameters and lymphocyte proliferation in two goat breeds and their F1 and F2 crosses. International Journal of Food, Agriculture and Veterinary Sciences,</w:t>
      </w:r>
      <w:r>
        <w:rPr>
          <w:rFonts w:ascii="Times New Roman" w:hAnsi="Times New Roman" w:cs="Times New Roman"/>
          <w:b/>
          <w:sz w:val="24"/>
          <w:szCs w:val="24"/>
        </w:rPr>
        <w:t xml:space="preserve"> 2</w:t>
      </w:r>
      <w:r>
        <w:rPr>
          <w:rFonts w:ascii="Times New Roman" w:hAnsi="Times New Roman" w:cs="Times New Roman"/>
          <w:sz w:val="24"/>
          <w:szCs w:val="24"/>
        </w:rPr>
        <w:t xml:space="preserve">(1): 47-53.  </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Attia, N. (2016). Physiological, hematological </w:t>
      </w:r>
      <w:r>
        <w:rPr>
          <w:rFonts w:ascii="Times New Roman" w:hAnsi="Times New Roman" w:cs="Times New Roman"/>
          <w:sz w:val="24"/>
          <w:szCs w:val="24"/>
          <w:shd w:val="clear" w:color="auto" w:fill="FFFFFF"/>
        </w:rPr>
        <w:t>and biochemical alterations in heat stressed goats. </w:t>
      </w:r>
      <w:r>
        <w:rPr>
          <w:rStyle w:val="Emphasis"/>
          <w:rFonts w:ascii="Times New Roman" w:hAnsi="Times New Roman" w:cs="Times New Roman"/>
          <w:sz w:val="24"/>
          <w:szCs w:val="24"/>
          <w:shd w:val="clear" w:color="auto" w:fill="FFFFFF"/>
        </w:rPr>
        <w:t>Benha Veterinary Medical Journal</w:t>
      </w:r>
      <w:r>
        <w:rPr>
          <w:rFonts w:ascii="Times New Roman" w:hAnsi="Times New Roman" w:cs="Times New Roman"/>
          <w:sz w:val="24"/>
          <w:szCs w:val="24"/>
          <w:shd w:val="clear" w:color="auto" w:fill="FFFFFF"/>
        </w:rPr>
        <w:t>, </w:t>
      </w:r>
      <w:r>
        <w:rPr>
          <w:rStyle w:val="Emphasis"/>
          <w:rFonts w:ascii="Times New Roman" w:hAnsi="Times New Roman" w:cs="Times New Roman"/>
          <w:b/>
          <w:sz w:val="24"/>
          <w:szCs w:val="24"/>
          <w:shd w:val="clear" w:color="auto" w:fill="FFFFFF"/>
        </w:rPr>
        <w:t>31</w:t>
      </w:r>
      <w:r>
        <w:rPr>
          <w:rFonts w:ascii="Times New Roman" w:hAnsi="Times New Roman" w:cs="Times New Roman"/>
          <w:sz w:val="24"/>
          <w:szCs w:val="24"/>
          <w:shd w:val="clear" w:color="auto" w:fill="FFFFFF"/>
        </w:rPr>
        <w:t>(2): 56-62.</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BAHS. Basic Animal Husbandry &amp; Fisheries Statistics, Animal Husbandry Statistics Division, Department of Animal Husbandry and Dairying, Ministry of Agriculture, Government of India; c2018.  </w:t>
      </w:r>
    </w:p>
    <w:p w:rsidR="004E0F76" w:rsidRDefault="001037FC">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Balıkcı, E., Yıldız, A. and Gurdogan, F. (2007). Blood metabolite</w:t>
      </w:r>
      <w:r>
        <w:rPr>
          <w:rFonts w:ascii="Times New Roman" w:hAnsi="Times New Roman" w:cs="Times New Roman"/>
          <w:sz w:val="24"/>
          <w:szCs w:val="24"/>
          <w:shd w:val="clear" w:color="auto" w:fill="FFFFFF"/>
        </w:rPr>
        <w:t xml:space="preserve"> concentrations during pregnancy and postpartum in Akkaraman ewes. </w:t>
      </w:r>
      <w:r>
        <w:rPr>
          <w:rFonts w:ascii="Times New Roman" w:hAnsi="Times New Roman" w:cs="Times New Roman"/>
          <w:iCs/>
          <w:sz w:val="24"/>
          <w:szCs w:val="24"/>
          <w:shd w:val="clear" w:color="auto" w:fill="FFFFFF"/>
        </w:rPr>
        <w:t>Small Ruminant Research</w:t>
      </w:r>
      <w:r>
        <w:rPr>
          <w:rFonts w:ascii="Times New Roman" w:hAnsi="Times New Roman" w:cs="Times New Roman"/>
          <w:sz w:val="24"/>
          <w:szCs w:val="24"/>
          <w:shd w:val="clear" w:color="auto" w:fill="FFFFFF"/>
        </w:rPr>
        <w:t>, </w:t>
      </w:r>
      <w:r>
        <w:rPr>
          <w:rFonts w:ascii="Times New Roman" w:hAnsi="Times New Roman" w:cs="Times New Roman"/>
          <w:b/>
          <w:iCs/>
          <w:sz w:val="24"/>
          <w:szCs w:val="24"/>
          <w:shd w:val="clear" w:color="auto" w:fill="FFFFFF"/>
        </w:rPr>
        <w:t>67</w:t>
      </w:r>
      <w:r>
        <w:rPr>
          <w:rFonts w:ascii="Times New Roman" w:hAnsi="Times New Roman" w:cs="Times New Roman"/>
          <w:sz w:val="24"/>
          <w:szCs w:val="24"/>
          <w:shd w:val="clear" w:color="auto" w:fill="FFFFFF"/>
        </w:rPr>
        <w:t>(2-3): 247-251.</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Banerjee, D., Upadhyay, R.C., Chaudhary, U.B., Kumar, R., Singh, S., Ashutosh, D.T.K. and De, S. (2004). Seasonal variations in physio-biochemical</w:t>
      </w:r>
      <w:r>
        <w:rPr>
          <w:rFonts w:ascii="Times New Roman" w:hAnsi="Times New Roman" w:cs="Times New Roman"/>
          <w:sz w:val="24"/>
          <w:szCs w:val="24"/>
        </w:rPr>
        <w:t xml:space="preserve"> profiles of Indian goats in the paradigm of hot and cold climate. Biological Rhythm Research, </w:t>
      </w:r>
      <w:r>
        <w:rPr>
          <w:rFonts w:ascii="Times New Roman" w:hAnsi="Times New Roman" w:cs="Times New Roman"/>
          <w:b/>
          <w:bCs/>
          <w:sz w:val="24"/>
          <w:szCs w:val="24"/>
        </w:rPr>
        <w:t>46</w:t>
      </w:r>
      <w:r>
        <w:rPr>
          <w:rFonts w:ascii="Times New Roman" w:hAnsi="Times New Roman" w:cs="Times New Roman"/>
          <w:sz w:val="24"/>
          <w:szCs w:val="24"/>
        </w:rPr>
        <w:t>(2): 221-236.</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Belewu, M.A. and Ogunsola, F.O. (2010). Haematological and serum indices of goat fed fungi treated Jatropha curcas kernel cake in a mixed ration.</w:t>
      </w:r>
      <w:r>
        <w:rPr>
          <w:rFonts w:ascii="Times New Roman" w:hAnsi="Times New Roman" w:cs="Times New Roman"/>
          <w:sz w:val="24"/>
          <w:szCs w:val="24"/>
        </w:rPr>
        <w:t xml:space="preserve"> Journal of Agricultural Biotechnology and Sustainable Development, </w:t>
      </w:r>
      <w:r>
        <w:rPr>
          <w:rFonts w:ascii="Times New Roman" w:hAnsi="Times New Roman" w:cs="Times New Roman"/>
          <w:b/>
          <w:sz w:val="24"/>
          <w:szCs w:val="24"/>
        </w:rPr>
        <w:t>2</w:t>
      </w:r>
      <w:r>
        <w:rPr>
          <w:rFonts w:ascii="Times New Roman" w:hAnsi="Times New Roman" w:cs="Times New Roman"/>
          <w:sz w:val="24"/>
          <w:szCs w:val="24"/>
        </w:rPr>
        <w:t>(3): 35-38.</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Belewu, M.A., Muhammed, N.O., Ajayi, F.T. and Abdulgafar, D.T. (2009). Performance characteristics of goat fed Trichoderma treated feather meal-rice husk mixture. Animal Nutri</w:t>
      </w:r>
      <w:r>
        <w:rPr>
          <w:rFonts w:ascii="Times New Roman" w:hAnsi="Times New Roman" w:cs="Times New Roman"/>
          <w:sz w:val="24"/>
          <w:szCs w:val="24"/>
        </w:rPr>
        <w:t>tion and Feed Technology,</w:t>
      </w:r>
      <w:r>
        <w:rPr>
          <w:rFonts w:ascii="Times New Roman" w:hAnsi="Times New Roman" w:cs="Times New Roman"/>
          <w:b/>
          <w:sz w:val="24"/>
          <w:szCs w:val="24"/>
        </w:rPr>
        <w:t xml:space="preserve"> 9</w:t>
      </w:r>
      <w:r>
        <w:rPr>
          <w:rFonts w:ascii="Times New Roman" w:hAnsi="Times New Roman" w:cs="Times New Roman"/>
          <w:sz w:val="24"/>
          <w:szCs w:val="24"/>
        </w:rPr>
        <w:t>(2): 203-208.</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Bhinder, M.S., Nayyar, S., Singh, C. and Singla, M. (2023). Health status, antioxidants and milk quality of goats reared under stall-fed and free range grazing system. The Indian Journal of Animal Sciences, </w:t>
      </w:r>
      <w:r>
        <w:rPr>
          <w:rFonts w:ascii="Times New Roman" w:hAnsi="Times New Roman" w:cs="Times New Roman"/>
          <w:b/>
          <w:bCs/>
          <w:sz w:val="24"/>
          <w:szCs w:val="24"/>
        </w:rPr>
        <w:t>93</w:t>
      </w:r>
      <w:r>
        <w:rPr>
          <w:rFonts w:ascii="Times New Roman" w:hAnsi="Times New Roman" w:cs="Times New Roman"/>
          <w:sz w:val="24"/>
          <w:szCs w:val="24"/>
        </w:rPr>
        <w:t xml:space="preserve">(11): </w:t>
      </w:r>
      <w:r>
        <w:rPr>
          <w:rFonts w:ascii="Times New Roman" w:hAnsi="Times New Roman" w:cs="Times New Roman"/>
          <w:sz w:val="24"/>
          <w:szCs w:val="24"/>
        </w:rPr>
        <w:t>1103–1112.</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Chapple, R.S., English, A.W., Mulley, R.C. and Lepherd, E.E. (1991). Haematology and serum biochemistry of captive unsedated chital deer (</w:t>
      </w:r>
      <w:r>
        <w:rPr>
          <w:rFonts w:ascii="Times New Roman" w:hAnsi="Times New Roman" w:cs="Times New Roman"/>
          <w:i/>
          <w:iCs/>
          <w:sz w:val="24"/>
          <w:szCs w:val="24"/>
        </w:rPr>
        <w:t>Axis axis</w:t>
      </w:r>
      <w:r>
        <w:rPr>
          <w:rFonts w:ascii="Times New Roman" w:hAnsi="Times New Roman" w:cs="Times New Roman"/>
          <w:sz w:val="24"/>
          <w:szCs w:val="24"/>
        </w:rPr>
        <w:t xml:space="preserve">) in Australia. Journal of Wildlife Diseases, </w:t>
      </w:r>
      <w:r>
        <w:rPr>
          <w:rFonts w:ascii="Times New Roman" w:hAnsi="Times New Roman" w:cs="Times New Roman"/>
          <w:b/>
          <w:sz w:val="24"/>
          <w:szCs w:val="24"/>
        </w:rPr>
        <w:t>27</w:t>
      </w:r>
      <w:r>
        <w:rPr>
          <w:rFonts w:ascii="Times New Roman" w:hAnsi="Times New Roman" w:cs="Times New Roman"/>
          <w:sz w:val="24"/>
          <w:szCs w:val="24"/>
        </w:rPr>
        <w:t>(3): 396-406.</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Debbarma, N., Haldar, A., Bera, S., </w:t>
      </w:r>
      <w:r>
        <w:rPr>
          <w:rFonts w:ascii="Times New Roman" w:hAnsi="Times New Roman" w:cs="Times New Roman"/>
          <w:sz w:val="24"/>
          <w:szCs w:val="24"/>
        </w:rPr>
        <w:t xml:space="preserve">Debnath, T., Paul, A., Chakraborty, S. and Dhama, K. (2022). Effect of different management systems on the performance of Black Bengal goat for sustainable and profitable farming. Journal of Veterinary Medicine and Animal Sciences, </w:t>
      </w:r>
      <w:r>
        <w:rPr>
          <w:rFonts w:ascii="Times New Roman" w:hAnsi="Times New Roman" w:cs="Times New Roman"/>
          <w:b/>
          <w:sz w:val="24"/>
          <w:szCs w:val="24"/>
        </w:rPr>
        <w:t>5</w:t>
      </w:r>
      <w:r>
        <w:rPr>
          <w:rFonts w:ascii="Times New Roman" w:hAnsi="Times New Roman" w:cs="Times New Roman"/>
          <w:sz w:val="24"/>
          <w:szCs w:val="24"/>
        </w:rPr>
        <w:t>(1): 633-644.</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Devendran</w:t>
      </w:r>
      <w:r>
        <w:rPr>
          <w:rFonts w:ascii="Times New Roman" w:hAnsi="Times New Roman" w:cs="Times New Roman"/>
          <w:sz w:val="24"/>
          <w:szCs w:val="24"/>
        </w:rPr>
        <w:t xml:space="preserve">, P., Jayachandran, S., Visha, P., Nanjappan, K. and Panneerselvam, S. (2008). Hematology and blood profile of Coimbatore Sheep. Indian Journal of Small Ruminant, </w:t>
      </w:r>
      <w:r>
        <w:rPr>
          <w:rFonts w:ascii="Times New Roman" w:hAnsi="Times New Roman" w:cs="Times New Roman"/>
          <w:b/>
          <w:bCs/>
          <w:sz w:val="24"/>
          <w:szCs w:val="24"/>
        </w:rPr>
        <w:t>15</w:t>
      </w:r>
      <w:r>
        <w:rPr>
          <w:rFonts w:ascii="Times New Roman" w:hAnsi="Times New Roman" w:cs="Times New Roman"/>
          <w:sz w:val="24"/>
          <w:szCs w:val="24"/>
        </w:rPr>
        <w:t>(1): 98-101.</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Duncan, J.R. and Prasse, K.W. (1986). Veterinary Laboratory Medicine, 2nd Edit</w:t>
      </w:r>
      <w:r>
        <w:rPr>
          <w:rFonts w:ascii="Times New Roman" w:hAnsi="Times New Roman" w:cs="Times New Roman"/>
          <w:sz w:val="24"/>
          <w:szCs w:val="24"/>
        </w:rPr>
        <w:t>ion, Iowa State University Press, Iowa, USA.</w:t>
      </w:r>
    </w:p>
    <w:p w:rsidR="004E0F76" w:rsidRDefault="001037FC">
      <w:pPr>
        <w:spacing w:after="0"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Gupta, A.R., Putra, R.C., Saini, M. and Sawrup, D. (2007). Haematology and serum biochemistry of Chital (</w:t>
      </w:r>
      <w:r>
        <w:rPr>
          <w:rFonts w:ascii="Times New Roman" w:hAnsi="Times New Roman" w:cs="Times New Roman"/>
          <w:i/>
          <w:iCs/>
          <w:sz w:val="24"/>
          <w:szCs w:val="24"/>
        </w:rPr>
        <w:t>Axis axis</w:t>
      </w:r>
      <w:r>
        <w:rPr>
          <w:rFonts w:ascii="Times New Roman" w:hAnsi="Times New Roman" w:cs="Times New Roman"/>
          <w:sz w:val="24"/>
          <w:szCs w:val="24"/>
        </w:rPr>
        <w:t>) and barking deer (</w:t>
      </w:r>
      <w:r>
        <w:rPr>
          <w:rFonts w:ascii="Times New Roman" w:hAnsi="Times New Roman" w:cs="Times New Roman"/>
          <w:i/>
          <w:iCs/>
          <w:sz w:val="24"/>
          <w:szCs w:val="24"/>
        </w:rPr>
        <w:t>Muntiacus muntjak</w:t>
      </w:r>
      <w:r>
        <w:rPr>
          <w:rFonts w:ascii="Times New Roman" w:hAnsi="Times New Roman" w:cs="Times New Roman"/>
          <w:sz w:val="24"/>
          <w:szCs w:val="24"/>
        </w:rPr>
        <w:t xml:space="preserve">) reared in semi-captivity. </w:t>
      </w:r>
      <w:r>
        <w:rPr>
          <w:rFonts w:ascii="Times New Roman" w:eastAsia="Times New Roman" w:hAnsi="Times New Roman" w:cs="Times New Roman"/>
          <w:sz w:val="24"/>
          <w:szCs w:val="24"/>
        </w:rPr>
        <w:t>Veterinary Research Communicatio</w:t>
      </w:r>
      <w:r>
        <w:rPr>
          <w:rFonts w:ascii="Times New Roman" w:eastAsia="Times New Roman" w:hAnsi="Times New Roman" w:cs="Times New Roman"/>
          <w:sz w:val="24"/>
          <w:szCs w:val="24"/>
        </w:rPr>
        <w:t xml:space="preserve">ns, </w:t>
      </w: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(7): 801-808.</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Gupta, V.K., Sharma, S.D., Vihan, V.S. and Kumar, A. (2005). Studies on biochemical parameters in different physiological states in sheep under semi-intensive system of management. Indian Journal of Small Ruminants, </w:t>
      </w:r>
      <w:r>
        <w:rPr>
          <w:rFonts w:ascii="Times New Roman" w:hAnsi="Times New Roman" w:cs="Times New Roman"/>
          <w:b/>
          <w:sz w:val="24"/>
          <w:szCs w:val="24"/>
        </w:rPr>
        <w:t>11</w:t>
      </w:r>
      <w:r>
        <w:rPr>
          <w:rFonts w:ascii="Times New Roman" w:hAnsi="Times New Roman" w:cs="Times New Roman"/>
          <w:sz w:val="24"/>
          <w:szCs w:val="24"/>
        </w:rPr>
        <w:t>(2): 161-165.</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Holt</w:t>
      </w:r>
      <w:r>
        <w:rPr>
          <w:rFonts w:ascii="Times New Roman" w:hAnsi="Times New Roman" w:cs="Times New Roman"/>
          <w:sz w:val="24"/>
          <w:szCs w:val="24"/>
        </w:rPr>
        <w:t xml:space="preserve">enius, P. and Hjort, M. (1990). Studies on the pathogenesis of fatty liver in cows. The Bovine Practitioner, </w:t>
      </w:r>
      <w:r>
        <w:rPr>
          <w:rFonts w:ascii="Times New Roman" w:hAnsi="Times New Roman" w:cs="Times New Roman"/>
          <w:b/>
          <w:sz w:val="24"/>
          <w:szCs w:val="24"/>
        </w:rPr>
        <w:t>1</w:t>
      </w:r>
      <w:r>
        <w:rPr>
          <w:rFonts w:ascii="Times New Roman" w:hAnsi="Times New Roman" w:cs="Times New Roman"/>
          <w:sz w:val="24"/>
          <w:szCs w:val="24"/>
        </w:rPr>
        <w:t xml:space="preserve">(25): 91-94.  </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Indu, S., Sejian, V. and Naqvi, S.M.K. (2014). Impact of stimulated heat stress on growth, physiological adaptability, blood metabo</w:t>
      </w:r>
      <w:r>
        <w:rPr>
          <w:rFonts w:ascii="Times New Roman" w:hAnsi="Times New Roman" w:cs="Times New Roman"/>
          <w:sz w:val="24"/>
          <w:szCs w:val="24"/>
        </w:rPr>
        <w:t xml:space="preserve">lites and endocrine responses in Malpura ewes under semi-arid tropical environment. Animal Production Science, </w:t>
      </w:r>
      <w:r>
        <w:rPr>
          <w:rFonts w:ascii="Times New Roman" w:hAnsi="Times New Roman" w:cs="Times New Roman"/>
          <w:b/>
          <w:bCs/>
          <w:sz w:val="24"/>
          <w:szCs w:val="24"/>
        </w:rPr>
        <w:t>55</w:t>
      </w:r>
      <w:r>
        <w:rPr>
          <w:rFonts w:ascii="Times New Roman" w:hAnsi="Times New Roman" w:cs="Times New Roman"/>
          <w:sz w:val="24"/>
          <w:szCs w:val="24"/>
        </w:rPr>
        <w:t>(6): 766-776.</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Islam, M.M., Anjum, S., Modi, R.J. and Wadhwani, K.N. (2016). Scenario of livestock and poultry in India and their contribution t</w:t>
      </w:r>
      <w:r>
        <w:rPr>
          <w:rFonts w:ascii="Times New Roman" w:hAnsi="Times New Roman" w:cs="Times New Roman"/>
          <w:sz w:val="24"/>
          <w:szCs w:val="24"/>
        </w:rPr>
        <w:t xml:space="preserve">o national economy. International Journal of Science, Environment and Technology, </w:t>
      </w:r>
      <w:r>
        <w:rPr>
          <w:rFonts w:ascii="Times New Roman" w:hAnsi="Times New Roman" w:cs="Times New Roman"/>
          <w:b/>
          <w:sz w:val="24"/>
          <w:szCs w:val="24"/>
        </w:rPr>
        <w:t>5</w:t>
      </w:r>
      <w:r>
        <w:rPr>
          <w:rFonts w:ascii="Times New Roman" w:hAnsi="Times New Roman" w:cs="Times New Roman"/>
          <w:sz w:val="24"/>
          <w:szCs w:val="24"/>
        </w:rPr>
        <w:t xml:space="preserve">(3): 956-965. </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Karthik D., Suresh, J., Reddy, Y.R., Sharma, G.R.K., Ramana, J.V., Gangaraju, G., Reddy, P.P.R., Reddy, Y.P.K., Yasaswini, D., Adegbeye, M.J. and Reddy, P.R.K</w:t>
      </w:r>
      <w:r>
        <w:rPr>
          <w:rFonts w:ascii="Times New Roman" w:hAnsi="Times New Roman" w:cs="Times New Roman"/>
          <w:sz w:val="24"/>
          <w:szCs w:val="24"/>
          <w:shd w:val="clear" w:color="auto" w:fill="FFFFFF"/>
        </w:rPr>
        <w:t xml:space="preserve">. (2021). Adaptive profiles of Nellore sheep with reference to farming system and season: physiological, hemato-biochemical, hormonal, oxidative-enzymatic and reproductive standpoint. Heliyon, </w:t>
      </w:r>
      <w:r>
        <w:rPr>
          <w:rFonts w:ascii="Times New Roman" w:hAnsi="Times New Roman" w:cs="Times New Roman"/>
          <w:b/>
          <w:sz w:val="24"/>
          <w:szCs w:val="24"/>
          <w:shd w:val="clear" w:color="auto" w:fill="FFFFFF"/>
        </w:rPr>
        <w:t>7</w:t>
      </w:r>
      <w:r>
        <w:rPr>
          <w:rFonts w:ascii="Times New Roman" w:hAnsi="Times New Roman" w:cs="Times New Roman"/>
          <w:sz w:val="24"/>
          <w:szCs w:val="24"/>
          <w:shd w:val="clear" w:color="auto" w:fill="FFFFFF"/>
        </w:rPr>
        <w:t>(5): 1771-1781.</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Kochewad, S.A., Raghunandan</w:t>
      </w:r>
      <w:r>
        <w:rPr>
          <w:rFonts w:ascii="Times New Roman" w:hAnsi="Times New Roman" w:cs="Times New Roman"/>
          <w:sz w:val="24"/>
          <w:szCs w:val="24"/>
          <w:shd w:val="clear" w:color="auto" w:fill="FFFFFF"/>
        </w:rPr>
        <w:t xml:space="preserve">, T., Rao, K.S., Reddy, K.K., Kumari, N.N., Ramana, D.B.V., Balamurgan, T.C., Kankarne, Y., Kumar, S. and Meena, L.R. (2017). Effect of different </w:t>
      </w:r>
      <w:r>
        <w:rPr>
          <w:rFonts w:ascii="Times New Roman" w:hAnsi="Times New Roman" w:cs="Times New Roman"/>
          <w:sz w:val="24"/>
          <w:szCs w:val="24"/>
          <w:shd w:val="clear" w:color="auto" w:fill="FFFFFF"/>
        </w:rPr>
        <w:lastRenderedPageBreak/>
        <w:t>farming systems on physiological response, blood parameters and endocrinological profiles in Deccani sheep. </w:t>
      </w:r>
      <w:r>
        <w:rPr>
          <w:rFonts w:ascii="Times New Roman" w:hAnsi="Times New Roman" w:cs="Times New Roman"/>
          <w:iCs/>
          <w:sz w:val="24"/>
          <w:szCs w:val="24"/>
          <w:shd w:val="clear" w:color="auto" w:fill="FFFFFF"/>
        </w:rPr>
        <w:t>Th</w:t>
      </w:r>
      <w:r>
        <w:rPr>
          <w:rFonts w:ascii="Times New Roman" w:hAnsi="Times New Roman" w:cs="Times New Roman"/>
          <w:iCs/>
          <w:sz w:val="24"/>
          <w:szCs w:val="24"/>
          <w:shd w:val="clear" w:color="auto" w:fill="FFFFFF"/>
        </w:rPr>
        <w:t>e Indian Journal of Animal Sciences</w:t>
      </w:r>
      <w:r>
        <w:rPr>
          <w:rFonts w:ascii="Times New Roman" w:hAnsi="Times New Roman" w:cs="Times New Roman"/>
          <w:sz w:val="24"/>
          <w:szCs w:val="24"/>
          <w:shd w:val="clear" w:color="auto" w:fill="FFFFFF"/>
        </w:rPr>
        <w:t>, </w:t>
      </w:r>
      <w:r>
        <w:rPr>
          <w:rFonts w:ascii="Times New Roman" w:hAnsi="Times New Roman" w:cs="Times New Roman"/>
          <w:b/>
          <w:iCs/>
          <w:sz w:val="24"/>
          <w:szCs w:val="24"/>
          <w:shd w:val="clear" w:color="auto" w:fill="FFFFFF"/>
        </w:rPr>
        <w:t>87</w:t>
      </w:r>
      <w:r>
        <w:rPr>
          <w:rFonts w:ascii="Times New Roman" w:hAnsi="Times New Roman" w:cs="Times New Roman"/>
          <w:sz w:val="24"/>
          <w:szCs w:val="24"/>
          <w:shd w:val="clear" w:color="auto" w:fill="FFFFFF"/>
        </w:rPr>
        <w:t xml:space="preserve">(7): 856-858. </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Kochewad, S.A., Raghunandan, T., Rao, K.S., Reddy, K.K., Nalini, K.N., Ramana, D.B.V., Anil, K.D., Yogeshwar, K., Sanjeev, K., Meena, L.R. and Magan, S. (2018). Productive performance, Body condition sc</w:t>
      </w:r>
      <w:r>
        <w:rPr>
          <w:rFonts w:ascii="Times New Roman" w:hAnsi="Times New Roman" w:cs="Times New Roman"/>
          <w:sz w:val="24"/>
          <w:szCs w:val="24"/>
        </w:rPr>
        <w:t xml:space="preserve">ore and carcass characteristics of Deccani lambs reared under different rearing systems. Indian Journal of Animal Research, </w:t>
      </w:r>
      <w:r>
        <w:rPr>
          <w:rFonts w:ascii="Times New Roman" w:hAnsi="Times New Roman" w:cs="Times New Roman"/>
          <w:b/>
          <w:sz w:val="24"/>
          <w:szCs w:val="24"/>
        </w:rPr>
        <w:t>52</w:t>
      </w:r>
      <w:r>
        <w:rPr>
          <w:rFonts w:ascii="Times New Roman" w:hAnsi="Times New Roman" w:cs="Times New Roman"/>
          <w:sz w:val="24"/>
          <w:szCs w:val="24"/>
        </w:rPr>
        <w:t>(3): 444-448.</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Manat, T.D., Chaudhary. S.S., Singh, V.K., Patel, S.B. and Puri, G. (2016). Hematobiochemical profile in Surti goats</w:t>
      </w:r>
      <w:r>
        <w:rPr>
          <w:rFonts w:ascii="Times New Roman" w:hAnsi="Times New Roman" w:cs="Times New Roman"/>
          <w:sz w:val="24"/>
          <w:szCs w:val="24"/>
        </w:rPr>
        <w:t xml:space="preserve"> during post-partum period. Veterinary world, </w:t>
      </w:r>
      <w:r>
        <w:rPr>
          <w:rFonts w:ascii="Times New Roman" w:hAnsi="Times New Roman" w:cs="Times New Roman"/>
          <w:b/>
          <w:sz w:val="24"/>
          <w:szCs w:val="24"/>
        </w:rPr>
        <w:t>9</w:t>
      </w:r>
      <w:r>
        <w:rPr>
          <w:rFonts w:ascii="Times New Roman" w:hAnsi="Times New Roman" w:cs="Times New Roman"/>
          <w:sz w:val="24"/>
          <w:szCs w:val="24"/>
        </w:rPr>
        <w:t>(1): 19-24.</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Mane, D.U., Kumar, K.M., Sarat, C.A., Nagalakshmi, D., Sakaram, D., Venkataramana, K. and Rathod, S. (2022). Physiological, haematological and serum biochemical parameters of Mahabubnagar local goa</w:t>
      </w:r>
      <w:r>
        <w:rPr>
          <w:rFonts w:ascii="Times New Roman" w:hAnsi="Times New Roman" w:cs="Times New Roman"/>
          <w:sz w:val="24"/>
          <w:szCs w:val="24"/>
        </w:rPr>
        <w:t xml:space="preserve">ts under different systems of rearing. The Pharma Innovation Journal, </w:t>
      </w:r>
      <w:r>
        <w:rPr>
          <w:rFonts w:ascii="Times New Roman" w:hAnsi="Times New Roman" w:cs="Times New Roman"/>
          <w:b/>
          <w:sz w:val="24"/>
          <w:szCs w:val="24"/>
        </w:rPr>
        <w:t>11</w:t>
      </w:r>
      <w:r>
        <w:rPr>
          <w:rFonts w:ascii="Times New Roman" w:hAnsi="Times New Roman" w:cs="Times New Roman"/>
          <w:sz w:val="24"/>
          <w:szCs w:val="24"/>
        </w:rPr>
        <w:t>(10): 1263-1271.</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Maske, S.S. and Phule, B.R. (2011). A study of goat farming in drought prone area: a case study in Solapur district. International referred research journal, </w:t>
      </w: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83-84.</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Nayak, S., Mohapatra, A.K., Barik, N. and Sahoo, G.R. (2013). Haemato-biochemical studies in Ganjam sheep of Odisha reared under grazing system. Indian Journal of Small Ruminants, </w:t>
      </w:r>
      <w:r>
        <w:rPr>
          <w:rFonts w:ascii="Times New Roman" w:hAnsi="Times New Roman" w:cs="Times New Roman"/>
          <w:b/>
          <w:sz w:val="24"/>
          <w:szCs w:val="24"/>
        </w:rPr>
        <w:t>19</w:t>
      </w:r>
      <w:r>
        <w:rPr>
          <w:rFonts w:ascii="Times New Roman" w:hAnsi="Times New Roman" w:cs="Times New Roman"/>
          <w:sz w:val="24"/>
          <w:szCs w:val="24"/>
        </w:rPr>
        <w:t>(1): 88-91.</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Okoruwa, M.I. (2014). Effect of heat stress on thermore</w:t>
      </w:r>
      <w:r>
        <w:rPr>
          <w:rFonts w:ascii="Times New Roman" w:hAnsi="Times New Roman" w:cs="Times New Roman"/>
          <w:sz w:val="24"/>
          <w:szCs w:val="24"/>
        </w:rPr>
        <w:t xml:space="preserve">gulatory, live body weight and physiological responses of dwarf goats in Southern Nigeria. European Scientific Journal, </w:t>
      </w:r>
      <w:r>
        <w:rPr>
          <w:rFonts w:ascii="Times New Roman" w:hAnsi="Times New Roman" w:cs="Times New Roman"/>
          <w:b/>
          <w:sz w:val="24"/>
          <w:szCs w:val="24"/>
        </w:rPr>
        <w:t>10</w:t>
      </w:r>
      <w:r>
        <w:rPr>
          <w:rFonts w:ascii="Times New Roman" w:hAnsi="Times New Roman" w:cs="Times New Roman"/>
          <w:sz w:val="24"/>
          <w:szCs w:val="24"/>
        </w:rPr>
        <w:t>(27): 255-264.</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Okoruwa, M.I., Bamigboye, F.O. and Adewumi, M.K. (2014). Morpho-structural characteristics and blood constituents of dw</w:t>
      </w:r>
      <w:r>
        <w:rPr>
          <w:rFonts w:ascii="Times New Roman" w:hAnsi="Times New Roman" w:cs="Times New Roman"/>
          <w:sz w:val="24"/>
          <w:szCs w:val="24"/>
        </w:rPr>
        <w:t xml:space="preserve">arf ram lambs fed mixtures of orange and pineapple pulps. European Scientific Journal, </w:t>
      </w:r>
      <w:r>
        <w:rPr>
          <w:rFonts w:ascii="Times New Roman" w:hAnsi="Times New Roman" w:cs="Times New Roman"/>
          <w:b/>
          <w:sz w:val="24"/>
          <w:szCs w:val="24"/>
        </w:rPr>
        <w:t>10</w:t>
      </w:r>
      <w:r>
        <w:rPr>
          <w:rFonts w:ascii="Times New Roman" w:hAnsi="Times New Roman" w:cs="Times New Roman"/>
          <w:sz w:val="24"/>
          <w:szCs w:val="24"/>
        </w:rPr>
        <w:t xml:space="preserve">(27): 69-79. </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Olafadehan, O.A., Adewumi, M.K. and Okunade, S.A. (2014). Effects of feeding tannin-containing forage in varying proportion with concentrate on the volun</w:t>
      </w:r>
      <w:r>
        <w:rPr>
          <w:rFonts w:ascii="Times New Roman" w:hAnsi="Times New Roman" w:cs="Times New Roman"/>
          <w:sz w:val="24"/>
          <w:szCs w:val="24"/>
        </w:rPr>
        <w:t xml:space="preserve">tary intake, haematological and biochemical indices of goats. Trakia Journal of Sciences, </w:t>
      </w:r>
      <w:r>
        <w:rPr>
          <w:rFonts w:ascii="Times New Roman" w:hAnsi="Times New Roman" w:cs="Times New Roman"/>
          <w:b/>
          <w:sz w:val="24"/>
          <w:szCs w:val="24"/>
        </w:rPr>
        <w:t>12</w:t>
      </w:r>
      <w:r>
        <w:rPr>
          <w:rFonts w:ascii="Times New Roman" w:hAnsi="Times New Roman" w:cs="Times New Roman"/>
          <w:sz w:val="24"/>
          <w:szCs w:val="24"/>
        </w:rPr>
        <w:t>(1): 73-81.</w:t>
      </w:r>
    </w:p>
    <w:p w:rsidR="004E0F76" w:rsidRDefault="001037FC">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Olayemi, F.O., Oboye, O.O., Azeez, I.O., Oyagbemi, A.A. and Soetan, K.O. (2009). Influence of management systems and sex on hematology of West African d</w:t>
      </w:r>
      <w:r>
        <w:rPr>
          <w:rFonts w:ascii="Times New Roman" w:hAnsi="Times New Roman" w:cs="Times New Roman"/>
          <w:sz w:val="24"/>
          <w:szCs w:val="24"/>
          <w:shd w:val="clear" w:color="auto" w:fill="FFFFFF"/>
        </w:rPr>
        <w:t>warf goat. </w:t>
      </w:r>
      <w:r>
        <w:rPr>
          <w:rFonts w:ascii="Times New Roman" w:hAnsi="Times New Roman" w:cs="Times New Roman"/>
          <w:sz w:val="24"/>
          <w:szCs w:val="24"/>
        </w:rPr>
        <w:t>African Journal of Agricultural Research</w:t>
      </w:r>
      <w:r>
        <w:rPr>
          <w:rFonts w:ascii="Times New Roman" w:hAnsi="Times New Roman" w:cs="Times New Roman"/>
          <w:sz w:val="24"/>
          <w:szCs w:val="24"/>
          <w:shd w:val="clear" w:color="auto" w:fill="FFFFFF"/>
        </w:rPr>
        <w:t>, </w:t>
      </w:r>
      <w:r>
        <w:rPr>
          <w:rFonts w:ascii="Times New Roman" w:hAnsi="Times New Roman" w:cs="Times New Roman"/>
          <w:b/>
          <w:iCs/>
          <w:sz w:val="24"/>
          <w:szCs w:val="24"/>
          <w:shd w:val="clear" w:color="auto" w:fill="FFFFFF"/>
        </w:rPr>
        <w:t>4</w:t>
      </w:r>
      <w:r>
        <w:rPr>
          <w:rFonts w:ascii="Times New Roman" w:hAnsi="Times New Roman" w:cs="Times New Roman"/>
          <w:sz w:val="24"/>
          <w:szCs w:val="24"/>
          <w:shd w:val="clear" w:color="auto" w:fill="FFFFFF"/>
        </w:rPr>
        <w:t xml:space="preserve">(11): 1199-1202. </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Onasanya, G.O., Oke, F.O., Sanni, T.M. and Mohammad, A.I. (2015). Parameters influencing haematological and serum biochemical references in livestock animals under different management</w:t>
      </w:r>
      <w:r>
        <w:rPr>
          <w:rFonts w:ascii="Times New Roman" w:hAnsi="Times New Roman" w:cs="Times New Roman"/>
          <w:sz w:val="24"/>
          <w:szCs w:val="24"/>
        </w:rPr>
        <w:t xml:space="preserve"> systems. Open journal of Veterinary Medicine, </w:t>
      </w:r>
      <w:r>
        <w:rPr>
          <w:rFonts w:ascii="Times New Roman" w:hAnsi="Times New Roman" w:cs="Times New Roman"/>
          <w:b/>
          <w:bCs/>
          <w:sz w:val="24"/>
          <w:szCs w:val="24"/>
        </w:rPr>
        <w:t>5</w:t>
      </w:r>
      <w:r>
        <w:rPr>
          <w:rFonts w:ascii="Times New Roman" w:hAnsi="Times New Roman" w:cs="Times New Roman"/>
          <w:sz w:val="24"/>
          <w:szCs w:val="24"/>
        </w:rPr>
        <w:t>: 181-189.</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Patil, M.N., Kumar, P., Teggelli, R.G. and Ubhale, P. (2014). A study on comparison of stall-feeding system of goat rearing with grazing system.  The Science Direct,</w:t>
      </w:r>
      <w:r>
        <w:rPr>
          <w:rFonts w:ascii="Times New Roman" w:hAnsi="Times New Roman" w:cs="Times New Roman"/>
          <w:b/>
          <w:sz w:val="24"/>
          <w:szCs w:val="24"/>
        </w:rPr>
        <w:t xml:space="preserve"> 8</w:t>
      </w:r>
      <w:r>
        <w:rPr>
          <w:rFonts w:ascii="Times New Roman" w:hAnsi="Times New Roman" w:cs="Times New Roman"/>
          <w:sz w:val="24"/>
          <w:szCs w:val="24"/>
        </w:rPr>
        <w:t xml:space="preserve">: 242-247. </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Raju, N.V., Pankaj</w:t>
      </w:r>
      <w:r>
        <w:rPr>
          <w:rFonts w:ascii="Times New Roman" w:hAnsi="Times New Roman" w:cs="Times New Roman"/>
          <w:sz w:val="24"/>
          <w:szCs w:val="24"/>
        </w:rPr>
        <w:t xml:space="preserve">, P.K., Ramana, D.B.V. and Kavitha, V. (2015). Intensification in Deccani sheep: Hematological and Biochemical influences. European Journal of Molecular Biology and Biochemistry, </w:t>
      </w:r>
      <w:r>
        <w:rPr>
          <w:rFonts w:ascii="Times New Roman" w:hAnsi="Times New Roman" w:cs="Times New Roman"/>
          <w:b/>
          <w:bCs/>
          <w:sz w:val="24"/>
          <w:szCs w:val="24"/>
        </w:rPr>
        <w:t>2</w:t>
      </w:r>
      <w:r>
        <w:rPr>
          <w:rFonts w:ascii="Times New Roman" w:hAnsi="Times New Roman" w:cs="Times New Roman"/>
          <w:sz w:val="24"/>
          <w:szCs w:val="24"/>
        </w:rPr>
        <w:t>(5): 251-256.</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A. K. and Puri, G. (2013). Effect of extreme hot condi</w:t>
      </w:r>
      <w:r>
        <w:rPr>
          <w:rFonts w:ascii="Times New Roman" w:hAnsi="Times New Roman" w:cs="Times New Roman"/>
          <w:sz w:val="24"/>
          <w:szCs w:val="24"/>
        </w:rPr>
        <w:t xml:space="preserve">tion on serum biochemical constituents in marwari goats. Livestock Research International, </w:t>
      </w:r>
      <w:r>
        <w:rPr>
          <w:rFonts w:ascii="Times New Roman" w:hAnsi="Times New Roman" w:cs="Times New Roman"/>
          <w:b/>
          <w:sz w:val="24"/>
          <w:szCs w:val="24"/>
        </w:rPr>
        <w:t>1</w:t>
      </w:r>
      <w:r>
        <w:rPr>
          <w:rFonts w:ascii="Times New Roman" w:hAnsi="Times New Roman" w:cs="Times New Roman"/>
          <w:sz w:val="24"/>
          <w:szCs w:val="24"/>
        </w:rPr>
        <w:t xml:space="preserve">(1): 23-28. </w:t>
      </w:r>
    </w:p>
    <w:p w:rsidR="004E0F76" w:rsidRDefault="001037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Singh, M.K., Kumar, R. and Singh, S.P. (2020). Comparative performance of Barbari goats under different rearing system in semi-arid region. </w:t>
      </w:r>
      <w:r>
        <w:rPr>
          <w:rFonts w:ascii="Times New Roman" w:hAnsi="Times New Roman" w:cs="Times New Roman"/>
          <w:iCs/>
          <w:sz w:val="24"/>
          <w:szCs w:val="24"/>
          <w:shd w:val="clear" w:color="auto" w:fill="FFFFFF"/>
        </w:rPr>
        <w:t xml:space="preserve">The Indian </w:t>
      </w:r>
      <w:r>
        <w:rPr>
          <w:rFonts w:ascii="Times New Roman" w:hAnsi="Times New Roman" w:cs="Times New Roman"/>
          <w:iCs/>
          <w:sz w:val="24"/>
          <w:szCs w:val="24"/>
          <w:shd w:val="clear" w:color="auto" w:fill="FFFFFF"/>
        </w:rPr>
        <w:t>Journal of Animal Sciences</w:t>
      </w:r>
      <w:r>
        <w:rPr>
          <w:rFonts w:ascii="Times New Roman" w:hAnsi="Times New Roman" w:cs="Times New Roman"/>
          <w:sz w:val="24"/>
          <w:szCs w:val="24"/>
          <w:shd w:val="clear" w:color="auto" w:fill="FFFFFF"/>
        </w:rPr>
        <w:t>, </w:t>
      </w:r>
      <w:r>
        <w:rPr>
          <w:rFonts w:ascii="Times New Roman" w:hAnsi="Times New Roman" w:cs="Times New Roman"/>
          <w:b/>
          <w:iCs/>
          <w:sz w:val="24"/>
          <w:szCs w:val="24"/>
          <w:shd w:val="clear" w:color="auto" w:fill="FFFFFF"/>
        </w:rPr>
        <w:t>90</w:t>
      </w:r>
      <w:r>
        <w:rPr>
          <w:rFonts w:ascii="Times New Roman" w:hAnsi="Times New Roman" w:cs="Times New Roman"/>
          <w:sz w:val="24"/>
          <w:szCs w:val="24"/>
          <w:shd w:val="clear" w:color="auto" w:fill="FFFFFF"/>
        </w:rPr>
        <w:t>(3): 483-486.</w:t>
      </w:r>
      <w:r>
        <w:rPr>
          <w:rFonts w:ascii="Times New Roman" w:hAnsi="Times New Roman" w:cs="Times New Roman"/>
          <w:sz w:val="24"/>
          <w:szCs w:val="24"/>
        </w:rPr>
        <w:t xml:space="preserve">  </w:t>
      </w:r>
    </w:p>
    <w:p w:rsidR="004E0F76" w:rsidRDefault="001037FC">
      <w:pPr>
        <w:spacing w:before="100" w:after="0" w:line="336"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Smith, R.W. and Walsh, A. (1975). The composition of the liver lipids of the ewe during pregnancy and lactation. Research in Veterinary Science, </w:t>
      </w:r>
      <w:r>
        <w:rPr>
          <w:rFonts w:ascii="Times New Roman" w:hAnsi="Times New Roman" w:cs="Times New Roman"/>
          <w:b/>
          <w:sz w:val="24"/>
          <w:szCs w:val="24"/>
        </w:rPr>
        <w:t>19</w:t>
      </w:r>
      <w:r>
        <w:rPr>
          <w:rFonts w:ascii="Times New Roman" w:hAnsi="Times New Roman" w:cs="Times New Roman"/>
          <w:sz w:val="24"/>
          <w:szCs w:val="24"/>
        </w:rPr>
        <w:t>(2): 230-232.</w:t>
      </w:r>
    </w:p>
    <w:p w:rsidR="004E0F76" w:rsidRDefault="001037FC">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Snedecor, G.W. and Cochran, W.G. (1989). In: Stat</w:t>
      </w:r>
      <w:r>
        <w:rPr>
          <w:rFonts w:ascii="Times New Roman" w:hAnsi="Times New Roman" w:cs="Times New Roman"/>
          <w:sz w:val="24"/>
          <w:szCs w:val="24"/>
        </w:rPr>
        <w:t>istical methods.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edn. Oxford and IBH publishing Co. New Delhi. 45-83.</w:t>
      </w:r>
    </w:p>
    <w:p w:rsidR="004E0F76" w:rsidRDefault="001037FC">
      <w:pPr>
        <w:spacing w:before="100" w:after="0" w:line="33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S.K., Mishra, A.K., Narwaria, U.S., Rajoriya, J.S., Ojha, B.K., Sharma, P., Singh, A.K. and Kushwah, N. (2023). Blood biochemical parameters of </w:t>
      </w:r>
      <w:r>
        <w:rPr>
          <w:rFonts w:ascii="Times New Roman" w:hAnsi="Times New Roman" w:cs="Times New Roman"/>
          <w:i/>
          <w:iCs/>
          <w:sz w:val="24"/>
          <w:szCs w:val="24"/>
        </w:rPr>
        <w:t xml:space="preserve">Sirohi </w:t>
      </w:r>
      <w:r>
        <w:rPr>
          <w:rFonts w:ascii="Times New Roman" w:hAnsi="Times New Roman" w:cs="Times New Roman"/>
          <w:sz w:val="24"/>
          <w:szCs w:val="24"/>
        </w:rPr>
        <w:t xml:space="preserve">goats reared on grazing </w:t>
      </w:r>
      <w:r>
        <w:rPr>
          <w:rFonts w:ascii="Times New Roman" w:hAnsi="Times New Roman" w:cs="Times New Roman"/>
          <w:sz w:val="24"/>
          <w:szCs w:val="24"/>
        </w:rPr>
        <w:t xml:space="preserve">versus stall feeding system in Vindhya plateau region of central India. International Journal of Veterinary Sciences and Animal Husbandry, </w:t>
      </w:r>
      <w:r>
        <w:rPr>
          <w:rFonts w:ascii="Times New Roman" w:hAnsi="Times New Roman" w:cs="Times New Roman"/>
          <w:b/>
          <w:sz w:val="24"/>
          <w:szCs w:val="24"/>
        </w:rPr>
        <w:t>8</w:t>
      </w:r>
      <w:r>
        <w:rPr>
          <w:rFonts w:ascii="Times New Roman" w:hAnsi="Times New Roman" w:cs="Times New Roman"/>
          <w:sz w:val="24"/>
          <w:szCs w:val="24"/>
        </w:rPr>
        <w:t xml:space="preserve">(5): 15-19. </w:t>
      </w:r>
    </w:p>
    <w:p w:rsidR="004E0F76" w:rsidRDefault="004E0F76">
      <w:pPr>
        <w:spacing w:after="0" w:line="360" w:lineRule="auto"/>
        <w:ind w:left="720" w:hanging="720"/>
        <w:jc w:val="both"/>
        <w:rPr>
          <w:rFonts w:ascii="Arial" w:hAnsi="Arial" w:cs="Arial"/>
          <w:sz w:val="20"/>
          <w:szCs w:val="20"/>
        </w:rPr>
      </w:pPr>
    </w:p>
    <w:p w:rsidR="004E0F76" w:rsidRDefault="004E0F76">
      <w:pPr>
        <w:spacing w:after="0" w:line="360" w:lineRule="auto"/>
        <w:ind w:left="720" w:hanging="720"/>
        <w:jc w:val="both"/>
        <w:rPr>
          <w:rFonts w:ascii="Arial" w:hAnsi="Arial" w:cs="Arial"/>
          <w:sz w:val="20"/>
          <w:szCs w:val="20"/>
          <w:shd w:val="clear" w:color="auto" w:fill="FFFFFF"/>
        </w:rPr>
      </w:pPr>
    </w:p>
    <w:p w:rsidR="004E0F76" w:rsidRDefault="004E0F76">
      <w:pPr>
        <w:spacing w:after="0" w:line="360" w:lineRule="auto"/>
        <w:ind w:left="720" w:hanging="720"/>
        <w:jc w:val="both"/>
        <w:rPr>
          <w:rFonts w:ascii="Arial" w:hAnsi="Arial" w:cs="Arial"/>
          <w:sz w:val="20"/>
          <w:szCs w:val="20"/>
          <w:shd w:val="clear" w:color="auto" w:fill="FFFFFF"/>
        </w:rPr>
      </w:pPr>
    </w:p>
    <w:p w:rsidR="004E0F76" w:rsidRDefault="004E0F76">
      <w:pPr>
        <w:spacing w:after="0" w:line="360" w:lineRule="auto"/>
        <w:ind w:left="720" w:hanging="720"/>
        <w:jc w:val="both"/>
        <w:rPr>
          <w:rFonts w:ascii="Arial" w:hAnsi="Arial" w:cs="Arial"/>
          <w:sz w:val="20"/>
          <w:szCs w:val="20"/>
        </w:rPr>
      </w:pPr>
    </w:p>
    <w:p w:rsidR="004E0F76" w:rsidRDefault="004E0F76">
      <w:pPr>
        <w:spacing w:after="0" w:line="360" w:lineRule="auto"/>
        <w:ind w:left="720" w:hanging="720"/>
        <w:jc w:val="both"/>
        <w:rPr>
          <w:rFonts w:ascii="Arial" w:hAnsi="Arial" w:cs="Arial"/>
          <w:sz w:val="20"/>
          <w:szCs w:val="20"/>
        </w:rPr>
      </w:pPr>
    </w:p>
    <w:p w:rsidR="004E0F76" w:rsidRDefault="004E0F76">
      <w:pPr>
        <w:spacing w:after="0" w:line="360" w:lineRule="auto"/>
        <w:ind w:left="720" w:hanging="720"/>
        <w:jc w:val="both"/>
        <w:rPr>
          <w:rFonts w:ascii="Arial" w:hAnsi="Arial" w:cs="Arial"/>
          <w:sz w:val="20"/>
          <w:szCs w:val="20"/>
        </w:rPr>
      </w:pPr>
    </w:p>
    <w:p w:rsidR="004E0F76" w:rsidRDefault="004E0F76">
      <w:pPr>
        <w:spacing w:after="0" w:line="360" w:lineRule="auto"/>
        <w:ind w:left="720" w:hanging="720"/>
        <w:jc w:val="both"/>
        <w:rPr>
          <w:rFonts w:ascii="Arial" w:hAnsi="Arial" w:cs="Arial"/>
          <w:sz w:val="20"/>
          <w:szCs w:val="20"/>
          <w:shd w:val="clear" w:color="auto" w:fill="FFFFFF"/>
        </w:rPr>
      </w:pPr>
    </w:p>
    <w:p w:rsidR="004E0F76" w:rsidRDefault="004E0F76">
      <w:pPr>
        <w:spacing w:after="0" w:line="360" w:lineRule="auto"/>
        <w:ind w:left="720" w:hanging="720"/>
        <w:jc w:val="both"/>
        <w:rPr>
          <w:rFonts w:ascii="Arial" w:hAnsi="Arial" w:cs="Arial"/>
          <w:sz w:val="20"/>
          <w:szCs w:val="20"/>
        </w:rPr>
      </w:pPr>
    </w:p>
    <w:p w:rsidR="004E0F76" w:rsidRDefault="004E0F76">
      <w:pPr>
        <w:spacing w:after="0" w:line="360" w:lineRule="auto"/>
        <w:ind w:left="720" w:hanging="720"/>
        <w:jc w:val="both"/>
        <w:rPr>
          <w:rFonts w:ascii="Arial" w:hAnsi="Arial" w:cs="Arial"/>
          <w:sz w:val="20"/>
          <w:szCs w:val="20"/>
        </w:rPr>
      </w:pPr>
    </w:p>
    <w:p w:rsidR="004E0F76" w:rsidRDefault="004E0F76">
      <w:pPr>
        <w:spacing w:after="0" w:line="360" w:lineRule="auto"/>
        <w:ind w:left="720" w:hanging="720"/>
        <w:jc w:val="both"/>
        <w:rPr>
          <w:rFonts w:ascii="Arial" w:hAnsi="Arial" w:cs="Arial"/>
          <w:sz w:val="20"/>
          <w:szCs w:val="20"/>
        </w:rPr>
      </w:pPr>
    </w:p>
    <w:p w:rsidR="004E0F76" w:rsidRDefault="004E0F76">
      <w:pPr>
        <w:spacing w:before="100" w:after="0" w:line="336" w:lineRule="auto"/>
        <w:ind w:left="720" w:hanging="720"/>
        <w:jc w:val="both"/>
        <w:rPr>
          <w:rFonts w:ascii="Times New Roman" w:hAnsi="Times New Roman" w:cs="Times New Roman"/>
          <w:sz w:val="24"/>
          <w:szCs w:val="24"/>
        </w:rPr>
      </w:pPr>
    </w:p>
    <w:p w:rsidR="004E0F76" w:rsidRDefault="004E0F76">
      <w:pPr>
        <w:spacing w:before="100" w:after="0" w:line="336" w:lineRule="auto"/>
        <w:ind w:left="720" w:hanging="720"/>
        <w:jc w:val="both"/>
        <w:rPr>
          <w:rFonts w:ascii="Times New Roman" w:hAnsi="Times New Roman" w:cs="Times New Roman"/>
          <w:color w:val="000000"/>
          <w:sz w:val="24"/>
          <w:szCs w:val="24"/>
        </w:rPr>
      </w:pPr>
    </w:p>
    <w:p w:rsidR="004E0F76" w:rsidRDefault="004E0F76">
      <w:pPr>
        <w:spacing w:before="100" w:after="0" w:line="336" w:lineRule="auto"/>
        <w:ind w:left="720" w:hanging="720"/>
        <w:jc w:val="both"/>
        <w:rPr>
          <w:rFonts w:ascii="Times New Roman" w:hAnsi="Times New Roman" w:cs="Times New Roman"/>
          <w:sz w:val="24"/>
          <w:szCs w:val="24"/>
        </w:rPr>
      </w:pPr>
    </w:p>
    <w:p w:rsidR="004E0F76" w:rsidRDefault="001037FC">
      <w:pPr>
        <w:tabs>
          <w:tab w:val="left" w:pos="4130"/>
        </w:tabs>
        <w:spacing w:before="140" w:after="0" w:line="353"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 xml:space="preserve"> </w:t>
      </w:r>
      <w:r>
        <w:rPr>
          <w:rFonts w:ascii="Times New Roman" w:eastAsia="Times New Roman" w:hAnsi="Times New Roman" w:cs="Times New Roman"/>
          <w:b/>
          <w:color w:val="000000"/>
          <w:sz w:val="24"/>
          <w:szCs w:val="24"/>
          <w:lang w:eastAsia="en-IN"/>
        </w:rPr>
        <w:tab/>
      </w:r>
    </w:p>
    <w:p w:rsidR="004E0F76" w:rsidRDefault="001037FC">
      <w:pPr>
        <w:jc w:val="both"/>
        <w:rPr>
          <w:rFonts w:ascii="Times New Roman" w:hAnsi="Times New Roman" w:cs="Times New Roman"/>
          <w:sz w:val="24"/>
          <w:szCs w:val="24"/>
        </w:rPr>
      </w:pPr>
      <w:r>
        <w:rPr>
          <w:rFonts w:ascii="Times New Roman" w:hAnsi="Times New Roman" w:cs="Times New Roman"/>
          <w:sz w:val="24"/>
          <w:szCs w:val="24"/>
        </w:rPr>
        <w:t xml:space="preserve"> </w:t>
      </w:r>
    </w:p>
    <w:p w:rsidR="004E0F76" w:rsidRDefault="001037FC">
      <w:pPr>
        <w:spacing w:before="120" w:after="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E0F76" w:rsidRDefault="004E0F76">
      <w:pPr>
        <w:spacing w:before="160" w:after="0" w:line="360" w:lineRule="auto"/>
        <w:jc w:val="both"/>
        <w:rPr>
          <w:rFonts w:ascii="Times New Roman" w:hAnsi="Times New Roman" w:cs="Times New Roman"/>
          <w:color w:val="000000"/>
          <w:sz w:val="24"/>
          <w:szCs w:val="24"/>
        </w:rPr>
      </w:pPr>
    </w:p>
    <w:p w:rsidR="004E0F76" w:rsidRDefault="004E0F76">
      <w:pPr>
        <w:jc w:val="both"/>
        <w:rPr>
          <w:rFonts w:ascii="Times New Roman" w:hAnsi="Times New Roman" w:cs="Times New Roman"/>
          <w:sz w:val="24"/>
          <w:szCs w:val="24"/>
        </w:rPr>
      </w:pPr>
    </w:p>
    <w:sectPr w:rsidR="004E0F76">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FC" w:rsidRDefault="001037FC">
      <w:pPr>
        <w:spacing w:after="0" w:line="240" w:lineRule="auto"/>
      </w:pPr>
      <w:r>
        <w:separator/>
      </w:r>
    </w:p>
  </w:endnote>
  <w:endnote w:type="continuationSeparator" w:id="0">
    <w:p w:rsidR="001037FC" w:rsidRDefault="0010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76" w:rsidRDefault="004E0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76" w:rsidRDefault="004E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FC" w:rsidRDefault="001037FC">
      <w:pPr>
        <w:spacing w:after="0" w:line="240" w:lineRule="auto"/>
      </w:pPr>
      <w:r>
        <w:separator/>
      </w:r>
    </w:p>
  </w:footnote>
  <w:footnote w:type="continuationSeparator" w:id="0">
    <w:p w:rsidR="001037FC" w:rsidRDefault="00103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76" w:rsidRDefault="00103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76" w:rsidRDefault="00103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F76" w:rsidRDefault="001037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2D98AB9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F76"/>
    <w:rsid w:val="001037FC"/>
    <w:rsid w:val="004E0F76"/>
    <w:rsid w:val="0058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AEA09"/>
  <w15:docId w15:val="{0332A5A5-A6DD-44F7-AAB9-00F8AFD8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lang w:val="en-IN"/>
      <w14:ligatures w14:val="standardContextual"/>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character" w:customStyle="1" w:styleId="nowrap">
    <w:name w:val="nowrap"/>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Bhilwara_distri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jmer_district"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journal/Animal-Production-Research-Advances-0794-4721?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hyperlink" Target="https://en.wikipedia.org/wiki/Jaipur_distric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3450</Words>
  <Characters>19667</Characters>
  <Application>Microsoft Office Word</Application>
  <DocSecurity>0</DocSecurity>
  <Lines>163</Lines>
  <Paragraphs>46</Paragraphs>
  <ScaleCrop>false</ScaleCrop>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108</cp:revision>
  <cp:lastPrinted>2025-07-08T14:32:00Z</cp:lastPrinted>
  <dcterms:created xsi:type="dcterms:W3CDTF">2025-08-16T04:57:00Z</dcterms:created>
  <dcterms:modified xsi:type="dcterms:W3CDTF">2025-08-20T10:12:00Z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96b5f95aa0404fdf9a1db7e056a5f55c</vt:lpwstr>
  </property>
</Properties>
</file>