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AF4253" w14:textId="77777777" w:rsidR="00754C9A" w:rsidRPr="007A7695" w:rsidRDefault="00754C9A" w:rsidP="00441B6F">
      <w:pPr>
        <w:pStyle w:val="Titre"/>
        <w:spacing w:after="0"/>
        <w:jc w:val="both"/>
        <w:rPr>
          <w:rFonts w:ascii="Arial" w:hAnsi="Arial" w:cs="Arial"/>
        </w:rPr>
      </w:pPr>
    </w:p>
    <w:p w14:paraId="52654E90" w14:textId="4C1FD1F8" w:rsidR="00C75B2E" w:rsidRPr="007A7695" w:rsidRDefault="00A86D1B" w:rsidP="00C75B2E">
      <w:pPr>
        <w:spacing w:after="160" w:line="259" w:lineRule="auto"/>
        <w:rPr>
          <w:rFonts w:ascii="Arial" w:eastAsia="Calibri" w:hAnsi="Arial" w:cs="Arial"/>
          <w:b/>
          <w:bCs/>
          <w:color w:val="000000"/>
          <w:sz w:val="32"/>
          <w:szCs w:val="32"/>
        </w:rPr>
      </w:pPr>
      <w:r w:rsidRPr="00A86D1B">
        <w:rPr>
          <w:rFonts w:ascii="Arial" w:eastAsia="Calibri" w:hAnsi="Arial" w:cs="Arial"/>
          <w:b/>
          <w:bCs/>
          <w:color w:val="000000"/>
          <w:sz w:val="32"/>
          <w:szCs w:val="32"/>
        </w:rPr>
        <w:t>Zero-Order</w:t>
      </w:r>
      <w:r w:rsidR="00C75B2E" w:rsidRPr="007A7695">
        <w:rPr>
          <w:rFonts w:ascii="Arial" w:eastAsia="Calibri" w:hAnsi="Arial" w:cs="Arial"/>
          <w:b/>
          <w:bCs/>
          <w:color w:val="000000"/>
          <w:sz w:val="32"/>
          <w:szCs w:val="32"/>
        </w:rPr>
        <w:t xml:space="preserve"> Kinetic Modeling of Methane Emissions from Organic Waste: </w:t>
      </w:r>
      <w:proofErr w:type="gramStart"/>
      <w:r w:rsidR="00C75B2E" w:rsidRPr="007A7695">
        <w:rPr>
          <w:rFonts w:ascii="Arial" w:eastAsia="Calibri" w:hAnsi="Arial" w:cs="Arial"/>
          <w:b/>
          <w:bCs/>
          <w:color w:val="000000"/>
          <w:sz w:val="32"/>
          <w:szCs w:val="32"/>
        </w:rPr>
        <w:t>a</w:t>
      </w:r>
      <w:proofErr w:type="gramEnd"/>
      <w:r w:rsidR="00C75B2E" w:rsidRPr="007A7695">
        <w:rPr>
          <w:rFonts w:ascii="Arial" w:eastAsia="Calibri" w:hAnsi="Arial" w:cs="Arial"/>
          <w:b/>
          <w:bCs/>
          <w:color w:val="000000"/>
          <w:sz w:val="32"/>
          <w:szCs w:val="32"/>
        </w:rPr>
        <w:t xml:space="preserve"> Case Study of the Abidjan Landfill System</w:t>
      </w:r>
    </w:p>
    <w:p w14:paraId="6D9C1AD4" w14:textId="77777777" w:rsidR="00A258C3" w:rsidRPr="007A7695" w:rsidRDefault="00A258C3" w:rsidP="00441B6F">
      <w:pPr>
        <w:pStyle w:val="Author"/>
        <w:spacing w:line="240" w:lineRule="auto"/>
        <w:jc w:val="both"/>
        <w:rPr>
          <w:rFonts w:ascii="Arial" w:hAnsi="Arial" w:cs="Arial"/>
          <w:sz w:val="36"/>
        </w:rPr>
      </w:pPr>
    </w:p>
    <w:p w14:paraId="43C4EB0B" w14:textId="3E60E7C4" w:rsidR="002C57D2" w:rsidRPr="007A7695" w:rsidRDefault="002C57D2" w:rsidP="00441B6F">
      <w:pPr>
        <w:pStyle w:val="Affiliation"/>
        <w:spacing w:after="0" w:line="240" w:lineRule="auto"/>
        <w:jc w:val="both"/>
        <w:rPr>
          <w:rFonts w:ascii="Arial" w:hAnsi="Arial" w:cs="Arial"/>
        </w:rPr>
      </w:pPr>
    </w:p>
    <w:p w14:paraId="26A819DB" w14:textId="77777777" w:rsidR="000970E4" w:rsidRPr="007A7695" w:rsidRDefault="000970E4" w:rsidP="00441B6F">
      <w:pPr>
        <w:pStyle w:val="Affiliation"/>
        <w:spacing w:after="0" w:line="240" w:lineRule="auto"/>
        <w:jc w:val="both"/>
        <w:rPr>
          <w:rFonts w:ascii="Arial" w:hAnsi="Arial" w:cs="Arial"/>
        </w:rPr>
      </w:pPr>
    </w:p>
    <w:p w14:paraId="00ABDD56" w14:textId="5F6C36D2" w:rsidR="00B01FCD" w:rsidRPr="007A7695" w:rsidRDefault="00806F77" w:rsidP="003E1E80">
      <w:pPr>
        <w:pStyle w:val="Copyright"/>
        <w:spacing w:after="0" w:line="240" w:lineRule="auto"/>
        <w:jc w:val="both"/>
        <w:rPr>
          <w:rFonts w:ascii="Arial" w:hAnsi="Arial" w:cs="Arial"/>
        </w:rPr>
      </w:pPr>
      <w:r w:rsidRPr="007A7695">
        <w:rPr>
          <w:rFonts w:ascii="Arial" w:hAnsi="Arial" w:cs="Arial"/>
        </w:rPr>
      </w:r>
      <w:r w:rsidRPr="007A7695">
        <w:rPr>
          <w:rFonts w:ascii="Arial" w:hAnsi="Arial" w:cs="Arial"/>
        </w:rPr>
        <w:pict w14:anchorId="2E78BA9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7A7695">
        <w:rPr>
          <w:rFonts w:ascii="Arial" w:hAnsi="Arial" w:cs="Arial"/>
        </w:rPr>
        <w:t>.</w:t>
      </w:r>
    </w:p>
    <w:p w14:paraId="5C56CDBC" w14:textId="77777777" w:rsidR="00790ADA" w:rsidRPr="007A7695"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7A7695" w14:paraId="5225C6FD" w14:textId="77777777" w:rsidTr="001E44FE">
        <w:tc>
          <w:tcPr>
            <w:tcW w:w="9576" w:type="dxa"/>
            <w:shd w:val="clear" w:color="auto" w:fill="F2F2F2"/>
          </w:tcPr>
          <w:p w14:paraId="5F40C080" w14:textId="79E9BAE2" w:rsidR="00505F06" w:rsidRPr="007A7695" w:rsidRDefault="003E1E80" w:rsidP="003E1E80">
            <w:pPr>
              <w:spacing w:after="160" w:line="259" w:lineRule="auto"/>
              <w:jc w:val="both"/>
              <w:rPr>
                <w:rFonts w:ascii="Arial" w:eastAsia="Calibri" w:hAnsi="Arial" w:cs="Arial"/>
                <w:color w:val="000000"/>
              </w:rPr>
            </w:pPr>
            <w:r w:rsidRPr="007A7695">
              <w:rPr>
                <w:rFonts w:ascii="Arial" w:eastAsia="Calibri" w:hAnsi="Arial" w:cs="Arial"/>
                <w:b/>
                <w:bCs/>
                <w:color w:val="000000"/>
              </w:rPr>
              <w:t xml:space="preserve">ABSTRACT: </w:t>
            </w:r>
            <w:r w:rsidRPr="007A7695">
              <w:rPr>
                <w:rFonts w:ascii="Arial" w:eastAsia="Calibri" w:hAnsi="Arial" w:cs="Arial"/>
                <w:color w:val="000000"/>
              </w:rPr>
              <w:t>The rapid urbanization and population growth of Abidjan, the economic capital of Côte d'Ivoire, have led to a significant increase in the generation of municipal solid waste (MSW), a large portion of which is biodegradable. Inefficient waste disposal in uncontrolled landfills results in uncontrolled methane (CH</w:t>
            </w:r>
            <w:r w:rsidRPr="007A7695">
              <w:rPr>
                <w:rFonts w:ascii="Cambria Math" w:eastAsia="Calibri" w:hAnsi="Cambria Math" w:cs="Cambria Math"/>
                <w:color w:val="000000"/>
              </w:rPr>
              <w:t>₄</w:t>
            </w:r>
            <w:r w:rsidRPr="007A7695">
              <w:rPr>
                <w:rFonts w:ascii="Arial" w:eastAsia="Calibri" w:hAnsi="Arial" w:cs="Arial"/>
                <w:color w:val="000000"/>
              </w:rPr>
              <w:t xml:space="preserve">) emissions, a greenhouse gas with a global warming potential 28 times greater than that of carbon dioxide. Managing these methane emissions presents a major challenge for the environmental and energy sustainability of the city. This study proposes the application of a simplified kinetic model to predict the energy potential of waste in Abidjan, specifically focusing on the </w:t>
            </w:r>
            <w:proofErr w:type="spellStart"/>
            <w:r w:rsidRPr="007A7695">
              <w:rPr>
                <w:rFonts w:ascii="Arial" w:eastAsia="Calibri" w:hAnsi="Arial" w:cs="Arial"/>
                <w:color w:val="000000"/>
              </w:rPr>
              <w:t>Kossihouen</w:t>
            </w:r>
            <w:proofErr w:type="spellEnd"/>
            <w:r w:rsidRPr="007A7695">
              <w:rPr>
                <w:rFonts w:ascii="Arial" w:eastAsia="Calibri" w:hAnsi="Arial" w:cs="Arial"/>
                <w:color w:val="000000"/>
              </w:rPr>
              <w:t xml:space="preserve"> landfill</w:t>
            </w:r>
            <w:r w:rsidRPr="0029386C">
              <w:rPr>
                <w:rFonts w:ascii="Arial" w:eastAsia="Calibri" w:hAnsi="Arial" w:cs="Arial"/>
                <w:color w:val="FF0000"/>
              </w:rPr>
              <w:t>.</w:t>
            </w:r>
            <w:r w:rsidR="0029386C">
              <w:t xml:space="preserve"> </w:t>
            </w:r>
            <w:r w:rsidR="0029386C" w:rsidRPr="0029386C">
              <w:rPr>
                <w:rFonts w:ascii="Arial" w:eastAsia="Calibri" w:hAnsi="Arial" w:cs="Arial"/>
                <w:color w:val="FF0000"/>
              </w:rPr>
              <w:t>In this context, the term “simplified kinetic model” refers to a zero-order approach that assumes a constant methane production rate, independent of the substrate concentration, making it suitable for contexts where detailed waste degradation data is scarce</w:t>
            </w:r>
            <w:r w:rsidR="0029386C">
              <w:rPr>
                <w:rFonts w:ascii="Arial" w:eastAsia="Calibri" w:hAnsi="Arial" w:cs="Arial"/>
                <w:color w:val="FF0000"/>
              </w:rPr>
              <w:t>.</w:t>
            </w:r>
            <w:r w:rsidRPr="0029386C">
              <w:rPr>
                <w:rFonts w:ascii="Arial" w:eastAsia="Calibri" w:hAnsi="Arial" w:cs="Arial"/>
                <w:color w:val="FF0000"/>
              </w:rPr>
              <w:t xml:space="preserve"> </w:t>
            </w:r>
            <w:r w:rsidRPr="007A7695">
              <w:rPr>
                <w:rFonts w:ascii="Arial" w:eastAsia="Calibri" w:hAnsi="Arial" w:cs="Arial"/>
                <w:color w:val="000000"/>
              </w:rPr>
              <w:t xml:space="preserve">Due to the difficulty of obtaining experimental data in tropical contexts, the simplified model, which assumes a constant methane production rate independent of substrate concentration, was chosen as a practical and effective solution for estimating methane emissions. The results demonstrate that the waste from the </w:t>
            </w:r>
            <w:proofErr w:type="spellStart"/>
            <w:r w:rsidRPr="007A7695">
              <w:rPr>
                <w:rFonts w:ascii="Arial" w:eastAsia="Calibri" w:hAnsi="Arial" w:cs="Arial"/>
                <w:color w:val="000000"/>
              </w:rPr>
              <w:t>Kossihouen</w:t>
            </w:r>
            <w:proofErr w:type="spellEnd"/>
            <w:r w:rsidRPr="007A7695">
              <w:rPr>
                <w:rFonts w:ascii="Arial" w:eastAsia="Calibri" w:hAnsi="Arial" w:cs="Arial"/>
                <w:color w:val="000000"/>
              </w:rPr>
              <w:t xml:space="preserve"> landfill could generate an annual electrical output of 15.34 MW, sufficient to supply energy to 92,000 people in 2021</w:t>
            </w:r>
            <w:r w:rsidRPr="00AD0DE3">
              <w:rPr>
                <w:rFonts w:ascii="Arial" w:eastAsia="Calibri" w:hAnsi="Arial" w:cs="Arial"/>
                <w:color w:val="FF0000"/>
              </w:rPr>
              <w:t>.</w:t>
            </w:r>
            <w:r w:rsidR="00AD0DE3">
              <w:t xml:space="preserve"> </w:t>
            </w:r>
            <w:r w:rsidR="00AD0DE3" w:rsidRPr="00AD0DE3">
              <w:rPr>
                <w:rFonts w:ascii="Arial" w:eastAsia="Calibri" w:hAnsi="Arial" w:cs="Arial"/>
                <w:color w:val="FF0000"/>
              </w:rPr>
              <w:t xml:space="preserve">These empirical results were compared with theoretical estimates from other kinetic models, showing consistent trends but highlighting that theoretical maximum values cannot be fully achieved in practice due to recovery limitations. </w:t>
            </w:r>
            <w:r w:rsidRPr="00AD0DE3">
              <w:rPr>
                <w:rFonts w:ascii="Arial" w:eastAsia="Calibri" w:hAnsi="Arial" w:cs="Arial"/>
                <w:color w:val="FF0000"/>
              </w:rPr>
              <w:t xml:space="preserve"> F</w:t>
            </w:r>
            <w:r w:rsidRPr="007A7695">
              <w:rPr>
                <w:rFonts w:ascii="Arial" w:eastAsia="Calibri" w:hAnsi="Arial" w:cs="Arial"/>
                <w:color w:val="000000"/>
              </w:rPr>
              <w:t xml:space="preserve">urthermore, this energy recovery leads to a reduction in greenhouse gas emissions. This approach provides local policymakers and energy planners with a valuable tool for assessing the feasibility of biogas recovery and sustainable </w:t>
            </w:r>
            <w:bookmarkStart w:id="0" w:name="_Hlk201829617"/>
            <w:r w:rsidRPr="007A7695">
              <w:rPr>
                <w:rFonts w:ascii="Arial" w:eastAsia="Calibri" w:hAnsi="Arial" w:cs="Arial"/>
                <w:color w:val="000000"/>
              </w:rPr>
              <w:t xml:space="preserve">waste management </w:t>
            </w:r>
            <w:bookmarkEnd w:id="0"/>
            <w:r w:rsidRPr="007A7695">
              <w:rPr>
                <w:rFonts w:ascii="Arial" w:eastAsia="Calibri" w:hAnsi="Arial" w:cs="Arial"/>
                <w:color w:val="000000"/>
              </w:rPr>
              <w:t>projects. Additionally, the study lays the foundation for future research on the adaptation of simplified models in other African contexts facing similar challenges.</w:t>
            </w:r>
          </w:p>
        </w:tc>
      </w:tr>
    </w:tbl>
    <w:p w14:paraId="0E4FC59C" w14:textId="77777777" w:rsidR="00636EB2" w:rsidRPr="007A7695" w:rsidRDefault="00636EB2" w:rsidP="00441B6F">
      <w:pPr>
        <w:pStyle w:val="Body"/>
        <w:spacing w:after="0"/>
        <w:rPr>
          <w:rFonts w:ascii="Arial" w:hAnsi="Arial" w:cs="Arial"/>
          <w:i/>
        </w:rPr>
      </w:pPr>
    </w:p>
    <w:p w14:paraId="7B75A319" w14:textId="77777777" w:rsidR="003E1E80" w:rsidRPr="007A7695" w:rsidRDefault="00A24E7E" w:rsidP="003E1E80">
      <w:pPr>
        <w:rPr>
          <w:rFonts w:ascii="Arial" w:eastAsia="Calibri" w:hAnsi="Arial" w:cs="Arial"/>
          <w:b/>
          <w:bCs/>
          <w:i/>
          <w:iCs/>
        </w:rPr>
      </w:pPr>
      <w:r w:rsidRPr="007A7695">
        <w:rPr>
          <w:rFonts w:ascii="Arial" w:hAnsi="Arial" w:cs="Arial"/>
          <w:i/>
        </w:rPr>
        <w:t xml:space="preserve">Keywords: </w:t>
      </w:r>
      <w:r w:rsidR="003E1E80" w:rsidRPr="007A7695">
        <w:rPr>
          <w:rFonts w:ascii="Arial" w:eastAsia="Calibri" w:hAnsi="Arial" w:cs="Arial"/>
        </w:rPr>
        <w:t>waste management, methane emissions, simplified kinetic model, energy, sustainable</w:t>
      </w:r>
    </w:p>
    <w:p w14:paraId="255CA227" w14:textId="67BA6B30" w:rsidR="00A24E7E" w:rsidRPr="007A7695" w:rsidRDefault="00A24E7E" w:rsidP="00441B6F">
      <w:pPr>
        <w:pStyle w:val="Body"/>
        <w:spacing w:after="0"/>
        <w:rPr>
          <w:rFonts w:ascii="Arial" w:hAnsi="Arial" w:cs="Arial"/>
          <w:i/>
        </w:rPr>
      </w:pPr>
    </w:p>
    <w:p w14:paraId="6DC579A6" w14:textId="77777777" w:rsidR="00790ADA" w:rsidRPr="007A7695" w:rsidRDefault="00790ADA" w:rsidP="00441B6F">
      <w:pPr>
        <w:pStyle w:val="Body"/>
        <w:spacing w:after="0"/>
        <w:rPr>
          <w:rFonts w:ascii="Arial" w:hAnsi="Arial" w:cs="Arial"/>
          <w:i/>
        </w:rPr>
      </w:pPr>
    </w:p>
    <w:p w14:paraId="74DA52FA" w14:textId="77777777" w:rsidR="00505F06" w:rsidRPr="007A7695" w:rsidRDefault="00505F06" w:rsidP="00441B6F">
      <w:pPr>
        <w:pStyle w:val="Body"/>
        <w:spacing w:after="0"/>
        <w:rPr>
          <w:rFonts w:ascii="Arial" w:hAnsi="Arial" w:cs="Arial"/>
          <w:i/>
        </w:rPr>
      </w:pPr>
    </w:p>
    <w:p w14:paraId="76AE45F7" w14:textId="4E4F5F65" w:rsidR="007F7B32" w:rsidRPr="007A7695" w:rsidRDefault="00902823" w:rsidP="00441B6F">
      <w:pPr>
        <w:pStyle w:val="AbstHead"/>
        <w:spacing w:after="0"/>
        <w:jc w:val="both"/>
        <w:rPr>
          <w:rFonts w:ascii="Arial" w:hAnsi="Arial" w:cs="Arial"/>
        </w:rPr>
      </w:pPr>
      <w:r w:rsidRPr="007A7695">
        <w:rPr>
          <w:rFonts w:ascii="Arial" w:hAnsi="Arial" w:cs="Arial"/>
        </w:rPr>
        <w:t xml:space="preserve">1. </w:t>
      </w:r>
      <w:r w:rsidR="00B01FCD" w:rsidRPr="007A7695">
        <w:rPr>
          <w:rFonts w:ascii="Arial" w:hAnsi="Arial" w:cs="Arial"/>
        </w:rPr>
        <w:t>INTRODUCTION</w:t>
      </w:r>
      <w:r w:rsidR="007F7B32" w:rsidRPr="007A7695">
        <w:rPr>
          <w:rFonts w:ascii="Arial" w:hAnsi="Arial" w:cs="Arial"/>
        </w:rPr>
        <w:t xml:space="preserve"> </w:t>
      </w:r>
    </w:p>
    <w:p w14:paraId="16BF17EF" w14:textId="77777777" w:rsidR="00790ADA" w:rsidRPr="007A7695" w:rsidRDefault="00790ADA" w:rsidP="00441B6F">
      <w:pPr>
        <w:pStyle w:val="AbstHead"/>
        <w:spacing w:after="0"/>
        <w:jc w:val="both"/>
        <w:rPr>
          <w:rFonts w:ascii="Arial" w:hAnsi="Arial" w:cs="Arial"/>
        </w:rPr>
      </w:pPr>
    </w:p>
    <w:p w14:paraId="1FC40800" w14:textId="5BF7F369" w:rsidR="00566FC3" w:rsidRPr="007A7695" w:rsidRDefault="00566FC3" w:rsidP="00566FC3">
      <w:pPr>
        <w:spacing w:after="160" w:line="360" w:lineRule="auto"/>
        <w:jc w:val="both"/>
        <w:rPr>
          <w:rFonts w:ascii="Arial" w:hAnsi="Arial" w:cs="Arial"/>
          <w:color w:val="000000"/>
          <w:lang w:eastAsia="fr-FR"/>
        </w:rPr>
      </w:pPr>
      <w:r w:rsidRPr="007A7695">
        <w:rPr>
          <w:rFonts w:ascii="Arial" w:hAnsi="Arial" w:cs="Arial"/>
          <w:color w:val="000000"/>
          <w:lang w:eastAsia="fr-FR"/>
        </w:rPr>
        <w:t xml:space="preserve">Rapid urbanization, population growth, and industrial expansion in Sub-Saharan African cities have led to a significant increase in municipal solid waste (MSW) production. This major challenge is highlighted by </w:t>
      </w:r>
      <w:r w:rsidRPr="007A7695">
        <w:rPr>
          <w:rFonts w:ascii="Arial" w:hAnsi="Arial" w:cs="Arial"/>
          <w:b/>
          <w:bCs/>
          <w:color w:val="000000"/>
          <w:lang w:eastAsia="fr-FR"/>
        </w:rPr>
        <w:t>UN-Habitat (2018)</w:t>
      </w:r>
      <w:r w:rsidRPr="007A7695">
        <w:rPr>
          <w:rFonts w:ascii="Arial" w:hAnsi="Arial" w:cs="Arial"/>
          <w:color w:val="000000"/>
          <w:lang w:eastAsia="fr-FR"/>
        </w:rPr>
        <w:t xml:space="preserve"> in its report The State of African Cities, which underscores the growing scale of waste management challenges across the continent. In Côte d'Ivoire, and specifically in Abidjan, these changes have placed increasing pressure on waste management systems, which face various difficulties, including insufficient infrastructure, limited waste valorization, and weak enforcement of regulations. According to Ivorian authorities, the Abidjan District generates more than 1.4 million tons of waste annually, of which over 60% is biodegradable. This organic fraction, when stored in open or poorly managed landfills, becomes a major source of uncontrolled methane emissions, produced by the anaerobic decomposition of organic matter (</w:t>
      </w:r>
      <w:r w:rsidR="00C121EF" w:rsidRPr="00F400A7">
        <w:rPr>
          <w:rFonts w:ascii="Arial" w:hAnsi="Arial" w:cs="Arial"/>
          <w:b/>
          <w:bCs/>
          <w:color w:val="FF0000"/>
          <w:lang w:eastAsia="fr-FR"/>
        </w:rPr>
        <w:t>Liu</w:t>
      </w:r>
      <w:r w:rsidR="00C121EF" w:rsidRPr="00F400A7">
        <w:rPr>
          <w:rFonts w:ascii="Arial" w:hAnsi="Arial" w:cs="Arial"/>
          <w:b/>
          <w:bCs/>
          <w:color w:val="FF0000"/>
          <w:lang w:eastAsia="fr-FR"/>
        </w:rPr>
        <w:t xml:space="preserve"> et al</w:t>
      </w:r>
      <w:r w:rsidR="00C121EF" w:rsidRPr="00F400A7">
        <w:rPr>
          <w:rFonts w:ascii="Arial" w:hAnsi="Arial" w:cs="Arial"/>
          <w:b/>
          <w:bCs/>
          <w:color w:val="FF0000"/>
          <w:lang w:eastAsia="fr-FR"/>
        </w:rPr>
        <w:t>.</w:t>
      </w:r>
      <w:r w:rsidR="00C121EF" w:rsidRPr="00F400A7">
        <w:rPr>
          <w:rFonts w:ascii="Arial" w:hAnsi="Arial" w:cs="Arial"/>
          <w:b/>
          <w:bCs/>
          <w:color w:val="FF0000"/>
          <w:lang w:eastAsia="fr-FR"/>
        </w:rPr>
        <w:t>,</w:t>
      </w:r>
      <w:r w:rsidR="00C121EF" w:rsidRPr="00F400A7">
        <w:rPr>
          <w:rFonts w:ascii="Arial" w:hAnsi="Arial" w:cs="Arial"/>
          <w:b/>
          <w:bCs/>
          <w:color w:val="FF0000"/>
          <w:lang w:eastAsia="fr-FR"/>
        </w:rPr>
        <w:t xml:space="preserve"> 2017</w:t>
      </w:r>
      <w:r w:rsidRPr="007A7695">
        <w:rPr>
          <w:rFonts w:ascii="Arial" w:hAnsi="Arial" w:cs="Arial"/>
          <w:b/>
          <w:bCs/>
          <w:color w:val="000000"/>
          <w:lang w:eastAsia="fr-FR"/>
        </w:rPr>
        <w:t>).</w:t>
      </w:r>
    </w:p>
    <w:p w14:paraId="3E73A943" w14:textId="77777777" w:rsidR="00566FC3" w:rsidRPr="007A7695" w:rsidRDefault="00566FC3" w:rsidP="00566FC3">
      <w:pPr>
        <w:spacing w:after="160" w:line="360" w:lineRule="auto"/>
        <w:jc w:val="both"/>
        <w:rPr>
          <w:rFonts w:ascii="Arial" w:hAnsi="Arial" w:cs="Arial"/>
          <w:color w:val="000000"/>
          <w:lang w:eastAsia="fr-FR"/>
        </w:rPr>
      </w:pPr>
      <w:r w:rsidRPr="007A7695">
        <w:rPr>
          <w:rFonts w:ascii="Arial" w:hAnsi="Arial" w:cs="Arial"/>
          <w:color w:val="000000"/>
          <w:lang w:eastAsia="fr-FR"/>
        </w:rPr>
        <w:t>Methane (CH</w:t>
      </w:r>
      <w:r w:rsidRPr="007A7695">
        <w:rPr>
          <w:rFonts w:ascii="Cambria Math" w:hAnsi="Cambria Math" w:cs="Cambria Math"/>
          <w:color w:val="000000"/>
          <w:lang w:eastAsia="fr-FR"/>
        </w:rPr>
        <w:t>₄</w:t>
      </w:r>
      <w:r w:rsidRPr="007A7695">
        <w:rPr>
          <w:rFonts w:ascii="Arial" w:hAnsi="Arial" w:cs="Arial"/>
          <w:color w:val="000000"/>
          <w:lang w:eastAsia="fr-FR"/>
        </w:rPr>
        <w:t>) is a greenhouse gas with a global warming potential 28 times greater than that of carbon dioxide (CO</w:t>
      </w:r>
      <w:r w:rsidRPr="007A7695">
        <w:rPr>
          <w:rFonts w:ascii="Cambria Math" w:hAnsi="Cambria Math" w:cs="Cambria Math"/>
          <w:color w:val="000000"/>
          <w:lang w:eastAsia="fr-FR"/>
        </w:rPr>
        <w:t>₂</w:t>
      </w:r>
      <w:r w:rsidRPr="007A7695">
        <w:rPr>
          <w:rFonts w:ascii="Arial" w:hAnsi="Arial" w:cs="Arial"/>
          <w:color w:val="000000"/>
          <w:lang w:eastAsia="fr-FR"/>
        </w:rPr>
        <w:t>) over a 100-year period (</w:t>
      </w:r>
      <w:r w:rsidRPr="007A7695">
        <w:rPr>
          <w:rFonts w:ascii="Arial" w:hAnsi="Arial" w:cs="Arial"/>
          <w:b/>
          <w:bCs/>
          <w:color w:val="000000"/>
          <w:lang w:eastAsia="fr-FR"/>
        </w:rPr>
        <w:t>IPCC, 2014</w:t>
      </w:r>
      <w:r w:rsidRPr="007A7695">
        <w:rPr>
          <w:rFonts w:ascii="Arial" w:hAnsi="Arial" w:cs="Arial"/>
          <w:color w:val="000000"/>
          <w:lang w:eastAsia="fr-FR"/>
        </w:rPr>
        <w:t xml:space="preserve">). According to international climate assessments, landfills are among the most significant anthropogenic sources of methane in developing countries, where waste is neither pretreated nor segregated </w:t>
      </w:r>
      <w:r w:rsidRPr="007A7695">
        <w:rPr>
          <w:rFonts w:ascii="Arial" w:hAnsi="Arial" w:cs="Arial"/>
          <w:color w:val="000000"/>
          <w:lang w:eastAsia="fr-FR"/>
        </w:rPr>
        <w:lastRenderedPageBreak/>
        <w:t>at the source (</w:t>
      </w:r>
      <w:r w:rsidRPr="007A7695">
        <w:rPr>
          <w:rFonts w:ascii="Arial" w:hAnsi="Arial" w:cs="Arial"/>
          <w:b/>
          <w:bCs/>
          <w:color w:val="000000"/>
          <w:lang w:eastAsia="fr-FR"/>
        </w:rPr>
        <w:t>UNEP &amp; CCAC, 2021).</w:t>
      </w:r>
      <w:r w:rsidRPr="007A7695">
        <w:rPr>
          <w:rFonts w:ascii="Arial" w:hAnsi="Arial" w:cs="Arial"/>
          <w:color w:val="000000"/>
          <w:lang w:eastAsia="fr-FR"/>
        </w:rPr>
        <w:t xml:space="preserve"> In this context, modeling methane emissions from landfills is essential for quantifying GHG emissions, designing mitigation strategies, and evaluating the energy recovery potential of organic waste (</w:t>
      </w:r>
      <w:r w:rsidRPr="007A7695">
        <w:rPr>
          <w:rFonts w:ascii="Arial" w:hAnsi="Arial" w:cs="Arial"/>
          <w:b/>
          <w:bCs/>
          <w:color w:val="000000"/>
          <w:lang w:eastAsia="fr-FR"/>
        </w:rPr>
        <w:t>IPCC</w:t>
      </w:r>
      <w:r w:rsidRPr="007A7695">
        <w:rPr>
          <w:rFonts w:ascii="Arial" w:hAnsi="Arial" w:cs="Arial"/>
          <w:color w:val="000000"/>
          <w:lang w:eastAsia="fr-FR"/>
        </w:rPr>
        <w:t>, 2019).</w:t>
      </w:r>
    </w:p>
    <w:p w14:paraId="76315131" w14:textId="77777777" w:rsidR="00566FC3" w:rsidRPr="007A7695" w:rsidRDefault="00566FC3" w:rsidP="00566FC3">
      <w:pPr>
        <w:spacing w:after="160" w:line="360" w:lineRule="auto"/>
        <w:jc w:val="both"/>
        <w:rPr>
          <w:rFonts w:ascii="Arial" w:hAnsi="Arial" w:cs="Arial"/>
          <w:color w:val="000000"/>
          <w:lang w:eastAsia="fr-FR"/>
        </w:rPr>
      </w:pPr>
      <w:r w:rsidRPr="007A7695">
        <w:rPr>
          <w:rFonts w:ascii="Arial" w:hAnsi="Arial" w:cs="Arial"/>
          <w:color w:val="000000"/>
          <w:lang w:eastAsia="fr-FR"/>
        </w:rPr>
        <w:t>Several kinetic approaches have been proposed to estimate CH</w:t>
      </w:r>
      <w:r w:rsidRPr="007A7695">
        <w:rPr>
          <w:rFonts w:ascii="Cambria Math" w:hAnsi="Cambria Math" w:cs="Cambria Math"/>
          <w:color w:val="000000"/>
          <w:lang w:eastAsia="fr-FR"/>
        </w:rPr>
        <w:t>₄</w:t>
      </w:r>
      <w:r w:rsidRPr="007A7695">
        <w:rPr>
          <w:rFonts w:ascii="Arial" w:hAnsi="Arial" w:cs="Arial"/>
          <w:color w:val="000000"/>
          <w:lang w:eastAsia="fr-FR"/>
        </w:rPr>
        <w:t xml:space="preserve"> emissions, including first-order models (used in </w:t>
      </w:r>
      <w:proofErr w:type="spellStart"/>
      <w:r w:rsidRPr="007A7695">
        <w:rPr>
          <w:rFonts w:ascii="Arial" w:hAnsi="Arial" w:cs="Arial"/>
          <w:color w:val="000000"/>
          <w:lang w:eastAsia="fr-FR"/>
        </w:rPr>
        <w:t>LandGEM</w:t>
      </w:r>
      <w:proofErr w:type="spellEnd"/>
      <w:r w:rsidRPr="007A7695">
        <w:rPr>
          <w:rFonts w:ascii="Arial" w:hAnsi="Arial" w:cs="Arial"/>
          <w:color w:val="000000"/>
          <w:lang w:eastAsia="fr-FR"/>
        </w:rPr>
        <w:t xml:space="preserve"> and the IPCC Tier 2 methods), Monod models, and modified </w:t>
      </w:r>
      <w:proofErr w:type="spellStart"/>
      <w:r w:rsidRPr="007A7695">
        <w:rPr>
          <w:rFonts w:ascii="Arial" w:hAnsi="Arial" w:cs="Arial"/>
          <w:color w:val="000000"/>
          <w:lang w:eastAsia="fr-FR"/>
        </w:rPr>
        <w:t>Gompertz</w:t>
      </w:r>
      <w:proofErr w:type="spellEnd"/>
      <w:r w:rsidRPr="007A7695">
        <w:rPr>
          <w:rFonts w:ascii="Arial" w:hAnsi="Arial" w:cs="Arial"/>
          <w:color w:val="000000"/>
          <w:lang w:eastAsia="fr-FR"/>
        </w:rPr>
        <w:t xml:space="preserve"> equations (</w:t>
      </w:r>
      <w:proofErr w:type="spellStart"/>
      <w:r w:rsidRPr="007A7695">
        <w:rPr>
          <w:rFonts w:ascii="Arial" w:hAnsi="Arial" w:cs="Arial"/>
          <w:b/>
          <w:bCs/>
          <w:color w:val="000000"/>
          <w:lang w:eastAsia="fr-FR"/>
        </w:rPr>
        <w:t>Majdinasab</w:t>
      </w:r>
      <w:proofErr w:type="spellEnd"/>
      <w:r w:rsidRPr="007A7695">
        <w:rPr>
          <w:rFonts w:ascii="Arial" w:hAnsi="Arial" w:cs="Arial"/>
          <w:b/>
          <w:bCs/>
          <w:color w:val="000000"/>
          <w:lang w:eastAsia="fr-FR"/>
        </w:rPr>
        <w:t xml:space="preserve"> et al., 2017</w:t>
      </w:r>
      <w:r w:rsidRPr="007A7695">
        <w:rPr>
          <w:rFonts w:ascii="Arial" w:hAnsi="Arial" w:cs="Arial"/>
          <w:color w:val="000000"/>
          <w:lang w:eastAsia="fr-FR"/>
        </w:rPr>
        <w:t xml:space="preserve">). However, the implementation of these models relies on specific and detailed input data — such as waste composition, moisture content, </w:t>
      </w:r>
      <w:r w:rsidRPr="007A7695">
        <w:rPr>
          <w:rFonts w:ascii="Arial" w:hAnsi="Arial" w:cs="Arial"/>
          <w:lang w:eastAsia="fr-FR"/>
        </w:rPr>
        <w:t>temperature, and landfill age — which are often lacking in African contexts (</w:t>
      </w:r>
      <w:r w:rsidRPr="007A7695">
        <w:rPr>
          <w:rFonts w:ascii="Arial" w:hAnsi="Arial" w:cs="Arial"/>
          <w:b/>
          <w:bCs/>
          <w:lang w:eastAsia="fr-FR"/>
        </w:rPr>
        <w:t>Couth, R.; Trois, C.</w:t>
      </w:r>
      <w:proofErr w:type="gramStart"/>
      <w:r w:rsidRPr="007A7695">
        <w:rPr>
          <w:rFonts w:ascii="Arial" w:hAnsi="Arial" w:cs="Arial"/>
          <w:b/>
          <w:bCs/>
          <w:lang w:eastAsia="fr-FR"/>
        </w:rPr>
        <w:t>,  2011</w:t>
      </w:r>
      <w:proofErr w:type="gramEnd"/>
      <w:r w:rsidRPr="007A7695">
        <w:rPr>
          <w:rFonts w:ascii="Arial" w:hAnsi="Arial" w:cs="Arial"/>
          <w:lang w:eastAsia="fr-FR"/>
        </w:rPr>
        <w:t>).</w:t>
      </w:r>
    </w:p>
    <w:p w14:paraId="5D04CD8B" w14:textId="77777777" w:rsidR="00566FC3" w:rsidRPr="007A7695" w:rsidRDefault="00566FC3" w:rsidP="00566FC3">
      <w:pPr>
        <w:spacing w:after="160" w:line="360" w:lineRule="auto"/>
        <w:jc w:val="both"/>
        <w:rPr>
          <w:rFonts w:ascii="Arial" w:hAnsi="Arial" w:cs="Arial"/>
          <w:color w:val="000000"/>
          <w:highlight w:val="yellow"/>
          <w:lang w:eastAsia="fr-FR"/>
        </w:rPr>
      </w:pPr>
      <w:r w:rsidRPr="007A7695">
        <w:rPr>
          <w:rFonts w:ascii="Arial" w:hAnsi="Arial" w:cs="Arial"/>
          <w:lang w:eastAsia="fr-FR"/>
        </w:rPr>
        <w:t xml:space="preserve">To overcome these constraints, the </w:t>
      </w:r>
      <w:r w:rsidRPr="007A7695">
        <w:rPr>
          <w:rFonts w:ascii="Arial" w:hAnsi="Arial" w:cs="Arial"/>
          <w:b/>
          <w:bCs/>
          <w:lang w:eastAsia="fr-FR"/>
        </w:rPr>
        <w:t>IPCC (2006)</w:t>
      </w:r>
      <w:r w:rsidRPr="007A7695">
        <w:rPr>
          <w:rFonts w:ascii="Arial" w:hAnsi="Arial" w:cs="Arial"/>
          <w:lang w:eastAsia="fr-FR"/>
        </w:rPr>
        <w:t xml:space="preserve"> recommends the use of simplified Tier 1 methods, based on default emission factors, when local data is unavailable or insufficient, as part of its guidelines for national GHG inventories. In line with this simplification, researchers have proposed the use of zero-order kinetic models, which assume a constant methane production rate independent of substrate concentration. Although these models are less detailed </w:t>
      </w:r>
      <w:r w:rsidRPr="007A7695">
        <w:rPr>
          <w:rFonts w:ascii="Arial" w:hAnsi="Arial" w:cs="Arial"/>
          <w:color w:val="000000"/>
          <w:lang w:eastAsia="fr-FR"/>
        </w:rPr>
        <w:t xml:space="preserve">in terms of the underlying biological processes, they provide robust operational estimates for preliminary analyses or decision-making in data-scarce environments </w:t>
      </w:r>
      <w:r w:rsidRPr="007A7695">
        <w:rPr>
          <w:rFonts w:ascii="Arial" w:hAnsi="Arial" w:cs="Arial"/>
          <w:b/>
          <w:bCs/>
          <w:color w:val="000000"/>
          <w:lang w:eastAsia="fr-FR"/>
        </w:rPr>
        <w:t>(</w:t>
      </w:r>
      <w:proofErr w:type="spellStart"/>
      <w:r w:rsidRPr="007A7695">
        <w:rPr>
          <w:rFonts w:ascii="Arial" w:hAnsi="Arial" w:cs="Arial"/>
          <w:b/>
          <w:bCs/>
          <w:color w:val="000000"/>
          <w:lang w:eastAsia="fr-FR"/>
        </w:rPr>
        <w:t>Idehai</w:t>
      </w:r>
      <w:proofErr w:type="spellEnd"/>
      <w:r w:rsidRPr="007A7695">
        <w:rPr>
          <w:rFonts w:ascii="Arial" w:hAnsi="Arial" w:cs="Arial"/>
          <w:b/>
          <w:bCs/>
          <w:color w:val="000000"/>
          <w:lang w:eastAsia="fr-FR"/>
        </w:rPr>
        <w:t xml:space="preserve"> et al., 2015)</w:t>
      </w:r>
      <w:r w:rsidRPr="007A7695">
        <w:rPr>
          <w:rFonts w:ascii="Arial" w:hAnsi="Arial" w:cs="Arial"/>
          <w:color w:val="000000"/>
          <w:lang w:eastAsia="fr-FR"/>
        </w:rPr>
        <w:t>. However, their application remains poorly documented in Africa, and few studies simultaneously integrate an estimation of the methanogenic potential and a quantitative evaluation of the biogas energy potential in tropical contexts.</w:t>
      </w:r>
    </w:p>
    <w:p w14:paraId="1C4E3A5F" w14:textId="77777777" w:rsidR="00566FC3" w:rsidRPr="007A7695" w:rsidRDefault="00566FC3" w:rsidP="00566FC3">
      <w:pPr>
        <w:spacing w:after="160" w:line="259" w:lineRule="auto"/>
        <w:jc w:val="both"/>
        <w:rPr>
          <w:rFonts w:ascii="Arial" w:hAnsi="Arial" w:cs="Arial"/>
          <w:color w:val="000000"/>
          <w:lang w:eastAsia="fr-FR"/>
        </w:rPr>
      </w:pPr>
    </w:p>
    <w:p w14:paraId="0021FF12" w14:textId="77777777" w:rsidR="00566FC3" w:rsidRPr="007A7695" w:rsidRDefault="00566FC3" w:rsidP="00566FC3">
      <w:pPr>
        <w:spacing w:after="160" w:line="259" w:lineRule="auto"/>
        <w:jc w:val="both"/>
        <w:rPr>
          <w:rFonts w:ascii="Arial" w:hAnsi="Arial" w:cs="Arial"/>
          <w:color w:val="000000"/>
          <w:lang w:eastAsia="fr-FR"/>
        </w:rPr>
      </w:pPr>
      <w:r w:rsidRPr="007A7695">
        <w:rPr>
          <w:rFonts w:ascii="Arial" w:hAnsi="Arial" w:cs="Arial"/>
          <w:color w:val="000000"/>
          <w:lang w:eastAsia="fr-FR"/>
        </w:rPr>
        <w:t xml:space="preserve">In Abidjan, the </w:t>
      </w:r>
      <w:proofErr w:type="spellStart"/>
      <w:r w:rsidRPr="007A7695">
        <w:rPr>
          <w:rFonts w:ascii="Arial" w:hAnsi="Arial" w:cs="Arial"/>
          <w:color w:val="000000"/>
          <w:lang w:eastAsia="fr-FR"/>
        </w:rPr>
        <w:t>Kossihouen</w:t>
      </w:r>
      <w:proofErr w:type="spellEnd"/>
      <w:r w:rsidRPr="007A7695">
        <w:rPr>
          <w:rFonts w:ascii="Arial" w:hAnsi="Arial" w:cs="Arial"/>
          <w:color w:val="000000"/>
          <w:lang w:eastAsia="fr-FR"/>
        </w:rPr>
        <w:t xml:space="preserve"> landfill, operational since the closure of the </w:t>
      </w:r>
      <w:proofErr w:type="spellStart"/>
      <w:r w:rsidRPr="007A7695">
        <w:rPr>
          <w:rFonts w:ascii="Arial" w:hAnsi="Arial" w:cs="Arial"/>
          <w:color w:val="000000"/>
          <w:lang w:eastAsia="fr-FR"/>
        </w:rPr>
        <w:t>Akouédo</w:t>
      </w:r>
      <w:proofErr w:type="spellEnd"/>
      <w:r w:rsidRPr="007A7695">
        <w:rPr>
          <w:rFonts w:ascii="Arial" w:hAnsi="Arial" w:cs="Arial"/>
          <w:color w:val="000000"/>
          <w:lang w:eastAsia="fr-FR"/>
        </w:rPr>
        <w:t xml:space="preserve"> site, serves as a typical example of a landfill receiving a high proportion of biodegradable waste under humid tropical conditions conducive to methanogenesis.</w:t>
      </w:r>
    </w:p>
    <w:p w14:paraId="3342FDA0" w14:textId="77777777" w:rsidR="00566FC3" w:rsidRPr="007A7695" w:rsidRDefault="00566FC3" w:rsidP="00566FC3">
      <w:pPr>
        <w:spacing w:after="160" w:line="259" w:lineRule="auto"/>
        <w:jc w:val="both"/>
        <w:rPr>
          <w:rFonts w:ascii="Arial" w:hAnsi="Arial" w:cs="Arial"/>
          <w:color w:val="000000"/>
          <w:lang w:eastAsia="fr-FR"/>
        </w:rPr>
      </w:pPr>
    </w:p>
    <w:p w14:paraId="2C08C3C9" w14:textId="77777777" w:rsidR="00566FC3" w:rsidRPr="007A7695" w:rsidRDefault="00566FC3" w:rsidP="00566FC3">
      <w:pPr>
        <w:spacing w:after="160" w:line="259" w:lineRule="auto"/>
        <w:jc w:val="both"/>
        <w:rPr>
          <w:rFonts w:ascii="Arial" w:hAnsi="Arial" w:cs="Arial"/>
          <w:color w:val="000000"/>
          <w:lang w:eastAsia="fr-FR"/>
        </w:rPr>
      </w:pPr>
      <w:r w:rsidRPr="007A7695">
        <w:rPr>
          <w:rFonts w:ascii="Arial" w:hAnsi="Arial" w:cs="Arial"/>
          <w:color w:val="000000"/>
          <w:lang w:eastAsia="fr-FR"/>
        </w:rPr>
        <w:t xml:space="preserve">This study aims to assess the energy potential of waste from the </w:t>
      </w:r>
      <w:proofErr w:type="spellStart"/>
      <w:r w:rsidRPr="007A7695">
        <w:rPr>
          <w:rFonts w:ascii="Arial" w:hAnsi="Arial" w:cs="Arial"/>
          <w:color w:val="000000"/>
          <w:lang w:eastAsia="fr-FR"/>
        </w:rPr>
        <w:t>Kossihouen</w:t>
      </w:r>
      <w:proofErr w:type="spellEnd"/>
      <w:r w:rsidRPr="007A7695">
        <w:rPr>
          <w:rFonts w:ascii="Arial" w:hAnsi="Arial" w:cs="Arial"/>
          <w:color w:val="000000"/>
          <w:lang w:eastAsia="fr-FR"/>
        </w:rPr>
        <w:t xml:space="preserve"> landfill using zero-order or simplified kinetic models of waste degradation. Specifically, the study seeks to:</w:t>
      </w:r>
    </w:p>
    <w:p w14:paraId="674BC405" w14:textId="77777777" w:rsidR="00566FC3" w:rsidRPr="007A7695" w:rsidRDefault="00566FC3" w:rsidP="00566FC3">
      <w:pPr>
        <w:spacing w:after="160" w:line="259" w:lineRule="auto"/>
        <w:jc w:val="both"/>
        <w:rPr>
          <w:rFonts w:ascii="Arial" w:hAnsi="Arial" w:cs="Arial"/>
          <w:color w:val="000000"/>
          <w:lang w:eastAsia="fr-FR"/>
        </w:rPr>
      </w:pPr>
      <w:r w:rsidRPr="007A7695">
        <w:rPr>
          <w:rFonts w:ascii="Arial" w:hAnsi="Arial" w:cs="Arial"/>
          <w:color w:val="000000"/>
          <w:lang w:eastAsia="fr-FR"/>
        </w:rPr>
        <w:t>(</w:t>
      </w:r>
      <w:proofErr w:type="spellStart"/>
      <w:r w:rsidRPr="007A7695">
        <w:rPr>
          <w:rFonts w:ascii="Arial" w:hAnsi="Arial" w:cs="Arial"/>
          <w:color w:val="000000"/>
          <w:lang w:eastAsia="fr-FR"/>
        </w:rPr>
        <w:t>i</w:t>
      </w:r>
      <w:proofErr w:type="spellEnd"/>
      <w:r w:rsidRPr="007A7695">
        <w:rPr>
          <w:rFonts w:ascii="Arial" w:hAnsi="Arial" w:cs="Arial"/>
          <w:color w:val="000000"/>
          <w:lang w:eastAsia="fr-FR"/>
        </w:rPr>
        <w:t>) estimate the annual volume generated from different models;</w:t>
      </w:r>
    </w:p>
    <w:p w14:paraId="60ABD107" w14:textId="77777777" w:rsidR="00566FC3" w:rsidRPr="007A7695" w:rsidRDefault="00566FC3" w:rsidP="00566FC3">
      <w:pPr>
        <w:spacing w:after="160" w:line="259" w:lineRule="auto"/>
        <w:jc w:val="both"/>
        <w:rPr>
          <w:rFonts w:ascii="Arial" w:hAnsi="Arial" w:cs="Arial"/>
          <w:color w:val="000000"/>
          <w:lang w:eastAsia="fr-FR"/>
        </w:rPr>
      </w:pPr>
      <w:r w:rsidRPr="007A7695">
        <w:rPr>
          <w:rFonts w:ascii="Arial" w:hAnsi="Arial" w:cs="Arial"/>
          <w:color w:val="000000"/>
          <w:lang w:eastAsia="fr-FR"/>
        </w:rPr>
        <w:t xml:space="preserve">(ii) estimate the energy potential of the </w:t>
      </w:r>
      <w:proofErr w:type="spellStart"/>
      <w:r w:rsidRPr="007A7695">
        <w:rPr>
          <w:rFonts w:ascii="Arial" w:hAnsi="Arial" w:cs="Arial"/>
          <w:color w:val="000000"/>
          <w:lang w:eastAsia="fr-FR"/>
        </w:rPr>
        <w:t>Kossihouen</w:t>
      </w:r>
      <w:proofErr w:type="spellEnd"/>
      <w:r w:rsidRPr="007A7695">
        <w:rPr>
          <w:rFonts w:ascii="Arial" w:hAnsi="Arial" w:cs="Arial"/>
          <w:color w:val="000000"/>
          <w:lang w:eastAsia="fr-FR"/>
        </w:rPr>
        <w:t xml:space="preserve"> landfill waste using empirical models;</w:t>
      </w:r>
    </w:p>
    <w:p w14:paraId="3A7ED1E2" w14:textId="77777777" w:rsidR="00566FC3" w:rsidRPr="007A7695" w:rsidRDefault="00566FC3" w:rsidP="00566FC3">
      <w:pPr>
        <w:spacing w:after="160" w:line="259" w:lineRule="auto"/>
        <w:jc w:val="both"/>
        <w:rPr>
          <w:rFonts w:ascii="Arial" w:hAnsi="Arial" w:cs="Arial"/>
          <w:color w:val="000000"/>
          <w:lang w:eastAsia="fr-FR"/>
        </w:rPr>
      </w:pPr>
      <w:r w:rsidRPr="007A7695">
        <w:rPr>
          <w:rFonts w:ascii="Arial" w:hAnsi="Arial" w:cs="Arial"/>
          <w:color w:val="000000"/>
          <w:lang w:eastAsia="fr-FR"/>
        </w:rPr>
        <w:t xml:space="preserve">(iii) evaluate the energy potential of the </w:t>
      </w:r>
      <w:proofErr w:type="spellStart"/>
      <w:r w:rsidRPr="007A7695">
        <w:rPr>
          <w:rFonts w:ascii="Arial" w:hAnsi="Arial" w:cs="Arial"/>
          <w:color w:val="000000"/>
          <w:lang w:eastAsia="fr-FR"/>
        </w:rPr>
        <w:t>Kossihouen</w:t>
      </w:r>
      <w:proofErr w:type="spellEnd"/>
      <w:r w:rsidRPr="007A7695">
        <w:rPr>
          <w:rFonts w:ascii="Arial" w:hAnsi="Arial" w:cs="Arial"/>
          <w:color w:val="000000"/>
          <w:lang w:eastAsia="fr-FR"/>
        </w:rPr>
        <w:t xml:space="preserve"> landfill waste using theoretical models.</w:t>
      </w:r>
    </w:p>
    <w:p w14:paraId="2E46AADC" w14:textId="77777777" w:rsidR="00566FC3" w:rsidRPr="007A7695" w:rsidRDefault="00566FC3" w:rsidP="00566FC3">
      <w:pPr>
        <w:spacing w:after="160" w:line="259" w:lineRule="auto"/>
        <w:jc w:val="both"/>
        <w:rPr>
          <w:rFonts w:ascii="Arial" w:hAnsi="Arial" w:cs="Arial"/>
          <w:color w:val="000000"/>
          <w:lang w:eastAsia="fr-FR"/>
        </w:rPr>
      </w:pPr>
    </w:p>
    <w:p w14:paraId="68159901" w14:textId="77777777" w:rsidR="00566FC3" w:rsidRPr="007A7695" w:rsidRDefault="00566FC3" w:rsidP="00566FC3">
      <w:pPr>
        <w:spacing w:after="160" w:line="259" w:lineRule="auto"/>
        <w:jc w:val="both"/>
        <w:rPr>
          <w:rFonts w:ascii="Arial" w:hAnsi="Arial" w:cs="Arial"/>
          <w:color w:val="000000"/>
          <w:lang w:eastAsia="fr-FR"/>
        </w:rPr>
      </w:pPr>
      <w:r w:rsidRPr="007A7695">
        <w:rPr>
          <w:rFonts w:ascii="Arial" w:hAnsi="Arial" w:cs="Arial"/>
          <w:color w:val="000000"/>
          <w:lang w:eastAsia="fr-FR"/>
        </w:rPr>
        <w:t>This work is distinguished by its application of a simple kinetic framework to a real and understudied African urban system, utilizing local data and focusing on operational indicators relevant to environmental management. The anticipated results should provide municipal stakeholders, environmental engineers, and energy planners with accessible tools to support decision-making in biogas evaluation and sustainable waste valorization. Furthermore, this research could provide valuable insights for other African cities facing similar challenges.</w:t>
      </w:r>
    </w:p>
    <w:p w14:paraId="1D8E85C9" w14:textId="77777777" w:rsidR="00790ADA" w:rsidRPr="007A7695" w:rsidRDefault="00790ADA" w:rsidP="00441B6F">
      <w:pPr>
        <w:pStyle w:val="Body"/>
        <w:spacing w:after="0"/>
        <w:rPr>
          <w:rFonts w:ascii="Arial" w:hAnsi="Arial" w:cs="Arial"/>
        </w:rPr>
      </w:pPr>
    </w:p>
    <w:p w14:paraId="267103F2" w14:textId="77777777" w:rsidR="00566FC3" w:rsidRPr="007A7695" w:rsidRDefault="00902823" w:rsidP="00566FC3">
      <w:pPr>
        <w:pStyle w:val="AbstHead"/>
        <w:jc w:val="both"/>
        <w:rPr>
          <w:rFonts w:ascii="Arial" w:hAnsi="Arial" w:cs="Arial"/>
        </w:rPr>
      </w:pPr>
      <w:r w:rsidRPr="007A7695">
        <w:rPr>
          <w:rFonts w:ascii="Arial" w:hAnsi="Arial" w:cs="Arial"/>
        </w:rPr>
        <w:t xml:space="preserve">2. </w:t>
      </w:r>
      <w:r w:rsidR="00566FC3" w:rsidRPr="007A7695">
        <w:rPr>
          <w:rFonts w:ascii="Arial" w:hAnsi="Arial" w:cs="Arial"/>
          <w:bCs/>
        </w:rPr>
        <w:t>2. METHODOLOGY</w:t>
      </w:r>
    </w:p>
    <w:p w14:paraId="6905C569" w14:textId="240F0703" w:rsidR="00AA74E0" w:rsidRPr="007A7695" w:rsidRDefault="00AA74E0" w:rsidP="00441B6F">
      <w:pPr>
        <w:pStyle w:val="Body"/>
        <w:spacing w:after="0"/>
        <w:rPr>
          <w:rFonts w:ascii="Arial" w:hAnsi="Arial" w:cs="Arial"/>
        </w:rPr>
      </w:pPr>
      <w:r w:rsidRPr="007A7695">
        <w:rPr>
          <w:rFonts w:ascii="Arial" w:hAnsi="Arial" w:cs="Arial"/>
          <w:b/>
          <w:caps/>
          <w:sz w:val="22"/>
        </w:rPr>
        <w:t xml:space="preserve">2.1 </w:t>
      </w:r>
      <w:r w:rsidR="00566FC3" w:rsidRPr="007A7695">
        <w:rPr>
          <w:rFonts w:ascii="Arial" w:eastAsia="Calibri" w:hAnsi="Arial" w:cs="Arial"/>
          <w:b/>
          <w:bCs/>
          <w:sz w:val="22"/>
          <w:szCs w:val="22"/>
        </w:rPr>
        <w:t>Overview of the Abidjan District</w:t>
      </w:r>
    </w:p>
    <w:p w14:paraId="059D3BD9" w14:textId="77777777" w:rsidR="00566FC3" w:rsidRPr="007A7695" w:rsidRDefault="00566FC3" w:rsidP="00566FC3">
      <w:pPr>
        <w:spacing w:before="100" w:beforeAutospacing="1" w:after="100" w:afterAutospacing="1"/>
        <w:jc w:val="both"/>
        <w:rPr>
          <w:rFonts w:ascii="Arial" w:hAnsi="Arial" w:cs="Arial"/>
          <w:lang w:eastAsia="fr-FR"/>
        </w:rPr>
      </w:pPr>
      <w:r w:rsidRPr="007A7695">
        <w:rPr>
          <w:rFonts w:ascii="Arial" w:hAnsi="Arial" w:cs="Arial"/>
          <w:lang w:eastAsia="fr-FR"/>
        </w:rPr>
        <w:t>The Abidjan district, the economic capital of Côte d'Ivoire, is located in the southeastern part of the country along the coastline. This district, which accounts for 21.5% of the total population of Côte d'Ivoire, stands out from other regions due to its significant demographic weight. Each of the other regions represents less than 5% of the country’s total population (</w:t>
      </w:r>
      <w:r w:rsidRPr="007A7695">
        <w:rPr>
          <w:rFonts w:ascii="Arial" w:hAnsi="Arial" w:cs="Arial"/>
          <w:b/>
          <w:bCs/>
          <w:lang w:eastAsia="fr-FR"/>
        </w:rPr>
        <w:t>INS, 2021</w:t>
      </w:r>
      <w:r w:rsidRPr="007A7695">
        <w:rPr>
          <w:rFonts w:ascii="Arial" w:hAnsi="Arial" w:cs="Arial"/>
          <w:lang w:eastAsia="fr-FR"/>
        </w:rPr>
        <w:t>).</w:t>
      </w:r>
    </w:p>
    <w:p w14:paraId="7C0DAF06" w14:textId="12824201" w:rsidR="00566FC3" w:rsidRPr="007A7695" w:rsidRDefault="00566FC3" w:rsidP="00566FC3">
      <w:pPr>
        <w:spacing w:before="100" w:beforeAutospacing="1" w:after="100" w:afterAutospacing="1"/>
        <w:jc w:val="both"/>
        <w:rPr>
          <w:rFonts w:ascii="Arial" w:hAnsi="Arial" w:cs="Arial"/>
          <w:sz w:val="24"/>
          <w:szCs w:val="24"/>
          <w:lang w:eastAsia="fr-FR"/>
        </w:rPr>
      </w:pPr>
      <w:r w:rsidRPr="007A7695">
        <w:rPr>
          <w:rFonts w:ascii="Arial" w:hAnsi="Arial" w:cs="Arial"/>
          <w:lang w:eastAsia="fr-FR"/>
        </w:rPr>
        <w:lastRenderedPageBreak/>
        <w:t xml:space="preserve">The district’s current landfill, the </w:t>
      </w:r>
      <w:proofErr w:type="spellStart"/>
      <w:r w:rsidRPr="007A7695">
        <w:rPr>
          <w:rFonts w:ascii="Arial" w:hAnsi="Arial" w:cs="Arial"/>
          <w:lang w:eastAsia="fr-FR"/>
        </w:rPr>
        <w:t>Kossihouen</w:t>
      </w:r>
      <w:proofErr w:type="spellEnd"/>
      <w:r w:rsidRPr="007A7695">
        <w:rPr>
          <w:rFonts w:ascii="Arial" w:hAnsi="Arial" w:cs="Arial"/>
          <w:lang w:eastAsia="fr-FR"/>
        </w:rPr>
        <w:t xml:space="preserve"> Technical Waste Recovery and Landfilling Center, covers an area of 100 hectares and has a capacity to handle 4 million tons of household waste per year. This landfill was commissioned following the closure of the </w:t>
      </w:r>
      <w:proofErr w:type="spellStart"/>
      <w:r w:rsidRPr="007A7695">
        <w:rPr>
          <w:rFonts w:ascii="Arial" w:hAnsi="Arial" w:cs="Arial"/>
          <w:lang w:eastAsia="fr-FR"/>
        </w:rPr>
        <w:t>Akouédo</w:t>
      </w:r>
      <w:proofErr w:type="spellEnd"/>
      <w:r w:rsidRPr="007A7695">
        <w:rPr>
          <w:rFonts w:ascii="Arial" w:hAnsi="Arial" w:cs="Arial"/>
          <w:sz w:val="24"/>
          <w:szCs w:val="24"/>
          <w:lang w:eastAsia="fr-FR"/>
        </w:rPr>
        <w:t xml:space="preserve"> landfill.</w:t>
      </w:r>
    </w:p>
    <w:p w14:paraId="791A5B65" w14:textId="77777777" w:rsidR="00566FC3" w:rsidRPr="007A7695" w:rsidRDefault="00566FC3" w:rsidP="00566FC3">
      <w:pPr>
        <w:spacing w:before="100" w:beforeAutospacing="1" w:after="100" w:afterAutospacing="1"/>
        <w:rPr>
          <w:rFonts w:ascii="Arial" w:hAnsi="Arial" w:cs="Arial"/>
          <w:sz w:val="22"/>
          <w:szCs w:val="22"/>
          <w:lang w:eastAsia="fr-FR"/>
        </w:rPr>
      </w:pPr>
      <w:r w:rsidRPr="007A7695">
        <w:rPr>
          <w:rFonts w:ascii="Arial" w:hAnsi="Arial" w:cs="Arial"/>
          <w:b/>
          <w:bCs/>
          <w:sz w:val="22"/>
          <w:szCs w:val="22"/>
          <w:lang w:eastAsia="fr-FR"/>
        </w:rPr>
        <w:t>2.2. Zero-Order Models or Simplified Kinetic Models</w:t>
      </w:r>
    </w:p>
    <w:p w14:paraId="5072B71A" w14:textId="77777777" w:rsidR="00566FC3" w:rsidRPr="007A7695" w:rsidRDefault="00566FC3" w:rsidP="00566FC3">
      <w:pPr>
        <w:spacing w:before="100" w:beforeAutospacing="1" w:after="100" w:afterAutospacing="1"/>
        <w:rPr>
          <w:rFonts w:ascii="Arial" w:hAnsi="Arial" w:cs="Arial"/>
          <w:lang w:eastAsia="fr-FR"/>
        </w:rPr>
      </w:pPr>
      <w:r w:rsidRPr="007A7695">
        <w:rPr>
          <w:rFonts w:ascii="Arial" w:hAnsi="Arial" w:cs="Arial"/>
          <w:lang w:eastAsia="fr-FR"/>
        </w:rPr>
        <w:t xml:space="preserve">The population of the Abidjan district, which totaled 6.3 million inhabitants in 2021 </w:t>
      </w:r>
      <w:r w:rsidRPr="007A7695">
        <w:rPr>
          <w:rFonts w:ascii="Arial" w:hAnsi="Arial" w:cs="Arial"/>
          <w:b/>
          <w:bCs/>
          <w:lang w:eastAsia="fr-FR"/>
        </w:rPr>
        <w:t>(INS, 2021)</w:t>
      </w:r>
      <w:r w:rsidRPr="007A7695">
        <w:rPr>
          <w:rFonts w:ascii="Arial" w:hAnsi="Arial" w:cs="Arial"/>
          <w:lang w:eastAsia="fr-FR"/>
        </w:rPr>
        <w:t xml:space="preserve">, was considered for the estimation of energy potential, with a landfill waste disposal rate of 70%. In Abidjan, each inhabitant generates 0.64 kg of waste per day, the characteristics of which are presented in the following Figure 2 </w:t>
      </w:r>
      <w:r w:rsidRPr="007A7695">
        <w:rPr>
          <w:rFonts w:ascii="Arial" w:hAnsi="Arial" w:cs="Arial"/>
          <w:b/>
          <w:bCs/>
          <w:lang w:eastAsia="fr-FR"/>
        </w:rPr>
        <w:t>(GBN, 2020)</w:t>
      </w:r>
      <w:r w:rsidRPr="007A7695">
        <w:rPr>
          <w:rFonts w:ascii="Arial" w:hAnsi="Arial" w:cs="Arial"/>
          <w:lang w:eastAsia="fr-FR"/>
        </w:rPr>
        <w:t>.</w:t>
      </w:r>
    </w:p>
    <w:p w14:paraId="5BE736B0" w14:textId="77777777" w:rsidR="00566FC3" w:rsidRPr="007A7695" w:rsidRDefault="00566FC3" w:rsidP="00566FC3">
      <w:pPr>
        <w:spacing w:after="200" w:line="360" w:lineRule="auto"/>
        <w:jc w:val="both"/>
        <w:rPr>
          <w:rFonts w:ascii="Arial" w:hAnsi="Arial" w:cs="Arial"/>
          <w:bCs/>
          <w:color w:val="000000"/>
          <w:lang w:eastAsia="fr-FR"/>
        </w:rPr>
      </w:pPr>
      <w:r w:rsidRPr="007A7695">
        <w:rPr>
          <w:rFonts w:ascii="Arial" w:eastAsia="Calibri" w:hAnsi="Arial" w:cs="Arial"/>
          <w:b/>
          <w:bCs/>
        </w:rPr>
        <w:t>Table 1</w:t>
      </w:r>
      <w:r w:rsidRPr="007A7695">
        <w:rPr>
          <w:rFonts w:ascii="Arial" w:eastAsia="Calibri" w:hAnsi="Arial" w:cs="Arial"/>
        </w:rPr>
        <w:t>: Typology of Solid Waste in Abidjan</w:t>
      </w:r>
    </w:p>
    <w:tbl>
      <w:tblPr>
        <w:tblStyle w:val="Grilledutableau1"/>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66FC3" w:rsidRPr="007A7695" w14:paraId="1F165D4C" w14:textId="77777777" w:rsidTr="007F7DCF">
        <w:tc>
          <w:tcPr>
            <w:tcW w:w="4531" w:type="dxa"/>
            <w:tcBorders>
              <w:top w:val="single" w:sz="4" w:space="0" w:color="auto"/>
              <w:bottom w:val="single" w:sz="4" w:space="0" w:color="auto"/>
            </w:tcBorders>
          </w:tcPr>
          <w:p w14:paraId="5029DA66" w14:textId="77777777" w:rsidR="00566FC3" w:rsidRPr="007A7695" w:rsidRDefault="00566FC3" w:rsidP="00566FC3">
            <w:pPr>
              <w:spacing w:after="200" w:line="360" w:lineRule="auto"/>
              <w:jc w:val="both"/>
              <w:rPr>
                <w:rFonts w:ascii="Arial" w:hAnsi="Arial" w:cs="Arial"/>
                <w:color w:val="000000"/>
                <w:sz w:val="20"/>
                <w:szCs w:val="20"/>
                <w:lang w:eastAsia="fr-FR"/>
              </w:rPr>
            </w:pPr>
            <w:proofErr w:type="spellStart"/>
            <w:r w:rsidRPr="007A7695">
              <w:rPr>
                <w:rFonts w:ascii="Arial" w:hAnsi="Arial" w:cs="Arial"/>
                <w:color w:val="000000"/>
                <w:sz w:val="20"/>
                <w:szCs w:val="20"/>
                <w:lang w:eastAsia="fr-FR"/>
              </w:rPr>
              <w:t>Characteristics</w:t>
            </w:r>
            <w:proofErr w:type="spellEnd"/>
            <w:r w:rsidRPr="007A7695">
              <w:rPr>
                <w:rFonts w:ascii="Arial" w:hAnsi="Arial" w:cs="Arial"/>
                <w:color w:val="000000"/>
                <w:sz w:val="20"/>
                <w:szCs w:val="20"/>
                <w:lang w:eastAsia="fr-FR"/>
              </w:rPr>
              <w:t xml:space="preserve"> of the </w:t>
            </w:r>
            <w:proofErr w:type="spellStart"/>
            <w:r w:rsidRPr="007A7695">
              <w:rPr>
                <w:rFonts w:ascii="Arial" w:hAnsi="Arial" w:cs="Arial"/>
                <w:color w:val="000000"/>
                <w:sz w:val="20"/>
                <w:szCs w:val="20"/>
                <w:lang w:eastAsia="fr-FR"/>
              </w:rPr>
              <w:t>waste</w:t>
            </w:r>
            <w:proofErr w:type="spellEnd"/>
          </w:p>
        </w:tc>
        <w:tc>
          <w:tcPr>
            <w:tcW w:w="4531" w:type="dxa"/>
            <w:tcBorders>
              <w:top w:val="single" w:sz="4" w:space="0" w:color="auto"/>
              <w:bottom w:val="single" w:sz="4" w:space="0" w:color="auto"/>
            </w:tcBorders>
          </w:tcPr>
          <w:p w14:paraId="70AC5A70" w14:textId="77777777" w:rsidR="00566FC3" w:rsidRPr="007A7695" w:rsidRDefault="00566FC3" w:rsidP="00566FC3">
            <w:pPr>
              <w:spacing w:after="200" w:line="360" w:lineRule="auto"/>
              <w:jc w:val="both"/>
              <w:rPr>
                <w:rFonts w:ascii="Arial" w:hAnsi="Arial" w:cs="Arial"/>
                <w:color w:val="000000"/>
                <w:sz w:val="20"/>
                <w:szCs w:val="20"/>
                <w:lang w:eastAsia="fr-FR"/>
              </w:rPr>
            </w:pPr>
            <w:r w:rsidRPr="007A7695">
              <w:rPr>
                <w:rFonts w:ascii="Arial" w:hAnsi="Arial" w:cs="Arial"/>
                <w:color w:val="000000"/>
                <w:sz w:val="20"/>
                <w:szCs w:val="20"/>
                <w:lang w:eastAsia="fr-FR"/>
              </w:rPr>
              <w:t>Percentages</w:t>
            </w:r>
          </w:p>
        </w:tc>
      </w:tr>
      <w:tr w:rsidR="00566FC3" w:rsidRPr="007A7695" w14:paraId="64CC01F5" w14:textId="77777777" w:rsidTr="007F7DCF">
        <w:tc>
          <w:tcPr>
            <w:tcW w:w="4531" w:type="dxa"/>
            <w:tcBorders>
              <w:top w:val="single" w:sz="4" w:space="0" w:color="auto"/>
            </w:tcBorders>
          </w:tcPr>
          <w:p w14:paraId="3805E196" w14:textId="77777777" w:rsidR="00566FC3" w:rsidRPr="007A7695" w:rsidRDefault="00566FC3" w:rsidP="00566FC3">
            <w:pPr>
              <w:spacing w:after="200" w:line="360" w:lineRule="auto"/>
              <w:jc w:val="both"/>
              <w:rPr>
                <w:rFonts w:ascii="Arial" w:hAnsi="Arial" w:cs="Arial"/>
                <w:bCs/>
                <w:color w:val="000000"/>
                <w:sz w:val="20"/>
                <w:szCs w:val="20"/>
                <w:lang w:eastAsia="fr-FR"/>
              </w:rPr>
            </w:pPr>
            <w:r w:rsidRPr="007A7695">
              <w:rPr>
                <w:rFonts w:ascii="Arial" w:hAnsi="Arial" w:cs="Arial"/>
                <w:bCs/>
                <w:color w:val="000000"/>
                <w:sz w:val="20"/>
                <w:szCs w:val="20"/>
                <w:lang w:eastAsia="fr-FR"/>
              </w:rPr>
              <w:t>Fermentable</w:t>
            </w:r>
          </w:p>
        </w:tc>
        <w:tc>
          <w:tcPr>
            <w:tcW w:w="4531" w:type="dxa"/>
            <w:tcBorders>
              <w:top w:val="single" w:sz="4" w:space="0" w:color="auto"/>
            </w:tcBorders>
          </w:tcPr>
          <w:p w14:paraId="54ABFB14" w14:textId="77777777" w:rsidR="00566FC3" w:rsidRPr="007A7695" w:rsidRDefault="00566FC3" w:rsidP="00566FC3">
            <w:pPr>
              <w:spacing w:after="200" w:line="360" w:lineRule="auto"/>
              <w:jc w:val="both"/>
              <w:rPr>
                <w:rFonts w:ascii="Arial" w:hAnsi="Arial" w:cs="Arial"/>
                <w:bCs/>
                <w:color w:val="000000"/>
                <w:sz w:val="20"/>
                <w:szCs w:val="20"/>
                <w:lang w:eastAsia="fr-FR"/>
              </w:rPr>
            </w:pPr>
            <w:r w:rsidRPr="007A7695">
              <w:rPr>
                <w:rFonts w:ascii="Arial" w:hAnsi="Arial" w:cs="Arial"/>
                <w:bCs/>
                <w:color w:val="000000"/>
                <w:sz w:val="20"/>
                <w:szCs w:val="20"/>
                <w:lang w:eastAsia="fr-FR"/>
              </w:rPr>
              <w:t>45</w:t>
            </w:r>
          </w:p>
        </w:tc>
      </w:tr>
      <w:tr w:rsidR="00566FC3" w:rsidRPr="007A7695" w14:paraId="184DCB81" w14:textId="77777777" w:rsidTr="007F7DCF">
        <w:tc>
          <w:tcPr>
            <w:tcW w:w="4531" w:type="dxa"/>
          </w:tcPr>
          <w:p w14:paraId="01741017" w14:textId="77777777" w:rsidR="00566FC3" w:rsidRPr="007A7695" w:rsidRDefault="00566FC3" w:rsidP="00566FC3">
            <w:pPr>
              <w:spacing w:after="200" w:line="360" w:lineRule="auto"/>
              <w:jc w:val="both"/>
              <w:rPr>
                <w:rFonts w:ascii="Arial" w:hAnsi="Arial" w:cs="Arial"/>
                <w:bCs/>
                <w:color w:val="000000"/>
                <w:sz w:val="20"/>
                <w:szCs w:val="20"/>
                <w:lang w:eastAsia="fr-FR"/>
              </w:rPr>
            </w:pPr>
            <w:proofErr w:type="spellStart"/>
            <w:r w:rsidRPr="007A7695">
              <w:rPr>
                <w:rFonts w:ascii="Arial" w:hAnsi="Arial" w:cs="Arial"/>
                <w:bCs/>
                <w:color w:val="000000"/>
                <w:sz w:val="20"/>
                <w:szCs w:val="20"/>
                <w:lang w:eastAsia="fr-FR"/>
              </w:rPr>
              <w:t>Vegetal</w:t>
            </w:r>
            <w:proofErr w:type="spellEnd"/>
          </w:p>
        </w:tc>
        <w:tc>
          <w:tcPr>
            <w:tcW w:w="4531" w:type="dxa"/>
          </w:tcPr>
          <w:p w14:paraId="5C99EE0A" w14:textId="77777777" w:rsidR="00566FC3" w:rsidRPr="007A7695" w:rsidRDefault="00566FC3" w:rsidP="00566FC3">
            <w:pPr>
              <w:spacing w:after="200" w:line="360" w:lineRule="auto"/>
              <w:jc w:val="both"/>
              <w:rPr>
                <w:rFonts w:ascii="Arial" w:hAnsi="Arial" w:cs="Arial"/>
                <w:bCs/>
                <w:color w:val="000000"/>
                <w:sz w:val="20"/>
                <w:szCs w:val="20"/>
                <w:lang w:eastAsia="fr-FR"/>
              </w:rPr>
            </w:pPr>
            <w:r w:rsidRPr="007A7695">
              <w:rPr>
                <w:rFonts w:ascii="Arial" w:hAnsi="Arial" w:cs="Arial"/>
                <w:bCs/>
                <w:color w:val="000000"/>
                <w:sz w:val="20"/>
                <w:szCs w:val="20"/>
                <w:lang w:eastAsia="fr-FR"/>
              </w:rPr>
              <w:t>13</w:t>
            </w:r>
          </w:p>
        </w:tc>
      </w:tr>
      <w:tr w:rsidR="00566FC3" w:rsidRPr="007A7695" w14:paraId="7FCC7F8F" w14:textId="77777777" w:rsidTr="007F7DCF">
        <w:tc>
          <w:tcPr>
            <w:tcW w:w="4531" w:type="dxa"/>
          </w:tcPr>
          <w:p w14:paraId="7B84D8F2" w14:textId="77777777" w:rsidR="00566FC3" w:rsidRPr="007A7695" w:rsidRDefault="00566FC3" w:rsidP="00566FC3">
            <w:pPr>
              <w:spacing w:after="200" w:line="360" w:lineRule="auto"/>
              <w:jc w:val="both"/>
              <w:rPr>
                <w:rFonts w:ascii="Arial" w:hAnsi="Arial" w:cs="Arial"/>
                <w:bCs/>
                <w:color w:val="000000"/>
                <w:sz w:val="20"/>
                <w:szCs w:val="20"/>
                <w:lang w:eastAsia="fr-FR"/>
              </w:rPr>
            </w:pPr>
            <w:r w:rsidRPr="007A7695">
              <w:rPr>
                <w:rFonts w:ascii="Arial" w:hAnsi="Arial" w:cs="Arial"/>
                <w:bCs/>
                <w:color w:val="000000"/>
                <w:sz w:val="20"/>
                <w:szCs w:val="20"/>
                <w:lang w:eastAsia="fr-FR"/>
              </w:rPr>
              <w:t xml:space="preserve">Paper and </w:t>
            </w:r>
            <w:proofErr w:type="spellStart"/>
            <w:r w:rsidRPr="007A7695">
              <w:rPr>
                <w:rFonts w:ascii="Arial" w:hAnsi="Arial" w:cs="Arial"/>
                <w:bCs/>
                <w:color w:val="000000"/>
                <w:sz w:val="20"/>
                <w:szCs w:val="20"/>
                <w:lang w:eastAsia="fr-FR"/>
              </w:rPr>
              <w:t>Cardboard</w:t>
            </w:r>
            <w:proofErr w:type="spellEnd"/>
          </w:p>
        </w:tc>
        <w:tc>
          <w:tcPr>
            <w:tcW w:w="4531" w:type="dxa"/>
          </w:tcPr>
          <w:p w14:paraId="3283A7E3" w14:textId="77777777" w:rsidR="00566FC3" w:rsidRPr="007A7695" w:rsidRDefault="00566FC3" w:rsidP="00566FC3">
            <w:pPr>
              <w:spacing w:after="200" w:line="360" w:lineRule="auto"/>
              <w:jc w:val="both"/>
              <w:rPr>
                <w:rFonts w:ascii="Arial" w:hAnsi="Arial" w:cs="Arial"/>
                <w:bCs/>
                <w:color w:val="000000"/>
                <w:sz w:val="20"/>
                <w:szCs w:val="20"/>
                <w:lang w:eastAsia="fr-FR"/>
              </w:rPr>
            </w:pPr>
            <w:r w:rsidRPr="007A7695">
              <w:rPr>
                <w:rFonts w:ascii="Arial" w:hAnsi="Arial" w:cs="Arial"/>
                <w:bCs/>
                <w:color w:val="000000"/>
                <w:sz w:val="20"/>
                <w:szCs w:val="20"/>
                <w:lang w:eastAsia="fr-FR"/>
              </w:rPr>
              <w:t>6</w:t>
            </w:r>
          </w:p>
        </w:tc>
      </w:tr>
      <w:tr w:rsidR="00566FC3" w:rsidRPr="007A7695" w14:paraId="46FA1FC4" w14:textId="77777777" w:rsidTr="007F7DCF">
        <w:tc>
          <w:tcPr>
            <w:tcW w:w="4531" w:type="dxa"/>
          </w:tcPr>
          <w:p w14:paraId="634697D1" w14:textId="77777777" w:rsidR="00566FC3" w:rsidRPr="007A7695" w:rsidRDefault="00566FC3" w:rsidP="00566FC3">
            <w:pPr>
              <w:spacing w:after="200" w:line="360" w:lineRule="auto"/>
              <w:jc w:val="both"/>
              <w:rPr>
                <w:rFonts w:ascii="Arial" w:hAnsi="Arial" w:cs="Arial"/>
                <w:bCs/>
                <w:color w:val="000000"/>
                <w:sz w:val="20"/>
                <w:szCs w:val="20"/>
                <w:lang w:eastAsia="fr-FR"/>
              </w:rPr>
            </w:pPr>
            <w:r w:rsidRPr="007A7695">
              <w:rPr>
                <w:rFonts w:ascii="Arial" w:hAnsi="Arial" w:cs="Arial"/>
                <w:bCs/>
                <w:color w:val="000000"/>
                <w:sz w:val="20"/>
                <w:szCs w:val="20"/>
                <w:lang w:eastAsia="fr-FR"/>
              </w:rPr>
              <w:t>Plastics</w:t>
            </w:r>
          </w:p>
        </w:tc>
        <w:tc>
          <w:tcPr>
            <w:tcW w:w="4531" w:type="dxa"/>
          </w:tcPr>
          <w:p w14:paraId="263B2B55" w14:textId="77777777" w:rsidR="00566FC3" w:rsidRPr="007A7695" w:rsidRDefault="00566FC3" w:rsidP="00566FC3">
            <w:pPr>
              <w:spacing w:after="200" w:line="360" w:lineRule="auto"/>
              <w:jc w:val="both"/>
              <w:rPr>
                <w:rFonts w:ascii="Arial" w:hAnsi="Arial" w:cs="Arial"/>
                <w:bCs/>
                <w:color w:val="000000"/>
                <w:sz w:val="20"/>
                <w:szCs w:val="20"/>
                <w:lang w:eastAsia="fr-FR"/>
              </w:rPr>
            </w:pPr>
            <w:r w:rsidRPr="007A7695">
              <w:rPr>
                <w:rFonts w:ascii="Arial" w:hAnsi="Arial" w:cs="Arial"/>
                <w:bCs/>
                <w:color w:val="000000"/>
                <w:sz w:val="20"/>
                <w:szCs w:val="20"/>
                <w:lang w:eastAsia="fr-FR"/>
              </w:rPr>
              <w:t>9</w:t>
            </w:r>
          </w:p>
        </w:tc>
      </w:tr>
      <w:tr w:rsidR="00566FC3" w:rsidRPr="007A7695" w14:paraId="53583CC8" w14:textId="77777777" w:rsidTr="007F7DCF">
        <w:tc>
          <w:tcPr>
            <w:tcW w:w="4531" w:type="dxa"/>
          </w:tcPr>
          <w:p w14:paraId="04A16B69" w14:textId="77777777" w:rsidR="00566FC3" w:rsidRPr="007A7695" w:rsidRDefault="00566FC3" w:rsidP="00566FC3">
            <w:pPr>
              <w:spacing w:after="200" w:line="360" w:lineRule="auto"/>
              <w:jc w:val="both"/>
              <w:rPr>
                <w:rFonts w:ascii="Arial" w:hAnsi="Arial" w:cs="Arial"/>
                <w:bCs/>
                <w:color w:val="000000"/>
                <w:sz w:val="20"/>
                <w:szCs w:val="20"/>
                <w:lang w:eastAsia="fr-FR"/>
              </w:rPr>
            </w:pPr>
            <w:r w:rsidRPr="007A7695">
              <w:rPr>
                <w:rFonts w:ascii="Arial" w:hAnsi="Arial" w:cs="Arial"/>
                <w:bCs/>
                <w:color w:val="000000"/>
                <w:sz w:val="20"/>
                <w:szCs w:val="20"/>
                <w:lang w:eastAsia="fr-FR"/>
              </w:rPr>
              <w:t>Textiles</w:t>
            </w:r>
          </w:p>
        </w:tc>
        <w:tc>
          <w:tcPr>
            <w:tcW w:w="4531" w:type="dxa"/>
          </w:tcPr>
          <w:p w14:paraId="3FA26061" w14:textId="77777777" w:rsidR="00566FC3" w:rsidRPr="007A7695" w:rsidRDefault="00566FC3" w:rsidP="00566FC3">
            <w:pPr>
              <w:spacing w:after="200" w:line="360" w:lineRule="auto"/>
              <w:jc w:val="both"/>
              <w:rPr>
                <w:rFonts w:ascii="Arial" w:hAnsi="Arial" w:cs="Arial"/>
                <w:bCs/>
                <w:color w:val="000000"/>
                <w:sz w:val="20"/>
                <w:szCs w:val="20"/>
                <w:lang w:eastAsia="fr-FR"/>
              </w:rPr>
            </w:pPr>
            <w:r w:rsidRPr="007A7695">
              <w:rPr>
                <w:rFonts w:ascii="Arial" w:hAnsi="Arial" w:cs="Arial"/>
                <w:bCs/>
                <w:color w:val="000000"/>
                <w:sz w:val="20"/>
                <w:szCs w:val="20"/>
                <w:lang w:eastAsia="fr-FR"/>
              </w:rPr>
              <w:t>3</w:t>
            </w:r>
          </w:p>
        </w:tc>
      </w:tr>
      <w:tr w:rsidR="00566FC3" w:rsidRPr="007A7695" w14:paraId="0FBFDA09" w14:textId="77777777" w:rsidTr="007F7DCF">
        <w:tc>
          <w:tcPr>
            <w:tcW w:w="4531" w:type="dxa"/>
          </w:tcPr>
          <w:p w14:paraId="7B20B2CC" w14:textId="77777777" w:rsidR="00566FC3" w:rsidRPr="007A7695" w:rsidRDefault="00566FC3" w:rsidP="00566FC3">
            <w:pPr>
              <w:spacing w:after="200" w:line="360" w:lineRule="auto"/>
              <w:jc w:val="both"/>
              <w:rPr>
                <w:rFonts w:ascii="Arial" w:hAnsi="Arial" w:cs="Arial"/>
                <w:bCs/>
                <w:color w:val="000000"/>
                <w:sz w:val="20"/>
                <w:szCs w:val="20"/>
                <w:lang w:eastAsia="fr-FR"/>
              </w:rPr>
            </w:pPr>
            <w:r w:rsidRPr="007A7695">
              <w:rPr>
                <w:rFonts w:ascii="Arial" w:hAnsi="Arial" w:cs="Arial"/>
                <w:bCs/>
                <w:color w:val="000000"/>
                <w:sz w:val="20"/>
                <w:szCs w:val="20"/>
                <w:lang w:eastAsia="fr-FR"/>
              </w:rPr>
              <w:t>Metals</w:t>
            </w:r>
          </w:p>
        </w:tc>
        <w:tc>
          <w:tcPr>
            <w:tcW w:w="4531" w:type="dxa"/>
          </w:tcPr>
          <w:p w14:paraId="30783CC3" w14:textId="77777777" w:rsidR="00566FC3" w:rsidRPr="007A7695" w:rsidRDefault="00566FC3" w:rsidP="00566FC3">
            <w:pPr>
              <w:spacing w:after="200" w:line="360" w:lineRule="auto"/>
              <w:jc w:val="both"/>
              <w:rPr>
                <w:rFonts w:ascii="Arial" w:hAnsi="Arial" w:cs="Arial"/>
                <w:bCs/>
                <w:color w:val="000000"/>
                <w:sz w:val="20"/>
                <w:szCs w:val="20"/>
                <w:lang w:eastAsia="fr-FR"/>
              </w:rPr>
            </w:pPr>
            <w:r w:rsidRPr="007A7695">
              <w:rPr>
                <w:rFonts w:ascii="Arial" w:hAnsi="Arial" w:cs="Arial"/>
                <w:bCs/>
                <w:color w:val="000000"/>
                <w:sz w:val="20"/>
                <w:szCs w:val="20"/>
                <w:lang w:eastAsia="fr-FR"/>
              </w:rPr>
              <w:t>2</w:t>
            </w:r>
          </w:p>
        </w:tc>
      </w:tr>
      <w:tr w:rsidR="00566FC3" w:rsidRPr="007A7695" w14:paraId="6FD3186D" w14:textId="77777777" w:rsidTr="00A216E6">
        <w:tc>
          <w:tcPr>
            <w:tcW w:w="4531" w:type="dxa"/>
            <w:tcBorders>
              <w:bottom w:val="nil"/>
            </w:tcBorders>
          </w:tcPr>
          <w:p w14:paraId="4E1C52E7" w14:textId="77777777" w:rsidR="00566FC3" w:rsidRPr="007A7695" w:rsidRDefault="00566FC3" w:rsidP="00566FC3">
            <w:pPr>
              <w:spacing w:after="200" w:line="360" w:lineRule="auto"/>
              <w:jc w:val="both"/>
              <w:rPr>
                <w:rFonts w:ascii="Arial" w:hAnsi="Arial" w:cs="Arial"/>
                <w:bCs/>
                <w:color w:val="000000"/>
                <w:sz w:val="20"/>
                <w:szCs w:val="20"/>
                <w:lang w:eastAsia="fr-FR"/>
              </w:rPr>
            </w:pPr>
            <w:proofErr w:type="spellStart"/>
            <w:r w:rsidRPr="007A7695">
              <w:rPr>
                <w:rFonts w:ascii="Arial" w:hAnsi="Arial" w:cs="Arial"/>
                <w:bCs/>
                <w:color w:val="000000"/>
                <w:sz w:val="20"/>
                <w:szCs w:val="20"/>
                <w:lang w:eastAsia="fr-FR"/>
              </w:rPr>
              <w:t>Inert</w:t>
            </w:r>
            <w:proofErr w:type="spellEnd"/>
            <w:r w:rsidRPr="007A7695">
              <w:rPr>
                <w:rFonts w:ascii="Arial" w:hAnsi="Arial" w:cs="Arial"/>
                <w:bCs/>
                <w:color w:val="000000"/>
                <w:sz w:val="20"/>
                <w:szCs w:val="20"/>
                <w:lang w:eastAsia="fr-FR"/>
              </w:rPr>
              <w:t xml:space="preserve"> </w:t>
            </w:r>
            <w:proofErr w:type="spellStart"/>
            <w:proofErr w:type="gramStart"/>
            <w:r w:rsidRPr="007A7695">
              <w:rPr>
                <w:rFonts w:ascii="Arial" w:hAnsi="Arial" w:cs="Arial"/>
                <w:bCs/>
                <w:color w:val="000000"/>
                <w:sz w:val="20"/>
                <w:szCs w:val="20"/>
                <w:lang w:eastAsia="fr-FR"/>
              </w:rPr>
              <w:t>materials</w:t>
            </w:r>
            <w:proofErr w:type="spellEnd"/>
            <w:r w:rsidRPr="007A7695">
              <w:rPr>
                <w:rFonts w:ascii="Arial" w:hAnsi="Arial" w:cs="Arial"/>
                <w:bCs/>
                <w:color w:val="000000"/>
                <w:sz w:val="20"/>
                <w:szCs w:val="20"/>
                <w:lang w:eastAsia="fr-FR"/>
              </w:rPr>
              <w:t>:</w:t>
            </w:r>
            <w:proofErr w:type="gramEnd"/>
            <w:r w:rsidRPr="007A7695">
              <w:rPr>
                <w:rFonts w:ascii="Arial" w:hAnsi="Arial" w:cs="Arial"/>
                <w:bCs/>
                <w:color w:val="000000"/>
                <w:sz w:val="20"/>
                <w:szCs w:val="20"/>
                <w:lang w:eastAsia="fr-FR"/>
              </w:rPr>
              <w:t xml:space="preserve"> fines, </w:t>
            </w:r>
            <w:proofErr w:type="spellStart"/>
            <w:r w:rsidRPr="007A7695">
              <w:rPr>
                <w:rFonts w:ascii="Arial" w:hAnsi="Arial" w:cs="Arial"/>
                <w:bCs/>
                <w:color w:val="000000"/>
                <w:sz w:val="20"/>
                <w:szCs w:val="20"/>
                <w:lang w:eastAsia="fr-FR"/>
              </w:rPr>
              <w:t>pebbles</w:t>
            </w:r>
            <w:proofErr w:type="spellEnd"/>
            <w:r w:rsidRPr="007A7695">
              <w:rPr>
                <w:rFonts w:ascii="Arial" w:hAnsi="Arial" w:cs="Arial"/>
                <w:bCs/>
                <w:color w:val="000000"/>
                <w:sz w:val="20"/>
                <w:szCs w:val="20"/>
                <w:lang w:eastAsia="fr-FR"/>
              </w:rPr>
              <w:t>, glass</w:t>
            </w:r>
          </w:p>
        </w:tc>
        <w:tc>
          <w:tcPr>
            <w:tcW w:w="4531" w:type="dxa"/>
            <w:tcBorders>
              <w:bottom w:val="nil"/>
            </w:tcBorders>
          </w:tcPr>
          <w:p w14:paraId="2FA53445" w14:textId="77777777" w:rsidR="00566FC3" w:rsidRPr="007A7695" w:rsidRDefault="00566FC3" w:rsidP="00566FC3">
            <w:pPr>
              <w:spacing w:after="200" w:line="360" w:lineRule="auto"/>
              <w:jc w:val="both"/>
              <w:rPr>
                <w:rFonts w:ascii="Arial" w:hAnsi="Arial" w:cs="Arial"/>
                <w:bCs/>
                <w:color w:val="000000"/>
                <w:sz w:val="20"/>
                <w:szCs w:val="20"/>
                <w:lang w:eastAsia="fr-FR"/>
              </w:rPr>
            </w:pPr>
            <w:r w:rsidRPr="007A7695">
              <w:rPr>
                <w:rFonts w:ascii="Arial" w:hAnsi="Arial" w:cs="Arial"/>
                <w:bCs/>
                <w:color w:val="000000"/>
                <w:sz w:val="20"/>
                <w:szCs w:val="20"/>
                <w:lang w:eastAsia="fr-FR"/>
              </w:rPr>
              <w:t>15</w:t>
            </w:r>
          </w:p>
        </w:tc>
      </w:tr>
      <w:tr w:rsidR="00566FC3" w:rsidRPr="007A7695" w14:paraId="23DF7D89" w14:textId="77777777" w:rsidTr="00A216E6">
        <w:tc>
          <w:tcPr>
            <w:tcW w:w="4531" w:type="dxa"/>
            <w:tcBorders>
              <w:top w:val="nil"/>
              <w:bottom w:val="single" w:sz="4" w:space="0" w:color="auto"/>
            </w:tcBorders>
          </w:tcPr>
          <w:p w14:paraId="105CF3E1" w14:textId="77777777" w:rsidR="00566FC3" w:rsidRPr="007A7695" w:rsidRDefault="00566FC3" w:rsidP="00566FC3">
            <w:pPr>
              <w:spacing w:after="200" w:line="360" w:lineRule="auto"/>
              <w:jc w:val="both"/>
              <w:rPr>
                <w:rFonts w:ascii="Arial" w:hAnsi="Arial" w:cs="Arial"/>
                <w:bCs/>
                <w:color w:val="000000"/>
                <w:sz w:val="20"/>
                <w:szCs w:val="20"/>
                <w:lang w:eastAsia="fr-FR"/>
              </w:rPr>
            </w:pPr>
            <w:proofErr w:type="spellStart"/>
            <w:r w:rsidRPr="007A7695">
              <w:rPr>
                <w:rFonts w:ascii="Arial" w:hAnsi="Arial" w:cs="Arial"/>
                <w:bCs/>
                <w:color w:val="000000"/>
                <w:sz w:val="20"/>
                <w:szCs w:val="20"/>
                <w:lang w:eastAsia="fr-FR"/>
              </w:rPr>
              <w:t>Others</w:t>
            </w:r>
            <w:proofErr w:type="spellEnd"/>
          </w:p>
        </w:tc>
        <w:tc>
          <w:tcPr>
            <w:tcW w:w="4531" w:type="dxa"/>
            <w:tcBorders>
              <w:top w:val="nil"/>
              <w:bottom w:val="single" w:sz="4" w:space="0" w:color="auto"/>
            </w:tcBorders>
          </w:tcPr>
          <w:p w14:paraId="5904AFF7" w14:textId="77777777" w:rsidR="00566FC3" w:rsidRPr="007A7695" w:rsidRDefault="00566FC3" w:rsidP="00566FC3">
            <w:pPr>
              <w:spacing w:after="200" w:line="360" w:lineRule="auto"/>
              <w:jc w:val="both"/>
              <w:rPr>
                <w:rFonts w:ascii="Arial" w:hAnsi="Arial" w:cs="Arial"/>
                <w:bCs/>
                <w:color w:val="000000"/>
                <w:sz w:val="20"/>
                <w:szCs w:val="20"/>
                <w:lang w:eastAsia="fr-FR"/>
              </w:rPr>
            </w:pPr>
            <w:r w:rsidRPr="007A7695">
              <w:rPr>
                <w:rFonts w:ascii="Arial" w:hAnsi="Arial" w:cs="Arial"/>
                <w:bCs/>
                <w:color w:val="000000"/>
                <w:sz w:val="20"/>
                <w:szCs w:val="20"/>
                <w:lang w:eastAsia="fr-FR"/>
              </w:rPr>
              <w:t>7</w:t>
            </w:r>
          </w:p>
        </w:tc>
      </w:tr>
    </w:tbl>
    <w:p w14:paraId="68E189EA" w14:textId="77777777" w:rsidR="007A7695" w:rsidRDefault="007A7695" w:rsidP="007A7695">
      <w:pPr>
        <w:pStyle w:val="NormalWeb"/>
        <w:rPr>
          <w:rStyle w:val="lev"/>
          <w:rFonts w:ascii="Arial" w:hAnsi="Arial" w:cs="Arial"/>
          <w:i/>
          <w:iCs/>
        </w:rPr>
      </w:pPr>
      <w:bookmarkStart w:id="1" w:name="_Hlk200398815"/>
    </w:p>
    <w:p w14:paraId="137F9F31" w14:textId="77777777" w:rsidR="007A7695" w:rsidRPr="007A7695" w:rsidRDefault="007A7695" w:rsidP="007A7695">
      <w:pPr>
        <w:pStyle w:val="NormalWeb"/>
        <w:rPr>
          <w:rStyle w:val="lev"/>
          <w:rFonts w:ascii="Arial" w:hAnsi="Arial" w:cs="Arial"/>
          <w:sz w:val="20"/>
          <w:szCs w:val="20"/>
        </w:rPr>
      </w:pPr>
    </w:p>
    <w:p w14:paraId="220ACA88" w14:textId="77777777" w:rsidR="007A7695" w:rsidRPr="000B5F1E" w:rsidRDefault="007A7695" w:rsidP="007A7695">
      <w:pPr>
        <w:pStyle w:val="NormalWeb"/>
        <w:rPr>
          <w:rFonts w:ascii="Arial" w:hAnsi="Arial" w:cs="Arial"/>
          <w:i/>
          <w:iCs/>
          <w:sz w:val="20"/>
          <w:szCs w:val="20"/>
          <w:highlight w:val="yellow"/>
        </w:rPr>
      </w:pPr>
      <w:r w:rsidRPr="000B5F1E">
        <w:rPr>
          <w:rStyle w:val="lev"/>
          <w:rFonts w:ascii="Arial" w:hAnsi="Arial" w:cs="Arial"/>
          <w:i/>
          <w:iCs/>
          <w:sz w:val="20"/>
          <w:szCs w:val="20"/>
          <w:highlight w:val="yellow"/>
        </w:rPr>
        <w:t xml:space="preserve">2.2.1. </w:t>
      </w:r>
      <w:proofErr w:type="spellStart"/>
      <w:r w:rsidRPr="000B5F1E">
        <w:rPr>
          <w:rStyle w:val="lev"/>
          <w:rFonts w:ascii="Arial" w:hAnsi="Arial" w:cs="Arial"/>
          <w:i/>
          <w:iCs/>
          <w:sz w:val="20"/>
          <w:szCs w:val="20"/>
          <w:highlight w:val="yellow"/>
        </w:rPr>
        <w:t>Surroop</w:t>
      </w:r>
      <w:proofErr w:type="spellEnd"/>
      <w:r w:rsidRPr="000B5F1E">
        <w:rPr>
          <w:rStyle w:val="lev"/>
          <w:rFonts w:ascii="Arial" w:hAnsi="Arial" w:cs="Arial"/>
          <w:i/>
          <w:iCs/>
          <w:sz w:val="20"/>
          <w:szCs w:val="20"/>
          <w:highlight w:val="yellow"/>
        </w:rPr>
        <w:t xml:space="preserve"> and Mohel Model</w:t>
      </w:r>
    </w:p>
    <w:p w14:paraId="130891EF" w14:textId="68BEC7DF" w:rsidR="007A7695" w:rsidRPr="000B5F1E" w:rsidRDefault="007A7695" w:rsidP="007A7695">
      <w:pPr>
        <w:pStyle w:val="NormalWeb"/>
        <w:jc w:val="both"/>
        <w:rPr>
          <w:rFonts w:ascii="Arial" w:hAnsi="Arial" w:cs="Arial"/>
          <w:sz w:val="20"/>
          <w:szCs w:val="20"/>
          <w:highlight w:val="yellow"/>
        </w:rPr>
      </w:pPr>
      <w:r w:rsidRPr="000B5F1E">
        <w:rPr>
          <w:rFonts w:ascii="Arial" w:hAnsi="Arial" w:cs="Arial"/>
          <w:sz w:val="20"/>
          <w:szCs w:val="20"/>
          <w:highlight w:val="yellow"/>
        </w:rPr>
        <w:t>The estimation of the volume of biogas generated using this model was carried out by correlating the mass of waste with the volume of biogas produced and applying standard gas laws</w:t>
      </w:r>
      <w:r w:rsidR="00A547A3" w:rsidRPr="000B5F1E">
        <w:rPr>
          <w:rFonts w:ascii="Arial" w:hAnsi="Arial" w:cs="Arial"/>
          <w:sz w:val="20"/>
          <w:szCs w:val="20"/>
          <w:highlight w:val="yellow"/>
        </w:rPr>
        <w:t xml:space="preserve"> </w:t>
      </w:r>
      <w:bookmarkStart w:id="2" w:name="_Hlk205743671"/>
      <w:proofErr w:type="gramStart"/>
      <w:r w:rsidR="00A547A3" w:rsidRPr="000B5F1E">
        <w:rPr>
          <w:rFonts w:ascii="Arial" w:hAnsi="Arial" w:cs="Arial"/>
          <w:sz w:val="20"/>
          <w:szCs w:val="20"/>
          <w:highlight w:val="yellow"/>
        </w:rPr>
        <w:t xml:space="preserve">( </w:t>
      </w:r>
      <w:proofErr w:type="spellStart"/>
      <w:r w:rsidR="00A547A3" w:rsidRPr="000B5F1E">
        <w:rPr>
          <w:rFonts w:ascii="Arial" w:hAnsi="Arial" w:cs="Arial"/>
          <w:b/>
          <w:bCs/>
          <w:sz w:val="20"/>
          <w:szCs w:val="20"/>
          <w:highlight w:val="yellow"/>
        </w:rPr>
        <w:t>Surroop</w:t>
      </w:r>
      <w:proofErr w:type="spellEnd"/>
      <w:proofErr w:type="gramEnd"/>
      <w:r w:rsidR="00880DDD" w:rsidRPr="000B5F1E">
        <w:rPr>
          <w:rFonts w:ascii="Arial" w:hAnsi="Arial" w:cs="Arial"/>
          <w:b/>
          <w:bCs/>
          <w:sz w:val="20"/>
          <w:szCs w:val="20"/>
          <w:highlight w:val="yellow"/>
        </w:rPr>
        <w:t xml:space="preserve"> </w:t>
      </w:r>
      <w:r w:rsidR="00880DDD" w:rsidRPr="000B5F1E">
        <w:rPr>
          <w:rFonts w:ascii="Arial" w:hAnsi="Arial" w:cs="Arial"/>
          <w:b/>
          <w:bCs/>
          <w:sz w:val="20"/>
          <w:szCs w:val="20"/>
          <w:highlight w:val="yellow"/>
        </w:rPr>
        <w:t xml:space="preserve">&amp; </w:t>
      </w:r>
      <w:proofErr w:type="spellStart"/>
      <w:r w:rsidR="00880DDD" w:rsidRPr="000B5F1E">
        <w:rPr>
          <w:rFonts w:ascii="Arial" w:hAnsi="Arial" w:cs="Arial"/>
          <w:b/>
          <w:bCs/>
          <w:sz w:val="20"/>
          <w:szCs w:val="20"/>
          <w:highlight w:val="yellow"/>
        </w:rPr>
        <w:t>Mohee</w:t>
      </w:r>
      <w:proofErr w:type="spellEnd"/>
      <w:r w:rsidR="00880DDD" w:rsidRPr="000B5F1E">
        <w:rPr>
          <w:rFonts w:ascii="Arial" w:hAnsi="Arial" w:cs="Arial"/>
          <w:b/>
          <w:bCs/>
          <w:sz w:val="20"/>
          <w:szCs w:val="20"/>
          <w:highlight w:val="yellow"/>
        </w:rPr>
        <w:t>, 2011</w:t>
      </w:r>
      <w:r w:rsidR="00880DDD" w:rsidRPr="000B5F1E">
        <w:rPr>
          <w:rFonts w:ascii="Arial" w:hAnsi="Arial" w:cs="Arial"/>
          <w:sz w:val="20"/>
          <w:szCs w:val="20"/>
          <w:highlight w:val="yellow"/>
        </w:rPr>
        <w:t>)</w:t>
      </w:r>
      <w:bookmarkEnd w:id="2"/>
      <w:r w:rsidRPr="000B5F1E">
        <w:rPr>
          <w:rFonts w:ascii="Arial" w:hAnsi="Arial" w:cs="Arial"/>
          <w:sz w:val="20"/>
          <w:szCs w:val="20"/>
          <w:highlight w:val="yellow"/>
        </w:rPr>
        <w:t>. In this model, one ton of MSW generates 119.8 m³ of biogas containing 49% methane</w:t>
      </w:r>
      <w:r w:rsidRPr="000B5F1E">
        <w:rPr>
          <w:rFonts w:ascii="Arial" w:hAnsi="Arial" w:cs="Arial"/>
          <w:b/>
          <w:bCs/>
          <w:sz w:val="20"/>
          <w:szCs w:val="20"/>
          <w:highlight w:val="yellow"/>
          <w:vertAlign w:val="superscript"/>
        </w:rPr>
        <w:t>12</w:t>
      </w:r>
      <w:r w:rsidRPr="000B5F1E">
        <w:rPr>
          <w:rFonts w:ascii="Arial" w:hAnsi="Arial" w:cs="Arial"/>
          <w:sz w:val="20"/>
          <w:szCs w:val="20"/>
          <w:highlight w:val="yellow"/>
        </w:rPr>
        <w:t xml:space="preserve">. Thus, the amount of electricity was calculated using the following </w:t>
      </w:r>
      <w:proofErr w:type="gramStart"/>
      <w:r w:rsidRPr="000B5F1E">
        <w:rPr>
          <w:rFonts w:ascii="Arial" w:hAnsi="Arial" w:cs="Arial"/>
          <w:sz w:val="20"/>
          <w:szCs w:val="20"/>
          <w:highlight w:val="yellow"/>
        </w:rPr>
        <w:t>equation</w:t>
      </w:r>
      <w:r w:rsidR="00A547A3" w:rsidRPr="000B5F1E">
        <w:rPr>
          <w:rFonts w:ascii="Arial" w:hAnsi="Arial" w:cs="Arial"/>
          <w:sz w:val="20"/>
          <w:szCs w:val="20"/>
          <w:highlight w:val="yellow"/>
        </w:rPr>
        <w:t xml:space="preserve">( </w:t>
      </w:r>
      <w:proofErr w:type="spellStart"/>
      <w:r w:rsidR="00A547A3" w:rsidRPr="000B5F1E">
        <w:rPr>
          <w:rFonts w:ascii="Arial" w:hAnsi="Arial" w:cs="Arial"/>
          <w:b/>
          <w:bCs/>
          <w:sz w:val="20"/>
          <w:szCs w:val="20"/>
          <w:highlight w:val="yellow"/>
        </w:rPr>
        <w:t>Surroop</w:t>
      </w:r>
      <w:proofErr w:type="spellEnd"/>
      <w:proofErr w:type="gramEnd"/>
      <w:r w:rsidR="00A547A3" w:rsidRPr="000B5F1E">
        <w:rPr>
          <w:rFonts w:ascii="Arial" w:hAnsi="Arial" w:cs="Arial"/>
          <w:b/>
          <w:bCs/>
          <w:sz w:val="20"/>
          <w:szCs w:val="20"/>
          <w:highlight w:val="yellow"/>
        </w:rPr>
        <w:t xml:space="preserve"> &amp; </w:t>
      </w:r>
      <w:proofErr w:type="spellStart"/>
      <w:r w:rsidR="00A547A3" w:rsidRPr="000B5F1E">
        <w:rPr>
          <w:rFonts w:ascii="Arial" w:hAnsi="Arial" w:cs="Arial"/>
          <w:b/>
          <w:bCs/>
          <w:sz w:val="20"/>
          <w:szCs w:val="20"/>
          <w:highlight w:val="yellow"/>
        </w:rPr>
        <w:t>Mohee</w:t>
      </w:r>
      <w:proofErr w:type="spellEnd"/>
      <w:r w:rsidR="00A547A3" w:rsidRPr="000B5F1E">
        <w:rPr>
          <w:rFonts w:ascii="Arial" w:hAnsi="Arial" w:cs="Arial"/>
          <w:b/>
          <w:bCs/>
          <w:sz w:val="20"/>
          <w:szCs w:val="20"/>
          <w:highlight w:val="yellow"/>
        </w:rPr>
        <w:t>, 2011</w:t>
      </w:r>
      <w:r w:rsidR="00A547A3" w:rsidRPr="000B5F1E">
        <w:rPr>
          <w:rFonts w:ascii="Arial" w:hAnsi="Arial" w:cs="Arial"/>
          <w:sz w:val="20"/>
          <w:szCs w:val="20"/>
          <w:highlight w:val="yellow"/>
        </w:rPr>
        <w:t>)</w:t>
      </w:r>
      <w:r w:rsidRPr="000B5F1E">
        <w:rPr>
          <w:rFonts w:ascii="Arial" w:hAnsi="Arial" w:cs="Arial"/>
          <w:sz w:val="20"/>
          <w:szCs w:val="20"/>
          <w:highlight w:val="yellow"/>
        </w:rPr>
        <w:t>:</w:t>
      </w:r>
    </w:p>
    <w:p w14:paraId="4AD33F16" w14:textId="77777777" w:rsidR="007A7695" w:rsidRPr="000B5F1E" w:rsidRDefault="007A7695" w:rsidP="007A7695">
      <w:pPr>
        <w:spacing w:after="200" w:line="360" w:lineRule="auto"/>
        <w:ind w:firstLine="709"/>
        <w:jc w:val="both"/>
        <w:rPr>
          <w:rFonts w:ascii="Arial" w:hAnsi="Arial" w:cs="Arial"/>
          <w:color w:val="000000" w:themeColor="text1"/>
          <w:highlight w:val="yellow"/>
          <w:lang w:eastAsia="fr-FR"/>
        </w:rPr>
      </w:pPr>
      <w:r w:rsidRPr="000B5F1E">
        <w:rPr>
          <w:rFonts w:ascii="Arial" w:hAnsi="Arial" w:cs="Arial"/>
          <w:b/>
          <w:color w:val="000000" w:themeColor="text1"/>
          <w:highlight w:val="yellow"/>
          <w:lang w:eastAsia="fr-FR"/>
        </w:rPr>
        <w:t xml:space="preserve"> </w:t>
      </w:r>
    </w:p>
    <w:p w14:paraId="252810DA" w14:textId="73A34C2B" w:rsidR="007A7695" w:rsidRPr="000B5F1E" w:rsidRDefault="006D6AD0" w:rsidP="007A7695">
      <w:pPr>
        <w:spacing w:after="200" w:line="360" w:lineRule="auto"/>
        <w:ind w:firstLine="709"/>
        <w:jc w:val="both"/>
        <w:rPr>
          <w:rFonts w:ascii="Arial" w:hAnsi="Arial" w:cs="Arial"/>
          <w:i/>
          <w:color w:val="000000" w:themeColor="text1"/>
          <w:highlight w:val="yellow"/>
          <w:lang w:eastAsia="fr-FR"/>
        </w:rPr>
      </w:pPr>
      <m:oMath>
        <m:sSub>
          <m:sSubPr>
            <m:ctrlPr>
              <w:rPr>
                <w:rFonts w:ascii="Cambria Math" w:hAnsi="Cambria Math" w:cs="Arial"/>
                <w:i/>
                <w:color w:val="000000" w:themeColor="text1"/>
                <w:highlight w:val="yellow"/>
                <w:lang w:eastAsia="fr-FR"/>
              </w:rPr>
            </m:ctrlPr>
          </m:sSubPr>
          <m:e>
            <m:r>
              <w:rPr>
                <w:rFonts w:ascii="Cambria Math" w:hAnsi="Cambria Math" w:cs="Arial"/>
                <w:color w:val="000000" w:themeColor="text1"/>
                <w:highlight w:val="yellow"/>
                <w:lang w:eastAsia="fr-FR"/>
              </w:rPr>
              <m:t>E</m:t>
            </m:r>
          </m:e>
          <m:sub>
            <m:r>
              <w:rPr>
                <w:rFonts w:ascii="Cambria Math" w:hAnsi="Cambria Math" w:cs="Arial"/>
                <w:color w:val="000000" w:themeColor="text1"/>
                <w:highlight w:val="yellow"/>
                <w:vertAlign w:val="subscript"/>
                <w:lang w:eastAsia="fr-FR"/>
              </w:rPr>
              <m:t>surroop</m:t>
            </m:r>
          </m:sub>
        </m:sSub>
        <m:r>
          <w:rPr>
            <w:rFonts w:ascii="Cambria Math" w:hAnsi="Cambria Math" w:cs="Arial"/>
            <w:color w:val="000000" w:themeColor="text1"/>
            <w:highlight w:val="yellow"/>
            <w:lang w:eastAsia="fr-FR"/>
          </w:rPr>
          <m:t xml:space="preserve"> =  </m:t>
        </m:r>
        <m:sSub>
          <m:sSubPr>
            <m:ctrlPr>
              <w:rPr>
                <w:rFonts w:ascii="Cambria Math" w:hAnsi="Cambria Math" w:cs="Arial"/>
                <w:i/>
                <w:color w:val="000000" w:themeColor="text1"/>
                <w:highlight w:val="yellow"/>
                <w:lang w:eastAsia="fr-FR"/>
              </w:rPr>
            </m:ctrlPr>
          </m:sSubPr>
          <m:e>
            <m:r>
              <w:rPr>
                <w:rFonts w:ascii="Cambria Math" w:hAnsi="Cambria Math" w:cs="Arial"/>
                <w:color w:val="000000" w:themeColor="text1"/>
                <w:highlight w:val="yellow"/>
                <w:lang w:eastAsia="fr-FR"/>
              </w:rPr>
              <m:t>M</m:t>
            </m:r>
          </m:e>
          <m:sub>
            <m:sSub>
              <m:sSubPr>
                <m:ctrlPr>
                  <w:rPr>
                    <w:rFonts w:ascii="Cambria Math" w:hAnsi="Cambria Math" w:cs="Arial"/>
                    <w:i/>
                    <w:color w:val="000000" w:themeColor="text1"/>
                    <w:highlight w:val="yellow"/>
                    <w:lang w:eastAsia="fr-FR"/>
                  </w:rPr>
                </m:ctrlPr>
              </m:sSubPr>
              <m:e>
                <m:r>
                  <w:rPr>
                    <w:rFonts w:ascii="Cambria Math" w:hAnsi="Cambria Math" w:cs="Arial"/>
                    <w:color w:val="000000" w:themeColor="text1"/>
                    <w:highlight w:val="yellow"/>
                    <w:lang w:eastAsia="fr-FR"/>
                  </w:rPr>
                  <m:t>CH</m:t>
                </m:r>
              </m:e>
              <m:sub>
                <m:r>
                  <w:rPr>
                    <w:rFonts w:ascii="Cambria Math" w:hAnsi="Cambria Math" w:cs="Arial"/>
                    <w:color w:val="000000" w:themeColor="text1"/>
                    <w:highlight w:val="yellow"/>
                    <w:lang w:eastAsia="fr-FR"/>
                  </w:rPr>
                  <m:t>4</m:t>
                </m:r>
              </m:sub>
            </m:sSub>
          </m:sub>
        </m:sSub>
        <m:r>
          <w:rPr>
            <w:rFonts w:ascii="Cambria Math" w:hAnsi="Cambria Math" w:cs="Arial"/>
            <w:color w:val="000000" w:themeColor="text1"/>
            <w:highlight w:val="yellow"/>
            <w:lang w:eastAsia="fr-FR"/>
          </w:rPr>
          <m:t xml:space="preserve"> ×</m:t>
        </m:r>
        <m:sSub>
          <m:sSubPr>
            <m:ctrlPr>
              <w:rPr>
                <w:rFonts w:ascii="Cambria Math" w:hAnsi="Cambria Math" w:cs="Arial"/>
                <w:i/>
                <w:color w:val="000000" w:themeColor="text1"/>
                <w:highlight w:val="yellow"/>
                <w:lang w:eastAsia="fr-FR"/>
              </w:rPr>
            </m:ctrlPr>
          </m:sSubPr>
          <m:e>
            <m:r>
              <w:rPr>
                <w:rFonts w:ascii="Cambria Math" w:hAnsi="Cambria Math" w:cs="Arial"/>
                <w:color w:val="000000" w:themeColor="text1"/>
                <w:highlight w:val="yellow"/>
                <w:lang w:eastAsia="fr-FR"/>
              </w:rPr>
              <m:t>PCI</m:t>
            </m:r>
          </m:e>
          <m:sub>
            <m:sSub>
              <m:sSubPr>
                <m:ctrlPr>
                  <w:rPr>
                    <w:rFonts w:ascii="Cambria Math" w:hAnsi="Cambria Math" w:cs="Arial"/>
                    <w:i/>
                    <w:color w:val="000000" w:themeColor="text1"/>
                    <w:highlight w:val="yellow"/>
                    <w:lang w:eastAsia="fr-FR"/>
                  </w:rPr>
                </m:ctrlPr>
              </m:sSubPr>
              <m:e>
                <m:r>
                  <w:rPr>
                    <w:rFonts w:ascii="Cambria Math" w:hAnsi="Cambria Math" w:cs="Arial"/>
                    <w:color w:val="000000" w:themeColor="text1"/>
                    <w:highlight w:val="yellow"/>
                    <w:lang w:eastAsia="fr-FR"/>
                  </w:rPr>
                  <m:t>CH</m:t>
                </m:r>
              </m:e>
              <m:sub>
                <m:r>
                  <w:rPr>
                    <w:rFonts w:ascii="Cambria Math" w:hAnsi="Cambria Math" w:cs="Arial"/>
                    <w:color w:val="000000" w:themeColor="text1"/>
                    <w:highlight w:val="yellow"/>
                    <w:lang w:eastAsia="fr-FR"/>
                  </w:rPr>
                  <m:t>4</m:t>
                </m:r>
              </m:sub>
            </m:sSub>
          </m:sub>
        </m:sSub>
        <m:r>
          <w:rPr>
            <w:rFonts w:ascii="Cambria Math" w:hAnsi="Cambria Math" w:cs="Arial"/>
            <w:color w:val="000000" w:themeColor="text1"/>
            <w:highlight w:val="yellow"/>
            <w:lang w:eastAsia="fr-FR"/>
          </w:rPr>
          <m:t xml:space="preserve"> </m:t>
        </m:r>
        <m:r>
          <w:rPr>
            <w:rFonts w:ascii="Cambria Math" w:hAnsi="Cambria Math" w:cs="Arial"/>
            <w:color w:val="000000" w:themeColor="text1"/>
            <w:highlight w:val="yellow"/>
            <w:vertAlign w:val="subscript"/>
            <w:lang w:eastAsia="fr-FR"/>
          </w:rPr>
          <m:t xml:space="preserve"> </m:t>
        </m:r>
        <m:r>
          <w:rPr>
            <w:rFonts w:ascii="Cambria Math" w:hAnsi="Cambria Math" w:cs="Arial"/>
            <w:color w:val="000000" w:themeColor="text1"/>
            <w:highlight w:val="yellow"/>
            <w:lang w:eastAsia="fr-FR"/>
          </w:rPr>
          <m:t>× D × R × η</m:t>
        </m:r>
      </m:oMath>
      <w:r w:rsidR="007A7695" w:rsidRPr="000B5F1E">
        <w:rPr>
          <w:rFonts w:ascii="Arial" w:hAnsi="Arial" w:cs="Arial"/>
          <w:i/>
          <w:color w:val="000000" w:themeColor="text1"/>
          <w:highlight w:val="yellow"/>
          <w:lang w:eastAsia="fr-FR"/>
        </w:rPr>
        <w:tab/>
      </w:r>
      <w:r w:rsidR="007A7695" w:rsidRPr="000B5F1E">
        <w:rPr>
          <w:rFonts w:ascii="Arial" w:hAnsi="Arial" w:cs="Arial"/>
          <w:i/>
          <w:color w:val="000000" w:themeColor="text1"/>
          <w:highlight w:val="yellow"/>
          <w:lang w:eastAsia="fr-FR"/>
        </w:rPr>
        <w:tab/>
      </w:r>
      <w:r w:rsidR="007A7695" w:rsidRPr="000B5F1E">
        <w:rPr>
          <w:rFonts w:ascii="Arial" w:hAnsi="Arial" w:cs="Arial"/>
          <w:i/>
          <w:color w:val="000000" w:themeColor="text1"/>
          <w:highlight w:val="yellow"/>
          <w:lang w:eastAsia="fr-FR"/>
        </w:rPr>
        <w:tab/>
      </w:r>
      <w:r w:rsidR="007A7695" w:rsidRPr="000B5F1E">
        <w:rPr>
          <w:rFonts w:ascii="Arial" w:hAnsi="Arial" w:cs="Arial"/>
          <w:i/>
          <w:color w:val="000000" w:themeColor="text1"/>
          <w:highlight w:val="yellow"/>
          <w:lang w:eastAsia="fr-FR"/>
        </w:rPr>
        <w:tab/>
        <w:t>(1)</w:t>
      </w:r>
    </w:p>
    <w:p w14:paraId="0D1B3737" w14:textId="77777777" w:rsidR="007A7695" w:rsidRPr="000B5F1E" w:rsidRDefault="007A7695" w:rsidP="007A7695">
      <w:pPr>
        <w:spacing w:after="200" w:line="360" w:lineRule="auto"/>
        <w:rPr>
          <w:rFonts w:ascii="Arial" w:hAnsi="Arial" w:cs="Arial"/>
          <w:color w:val="000000" w:themeColor="text1"/>
          <w:highlight w:val="yellow"/>
          <w:lang w:eastAsia="fr-FR"/>
        </w:rPr>
      </w:pPr>
      <w:r w:rsidRPr="000B5F1E">
        <w:rPr>
          <w:rFonts w:ascii="Arial" w:hAnsi="Arial" w:cs="Arial"/>
          <w:i/>
          <w:color w:val="000000" w:themeColor="text1"/>
          <w:highlight w:val="yellow"/>
          <w:lang w:eastAsia="fr-FR"/>
        </w:rPr>
        <w:t xml:space="preserve">E </w:t>
      </w:r>
      <w:proofErr w:type="spellStart"/>
      <w:r w:rsidRPr="000B5F1E">
        <w:rPr>
          <w:rFonts w:ascii="Arial" w:hAnsi="Arial" w:cs="Arial"/>
          <w:i/>
          <w:color w:val="000000" w:themeColor="text1"/>
          <w:highlight w:val="yellow"/>
          <w:vertAlign w:val="subscript"/>
          <w:lang w:eastAsia="fr-FR"/>
        </w:rPr>
        <w:t>surroop</w:t>
      </w:r>
      <w:proofErr w:type="spellEnd"/>
      <w:r w:rsidRPr="000B5F1E">
        <w:rPr>
          <w:rFonts w:ascii="Arial" w:hAnsi="Arial" w:cs="Arial"/>
          <w:color w:val="000000" w:themeColor="text1"/>
          <w:highlight w:val="yellow"/>
          <w:lang w:eastAsia="fr-FR"/>
        </w:rPr>
        <w:t xml:space="preserve"> Electrical Energy in Joules;</w:t>
      </w:r>
    </w:p>
    <w:p w14:paraId="6821FF69" w14:textId="0E295E15" w:rsidR="007A7695" w:rsidRPr="000B5F1E" w:rsidRDefault="006D6AD0" w:rsidP="007A7695">
      <w:pPr>
        <w:spacing w:after="200" w:line="360" w:lineRule="auto"/>
        <w:rPr>
          <w:rFonts w:ascii="Arial" w:hAnsi="Arial" w:cs="Arial"/>
          <w:color w:val="000000" w:themeColor="text1"/>
          <w:highlight w:val="yellow"/>
          <w:lang w:eastAsia="fr-FR"/>
        </w:rPr>
      </w:pPr>
      <m:oMath>
        <m:sSub>
          <m:sSubPr>
            <m:ctrlPr>
              <w:rPr>
                <w:rFonts w:ascii="Cambria Math" w:hAnsi="Cambria Math" w:cs="Arial"/>
                <w:i/>
                <w:color w:val="000000" w:themeColor="text1"/>
                <w:highlight w:val="yellow"/>
                <w:lang w:eastAsia="fr-FR"/>
              </w:rPr>
            </m:ctrlPr>
          </m:sSubPr>
          <m:e>
            <m:r>
              <w:rPr>
                <w:rFonts w:ascii="Cambria Math" w:hAnsi="Cambria Math" w:cs="Arial"/>
                <w:color w:val="000000" w:themeColor="text1"/>
                <w:highlight w:val="yellow"/>
                <w:lang w:eastAsia="fr-FR"/>
              </w:rPr>
              <m:t>M</m:t>
            </m:r>
          </m:e>
          <m:sub>
            <m:sSub>
              <m:sSubPr>
                <m:ctrlPr>
                  <w:rPr>
                    <w:rFonts w:ascii="Cambria Math" w:hAnsi="Cambria Math" w:cs="Arial"/>
                    <w:i/>
                    <w:color w:val="000000" w:themeColor="text1"/>
                    <w:highlight w:val="yellow"/>
                    <w:lang w:eastAsia="fr-FR"/>
                  </w:rPr>
                </m:ctrlPr>
              </m:sSubPr>
              <m:e>
                <m:r>
                  <w:rPr>
                    <w:rFonts w:ascii="Cambria Math" w:hAnsi="Cambria Math" w:cs="Arial"/>
                    <w:color w:val="000000" w:themeColor="text1"/>
                    <w:highlight w:val="yellow"/>
                    <w:lang w:eastAsia="fr-FR"/>
                  </w:rPr>
                  <m:t>CH</m:t>
                </m:r>
              </m:e>
              <m:sub>
                <m:r>
                  <w:rPr>
                    <w:rFonts w:ascii="Cambria Math" w:hAnsi="Cambria Math" w:cs="Arial"/>
                    <w:color w:val="000000" w:themeColor="text1"/>
                    <w:highlight w:val="yellow"/>
                    <w:lang w:eastAsia="fr-FR"/>
                  </w:rPr>
                  <m:t>4</m:t>
                </m:r>
              </m:sub>
            </m:sSub>
          </m:sub>
        </m:sSub>
      </m:oMath>
      <w:r w:rsidRPr="000B5F1E">
        <w:rPr>
          <w:rFonts w:ascii="Arial" w:hAnsi="Arial" w:cs="Arial"/>
          <w:color w:val="000000" w:themeColor="text1"/>
          <w:highlight w:val="yellow"/>
          <w:vertAlign w:val="subscript"/>
          <w:lang w:eastAsia="fr-FR"/>
        </w:rPr>
        <w:t> </w:t>
      </w:r>
      <w:r w:rsidRPr="000B5F1E">
        <w:rPr>
          <w:rFonts w:ascii="Arial" w:hAnsi="Arial" w:cs="Arial"/>
          <w:color w:val="000000" w:themeColor="text1"/>
          <w:highlight w:val="yellow"/>
          <w:lang w:eastAsia="fr-FR"/>
        </w:rPr>
        <w:t>:</w:t>
      </w:r>
      <w:r w:rsidRPr="000B5F1E">
        <w:rPr>
          <w:rFonts w:ascii="Arial" w:hAnsi="Arial" w:cs="Arial"/>
          <w:highlight w:val="yellow"/>
        </w:rPr>
        <w:t xml:space="preserve"> </w:t>
      </w:r>
      <w:r w:rsidRPr="000B5F1E">
        <w:rPr>
          <w:rFonts w:ascii="Arial" w:hAnsi="Arial" w:cs="Arial"/>
          <w:color w:val="000000" w:themeColor="text1"/>
          <w:highlight w:val="yellow"/>
          <w:lang w:eastAsia="fr-FR"/>
        </w:rPr>
        <w:t xml:space="preserve">Methane Flow Rate </w:t>
      </w:r>
      <w:proofErr w:type="gramStart"/>
      <w:r w:rsidRPr="000B5F1E">
        <w:rPr>
          <w:rFonts w:ascii="Arial" w:hAnsi="Arial" w:cs="Arial"/>
          <w:color w:val="000000" w:themeColor="text1"/>
          <w:highlight w:val="yellow"/>
          <w:lang w:eastAsia="fr-FR"/>
        </w:rPr>
        <w:t>( m</w:t>
      </w:r>
      <w:proofErr w:type="gramEnd"/>
      <w:r w:rsidRPr="000B5F1E">
        <w:rPr>
          <w:rFonts w:ascii="Arial" w:hAnsi="Arial" w:cs="Arial"/>
          <w:color w:val="000000" w:themeColor="text1"/>
          <w:highlight w:val="yellow"/>
          <w:vertAlign w:val="superscript"/>
          <w:lang w:eastAsia="fr-FR"/>
        </w:rPr>
        <w:t>3</w:t>
      </w:r>
      <w:r w:rsidRPr="000B5F1E">
        <w:rPr>
          <w:rFonts w:ascii="Arial" w:hAnsi="Arial" w:cs="Arial"/>
          <w:color w:val="000000" w:themeColor="text1"/>
          <w:highlight w:val="yellow"/>
          <w:lang w:eastAsia="fr-FR"/>
        </w:rPr>
        <w:t>/day ) ;</w:t>
      </w:r>
      <w:r w:rsidR="007A7695" w:rsidRPr="000B5F1E">
        <w:rPr>
          <w:rFonts w:ascii="Arial" w:hAnsi="Arial" w:cs="Arial"/>
          <w:color w:val="000000" w:themeColor="text1"/>
          <w:highlight w:val="yellow"/>
          <w:lang w:eastAsia="fr-FR"/>
        </w:rPr>
        <w:t> ;</w:t>
      </w:r>
    </w:p>
    <w:p w14:paraId="7B505574" w14:textId="4BABC9A9" w:rsidR="007A7695" w:rsidRPr="000B5F1E" w:rsidRDefault="006D6AD0" w:rsidP="007A7695">
      <w:pPr>
        <w:spacing w:after="200" w:line="360" w:lineRule="auto"/>
        <w:rPr>
          <w:rFonts w:ascii="Arial" w:hAnsi="Arial" w:cs="Arial"/>
          <w:color w:val="000000" w:themeColor="text1"/>
          <w:highlight w:val="yellow"/>
          <w:lang w:eastAsia="fr-FR"/>
        </w:rPr>
      </w:pPr>
      <m:oMath>
        <m:sSub>
          <m:sSubPr>
            <m:ctrlPr>
              <w:rPr>
                <w:rFonts w:ascii="Cambria Math" w:hAnsi="Cambria Math" w:cs="Arial"/>
                <w:i/>
                <w:color w:val="000000" w:themeColor="text1"/>
                <w:highlight w:val="yellow"/>
                <w:lang w:eastAsia="fr-FR"/>
              </w:rPr>
            </m:ctrlPr>
          </m:sSubPr>
          <m:e>
            <m:r>
              <w:rPr>
                <w:rFonts w:ascii="Cambria Math" w:hAnsi="Cambria Math" w:cs="Arial"/>
                <w:color w:val="000000" w:themeColor="text1"/>
                <w:highlight w:val="yellow"/>
                <w:lang w:eastAsia="fr-FR"/>
              </w:rPr>
              <m:t>PCI</m:t>
            </m:r>
          </m:e>
          <m:sub>
            <m:sSub>
              <m:sSubPr>
                <m:ctrlPr>
                  <w:rPr>
                    <w:rFonts w:ascii="Cambria Math" w:hAnsi="Cambria Math" w:cs="Arial"/>
                    <w:i/>
                    <w:color w:val="000000" w:themeColor="text1"/>
                    <w:highlight w:val="yellow"/>
                    <w:lang w:eastAsia="fr-FR"/>
                  </w:rPr>
                </m:ctrlPr>
              </m:sSubPr>
              <m:e>
                <m:r>
                  <w:rPr>
                    <w:rFonts w:ascii="Cambria Math" w:hAnsi="Cambria Math" w:cs="Arial"/>
                    <w:color w:val="000000" w:themeColor="text1"/>
                    <w:highlight w:val="yellow"/>
                    <w:lang w:eastAsia="fr-FR"/>
                  </w:rPr>
                  <m:t>CH</m:t>
                </m:r>
              </m:e>
              <m:sub>
                <m:r>
                  <w:rPr>
                    <w:rFonts w:ascii="Cambria Math" w:hAnsi="Cambria Math" w:cs="Arial"/>
                    <w:color w:val="000000" w:themeColor="text1"/>
                    <w:highlight w:val="yellow"/>
                    <w:lang w:eastAsia="fr-FR"/>
                  </w:rPr>
                  <m:t>4</m:t>
                </m:r>
              </m:sub>
            </m:sSub>
          </m:sub>
        </m:sSub>
      </m:oMath>
      <w:r w:rsidRPr="000B5F1E">
        <w:rPr>
          <w:rFonts w:ascii="Arial" w:hAnsi="Arial" w:cs="Arial"/>
          <w:color w:val="000000" w:themeColor="text1"/>
          <w:highlight w:val="yellow"/>
          <w:lang w:eastAsia="fr-FR"/>
        </w:rPr>
        <w:t>:37,5 x10</w:t>
      </w:r>
      <w:r w:rsidRPr="000B5F1E">
        <w:rPr>
          <w:rFonts w:ascii="Arial" w:hAnsi="Arial" w:cs="Arial"/>
          <w:color w:val="000000" w:themeColor="text1"/>
          <w:highlight w:val="yellow"/>
          <w:vertAlign w:val="superscript"/>
          <w:lang w:eastAsia="fr-FR"/>
        </w:rPr>
        <w:t xml:space="preserve">6 </w:t>
      </w:r>
      <w:r w:rsidRPr="000B5F1E">
        <w:rPr>
          <w:rFonts w:ascii="Arial" w:hAnsi="Arial" w:cs="Arial"/>
          <w:color w:val="000000" w:themeColor="text1"/>
          <w:highlight w:val="yellow"/>
          <w:lang w:eastAsia="fr-FR"/>
        </w:rPr>
        <w:t>J/</w:t>
      </w:r>
      <w:proofErr w:type="gramStart"/>
      <w:r w:rsidRPr="000B5F1E">
        <w:rPr>
          <w:rFonts w:ascii="Arial" w:hAnsi="Arial" w:cs="Arial"/>
          <w:color w:val="000000" w:themeColor="text1"/>
          <w:highlight w:val="yellow"/>
          <w:lang w:eastAsia="fr-FR"/>
        </w:rPr>
        <w:t>kg ;</w:t>
      </w:r>
      <w:proofErr w:type="gramEnd"/>
    </w:p>
    <w:p w14:paraId="53EB3C13" w14:textId="77777777" w:rsidR="007A7695" w:rsidRPr="000B5F1E" w:rsidRDefault="007A7695" w:rsidP="007A7695">
      <w:pPr>
        <w:spacing w:after="200" w:line="360" w:lineRule="auto"/>
        <w:rPr>
          <w:rFonts w:ascii="Arial" w:hAnsi="Arial" w:cs="Arial"/>
          <w:color w:val="000000" w:themeColor="text1"/>
          <w:highlight w:val="yellow"/>
          <w:lang w:eastAsia="fr-FR"/>
        </w:rPr>
      </w:pPr>
      <w:proofErr w:type="gramStart"/>
      <w:r w:rsidRPr="000B5F1E">
        <w:rPr>
          <w:rFonts w:ascii="Arial" w:hAnsi="Arial" w:cs="Arial"/>
          <w:color w:val="000000" w:themeColor="text1"/>
          <w:highlight w:val="yellow"/>
          <w:lang w:eastAsia="fr-FR"/>
        </w:rPr>
        <w:t>D :</w:t>
      </w:r>
      <w:proofErr w:type="gramEnd"/>
      <w:r w:rsidRPr="000B5F1E">
        <w:rPr>
          <w:rFonts w:ascii="Arial" w:hAnsi="Arial" w:cs="Arial"/>
          <w:highlight w:val="yellow"/>
        </w:rPr>
        <w:t xml:space="preserve"> </w:t>
      </w:r>
      <w:r w:rsidRPr="000B5F1E">
        <w:rPr>
          <w:rFonts w:ascii="Arial" w:hAnsi="Arial" w:cs="Arial"/>
          <w:color w:val="000000" w:themeColor="text1"/>
          <w:highlight w:val="yellow"/>
          <w:lang w:eastAsia="fr-FR"/>
        </w:rPr>
        <w:t>0.656 kg/m³ is the density of methane at 25°C;</w:t>
      </w:r>
    </w:p>
    <w:p w14:paraId="026C8557" w14:textId="77777777" w:rsidR="007A7695" w:rsidRPr="000B5F1E" w:rsidRDefault="007A7695" w:rsidP="007A7695">
      <w:pPr>
        <w:spacing w:after="200" w:line="360" w:lineRule="auto"/>
        <w:rPr>
          <w:rFonts w:ascii="Arial" w:hAnsi="Arial" w:cs="Arial"/>
          <w:color w:val="000000" w:themeColor="text1"/>
          <w:highlight w:val="yellow"/>
          <w:lang w:eastAsia="fr-FR"/>
        </w:rPr>
      </w:pPr>
      <w:proofErr w:type="gramStart"/>
      <w:r w:rsidRPr="000B5F1E">
        <w:rPr>
          <w:rFonts w:ascii="Arial" w:hAnsi="Arial" w:cs="Arial"/>
          <w:color w:val="000000" w:themeColor="text1"/>
          <w:highlight w:val="yellow"/>
          <w:lang w:eastAsia="fr-FR"/>
        </w:rPr>
        <w:t>R :</w:t>
      </w:r>
      <w:proofErr w:type="gramEnd"/>
      <w:r w:rsidRPr="000B5F1E">
        <w:rPr>
          <w:rFonts w:ascii="Arial" w:hAnsi="Arial" w:cs="Arial"/>
          <w:color w:val="000000" w:themeColor="text1"/>
          <w:highlight w:val="yellow"/>
          <w:lang w:eastAsia="fr-FR"/>
        </w:rPr>
        <w:t xml:space="preserve"> Methane recovery rate = 75%;</w:t>
      </w:r>
    </w:p>
    <w:p w14:paraId="18440551" w14:textId="77777777" w:rsidR="007A7695" w:rsidRPr="000B5F1E" w:rsidRDefault="007A7695" w:rsidP="007A7695">
      <w:pPr>
        <w:spacing w:after="200" w:line="360" w:lineRule="auto"/>
        <w:rPr>
          <w:rFonts w:ascii="Arial" w:hAnsi="Arial" w:cs="Arial"/>
          <w:color w:val="000000" w:themeColor="text1"/>
          <w:highlight w:val="yellow"/>
          <w:lang w:eastAsia="fr-FR"/>
        </w:rPr>
      </w:pPr>
      <w:r w:rsidRPr="000B5F1E">
        <w:rPr>
          <w:rFonts w:ascii="Arial" w:hAnsi="Arial" w:cs="Arial"/>
          <w:color w:val="000000" w:themeColor="text1"/>
          <w:highlight w:val="yellow"/>
          <w:lang w:eastAsia="fr-FR"/>
        </w:rPr>
        <w:t xml:space="preserve"> </w:t>
      </w:r>
      <w:r w:rsidRPr="000B5F1E">
        <w:rPr>
          <w:rFonts w:ascii="Cambria Math" w:hAnsi="Cambria Math" w:cs="Cambria Math"/>
          <w:color w:val="000000" w:themeColor="text1"/>
          <w:highlight w:val="yellow"/>
          <w:lang w:eastAsia="fr-FR"/>
        </w:rPr>
        <w:t>𝜼</w:t>
      </w:r>
      <w:r w:rsidRPr="000B5F1E">
        <w:rPr>
          <w:rFonts w:ascii="Arial" w:hAnsi="Arial" w:cs="Arial"/>
          <w:color w:val="000000" w:themeColor="text1"/>
          <w:highlight w:val="yellow"/>
          <w:lang w:eastAsia="fr-FR"/>
        </w:rPr>
        <w:t>: Gas engine efficiency = 33%.</w:t>
      </w:r>
    </w:p>
    <w:p w14:paraId="048CBC70" w14:textId="085AC82E" w:rsidR="007A7695" w:rsidRPr="000B5F1E" w:rsidRDefault="007A7695" w:rsidP="007A7695">
      <w:pPr>
        <w:spacing w:after="200" w:line="360" w:lineRule="auto"/>
        <w:rPr>
          <w:rFonts w:ascii="Arial" w:hAnsi="Arial" w:cs="Arial"/>
          <w:b/>
          <w:color w:val="000000" w:themeColor="text1"/>
          <w:highlight w:val="yellow"/>
          <w:lang w:eastAsia="fr-FR"/>
        </w:rPr>
      </w:pPr>
      <w:r w:rsidRPr="000B5F1E">
        <w:rPr>
          <w:rStyle w:val="lev"/>
          <w:rFonts w:ascii="Arial" w:hAnsi="Arial" w:cs="Arial"/>
          <w:i/>
          <w:iCs/>
          <w:highlight w:val="yellow"/>
        </w:rPr>
        <w:lastRenderedPageBreak/>
        <w:t>2.2.2. Default Model of the IPCC</w:t>
      </w:r>
      <w:r w:rsidRPr="000B5F1E">
        <w:rPr>
          <w:rFonts w:ascii="Arial" w:hAnsi="Arial" w:cs="Arial"/>
          <w:i/>
          <w:iCs/>
          <w:highlight w:val="yellow"/>
        </w:rPr>
        <w:br/>
      </w:r>
      <w:r w:rsidRPr="000B5F1E">
        <w:rPr>
          <w:rFonts w:ascii="Arial" w:hAnsi="Arial" w:cs="Arial"/>
          <w:highlight w:val="yellow"/>
        </w:rPr>
        <w:t xml:space="preserve">This method is based on the following general </w:t>
      </w:r>
      <w:proofErr w:type="gramStart"/>
      <w:r w:rsidRPr="000B5F1E">
        <w:rPr>
          <w:rFonts w:ascii="Arial" w:hAnsi="Arial" w:cs="Arial"/>
          <w:highlight w:val="yellow"/>
        </w:rPr>
        <w:t>formula</w:t>
      </w:r>
      <w:r w:rsidRPr="000B5F1E">
        <w:rPr>
          <w:rFonts w:ascii="Arial" w:hAnsi="Arial" w:cs="Arial"/>
          <w:b/>
          <w:bCs/>
          <w:highlight w:val="yellow"/>
        </w:rPr>
        <w:t>(</w:t>
      </w:r>
      <w:proofErr w:type="gramEnd"/>
      <w:r w:rsidRPr="000B5F1E">
        <w:rPr>
          <w:rFonts w:ascii="Arial" w:hAnsi="Arial" w:cs="Arial"/>
          <w:b/>
          <w:bCs/>
          <w:highlight w:val="yellow"/>
        </w:rPr>
        <w:t>IPCC, 1996)</w:t>
      </w:r>
      <w:r w:rsidRPr="000B5F1E">
        <w:rPr>
          <w:rFonts w:ascii="Arial" w:hAnsi="Arial" w:cs="Arial"/>
          <w:highlight w:val="yellow"/>
        </w:rPr>
        <w:t>:</w:t>
      </w:r>
    </w:p>
    <w:p w14:paraId="4AF88034" w14:textId="77777777" w:rsidR="006D6AD0" w:rsidRPr="000B5F1E" w:rsidRDefault="006D6AD0" w:rsidP="006D6AD0">
      <w:pPr>
        <w:spacing w:after="200" w:line="360" w:lineRule="auto"/>
        <w:ind w:firstLine="709"/>
        <w:jc w:val="both"/>
        <w:rPr>
          <w:rFonts w:ascii="Times New Roman" w:hAnsi="Times New Roman"/>
          <w:color w:val="000000" w:themeColor="text1"/>
          <w:highlight w:val="yellow"/>
          <w:lang w:eastAsia="fr-FR"/>
        </w:rPr>
      </w:pPr>
      <m:oMath>
        <m:sSub>
          <m:sSubPr>
            <m:ctrlPr>
              <w:rPr>
                <w:rFonts w:ascii="Cambria Math" w:hAnsi="Cambria Math"/>
                <w:i/>
                <w:color w:val="000000" w:themeColor="text1"/>
                <w:highlight w:val="yellow"/>
                <w:lang w:eastAsia="fr-FR"/>
              </w:rPr>
            </m:ctrlPr>
          </m:sSubPr>
          <m:e>
            <m:r>
              <w:rPr>
                <w:rFonts w:ascii="Cambria Math" w:hAnsi="Cambria Math"/>
                <w:color w:val="000000" w:themeColor="text1"/>
                <w:highlight w:val="yellow"/>
                <w:lang w:eastAsia="fr-FR"/>
              </w:rPr>
              <m:t>Q</m:t>
            </m:r>
          </m:e>
          <m:sub>
            <m:sSub>
              <m:sSubPr>
                <m:ctrlPr>
                  <w:rPr>
                    <w:rFonts w:ascii="Cambria Math" w:hAnsi="Cambria Math"/>
                    <w:i/>
                    <w:color w:val="000000" w:themeColor="text1"/>
                    <w:highlight w:val="yellow"/>
                    <w:lang w:eastAsia="fr-FR"/>
                  </w:rPr>
                </m:ctrlPr>
              </m:sSubPr>
              <m:e>
                <m:r>
                  <w:rPr>
                    <w:rFonts w:ascii="Cambria Math" w:hAnsi="Cambria Math"/>
                    <w:color w:val="000000" w:themeColor="text1"/>
                    <w:highlight w:val="yellow"/>
                    <w:lang w:eastAsia="fr-FR"/>
                  </w:rPr>
                  <m:t>CH</m:t>
                </m:r>
              </m:e>
              <m:sub>
                <m:r>
                  <w:rPr>
                    <w:rFonts w:ascii="Cambria Math" w:hAnsi="Cambria Math"/>
                    <w:color w:val="000000" w:themeColor="text1"/>
                    <w:highlight w:val="yellow"/>
                    <w:lang w:eastAsia="fr-FR"/>
                  </w:rPr>
                  <m:t>4</m:t>
                </m:r>
              </m:sub>
            </m:sSub>
          </m:sub>
        </m:sSub>
        <m:r>
          <m:rPr>
            <m:sty m:val="p"/>
          </m:rPr>
          <w:rPr>
            <w:rFonts w:ascii="Cambria Math" w:hAnsi="Cambria Math"/>
            <w:color w:val="000000" w:themeColor="text1"/>
            <w:highlight w:val="yellow"/>
            <w:lang w:eastAsia="fr-FR"/>
          </w:rPr>
          <m:t xml:space="preserve">= </m:t>
        </m:r>
        <m:f>
          <m:fPr>
            <m:ctrlPr>
              <w:rPr>
                <w:rFonts w:ascii="Cambria Math" w:hAnsi="Cambria Math"/>
                <w:color w:val="000000" w:themeColor="text1"/>
                <w:highlight w:val="yellow"/>
                <w:lang w:eastAsia="fr-FR"/>
              </w:rPr>
            </m:ctrlPr>
          </m:fPr>
          <m:num>
            <m:r>
              <m:rPr>
                <m:sty m:val="p"/>
              </m:rPr>
              <w:rPr>
                <w:rFonts w:ascii="Cambria Math" w:hAnsi="Cambria Math"/>
                <w:color w:val="000000" w:themeColor="text1"/>
                <w:highlight w:val="yellow"/>
                <w:lang w:eastAsia="fr-FR"/>
              </w:rPr>
              <m:t>16</m:t>
            </m:r>
          </m:num>
          <m:den>
            <m:r>
              <m:rPr>
                <m:sty m:val="p"/>
              </m:rPr>
              <w:rPr>
                <w:rFonts w:ascii="Cambria Math" w:hAnsi="Cambria Math"/>
                <w:color w:val="000000" w:themeColor="text1"/>
                <w:highlight w:val="yellow"/>
                <w:lang w:eastAsia="fr-FR"/>
              </w:rPr>
              <m:t>12</m:t>
            </m:r>
          </m:den>
        </m:f>
        <m:r>
          <m:rPr>
            <m:sty m:val="p"/>
          </m:rPr>
          <w:rPr>
            <w:rFonts w:ascii="Cambria Math" w:hAnsi="Cambria Math"/>
            <w:color w:val="000000" w:themeColor="text1"/>
            <w:highlight w:val="yellow"/>
            <w:lang w:eastAsia="fr-FR"/>
          </w:rPr>
          <m:t>×</m:t>
        </m:r>
        <m:sSub>
          <m:sSubPr>
            <m:ctrlPr>
              <w:rPr>
                <w:rFonts w:ascii="Cambria Math" w:hAnsi="Cambria Math"/>
                <w:color w:val="000000" w:themeColor="text1"/>
                <w:highlight w:val="yellow"/>
                <w:lang w:eastAsia="fr-FR"/>
              </w:rPr>
            </m:ctrlPr>
          </m:sSubPr>
          <m:e>
            <m:r>
              <m:rPr>
                <m:sty m:val="p"/>
              </m:rPr>
              <w:rPr>
                <w:rFonts w:ascii="Cambria Math" w:hAnsi="Cambria Math"/>
                <w:color w:val="000000" w:themeColor="text1"/>
                <w:highlight w:val="yellow"/>
                <w:lang w:eastAsia="fr-FR"/>
              </w:rPr>
              <m:t>MSW</m:t>
            </m:r>
          </m:e>
          <m:sub>
            <m:r>
              <m:rPr>
                <m:sty m:val="p"/>
              </m:rPr>
              <w:rPr>
                <w:rFonts w:ascii="Cambria Math" w:hAnsi="Cambria Math"/>
                <w:color w:val="000000" w:themeColor="text1"/>
                <w:highlight w:val="yellow"/>
                <w:lang w:eastAsia="fr-FR"/>
              </w:rPr>
              <m:t>T</m:t>
            </m:r>
          </m:sub>
        </m:sSub>
        <m:r>
          <m:rPr>
            <m:sty m:val="p"/>
          </m:rPr>
          <w:rPr>
            <w:rFonts w:ascii="Cambria Math" w:hAnsi="Cambria Math"/>
            <w:color w:val="000000" w:themeColor="text1"/>
            <w:highlight w:val="yellow"/>
            <w:lang w:eastAsia="fr-FR"/>
          </w:rPr>
          <m:t xml:space="preserve">× </m:t>
        </m:r>
        <m:sSub>
          <m:sSubPr>
            <m:ctrlPr>
              <w:rPr>
                <w:rFonts w:ascii="Cambria Math" w:hAnsi="Cambria Math"/>
                <w:color w:val="000000" w:themeColor="text1"/>
                <w:highlight w:val="yellow"/>
                <w:lang w:eastAsia="fr-FR"/>
              </w:rPr>
            </m:ctrlPr>
          </m:sSubPr>
          <m:e>
            <m:r>
              <m:rPr>
                <m:sty m:val="p"/>
              </m:rPr>
              <w:rPr>
                <w:rFonts w:ascii="Cambria Math" w:hAnsi="Cambria Math"/>
                <w:color w:val="000000" w:themeColor="text1"/>
                <w:highlight w:val="yellow"/>
                <w:lang w:eastAsia="fr-FR"/>
              </w:rPr>
              <m:t>MSW</m:t>
            </m:r>
          </m:e>
          <m:sub>
            <m:r>
              <m:rPr>
                <m:sty m:val="p"/>
              </m:rPr>
              <w:rPr>
                <w:rFonts w:ascii="Cambria Math" w:hAnsi="Cambria Math"/>
                <w:color w:val="000000" w:themeColor="text1"/>
                <w:highlight w:val="yellow"/>
                <w:lang w:eastAsia="fr-FR"/>
              </w:rPr>
              <m:t>F</m:t>
            </m:r>
          </m:sub>
        </m:sSub>
        <m:r>
          <m:rPr>
            <m:sty m:val="p"/>
          </m:rPr>
          <w:rPr>
            <w:rFonts w:ascii="Cambria Math" w:hAnsi="Cambria Math"/>
            <w:color w:val="000000" w:themeColor="text1"/>
            <w:highlight w:val="yellow"/>
            <w:vertAlign w:val="subscript"/>
            <w:lang w:eastAsia="fr-FR"/>
          </w:rPr>
          <m:t xml:space="preserve"> </m:t>
        </m:r>
        <m:r>
          <m:rPr>
            <m:sty m:val="p"/>
          </m:rPr>
          <w:rPr>
            <w:rFonts w:ascii="Cambria Math" w:hAnsi="Cambria Math"/>
            <w:color w:val="000000" w:themeColor="text1"/>
            <w:highlight w:val="yellow"/>
            <w:lang w:eastAsia="fr-FR"/>
          </w:rPr>
          <m:t xml:space="preserve">× MCF × DOC × </m:t>
        </m:r>
        <m:sSub>
          <m:sSubPr>
            <m:ctrlPr>
              <w:rPr>
                <w:rFonts w:ascii="Cambria Math" w:hAnsi="Cambria Math"/>
                <w:color w:val="000000" w:themeColor="text1"/>
                <w:highlight w:val="yellow"/>
                <w:lang w:eastAsia="fr-FR"/>
              </w:rPr>
            </m:ctrlPr>
          </m:sSubPr>
          <m:e>
            <m:r>
              <m:rPr>
                <m:sty m:val="p"/>
              </m:rPr>
              <w:rPr>
                <w:rFonts w:ascii="Cambria Math" w:hAnsi="Cambria Math"/>
                <w:color w:val="000000" w:themeColor="text1"/>
                <w:highlight w:val="yellow"/>
                <w:lang w:eastAsia="fr-FR"/>
              </w:rPr>
              <m:t>DOC</m:t>
            </m:r>
          </m:e>
          <m:sub>
            <m:r>
              <m:rPr>
                <m:sty m:val="p"/>
              </m:rPr>
              <w:rPr>
                <w:rFonts w:ascii="Cambria Math" w:hAnsi="Cambria Math"/>
                <w:color w:val="000000" w:themeColor="text1"/>
                <w:highlight w:val="yellow"/>
                <w:lang w:eastAsia="fr-FR"/>
              </w:rPr>
              <m:t>F</m:t>
            </m:r>
          </m:sub>
        </m:sSub>
        <m:r>
          <m:rPr>
            <m:sty m:val="p"/>
          </m:rPr>
          <w:rPr>
            <w:rFonts w:ascii="Cambria Math" w:hAnsi="Cambria Math"/>
            <w:color w:val="000000" w:themeColor="text1"/>
            <w:highlight w:val="yellow"/>
            <w:lang w:eastAsia="fr-FR"/>
          </w:rPr>
          <m:t xml:space="preserve"> × F</m:t>
        </m:r>
      </m:oMath>
      <w:r w:rsidRPr="000B5F1E">
        <w:rPr>
          <w:rFonts w:ascii="Times New Roman" w:hAnsi="Times New Roman"/>
          <w:color w:val="000000" w:themeColor="text1"/>
          <w:highlight w:val="yellow"/>
          <w:lang w:eastAsia="fr-FR"/>
        </w:rPr>
        <w:t xml:space="preserve"> </w:t>
      </w:r>
      <w:r w:rsidRPr="000B5F1E">
        <w:rPr>
          <w:rFonts w:ascii="Times New Roman" w:hAnsi="Times New Roman"/>
          <w:color w:val="000000" w:themeColor="text1"/>
          <w:highlight w:val="yellow"/>
          <w:lang w:eastAsia="fr-FR"/>
        </w:rPr>
        <w:tab/>
      </w:r>
      <w:r w:rsidRPr="000B5F1E">
        <w:rPr>
          <w:rFonts w:ascii="Times New Roman" w:hAnsi="Times New Roman"/>
          <w:color w:val="000000" w:themeColor="text1"/>
          <w:highlight w:val="yellow"/>
          <w:lang w:eastAsia="fr-FR"/>
        </w:rPr>
        <w:tab/>
      </w:r>
      <w:r w:rsidRPr="000B5F1E">
        <w:rPr>
          <w:rFonts w:ascii="Times New Roman" w:hAnsi="Times New Roman"/>
          <w:color w:val="000000" w:themeColor="text1"/>
          <w:highlight w:val="yellow"/>
          <w:lang w:eastAsia="fr-FR"/>
        </w:rPr>
        <w:tab/>
        <w:t>(2)</w:t>
      </w:r>
    </w:p>
    <w:p w14:paraId="3A5B306B" w14:textId="77777777" w:rsidR="006D6AD0" w:rsidRPr="000B5F1E" w:rsidRDefault="006D6AD0" w:rsidP="006D6AD0">
      <w:pPr>
        <w:spacing w:after="200" w:line="360" w:lineRule="auto"/>
        <w:ind w:firstLine="709"/>
        <w:jc w:val="both"/>
        <w:rPr>
          <w:rFonts w:ascii="Times New Roman" w:hAnsi="Times New Roman"/>
          <w:color w:val="000000" w:themeColor="text1"/>
          <w:highlight w:val="yellow"/>
          <w:lang w:eastAsia="fr-FR"/>
        </w:rPr>
      </w:pPr>
      <w:r w:rsidRPr="000B5F1E">
        <w:rPr>
          <w:rFonts w:ascii="Times New Roman" w:hAnsi="Times New Roman"/>
          <w:color w:val="000000" w:themeColor="text1"/>
          <w:highlight w:val="yellow"/>
          <w:lang w:eastAsia="fr-FR"/>
        </w:rPr>
        <w:t xml:space="preserve">                                                         </w:t>
      </w:r>
    </w:p>
    <w:p w14:paraId="575D576E" w14:textId="77777777" w:rsidR="006D6AD0" w:rsidRPr="000B5F1E" w:rsidRDefault="006D6AD0" w:rsidP="006D6AD0">
      <w:pPr>
        <w:spacing w:after="200" w:line="360" w:lineRule="auto"/>
        <w:contextualSpacing/>
        <w:jc w:val="both"/>
        <w:rPr>
          <w:rFonts w:ascii="Times New Roman" w:hAnsi="Times New Roman"/>
          <w:color w:val="000000" w:themeColor="text1"/>
          <w:highlight w:val="yellow"/>
          <w:lang w:eastAsia="fr-FR"/>
        </w:rPr>
      </w:pPr>
      <m:oMath>
        <m:sSub>
          <m:sSubPr>
            <m:ctrlPr>
              <w:rPr>
                <w:rFonts w:ascii="Cambria Math" w:hAnsi="Cambria Math"/>
                <w:i/>
                <w:color w:val="000000" w:themeColor="text1"/>
                <w:highlight w:val="yellow"/>
                <w:lang w:eastAsia="fr-FR"/>
              </w:rPr>
            </m:ctrlPr>
          </m:sSubPr>
          <m:e>
            <m:r>
              <w:rPr>
                <w:rFonts w:ascii="Cambria Math" w:hAnsi="Cambria Math"/>
                <w:color w:val="000000" w:themeColor="text1"/>
                <w:highlight w:val="yellow"/>
                <w:lang w:eastAsia="fr-FR"/>
              </w:rPr>
              <m:t>Q</m:t>
            </m:r>
          </m:e>
          <m:sub>
            <m:sSub>
              <m:sSubPr>
                <m:ctrlPr>
                  <w:rPr>
                    <w:rFonts w:ascii="Cambria Math" w:hAnsi="Cambria Math"/>
                    <w:i/>
                    <w:color w:val="000000" w:themeColor="text1"/>
                    <w:highlight w:val="yellow"/>
                    <w:lang w:eastAsia="fr-FR"/>
                  </w:rPr>
                </m:ctrlPr>
              </m:sSubPr>
              <m:e>
                <m:r>
                  <w:rPr>
                    <w:rFonts w:ascii="Cambria Math" w:hAnsi="Cambria Math"/>
                    <w:color w:val="000000" w:themeColor="text1"/>
                    <w:highlight w:val="yellow"/>
                    <w:lang w:eastAsia="fr-FR"/>
                  </w:rPr>
                  <m:t>CH</m:t>
                </m:r>
              </m:e>
              <m:sub>
                <m:r>
                  <w:rPr>
                    <w:rFonts w:ascii="Cambria Math" w:hAnsi="Cambria Math"/>
                    <w:color w:val="000000" w:themeColor="text1"/>
                    <w:highlight w:val="yellow"/>
                    <w:lang w:eastAsia="fr-FR"/>
                  </w:rPr>
                  <m:t>4</m:t>
                </m:r>
              </m:sub>
            </m:sSub>
          </m:sub>
        </m:sSub>
        <m:r>
          <w:rPr>
            <w:rFonts w:ascii="Cambria Math" w:hAnsi="Cambria Math"/>
            <w:color w:val="000000" w:themeColor="text1"/>
            <w:highlight w:val="yellow"/>
            <w:lang w:eastAsia="fr-FR"/>
          </w:rPr>
          <m:t> </m:t>
        </m:r>
      </m:oMath>
      <w:r w:rsidRPr="000B5F1E">
        <w:rPr>
          <w:rFonts w:ascii="Times New Roman" w:hAnsi="Times New Roman"/>
          <w:color w:val="000000" w:themeColor="text1"/>
          <w:highlight w:val="yellow"/>
          <w:lang w:eastAsia="fr-FR"/>
        </w:rPr>
        <w:t>: methane emission rate in tons per year;</w:t>
      </w:r>
    </w:p>
    <w:p w14:paraId="32EFF9A5" w14:textId="77777777" w:rsidR="006D6AD0" w:rsidRPr="000B5F1E" w:rsidRDefault="006D6AD0" w:rsidP="006D6AD0">
      <w:pPr>
        <w:spacing w:after="200" w:line="360" w:lineRule="auto"/>
        <w:jc w:val="both"/>
        <w:rPr>
          <w:rFonts w:ascii="Times New Roman" w:hAnsi="Times New Roman"/>
          <w:color w:val="000000" w:themeColor="text1"/>
          <w:highlight w:val="yellow"/>
          <w:vertAlign w:val="subscript"/>
          <w:lang w:eastAsia="fr-FR"/>
        </w:rPr>
      </w:pPr>
      <w:proofErr w:type="gramStart"/>
      <w:r w:rsidRPr="000B5F1E">
        <w:rPr>
          <w:rFonts w:ascii="Times New Roman" w:hAnsi="Times New Roman"/>
          <w:color w:val="000000" w:themeColor="text1"/>
          <w:highlight w:val="yellow"/>
          <w:lang w:eastAsia="fr-FR"/>
        </w:rPr>
        <w:t>MSW</w:t>
      </w:r>
      <w:r w:rsidRPr="000B5F1E">
        <w:rPr>
          <w:rFonts w:ascii="Times New Roman" w:hAnsi="Times New Roman"/>
          <w:color w:val="000000" w:themeColor="text1"/>
          <w:highlight w:val="yellow"/>
          <w:vertAlign w:val="subscript"/>
          <w:lang w:eastAsia="fr-FR"/>
        </w:rPr>
        <w:t>T</w:t>
      </w:r>
      <w:r w:rsidRPr="000B5F1E">
        <w:rPr>
          <w:rFonts w:ascii="Times New Roman" w:hAnsi="Times New Roman"/>
          <w:color w:val="000000" w:themeColor="text1"/>
          <w:highlight w:val="yellow"/>
          <w:lang w:eastAsia="fr-FR"/>
        </w:rPr>
        <w:t> :</w:t>
      </w:r>
      <w:proofErr w:type="gramEnd"/>
      <w:r w:rsidRPr="000B5F1E">
        <w:rPr>
          <w:rFonts w:ascii="Times New Roman" w:hAnsi="Times New Roman"/>
          <w:color w:val="000000" w:themeColor="text1"/>
          <w:highlight w:val="yellow"/>
          <w:lang w:eastAsia="fr-FR"/>
        </w:rPr>
        <w:t xml:space="preserve"> total mass of generated MSW(tons)</w:t>
      </w:r>
      <w:r w:rsidRPr="000B5F1E">
        <w:rPr>
          <w:rFonts w:ascii="Times New Roman" w:hAnsi="Times New Roman"/>
          <w:color w:val="000000" w:themeColor="text1"/>
          <w:highlight w:val="yellow"/>
          <w:vertAlign w:val="subscript"/>
          <w:lang w:eastAsia="fr-FR"/>
        </w:rPr>
        <w:t>;</w:t>
      </w:r>
    </w:p>
    <w:p w14:paraId="3B48EAE2" w14:textId="77777777" w:rsidR="006D6AD0" w:rsidRPr="000B5F1E" w:rsidRDefault="006D6AD0" w:rsidP="006D6AD0">
      <w:pPr>
        <w:spacing w:after="200" w:line="360" w:lineRule="auto"/>
        <w:jc w:val="both"/>
        <w:rPr>
          <w:rFonts w:ascii="Times New Roman" w:hAnsi="Times New Roman"/>
          <w:color w:val="000000" w:themeColor="text1"/>
          <w:highlight w:val="yellow"/>
          <w:lang w:eastAsia="fr-FR"/>
        </w:rPr>
      </w:pPr>
      <w:proofErr w:type="gramStart"/>
      <w:r w:rsidRPr="000B5F1E">
        <w:rPr>
          <w:rFonts w:ascii="Times New Roman" w:hAnsi="Times New Roman"/>
          <w:color w:val="000000" w:themeColor="text1"/>
          <w:highlight w:val="yellow"/>
          <w:lang w:eastAsia="fr-FR"/>
        </w:rPr>
        <w:t>MSW</w:t>
      </w:r>
      <w:r w:rsidRPr="000B5F1E">
        <w:rPr>
          <w:rFonts w:ascii="Times New Roman" w:hAnsi="Times New Roman"/>
          <w:color w:val="000000" w:themeColor="text1"/>
          <w:highlight w:val="yellow"/>
          <w:vertAlign w:val="subscript"/>
          <w:lang w:eastAsia="fr-FR"/>
        </w:rPr>
        <w:t>F</w:t>
      </w:r>
      <w:r w:rsidRPr="000B5F1E">
        <w:rPr>
          <w:rFonts w:ascii="Times New Roman" w:hAnsi="Times New Roman"/>
          <w:color w:val="000000" w:themeColor="text1"/>
          <w:highlight w:val="yellow"/>
          <w:lang w:eastAsia="fr-FR"/>
        </w:rPr>
        <w:t> :</w:t>
      </w:r>
      <w:proofErr w:type="gramEnd"/>
      <w:r w:rsidRPr="000B5F1E">
        <w:rPr>
          <w:rFonts w:ascii="Times New Roman" w:hAnsi="Times New Roman"/>
          <w:color w:val="000000" w:themeColor="text1"/>
          <w:highlight w:val="yellow"/>
          <w:lang w:eastAsia="fr-FR"/>
        </w:rPr>
        <w:t xml:space="preserve"> Fraction of MSW Landfilled;</w:t>
      </w:r>
    </w:p>
    <w:p w14:paraId="7767C5ED" w14:textId="77777777" w:rsidR="006D6AD0" w:rsidRPr="000B5F1E" w:rsidRDefault="006D6AD0" w:rsidP="006D6AD0">
      <w:pPr>
        <w:spacing w:after="200" w:line="360" w:lineRule="auto"/>
        <w:jc w:val="both"/>
        <w:rPr>
          <w:rFonts w:ascii="Times New Roman" w:hAnsi="Times New Roman"/>
          <w:color w:val="000000" w:themeColor="text1"/>
          <w:highlight w:val="yellow"/>
          <w:lang w:eastAsia="fr-FR"/>
        </w:rPr>
      </w:pPr>
      <w:proofErr w:type="gramStart"/>
      <w:r w:rsidRPr="000B5F1E">
        <w:rPr>
          <w:rFonts w:ascii="Times New Roman" w:hAnsi="Times New Roman"/>
          <w:color w:val="000000" w:themeColor="text1"/>
          <w:highlight w:val="yellow"/>
          <w:lang w:eastAsia="fr-FR"/>
        </w:rPr>
        <w:t>MCF :</w:t>
      </w:r>
      <w:proofErr w:type="gramEnd"/>
      <w:r w:rsidRPr="000B5F1E">
        <w:rPr>
          <w:rFonts w:ascii="Times New Roman" w:hAnsi="Times New Roman"/>
          <w:color w:val="000000" w:themeColor="text1"/>
          <w:highlight w:val="yellow"/>
          <w:lang w:eastAsia="fr-FR"/>
        </w:rPr>
        <w:t xml:space="preserve"> methane correction factor;</w:t>
      </w:r>
    </w:p>
    <w:p w14:paraId="63210F87" w14:textId="77777777" w:rsidR="006D6AD0" w:rsidRPr="000B5F1E" w:rsidRDefault="006D6AD0" w:rsidP="006D6AD0">
      <w:pPr>
        <w:spacing w:after="200" w:line="360" w:lineRule="auto"/>
        <w:jc w:val="both"/>
        <w:rPr>
          <w:rFonts w:ascii="Times New Roman" w:hAnsi="Times New Roman"/>
          <w:color w:val="000000" w:themeColor="text1"/>
          <w:highlight w:val="yellow"/>
          <w:lang w:eastAsia="fr-FR"/>
        </w:rPr>
      </w:pPr>
      <w:proofErr w:type="gramStart"/>
      <w:r w:rsidRPr="000B5F1E">
        <w:rPr>
          <w:rFonts w:ascii="Times New Roman" w:hAnsi="Times New Roman"/>
          <w:color w:val="000000" w:themeColor="text1"/>
          <w:highlight w:val="yellow"/>
          <w:lang w:eastAsia="fr-FR"/>
        </w:rPr>
        <w:t>DOC :</w:t>
      </w:r>
      <w:proofErr w:type="gramEnd"/>
      <w:r w:rsidRPr="000B5F1E">
        <w:rPr>
          <w:rFonts w:ascii="Times New Roman" w:hAnsi="Times New Roman"/>
          <w:color w:val="000000" w:themeColor="text1"/>
          <w:highlight w:val="yellow"/>
          <w:lang w:eastAsia="fr-FR"/>
        </w:rPr>
        <w:t xml:space="preserve"> degradable organic carbon;</w:t>
      </w:r>
    </w:p>
    <w:p w14:paraId="065DA6C2" w14:textId="77777777" w:rsidR="006D6AD0" w:rsidRPr="000B5F1E" w:rsidRDefault="006D6AD0" w:rsidP="006D6AD0">
      <w:pPr>
        <w:spacing w:after="200" w:line="360" w:lineRule="auto"/>
        <w:jc w:val="both"/>
        <w:rPr>
          <w:rFonts w:ascii="Times New Roman" w:hAnsi="Times New Roman"/>
          <w:color w:val="000000" w:themeColor="text1"/>
          <w:highlight w:val="yellow"/>
          <w:lang w:eastAsia="fr-FR"/>
        </w:rPr>
      </w:pPr>
      <w:proofErr w:type="gramStart"/>
      <w:r w:rsidRPr="000B5F1E">
        <w:rPr>
          <w:rFonts w:ascii="Times New Roman" w:hAnsi="Times New Roman"/>
          <w:color w:val="000000" w:themeColor="text1"/>
          <w:highlight w:val="yellow"/>
          <w:lang w:eastAsia="fr-FR"/>
        </w:rPr>
        <w:t>DOC</w:t>
      </w:r>
      <w:r w:rsidRPr="000B5F1E">
        <w:rPr>
          <w:rFonts w:ascii="Times New Roman" w:hAnsi="Times New Roman"/>
          <w:color w:val="000000" w:themeColor="text1"/>
          <w:highlight w:val="yellow"/>
          <w:vertAlign w:val="subscript"/>
          <w:lang w:eastAsia="fr-FR"/>
        </w:rPr>
        <w:t>F </w:t>
      </w:r>
      <w:r w:rsidRPr="000B5F1E">
        <w:rPr>
          <w:rFonts w:ascii="Times New Roman" w:hAnsi="Times New Roman"/>
          <w:color w:val="000000" w:themeColor="text1"/>
          <w:highlight w:val="yellow"/>
          <w:lang w:eastAsia="fr-FR"/>
        </w:rPr>
        <w:t>:</w:t>
      </w:r>
      <w:proofErr w:type="gramEnd"/>
      <w:r w:rsidRPr="000B5F1E">
        <w:rPr>
          <w:rFonts w:ascii="Times New Roman" w:hAnsi="Times New Roman"/>
          <w:color w:val="000000" w:themeColor="text1"/>
          <w:highlight w:val="yellow"/>
          <w:lang w:eastAsia="fr-FR"/>
        </w:rPr>
        <w:t xml:space="preserve"> biodegradable assimilable organic carbon;</w:t>
      </w:r>
    </w:p>
    <w:p w14:paraId="1652E6AB" w14:textId="18B8918C" w:rsidR="007A7695" w:rsidRPr="000B5F1E" w:rsidRDefault="006D6AD0" w:rsidP="007A7695">
      <w:pPr>
        <w:spacing w:after="200" w:line="360" w:lineRule="auto"/>
        <w:jc w:val="both"/>
        <w:rPr>
          <w:rFonts w:ascii="Times New Roman" w:hAnsi="Times New Roman"/>
          <w:color w:val="000000" w:themeColor="text1"/>
          <w:highlight w:val="yellow"/>
          <w:lang w:eastAsia="fr-FR"/>
        </w:rPr>
      </w:pPr>
      <w:proofErr w:type="gramStart"/>
      <w:r w:rsidRPr="000B5F1E">
        <w:rPr>
          <w:rFonts w:ascii="Times New Roman" w:hAnsi="Times New Roman"/>
          <w:color w:val="000000" w:themeColor="text1"/>
          <w:highlight w:val="yellow"/>
          <w:lang w:eastAsia="fr-FR"/>
        </w:rPr>
        <w:t>F :</w:t>
      </w:r>
      <w:proofErr w:type="gramEnd"/>
      <w:r w:rsidRPr="000B5F1E">
        <w:rPr>
          <w:rFonts w:ascii="Times New Roman" w:hAnsi="Times New Roman"/>
          <w:color w:val="000000" w:themeColor="text1"/>
          <w:highlight w:val="yellow"/>
          <w:lang w:eastAsia="fr-FR"/>
        </w:rPr>
        <w:t xml:space="preserve"> methane fraction in biogas</w:t>
      </w:r>
      <w:r w:rsidR="007A7695" w:rsidRPr="000B5F1E">
        <w:rPr>
          <w:rFonts w:ascii="Arial" w:hAnsi="Arial" w:cs="Arial"/>
          <w:color w:val="000000" w:themeColor="text1"/>
          <w:highlight w:val="yellow"/>
          <w:lang w:eastAsia="fr-FR"/>
        </w:rPr>
        <w:t>.</w:t>
      </w:r>
    </w:p>
    <w:p w14:paraId="0567E738" w14:textId="77777777" w:rsidR="007A7695" w:rsidRPr="000B5F1E" w:rsidRDefault="007A7695" w:rsidP="007A7695">
      <w:pPr>
        <w:spacing w:after="200" w:line="360" w:lineRule="auto"/>
        <w:ind w:firstLine="709"/>
        <w:rPr>
          <w:rFonts w:ascii="Arial" w:hAnsi="Arial" w:cs="Arial"/>
          <w:color w:val="000000" w:themeColor="text1"/>
          <w:highlight w:val="yellow"/>
          <w:lang w:eastAsia="fr-FR"/>
        </w:rPr>
      </w:pPr>
      <w:r w:rsidRPr="000B5F1E">
        <w:rPr>
          <w:rFonts w:ascii="Arial" w:hAnsi="Arial" w:cs="Arial"/>
          <w:color w:val="000000" w:themeColor="text1"/>
          <w:highlight w:val="yellow"/>
          <w:lang w:eastAsia="fr-FR"/>
        </w:rPr>
        <w:t xml:space="preserve">The default values (0.4-1.0) for the MCF depend on the types of municipal solid waste (MSW) landfilling practices. In the case of the </w:t>
      </w:r>
      <w:proofErr w:type="spellStart"/>
      <w:r w:rsidRPr="000B5F1E">
        <w:rPr>
          <w:rFonts w:ascii="Arial" w:hAnsi="Arial" w:cs="Arial"/>
          <w:color w:val="000000" w:themeColor="text1"/>
          <w:highlight w:val="yellow"/>
          <w:lang w:eastAsia="fr-FR"/>
        </w:rPr>
        <w:t>Kossihouen</w:t>
      </w:r>
      <w:proofErr w:type="spellEnd"/>
      <w:r w:rsidRPr="000B5F1E">
        <w:rPr>
          <w:rFonts w:ascii="Arial" w:hAnsi="Arial" w:cs="Arial"/>
          <w:color w:val="000000" w:themeColor="text1"/>
          <w:highlight w:val="yellow"/>
          <w:lang w:eastAsia="fr-FR"/>
        </w:rPr>
        <w:t xml:space="preserve"> landfill, a value of 0.8 was used, taking into account the management approach. According to the IPCC, the DOC ranges from 0.08 to 0.21 and is estimated using Equation 12.</w:t>
      </w:r>
    </w:p>
    <w:p w14:paraId="7E1E128D" w14:textId="77777777" w:rsidR="007A7695" w:rsidRPr="000B5F1E" w:rsidRDefault="007A7695" w:rsidP="007A7695">
      <w:pPr>
        <w:spacing w:before="240" w:after="200" w:line="360" w:lineRule="auto"/>
        <w:rPr>
          <w:rFonts w:ascii="Arial" w:hAnsi="Arial" w:cs="Arial"/>
          <w:color w:val="000000" w:themeColor="text1"/>
          <w:highlight w:val="yellow"/>
          <w:lang w:eastAsia="fr-FR"/>
        </w:rPr>
      </w:pPr>
      <w:color w:val="000000" w:themeColor="text1"/>
      DOC = 0,4 P + 0,15 K  + 0,3 W 
      <w:r w:rsidRPr="000B5F1E">
        <w:rPr>
          <w:rFonts w:ascii="Arial" w:hAnsi="Arial" w:cs="Arial"/>
          <w:color w:val="000000" w:themeColor="text1"/>
          <w:highlight w:val="yellow"/>
          <w:lang w:eastAsia="fr-FR"/>
        </w:rPr>
        <w:tab/>
      </w:r>
      <w:r w:rsidRPr="000B5F1E">
        <w:rPr>
          <w:rFonts w:ascii="Arial" w:hAnsi="Arial" w:cs="Arial"/>
          <w:color w:val="000000" w:themeColor="text1"/>
          <w:highlight w:val="yellow"/>
          <w:lang w:eastAsia="fr-FR"/>
        </w:rPr>
        <w:tab/>
      </w:r>
      <w:r w:rsidRPr="000B5F1E">
        <w:rPr>
          <w:rFonts w:ascii="Arial" w:hAnsi="Arial" w:cs="Arial"/>
          <w:color w:val="000000" w:themeColor="text1"/>
          <w:highlight w:val="yellow"/>
          <w:lang w:eastAsia="fr-FR"/>
        </w:rPr>
        <w:tab/>
      </w:r>
      <w:r w:rsidRPr="000B5F1E">
        <w:rPr>
          <w:rFonts w:ascii="Arial" w:hAnsi="Arial" w:cs="Arial"/>
          <w:color w:val="000000" w:themeColor="text1"/>
          <w:highlight w:val="yellow"/>
          <w:lang w:eastAsia="fr-FR"/>
        </w:rPr>
        <w:tab/>
      </w:r>
      <w:r w:rsidRPr="000B5F1E">
        <w:rPr>
          <w:rFonts w:ascii="Arial" w:hAnsi="Arial" w:cs="Arial"/>
          <w:color w:val="000000" w:themeColor="text1"/>
          <w:highlight w:val="yellow"/>
          <w:lang w:eastAsia="fr-FR"/>
        </w:rPr>
        <w:tab/>
      </w:r>
      <w:r w:rsidRPr="000B5F1E">
        <w:rPr>
          <w:rFonts w:ascii="Arial" w:hAnsi="Arial" w:cs="Arial"/>
          <w:color w:val="000000" w:themeColor="text1"/>
          <w:highlight w:val="yellow"/>
          <w:lang w:eastAsia="fr-FR"/>
        </w:rPr>
        <w:tab/>
        <w:t>(3)</w:t>
      </w:r>
    </w:p>
    <w:p w14:paraId="62BAA8CD" w14:textId="77777777" w:rsidR="007A7695" w:rsidRPr="000B5F1E" w:rsidRDefault="007A7695" w:rsidP="007A7695">
      <w:pPr>
        <w:spacing w:before="240" w:after="200" w:line="360" w:lineRule="auto"/>
        <w:jc w:val="both"/>
        <w:rPr>
          <w:rFonts w:ascii="Arial" w:hAnsi="Arial" w:cs="Arial"/>
          <w:color w:val="000000" w:themeColor="text1"/>
          <w:highlight w:val="yellow"/>
          <w:lang w:eastAsia="fr-FR"/>
        </w:rPr>
      </w:pPr>
      <w:r w:rsidRPr="000B5F1E">
        <w:rPr>
          <w:rFonts w:ascii="Arial" w:hAnsi="Arial" w:cs="Arial"/>
          <w:color w:val="000000" w:themeColor="text1"/>
          <w:highlight w:val="yellow"/>
          <w:lang w:eastAsia="fr-FR"/>
        </w:rPr>
        <w:t>where P represents the fraction of paper in the MSW;</w:t>
      </w:r>
    </w:p>
    <w:p w14:paraId="2DEAAACC" w14:textId="77777777" w:rsidR="007A7695" w:rsidRPr="000B5F1E" w:rsidRDefault="007A7695" w:rsidP="007A7695">
      <w:pPr>
        <w:spacing w:before="240" w:after="200" w:line="360" w:lineRule="auto"/>
        <w:jc w:val="both"/>
        <w:rPr>
          <w:rFonts w:ascii="Arial" w:hAnsi="Arial" w:cs="Arial"/>
          <w:color w:val="000000" w:themeColor="text1"/>
          <w:highlight w:val="yellow"/>
          <w:lang w:eastAsia="fr-FR"/>
        </w:rPr>
      </w:pPr>
      <w:r w:rsidRPr="000B5F1E">
        <w:rPr>
          <w:rFonts w:ascii="Arial" w:hAnsi="Arial" w:cs="Arial"/>
          <w:color w:val="000000" w:themeColor="text1"/>
          <w:highlight w:val="yellow"/>
          <w:lang w:eastAsia="fr-FR"/>
        </w:rPr>
        <w:t>K denotes the fraction of kitchen waste;</w:t>
      </w:r>
    </w:p>
    <w:p w14:paraId="1EA72449" w14:textId="77777777" w:rsidR="007A7695" w:rsidRPr="000B5F1E" w:rsidRDefault="007A7695" w:rsidP="007A7695">
      <w:pPr>
        <w:spacing w:before="240" w:after="200" w:line="360" w:lineRule="auto"/>
        <w:jc w:val="both"/>
        <w:rPr>
          <w:rFonts w:ascii="Arial" w:hAnsi="Arial" w:cs="Arial"/>
          <w:color w:val="000000" w:themeColor="text1"/>
          <w:highlight w:val="yellow"/>
          <w:lang w:eastAsia="fr-FR"/>
        </w:rPr>
      </w:pPr>
      <w:r w:rsidRPr="000B5F1E">
        <w:rPr>
          <w:rFonts w:ascii="Arial" w:hAnsi="Arial" w:cs="Arial"/>
          <w:color w:val="000000" w:themeColor="text1"/>
          <w:highlight w:val="yellow"/>
          <w:lang w:eastAsia="fr-FR"/>
        </w:rPr>
        <w:t>W indicates the fraction of wood/leaves in the waste.</w:t>
      </w:r>
    </w:p>
    <w:p w14:paraId="0D27C5A3" w14:textId="2584C22D" w:rsidR="007A7695" w:rsidRPr="000B5F1E" w:rsidRDefault="007A7695" w:rsidP="007A7695">
      <w:pPr>
        <w:spacing w:before="240" w:after="200" w:line="360" w:lineRule="auto"/>
        <w:jc w:val="both"/>
        <w:rPr>
          <w:rFonts w:ascii="Arial" w:hAnsi="Arial" w:cs="Arial"/>
          <w:color w:val="000000" w:themeColor="text1"/>
          <w:highlight w:val="yellow"/>
          <w:lang w:eastAsia="fr-FR"/>
        </w:rPr>
      </w:pPr>
      <w:r w:rsidRPr="000B5F1E">
        <w:rPr>
          <w:rFonts w:ascii="Arial" w:hAnsi="Arial" w:cs="Arial"/>
          <w:color w:val="000000" w:themeColor="text1"/>
          <w:highlight w:val="yellow"/>
          <w:lang w:eastAsia="fr-FR"/>
        </w:rPr>
        <w:t>Furthermore, the default value of 0.77 was used for the DOCF. Additionally, 1 ton of CH</w:t>
      </w:r>
      <w:r w:rsidRPr="000B5F1E">
        <w:rPr>
          <w:rFonts w:ascii="Arial" w:hAnsi="Arial" w:cs="Arial"/>
          <w:color w:val="000000" w:themeColor="text1"/>
          <w:highlight w:val="yellow"/>
          <w:vertAlign w:val="subscript"/>
          <w:lang w:eastAsia="fr-FR"/>
        </w:rPr>
        <w:t>4</w:t>
      </w:r>
      <w:r w:rsidRPr="000B5F1E">
        <w:rPr>
          <w:rFonts w:ascii="Arial" w:hAnsi="Arial" w:cs="Arial"/>
          <w:color w:val="000000" w:themeColor="text1"/>
          <w:highlight w:val="yellow"/>
          <w:lang w:eastAsia="fr-FR"/>
        </w:rPr>
        <w:t xml:space="preserve"> generates 0.2805 MW of electrical </w:t>
      </w:r>
      <w:bookmarkStart w:id="3" w:name="_Hlk205743988"/>
      <w:r w:rsidR="006D6AD0" w:rsidRPr="000B5F1E">
        <w:rPr>
          <w:rFonts w:ascii="Arial" w:hAnsi="Arial" w:cs="Arial"/>
          <w:color w:val="000000" w:themeColor="text1"/>
          <w:highlight w:val="yellow"/>
          <w:lang w:eastAsia="fr-FR"/>
        </w:rPr>
        <w:t>power (</w:t>
      </w:r>
      <w:r w:rsidR="003478E7" w:rsidRPr="000B5F1E">
        <w:rPr>
          <w:rFonts w:ascii="Arial" w:hAnsi="Arial" w:cs="Arial"/>
          <w:b/>
          <w:bCs/>
          <w:color w:val="000000" w:themeColor="text1"/>
          <w:highlight w:val="yellow"/>
          <w:lang w:eastAsia="fr-FR"/>
        </w:rPr>
        <w:t>Johari et al.</w:t>
      </w:r>
      <w:r w:rsidR="00A547A3" w:rsidRPr="000B5F1E">
        <w:rPr>
          <w:rFonts w:ascii="Arial" w:hAnsi="Arial" w:cs="Arial"/>
          <w:b/>
          <w:bCs/>
          <w:color w:val="000000" w:themeColor="text1"/>
          <w:highlight w:val="yellow"/>
          <w:lang w:eastAsia="fr-FR"/>
        </w:rPr>
        <w:t xml:space="preserve">, </w:t>
      </w:r>
      <w:bookmarkEnd w:id="3"/>
      <w:proofErr w:type="gramStart"/>
      <w:r w:rsidR="003478E7" w:rsidRPr="000B5F1E">
        <w:rPr>
          <w:rFonts w:ascii="Arial" w:hAnsi="Arial" w:cs="Arial"/>
          <w:b/>
          <w:bCs/>
          <w:color w:val="000000" w:themeColor="text1"/>
          <w:highlight w:val="yellow"/>
          <w:lang w:eastAsia="fr-FR"/>
        </w:rPr>
        <w:t>2012</w:t>
      </w:r>
      <w:r w:rsidR="003478E7" w:rsidRPr="000B5F1E">
        <w:rPr>
          <w:rFonts w:ascii="Arial" w:hAnsi="Arial" w:cs="Arial"/>
          <w:color w:val="000000" w:themeColor="text1"/>
          <w:highlight w:val="yellow"/>
          <w:lang w:eastAsia="fr-FR"/>
        </w:rPr>
        <w:t xml:space="preserve"> )</w:t>
      </w:r>
      <w:proofErr w:type="gramEnd"/>
      <w:r w:rsidRPr="000B5F1E">
        <w:rPr>
          <w:rFonts w:ascii="Arial" w:hAnsi="Arial" w:cs="Arial"/>
          <w:color w:val="000000" w:themeColor="text1"/>
          <w:highlight w:val="yellow"/>
          <w:lang w:eastAsia="fr-FR"/>
        </w:rPr>
        <w:t>.</w:t>
      </w:r>
    </w:p>
    <w:p w14:paraId="49D5ABC5" w14:textId="77777777" w:rsidR="007A7695" w:rsidRPr="000B5F1E" w:rsidRDefault="007A7695" w:rsidP="007A7695">
      <w:pPr>
        <w:pStyle w:val="NormalWeb"/>
        <w:rPr>
          <w:rFonts w:ascii="Arial" w:hAnsi="Arial" w:cs="Arial"/>
          <w:i/>
          <w:iCs/>
          <w:sz w:val="20"/>
          <w:szCs w:val="20"/>
          <w:highlight w:val="yellow"/>
        </w:rPr>
      </w:pPr>
      <w:r w:rsidRPr="000B5F1E">
        <w:rPr>
          <w:rStyle w:val="lev"/>
          <w:rFonts w:ascii="Arial" w:hAnsi="Arial" w:cs="Arial"/>
          <w:i/>
          <w:iCs/>
          <w:sz w:val="20"/>
          <w:szCs w:val="20"/>
          <w:highlight w:val="yellow"/>
        </w:rPr>
        <w:t xml:space="preserve">2.2.3. </w:t>
      </w:r>
      <w:proofErr w:type="spellStart"/>
      <w:r w:rsidRPr="000B5F1E">
        <w:rPr>
          <w:rStyle w:val="lev"/>
          <w:rFonts w:ascii="Arial" w:hAnsi="Arial" w:cs="Arial"/>
          <w:i/>
          <w:iCs/>
          <w:sz w:val="20"/>
          <w:szCs w:val="20"/>
          <w:highlight w:val="yellow"/>
        </w:rPr>
        <w:t>Taherzadeh</w:t>
      </w:r>
      <w:proofErr w:type="spellEnd"/>
      <w:r w:rsidRPr="000B5F1E">
        <w:rPr>
          <w:rStyle w:val="lev"/>
          <w:rFonts w:ascii="Arial" w:hAnsi="Arial" w:cs="Arial"/>
          <w:i/>
          <w:iCs/>
          <w:sz w:val="20"/>
          <w:szCs w:val="20"/>
          <w:highlight w:val="yellow"/>
        </w:rPr>
        <w:t xml:space="preserve"> Model</w:t>
      </w:r>
    </w:p>
    <w:p w14:paraId="252B8F31" w14:textId="5FE8F7FE" w:rsidR="007A7695" w:rsidRPr="000B5F1E" w:rsidRDefault="007A7695" w:rsidP="007A7695">
      <w:pPr>
        <w:pStyle w:val="NormalWeb"/>
        <w:spacing w:line="276" w:lineRule="auto"/>
        <w:jc w:val="both"/>
        <w:rPr>
          <w:rFonts w:ascii="Arial" w:hAnsi="Arial" w:cs="Arial"/>
          <w:sz w:val="20"/>
          <w:szCs w:val="20"/>
          <w:highlight w:val="yellow"/>
        </w:rPr>
      </w:pPr>
      <w:r w:rsidRPr="000B5F1E">
        <w:rPr>
          <w:rFonts w:ascii="Arial" w:hAnsi="Arial" w:cs="Arial"/>
          <w:sz w:val="20"/>
          <w:szCs w:val="20"/>
          <w:highlight w:val="yellow"/>
        </w:rPr>
        <w:t xml:space="preserve">This model involved correlating the number of inhabitants with the biogas flow rate, as shown in </w:t>
      </w:r>
      <w:r w:rsidRPr="000B5F1E">
        <w:rPr>
          <w:rFonts w:ascii="Arial" w:hAnsi="Arial" w:cs="Arial"/>
          <w:b/>
          <w:bCs/>
          <w:sz w:val="20"/>
          <w:szCs w:val="20"/>
          <w:highlight w:val="yellow"/>
        </w:rPr>
        <w:t>table 2</w:t>
      </w:r>
      <w:r w:rsidRPr="000B5F1E">
        <w:rPr>
          <w:rFonts w:ascii="Arial" w:hAnsi="Arial" w:cs="Arial"/>
          <w:sz w:val="20"/>
          <w:szCs w:val="20"/>
          <w:highlight w:val="yellow"/>
        </w:rPr>
        <w:t>. In this estimation, only the lower limit was considered, as the biogas generation process in Abidjan is entirely driven by anaerobic degradation. Additionally, the amount of waste sent to the landfill was taken into account</w:t>
      </w:r>
      <w:r w:rsidR="00480918" w:rsidRPr="000B5F1E">
        <w:rPr>
          <w:rFonts w:ascii="Arial" w:hAnsi="Arial" w:cs="Arial"/>
          <w:sz w:val="20"/>
          <w:szCs w:val="20"/>
          <w:highlight w:val="yellow"/>
        </w:rPr>
        <w:t xml:space="preserve"> </w:t>
      </w:r>
      <w:r w:rsidR="000F055A" w:rsidRPr="000B5F1E">
        <w:rPr>
          <w:rFonts w:ascii="Arial" w:hAnsi="Arial" w:cs="Arial"/>
          <w:bCs/>
          <w:sz w:val="20"/>
          <w:szCs w:val="20"/>
          <w:highlight w:val="yellow"/>
        </w:rPr>
        <w:t>(</w:t>
      </w:r>
      <w:proofErr w:type="spellStart"/>
      <w:r w:rsidR="003478E7" w:rsidRPr="000B5F1E">
        <w:rPr>
          <w:rFonts w:ascii="Arial" w:hAnsi="Arial" w:cs="Arial"/>
          <w:b/>
          <w:bCs/>
          <w:sz w:val="20"/>
          <w:szCs w:val="20"/>
          <w:highlight w:val="yellow"/>
        </w:rPr>
        <w:t>Idehai</w:t>
      </w:r>
      <w:proofErr w:type="spellEnd"/>
      <w:r w:rsidR="003478E7" w:rsidRPr="000B5F1E">
        <w:rPr>
          <w:rFonts w:ascii="Arial" w:hAnsi="Arial" w:cs="Arial"/>
          <w:b/>
          <w:bCs/>
          <w:sz w:val="20"/>
          <w:szCs w:val="20"/>
          <w:highlight w:val="yellow"/>
        </w:rPr>
        <w:t xml:space="preserve"> &amp;</w:t>
      </w:r>
      <w:r w:rsidR="000F055A" w:rsidRPr="000B5F1E">
        <w:rPr>
          <w:rFonts w:ascii="Arial" w:hAnsi="Arial" w:cs="Arial"/>
          <w:b/>
          <w:bCs/>
          <w:sz w:val="20"/>
          <w:szCs w:val="20"/>
          <w:highlight w:val="yellow"/>
        </w:rPr>
        <w:t xml:space="preserve"> </w:t>
      </w:r>
      <w:proofErr w:type="spellStart"/>
      <w:r w:rsidR="000F055A" w:rsidRPr="000B5F1E">
        <w:rPr>
          <w:rFonts w:ascii="Arial" w:hAnsi="Arial" w:cs="Arial"/>
          <w:b/>
          <w:bCs/>
          <w:sz w:val="20"/>
          <w:szCs w:val="20"/>
          <w:highlight w:val="yellow"/>
        </w:rPr>
        <w:t>Akujieze</w:t>
      </w:r>
      <w:proofErr w:type="spellEnd"/>
      <w:r w:rsidR="000F055A" w:rsidRPr="000B5F1E">
        <w:rPr>
          <w:rFonts w:ascii="Arial" w:hAnsi="Arial" w:cs="Arial"/>
          <w:b/>
          <w:bCs/>
          <w:sz w:val="20"/>
          <w:szCs w:val="20"/>
          <w:highlight w:val="yellow"/>
        </w:rPr>
        <w:t>, 2015</w:t>
      </w:r>
      <w:r w:rsidR="000F055A" w:rsidRPr="000B5F1E">
        <w:rPr>
          <w:rFonts w:ascii="Arial" w:hAnsi="Arial" w:cs="Arial"/>
          <w:bCs/>
          <w:sz w:val="20"/>
          <w:szCs w:val="20"/>
          <w:highlight w:val="yellow"/>
        </w:rPr>
        <w:t>)</w:t>
      </w:r>
      <w:r w:rsidRPr="000B5F1E">
        <w:rPr>
          <w:rFonts w:ascii="Arial" w:hAnsi="Arial" w:cs="Arial"/>
          <w:sz w:val="20"/>
          <w:szCs w:val="20"/>
          <w:highlight w:val="yellow"/>
        </w:rPr>
        <w:t>.</w:t>
      </w:r>
    </w:p>
    <w:p w14:paraId="1321107D" w14:textId="598C6EF0" w:rsidR="007A7695" w:rsidRPr="000B5F1E" w:rsidRDefault="007A7695" w:rsidP="007A7695">
      <w:pPr>
        <w:spacing w:after="200" w:line="360" w:lineRule="auto"/>
        <w:ind w:firstLine="709"/>
        <w:jc w:val="both"/>
        <w:rPr>
          <w:rFonts w:ascii="Arial" w:hAnsi="Arial" w:cs="Arial"/>
          <w:color w:val="000000" w:themeColor="text1"/>
          <w:sz w:val="16"/>
          <w:szCs w:val="16"/>
          <w:highlight w:val="yellow"/>
          <w:lang w:eastAsia="fr-FR"/>
        </w:rPr>
      </w:pPr>
      <w:r w:rsidRPr="000B5F1E">
        <w:rPr>
          <w:rFonts w:ascii="Arial" w:hAnsi="Arial" w:cs="Arial"/>
          <w:color w:val="000000" w:themeColor="text1"/>
          <w:sz w:val="16"/>
          <w:szCs w:val="16"/>
          <w:highlight w:val="yellow"/>
          <w:lang w:eastAsia="fr-FR"/>
        </w:rPr>
        <w:t xml:space="preserve"> </w:t>
      </w:r>
      <w:r w:rsidRPr="000B5F1E">
        <w:rPr>
          <w:rFonts w:ascii="Arial" w:hAnsi="Arial" w:cs="Arial"/>
          <w:b/>
          <w:color w:val="000000" w:themeColor="text1"/>
          <w:sz w:val="16"/>
          <w:szCs w:val="16"/>
          <w:highlight w:val="yellow"/>
          <w:lang w:eastAsia="fr-FR"/>
        </w:rPr>
        <w:t xml:space="preserve">Table 2: </w:t>
      </w:r>
      <w:r w:rsidRPr="000B5F1E">
        <w:rPr>
          <w:rFonts w:ascii="Arial" w:hAnsi="Arial" w:cs="Arial"/>
          <w:bCs/>
          <w:color w:val="000000" w:themeColor="text1"/>
          <w:sz w:val="16"/>
          <w:szCs w:val="16"/>
          <w:highlight w:val="yellow"/>
          <w:lang w:eastAsia="fr-FR"/>
        </w:rPr>
        <w:t>Relationship between biogas flow and population size</w:t>
      </w:r>
      <w:bookmarkStart w:id="4" w:name="_Hlk205743939"/>
      <w:r w:rsidR="00480918" w:rsidRPr="000B5F1E">
        <w:rPr>
          <w:rFonts w:ascii="Arial" w:hAnsi="Arial" w:cs="Arial"/>
          <w:bCs/>
          <w:color w:val="000000" w:themeColor="text1"/>
          <w:sz w:val="16"/>
          <w:szCs w:val="16"/>
          <w:highlight w:val="yellow"/>
          <w:lang w:eastAsia="fr-FR"/>
        </w:rPr>
        <w:t xml:space="preserve"> </w:t>
      </w:r>
      <w:r w:rsidR="000F055A" w:rsidRPr="000B5F1E">
        <w:rPr>
          <w:rFonts w:ascii="Arial" w:hAnsi="Arial" w:cs="Arial"/>
          <w:bCs/>
          <w:color w:val="000000" w:themeColor="text1"/>
          <w:sz w:val="16"/>
          <w:szCs w:val="16"/>
          <w:highlight w:val="yellow"/>
          <w:lang w:eastAsia="fr-FR"/>
        </w:rPr>
        <w:t>(</w:t>
      </w:r>
      <w:proofErr w:type="spellStart"/>
      <w:proofErr w:type="gramStart"/>
      <w:r w:rsidR="000F055A" w:rsidRPr="000B5F1E">
        <w:rPr>
          <w:rFonts w:ascii="Arial" w:hAnsi="Arial" w:cs="Arial"/>
          <w:b/>
          <w:bCs/>
          <w:color w:val="000000" w:themeColor="text1"/>
          <w:sz w:val="16"/>
          <w:szCs w:val="16"/>
          <w:highlight w:val="yellow"/>
          <w:lang w:eastAsia="fr-FR"/>
        </w:rPr>
        <w:t>Idehai</w:t>
      </w:r>
      <w:proofErr w:type="spellEnd"/>
      <w:r w:rsidR="000F055A" w:rsidRPr="000B5F1E">
        <w:rPr>
          <w:rFonts w:ascii="Arial" w:hAnsi="Arial" w:cs="Arial"/>
          <w:b/>
          <w:bCs/>
          <w:color w:val="000000" w:themeColor="text1"/>
          <w:sz w:val="16"/>
          <w:szCs w:val="16"/>
          <w:highlight w:val="yellow"/>
          <w:lang w:eastAsia="fr-FR"/>
        </w:rPr>
        <w:t xml:space="preserve">  &amp;</w:t>
      </w:r>
      <w:proofErr w:type="gramEnd"/>
      <w:r w:rsidR="000F055A" w:rsidRPr="000B5F1E">
        <w:rPr>
          <w:rFonts w:ascii="Arial" w:hAnsi="Arial" w:cs="Arial"/>
          <w:b/>
          <w:bCs/>
          <w:color w:val="000000" w:themeColor="text1"/>
          <w:sz w:val="16"/>
          <w:szCs w:val="16"/>
          <w:highlight w:val="yellow"/>
          <w:lang w:eastAsia="fr-FR"/>
        </w:rPr>
        <w:t xml:space="preserve"> </w:t>
      </w:r>
      <w:proofErr w:type="spellStart"/>
      <w:r w:rsidR="000F055A" w:rsidRPr="000B5F1E">
        <w:rPr>
          <w:rFonts w:ascii="Arial" w:hAnsi="Arial" w:cs="Arial"/>
          <w:b/>
          <w:bCs/>
          <w:color w:val="000000" w:themeColor="text1"/>
          <w:sz w:val="16"/>
          <w:szCs w:val="16"/>
          <w:highlight w:val="yellow"/>
          <w:lang w:eastAsia="fr-FR"/>
        </w:rPr>
        <w:t>Akujieze</w:t>
      </w:r>
      <w:proofErr w:type="spellEnd"/>
      <w:r w:rsidR="000F055A" w:rsidRPr="000B5F1E">
        <w:rPr>
          <w:rFonts w:ascii="Arial" w:hAnsi="Arial" w:cs="Arial"/>
          <w:b/>
          <w:bCs/>
          <w:color w:val="000000" w:themeColor="text1"/>
          <w:sz w:val="16"/>
          <w:szCs w:val="16"/>
          <w:highlight w:val="yellow"/>
          <w:lang w:eastAsia="fr-FR"/>
        </w:rPr>
        <w:t xml:space="preserve">, </w:t>
      </w:r>
      <w:r w:rsidR="000F055A" w:rsidRPr="000B5F1E">
        <w:rPr>
          <w:rFonts w:ascii="Arial" w:hAnsi="Arial" w:cs="Arial"/>
          <w:b/>
          <w:bCs/>
          <w:color w:val="000000" w:themeColor="text1"/>
          <w:sz w:val="16"/>
          <w:szCs w:val="16"/>
          <w:highlight w:val="yellow"/>
          <w:lang w:eastAsia="fr-FR"/>
        </w:rPr>
        <w:t>2015</w:t>
      </w:r>
      <w:r w:rsidR="000F055A" w:rsidRPr="000B5F1E">
        <w:rPr>
          <w:rFonts w:ascii="Arial" w:hAnsi="Arial" w:cs="Arial"/>
          <w:bCs/>
          <w:color w:val="000000" w:themeColor="text1"/>
          <w:sz w:val="16"/>
          <w:szCs w:val="16"/>
          <w:highlight w:val="yellow"/>
          <w:lang w:eastAsia="fr-FR"/>
        </w:rPr>
        <w:t>)</w:t>
      </w:r>
      <w:bookmarkEnd w:id="4"/>
      <w:r w:rsidRPr="000B5F1E">
        <w:rPr>
          <w:rFonts w:ascii="Arial" w:hAnsi="Arial" w:cs="Arial"/>
          <w:b/>
          <w:color w:val="000000" w:themeColor="text1"/>
          <w:sz w:val="16"/>
          <w:szCs w:val="16"/>
          <w:highlight w:val="yellow"/>
          <w:vertAlign w:val="superscript"/>
          <w:lang w:eastAsia="fr-FR"/>
        </w:rPr>
        <w:t>9</w:t>
      </w:r>
      <w:r w:rsidRPr="000B5F1E">
        <w:rPr>
          <w:rFonts w:ascii="Arial" w:hAnsi="Arial" w:cs="Arial"/>
          <w:b/>
          <w:color w:val="000000" w:themeColor="text1"/>
          <w:sz w:val="16"/>
          <w:szCs w:val="16"/>
          <w:highlight w:val="yellow"/>
          <w:lang w:eastAsia="fr-FR"/>
        </w:rPr>
        <w:t xml:space="preserve"> </w:t>
      </w:r>
    </w:p>
    <w:tbl>
      <w:tblPr>
        <w:tblStyle w:val="Grilledutableau1"/>
        <w:tblW w:w="0" w:type="auto"/>
        <w:jc w:val="center"/>
        <w:tblBorders>
          <w:top w:val="single" w:sz="18" w:space="0" w:color="000000"/>
          <w:left w:val="none" w:sz="0" w:space="0" w:color="auto"/>
          <w:bottom w:val="single" w:sz="18" w:space="0" w:color="000000"/>
          <w:right w:val="none" w:sz="0" w:space="0" w:color="auto"/>
          <w:insideH w:val="none" w:sz="0" w:space="0" w:color="auto"/>
          <w:insideV w:val="none" w:sz="0" w:space="0" w:color="auto"/>
        </w:tblBorders>
        <w:tblLook w:val="04A0" w:firstRow="1" w:lastRow="0" w:firstColumn="1" w:lastColumn="0" w:noHBand="0" w:noVBand="1"/>
      </w:tblPr>
      <w:tblGrid>
        <w:gridCol w:w="3686"/>
        <w:gridCol w:w="1800"/>
        <w:gridCol w:w="2039"/>
      </w:tblGrid>
      <w:tr w:rsidR="007A7695" w:rsidRPr="000B5F1E" w14:paraId="639EE667" w14:textId="77777777" w:rsidTr="00480C5D">
        <w:trPr>
          <w:trHeight w:val="434"/>
          <w:jc w:val="center"/>
        </w:trPr>
        <w:tc>
          <w:tcPr>
            <w:tcW w:w="3686" w:type="dxa"/>
            <w:tcBorders>
              <w:top w:val="single" w:sz="18" w:space="0" w:color="000000"/>
              <w:bottom w:val="single" w:sz="18" w:space="0" w:color="000000"/>
            </w:tcBorders>
          </w:tcPr>
          <w:p w14:paraId="76823C09" w14:textId="77777777" w:rsidR="007A7695" w:rsidRPr="000B5F1E" w:rsidRDefault="007A7695" w:rsidP="00480C5D">
            <w:pPr>
              <w:spacing w:line="360" w:lineRule="auto"/>
              <w:jc w:val="both"/>
              <w:rPr>
                <w:rFonts w:ascii="Arial" w:hAnsi="Arial" w:cs="Arial"/>
                <w:color w:val="000000" w:themeColor="text1"/>
                <w:sz w:val="16"/>
                <w:szCs w:val="16"/>
                <w:highlight w:val="yellow"/>
                <w:lang w:val="en-US"/>
              </w:rPr>
            </w:pPr>
          </w:p>
        </w:tc>
        <w:tc>
          <w:tcPr>
            <w:tcW w:w="1800" w:type="dxa"/>
            <w:tcBorders>
              <w:top w:val="single" w:sz="18" w:space="0" w:color="000000"/>
              <w:bottom w:val="single" w:sz="18" w:space="0" w:color="000000"/>
            </w:tcBorders>
          </w:tcPr>
          <w:p w14:paraId="7D46210C" w14:textId="77777777" w:rsidR="007A7695" w:rsidRPr="000B5F1E" w:rsidRDefault="007A7695" w:rsidP="00480C5D">
            <w:pPr>
              <w:spacing w:line="360" w:lineRule="auto"/>
              <w:jc w:val="both"/>
              <w:rPr>
                <w:rFonts w:ascii="Arial" w:hAnsi="Arial" w:cs="Arial"/>
                <w:color w:val="000000" w:themeColor="text1"/>
                <w:sz w:val="16"/>
                <w:szCs w:val="16"/>
                <w:highlight w:val="yellow"/>
              </w:rPr>
            </w:pPr>
            <w:proofErr w:type="spellStart"/>
            <w:r w:rsidRPr="000B5F1E">
              <w:rPr>
                <w:rFonts w:ascii="Arial" w:hAnsi="Arial" w:cs="Arial"/>
                <w:color w:val="000000" w:themeColor="text1"/>
                <w:sz w:val="16"/>
                <w:szCs w:val="16"/>
                <w:highlight w:val="yellow"/>
              </w:rPr>
              <w:t>Lower</w:t>
            </w:r>
            <w:proofErr w:type="spellEnd"/>
            <w:r w:rsidRPr="000B5F1E">
              <w:rPr>
                <w:rFonts w:ascii="Arial" w:hAnsi="Arial" w:cs="Arial"/>
                <w:color w:val="000000" w:themeColor="text1"/>
                <w:sz w:val="16"/>
                <w:szCs w:val="16"/>
                <w:highlight w:val="yellow"/>
              </w:rPr>
              <w:t xml:space="preserve"> </w:t>
            </w:r>
            <w:proofErr w:type="spellStart"/>
            <w:r w:rsidRPr="000B5F1E">
              <w:rPr>
                <w:rFonts w:ascii="Arial" w:hAnsi="Arial" w:cs="Arial"/>
                <w:color w:val="000000" w:themeColor="text1"/>
                <w:sz w:val="16"/>
                <w:szCs w:val="16"/>
                <w:highlight w:val="yellow"/>
              </w:rPr>
              <w:t>limit</w:t>
            </w:r>
            <w:proofErr w:type="spellEnd"/>
          </w:p>
        </w:tc>
        <w:tc>
          <w:tcPr>
            <w:tcW w:w="2039" w:type="dxa"/>
            <w:tcBorders>
              <w:top w:val="single" w:sz="18" w:space="0" w:color="000000"/>
              <w:bottom w:val="single" w:sz="18" w:space="0" w:color="000000"/>
            </w:tcBorders>
          </w:tcPr>
          <w:p w14:paraId="066ECC43" w14:textId="77777777" w:rsidR="007A7695" w:rsidRPr="000B5F1E" w:rsidRDefault="007A7695" w:rsidP="00480C5D">
            <w:pPr>
              <w:spacing w:line="360" w:lineRule="auto"/>
              <w:jc w:val="both"/>
              <w:rPr>
                <w:rFonts w:ascii="Arial" w:hAnsi="Arial" w:cs="Arial"/>
                <w:color w:val="000000" w:themeColor="text1"/>
                <w:sz w:val="16"/>
                <w:szCs w:val="16"/>
                <w:highlight w:val="yellow"/>
              </w:rPr>
            </w:pPr>
            <w:proofErr w:type="spellStart"/>
            <w:r w:rsidRPr="000B5F1E">
              <w:rPr>
                <w:rFonts w:ascii="Arial" w:hAnsi="Arial" w:cs="Arial"/>
                <w:color w:val="000000" w:themeColor="text1"/>
                <w:sz w:val="16"/>
                <w:szCs w:val="16"/>
                <w:highlight w:val="yellow"/>
              </w:rPr>
              <w:t>Upper</w:t>
            </w:r>
            <w:proofErr w:type="spellEnd"/>
            <w:r w:rsidRPr="000B5F1E">
              <w:rPr>
                <w:rFonts w:ascii="Arial" w:hAnsi="Arial" w:cs="Arial"/>
                <w:color w:val="000000" w:themeColor="text1"/>
                <w:sz w:val="16"/>
                <w:szCs w:val="16"/>
                <w:highlight w:val="yellow"/>
              </w:rPr>
              <w:t xml:space="preserve"> </w:t>
            </w:r>
            <w:proofErr w:type="spellStart"/>
            <w:r w:rsidRPr="000B5F1E">
              <w:rPr>
                <w:rFonts w:ascii="Arial" w:hAnsi="Arial" w:cs="Arial"/>
                <w:color w:val="000000" w:themeColor="text1"/>
                <w:sz w:val="16"/>
                <w:szCs w:val="16"/>
                <w:highlight w:val="yellow"/>
              </w:rPr>
              <w:t>limit</w:t>
            </w:r>
            <w:proofErr w:type="spellEnd"/>
          </w:p>
        </w:tc>
      </w:tr>
      <w:tr w:rsidR="007A7695" w:rsidRPr="000B5F1E" w14:paraId="72D48F51" w14:textId="77777777" w:rsidTr="00480C5D">
        <w:trPr>
          <w:trHeight w:val="434"/>
          <w:jc w:val="center"/>
        </w:trPr>
        <w:tc>
          <w:tcPr>
            <w:tcW w:w="3686" w:type="dxa"/>
            <w:tcBorders>
              <w:top w:val="single" w:sz="18" w:space="0" w:color="000000"/>
            </w:tcBorders>
          </w:tcPr>
          <w:p w14:paraId="61F9E2DE" w14:textId="77777777" w:rsidR="007A7695" w:rsidRPr="000B5F1E" w:rsidRDefault="007A7695" w:rsidP="00480C5D">
            <w:pPr>
              <w:spacing w:line="360" w:lineRule="auto"/>
              <w:jc w:val="both"/>
              <w:rPr>
                <w:rFonts w:ascii="Arial" w:hAnsi="Arial" w:cs="Arial"/>
                <w:color w:val="000000" w:themeColor="text1"/>
                <w:sz w:val="16"/>
                <w:szCs w:val="16"/>
                <w:highlight w:val="yellow"/>
                <w:vertAlign w:val="superscript"/>
                <w:lang w:val="en-US"/>
              </w:rPr>
            </w:pPr>
            <w:r w:rsidRPr="000B5F1E">
              <w:rPr>
                <w:rFonts w:ascii="Arial" w:hAnsi="Arial" w:cs="Arial"/>
                <w:color w:val="000000" w:themeColor="text1"/>
                <w:sz w:val="16"/>
                <w:szCs w:val="16"/>
                <w:highlight w:val="yellow"/>
                <w:lang w:val="en-US"/>
              </w:rPr>
              <w:t>Biogas flow rate (m³/h)</w:t>
            </w:r>
          </w:p>
        </w:tc>
        <w:tc>
          <w:tcPr>
            <w:tcW w:w="1800" w:type="dxa"/>
            <w:tcBorders>
              <w:top w:val="single" w:sz="18" w:space="0" w:color="000000"/>
            </w:tcBorders>
          </w:tcPr>
          <w:p w14:paraId="4A815C9A" w14:textId="77777777" w:rsidR="007A7695" w:rsidRPr="000B5F1E" w:rsidRDefault="007A7695" w:rsidP="00480C5D">
            <w:pPr>
              <w:spacing w:line="360" w:lineRule="auto"/>
              <w:jc w:val="both"/>
              <w:rPr>
                <w:rFonts w:ascii="Arial" w:hAnsi="Arial" w:cs="Arial"/>
                <w:color w:val="000000" w:themeColor="text1"/>
                <w:sz w:val="16"/>
                <w:szCs w:val="16"/>
                <w:highlight w:val="yellow"/>
              </w:rPr>
            </w:pPr>
            <w:r w:rsidRPr="000B5F1E">
              <w:rPr>
                <w:rFonts w:ascii="Arial" w:hAnsi="Arial" w:cs="Arial"/>
                <w:color w:val="000000" w:themeColor="text1"/>
                <w:sz w:val="16"/>
                <w:szCs w:val="16"/>
                <w:highlight w:val="yellow"/>
              </w:rPr>
              <w:t xml:space="preserve">750  </w:t>
            </w:r>
          </w:p>
        </w:tc>
        <w:tc>
          <w:tcPr>
            <w:tcW w:w="2039" w:type="dxa"/>
            <w:tcBorders>
              <w:top w:val="single" w:sz="18" w:space="0" w:color="000000"/>
            </w:tcBorders>
          </w:tcPr>
          <w:p w14:paraId="5FCA66BF" w14:textId="77777777" w:rsidR="007A7695" w:rsidRPr="000B5F1E" w:rsidRDefault="007A7695" w:rsidP="00480C5D">
            <w:pPr>
              <w:spacing w:line="360" w:lineRule="auto"/>
              <w:jc w:val="both"/>
              <w:rPr>
                <w:rFonts w:ascii="Arial" w:hAnsi="Arial" w:cs="Arial"/>
                <w:color w:val="000000" w:themeColor="text1"/>
                <w:sz w:val="16"/>
                <w:szCs w:val="16"/>
                <w:highlight w:val="yellow"/>
              </w:rPr>
            </w:pPr>
            <w:r w:rsidRPr="000B5F1E">
              <w:rPr>
                <w:rFonts w:ascii="Arial" w:hAnsi="Arial" w:cs="Arial"/>
                <w:color w:val="000000" w:themeColor="text1"/>
                <w:sz w:val="16"/>
                <w:szCs w:val="16"/>
                <w:highlight w:val="yellow"/>
              </w:rPr>
              <w:t>3 750 </w:t>
            </w:r>
          </w:p>
        </w:tc>
      </w:tr>
      <w:tr w:rsidR="007A7695" w:rsidRPr="000B5F1E" w14:paraId="7EE6BAD4" w14:textId="77777777" w:rsidTr="00480C5D">
        <w:trPr>
          <w:trHeight w:val="452"/>
          <w:jc w:val="center"/>
        </w:trPr>
        <w:tc>
          <w:tcPr>
            <w:tcW w:w="3686" w:type="dxa"/>
          </w:tcPr>
          <w:p w14:paraId="5F8AFFC6" w14:textId="77777777" w:rsidR="007A7695" w:rsidRPr="000B5F1E" w:rsidRDefault="007A7695" w:rsidP="00480C5D">
            <w:pPr>
              <w:spacing w:line="360" w:lineRule="auto"/>
              <w:jc w:val="both"/>
              <w:rPr>
                <w:rFonts w:ascii="Arial" w:hAnsi="Arial" w:cs="Arial"/>
                <w:color w:val="000000" w:themeColor="text1"/>
                <w:sz w:val="16"/>
                <w:szCs w:val="16"/>
                <w:highlight w:val="yellow"/>
              </w:rPr>
            </w:pPr>
            <w:r w:rsidRPr="000B5F1E">
              <w:rPr>
                <w:rFonts w:ascii="Arial" w:hAnsi="Arial" w:cs="Arial"/>
                <w:color w:val="000000" w:themeColor="text1"/>
                <w:sz w:val="16"/>
                <w:szCs w:val="16"/>
                <w:highlight w:val="yellow"/>
              </w:rPr>
              <w:t>Electric Power (MW)</w:t>
            </w:r>
          </w:p>
        </w:tc>
        <w:tc>
          <w:tcPr>
            <w:tcW w:w="1800" w:type="dxa"/>
          </w:tcPr>
          <w:p w14:paraId="728337C0" w14:textId="77777777" w:rsidR="007A7695" w:rsidRPr="000B5F1E" w:rsidRDefault="007A7695" w:rsidP="00480C5D">
            <w:pPr>
              <w:spacing w:line="360" w:lineRule="auto"/>
              <w:jc w:val="both"/>
              <w:rPr>
                <w:rFonts w:ascii="Arial" w:hAnsi="Arial" w:cs="Arial"/>
                <w:color w:val="000000" w:themeColor="text1"/>
                <w:sz w:val="16"/>
                <w:szCs w:val="16"/>
                <w:highlight w:val="yellow"/>
              </w:rPr>
            </w:pPr>
            <w:r w:rsidRPr="000B5F1E">
              <w:rPr>
                <w:rFonts w:ascii="Arial" w:hAnsi="Arial" w:cs="Arial"/>
                <w:color w:val="000000" w:themeColor="text1"/>
                <w:sz w:val="16"/>
                <w:szCs w:val="16"/>
                <w:highlight w:val="yellow"/>
              </w:rPr>
              <w:t>1</w:t>
            </w:r>
          </w:p>
        </w:tc>
        <w:tc>
          <w:tcPr>
            <w:tcW w:w="2039" w:type="dxa"/>
          </w:tcPr>
          <w:p w14:paraId="2EFEC560" w14:textId="77777777" w:rsidR="007A7695" w:rsidRPr="000B5F1E" w:rsidRDefault="007A7695" w:rsidP="00480C5D">
            <w:pPr>
              <w:spacing w:line="360" w:lineRule="auto"/>
              <w:jc w:val="both"/>
              <w:rPr>
                <w:rFonts w:ascii="Arial" w:hAnsi="Arial" w:cs="Arial"/>
                <w:color w:val="000000" w:themeColor="text1"/>
                <w:sz w:val="16"/>
                <w:szCs w:val="16"/>
                <w:highlight w:val="yellow"/>
              </w:rPr>
            </w:pPr>
            <w:r w:rsidRPr="000B5F1E">
              <w:rPr>
                <w:rFonts w:ascii="Arial" w:hAnsi="Arial" w:cs="Arial"/>
                <w:color w:val="000000" w:themeColor="text1"/>
                <w:sz w:val="16"/>
                <w:szCs w:val="16"/>
                <w:highlight w:val="yellow"/>
              </w:rPr>
              <w:t>5</w:t>
            </w:r>
          </w:p>
        </w:tc>
      </w:tr>
      <w:tr w:rsidR="007A7695" w:rsidRPr="000B5F1E" w14:paraId="282294C4" w14:textId="77777777" w:rsidTr="00480C5D">
        <w:trPr>
          <w:trHeight w:val="452"/>
          <w:jc w:val="center"/>
        </w:trPr>
        <w:tc>
          <w:tcPr>
            <w:tcW w:w="3686" w:type="dxa"/>
          </w:tcPr>
          <w:p w14:paraId="749A57BD" w14:textId="77777777" w:rsidR="007A7695" w:rsidRPr="000B5F1E" w:rsidRDefault="007A7695" w:rsidP="00480C5D">
            <w:pPr>
              <w:spacing w:line="360" w:lineRule="auto"/>
              <w:jc w:val="both"/>
              <w:rPr>
                <w:rFonts w:ascii="Arial" w:hAnsi="Arial" w:cs="Arial"/>
                <w:color w:val="000000" w:themeColor="text1"/>
                <w:sz w:val="16"/>
                <w:szCs w:val="16"/>
                <w:highlight w:val="yellow"/>
              </w:rPr>
            </w:pPr>
            <w:r w:rsidRPr="000B5F1E">
              <w:rPr>
                <w:rFonts w:ascii="Arial" w:hAnsi="Arial" w:cs="Arial"/>
                <w:color w:val="000000" w:themeColor="text1"/>
                <w:sz w:val="16"/>
                <w:szCs w:val="16"/>
                <w:highlight w:val="yellow"/>
              </w:rPr>
              <w:t>Population</w:t>
            </w:r>
          </w:p>
        </w:tc>
        <w:tc>
          <w:tcPr>
            <w:tcW w:w="1800" w:type="dxa"/>
          </w:tcPr>
          <w:p w14:paraId="6024F042" w14:textId="77777777" w:rsidR="007A7695" w:rsidRPr="000B5F1E" w:rsidRDefault="007A7695" w:rsidP="00480C5D">
            <w:pPr>
              <w:spacing w:line="360" w:lineRule="auto"/>
              <w:jc w:val="both"/>
              <w:rPr>
                <w:rFonts w:ascii="Arial" w:hAnsi="Arial" w:cs="Arial"/>
                <w:color w:val="000000" w:themeColor="text1"/>
                <w:sz w:val="16"/>
                <w:szCs w:val="16"/>
                <w:highlight w:val="yellow"/>
              </w:rPr>
            </w:pPr>
            <w:r w:rsidRPr="000B5F1E">
              <w:rPr>
                <w:rFonts w:ascii="Arial" w:hAnsi="Arial" w:cs="Arial"/>
                <w:color w:val="000000" w:themeColor="text1"/>
                <w:sz w:val="16"/>
                <w:szCs w:val="16"/>
                <w:highlight w:val="yellow"/>
              </w:rPr>
              <w:t>150 000</w:t>
            </w:r>
          </w:p>
        </w:tc>
        <w:tc>
          <w:tcPr>
            <w:tcW w:w="2039" w:type="dxa"/>
          </w:tcPr>
          <w:p w14:paraId="042204E6" w14:textId="77777777" w:rsidR="007A7695" w:rsidRPr="000B5F1E" w:rsidRDefault="007A7695" w:rsidP="00480C5D">
            <w:pPr>
              <w:spacing w:line="360" w:lineRule="auto"/>
              <w:jc w:val="both"/>
              <w:rPr>
                <w:rFonts w:ascii="Arial" w:hAnsi="Arial" w:cs="Arial"/>
                <w:color w:val="000000" w:themeColor="text1"/>
                <w:sz w:val="16"/>
                <w:szCs w:val="16"/>
                <w:highlight w:val="yellow"/>
              </w:rPr>
            </w:pPr>
            <w:r w:rsidRPr="000B5F1E">
              <w:rPr>
                <w:rFonts w:ascii="Arial" w:hAnsi="Arial" w:cs="Arial"/>
                <w:color w:val="000000" w:themeColor="text1"/>
                <w:sz w:val="16"/>
                <w:szCs w:val="16"/>
                <w:highlight w:val="yellow"/>
              </w:rPr>
              <w:t>150 000</w:t>
            </w:r>
          </w:p>
        </w:tc>
      </w:tr>
    </w:tbl>
    <w:p w14:paraId="51B1F94C" w14:textId="77777777" w:rsidR="007A7695" w:rsidRPr="000B5F1E" w:rsidRDefault="007A7695" w:rsidP="007A7695">
      <w:pPr>
        <w:spacing w:before="240" w:after="200" w:line="360" w:lineRule="auto"/>
        <w:ind w:firstLine="709"/>
        <w:rPr>
          <w:rFonts w:ascii="Arial" w:hAnsi="Arial" w:cs="Arial"/>
          <w:color w:val="000000" w:themeColor="text1"/>
          <w:highlight w:val="yellow"/>
          <w:lang w:eastAsia="fr-FR"/>
        </w:rPr>
      </w:pPr>
      <w:r w:rsidRPr="000B5F1E">
        <w:rPr>
          <w:rFonts w:ascii="Arial" w:hAnsi="Arial" w:cs="Arial"/>
          <w:color w:val="000000" w:themeColor="text1"/>
          <w:highlight w:val="yellow"/>
          <w:lang w:eastAsia="fr-FR"/>
        </w:rPr>
        <w:lastRenderedPageBreak/>
        <w:t>It should be noted that the electrical power potential corresponding to a methane flow rate of 225 m³/h is 2.25 MW</w:t>
      </w:r>
      <w:r w:rsidRPr="000B5F1E">
        <w:rPr>
          <w:rFonts w:ascii="Arial" w:hAnsi="Arial" w:cs="Arial"/>
          <w:b/>
          <w:bCs/>
          <w:color w:val="000000" w:themeColor="text1"/>
          <w:highlight w:val="yellow"/>
          <w:vertAlign w:val="superscript"/>
          <w:lang w:eastAsia="fr-FR"/>
        </w:rPr>
        <w:t>9</w:t>
      </w:r>
      <w:r w:rsidRPr="000B5F1E">
        <w:rPr>
          <w:rFonts w:ascii="Arial" w:hAnsi="Arial" w:cs="Arial"/>
          <w:color w:val="000000" w:themeColor="text1"/>
          <w:highlight w:val="yellow"/>
          <w:lang w:eastAsia="fr-FR"/>
        </w:rPr>
        <w:t>.</w:t>
      </w:r>
    </w:p>
    <w:p w14:paraId="33B5A723" w14:textId="77777777" w:rsidR="007A7695" w:rsidRPr="000B5F1E" w:rsidRDefault="007A7695" w:rsidP="007A7695">
      <w:pPr>
        <w:pStyle w:val="NormalWeb"/>
        <w:rPr>
          <w:rFonts w:ascii="Arial" w:hAnsi="Arial" w:cs="Arial"/>
          <w:i/>
          <w:iCs/>
          <w:sz w:val="20"/>
          <w:szCs w:val="20"/>
          <w:highlight w:val="yellow"/>
        </w:rPr>
      </w:pPr>
      <w:r w:rsidRPr="000B5F1E">
        <w:rPr>
          <w:rStyle w:val="lev"/>
          <w:rFonts w:ascii="Arial" w:hAnsi="Arial" w:cs="Arial"/>
          <w:i/>
          <w:iCs/>
          <w:sz w:val="20"/>
          <w:szCs w:val="20"/>
          <w:highlight w:val="yellow"/>
        </w:rPr>
        <w:t>2.2.4. Johari et al. Model</w:t>
      </w:r>
    </w:p>
    <w:p w14:paraId="5AD9AAFA" w14:textId="1E1327C2" w:rsidR="007A7695" w:rsidRPr="000B5F1E" w:rsidRDefault="007A7695" w:rsidP="007A7695">
      <w:pPr>
        <w:pStyle w:val="NormalWeb"/>
        <w:rPr>
          <w:rFonts w:ascii="Arial" w:hAnsi="Arial" w:cs="Arial"/>
          <w:sz w:val="20"/>
          <w:szCs w:val="20"/>
          <w:highlight w:val="yellow"/>
        </w:rPr>
      </w:pPr>
      <w:r w:rsidRPr="000B5F1E">
        <w:rPr>
          <w:rFonts w:ascii="Arial" w:hAnsi="Arial" w:cs="Arial"/>
          <w:sz w:val="20"/>
          <w:szCs w:val="20"/>
          <w:highlight w:val="yellow"/>
        </w:rPr>
        <w:t xml:space="preserve">This model is also based on a correlation between the mass of waste generated and the amount of methane produced, taking into account the percentage of biomass as shown in </w:t>
      </w:r>
      <w:r w:rsidRPr="000B5F1E">
        <w:rPr>
          <w:rFonts w:ascii="Arial" w:hAnsi="Arial" w:cs="Arial"/>
          <w:b/>
          <w:bCs/>
          <w:sz w:val="20"/>
          <w:szCs w:val="20"/>
          <w:highlight w:val="yellow"/>
        </w:rPr>
        <w:t>table 3</w:t>
      </w:r>
      <w:r w:rsidR="006D6AD0" w:rsidRPr="000B5F1E">
        <w:rPr>
          <w:rFonts w:ascii="Arial" w:hAnsi="Arial" w:cs="Arial"/>
          <w:b/>
          <w:bCs/>
          <w:sz w:val="20"/>
          <w:szCs w:val="20"/>
          <w:highlight w:val="yellow"/>
        </w:rPr>
        <w:t xml:space="preserve"> </w:t>
      </w:r>
      <w:r w:rsidR="00480918" w:rsidRPr="000B5F1E">
        <w:rPr>
          <w:rFonts w:ascii="Arial" w:hAnsi="Arial" w:cs="Arial"/>
          <w:b/>
          <w:bCs/>
          <w:sz w:val="20"/>
          <w:szCs w:val="20"/>
          <w:highlight w:val="yellow"/>
        </w:rPr>
        <w:t>(</w:t>
      </w:r>
      <w:r w:rsidR="003478E7" w:rsidRPr="000B5F1E">
        <w:rPr>
          <w:rFonts w:ascii="Arial" w:hAnsi="Arial" w:cs="Arial"/>
          <w:b/>
          <w:bCs/>
          <w:sz w:val="20"/>
          <w:szCs w:val="20"/>
          <w:highlight w:val="yellow"/>
        </w:rPr>
        <w:t>Johari et al.</w:t>
      </w:r>
      <w:r w:rsidR="00480918" w:rsidRPr="000B5F1E">
        <w:rPr>
          <w:rFonts w:ascii="Arial" w:hAnsi="Arial" w:cs="Arial"/>
          <w:b/>
          <w:bCs/>
          <w:sz w:val="20"/>
          <w:szCs w:val="20"/>
          <w:highlight w:val="yellow"/>
        </w:rPr>
        <w:t xml:space="preserve">, </w:t>
      </w:r>
      <w:proofErr w:type="gramStart"/>
      <w:r w:rsidR="003478E7" w:rsidRPr="000B5F1E">
        <w:rPr>
          <w:rFonts w:ascii="Arial" w:hAnsi="Arial" w:cs="Arial"/>
          <w:b/>
          <w:bCs/>
          <w:sz w:val="20"/>
          <w:szCs w:val="20"/>
          <w:highlight w:val="yellow"/>
        </w:rPr>
        <w:t>2012 )</w:t>
      </w:r>
      <w:proofErr w:type="gramEnd"/>
      <w:r w:rsidRPr="000B5F1E">
        <w:rPr>
          <w:rFonts w:ascii="Arial" w:hAnsi="Arial" w:cs="Arial"/>
          <w:sz w:val="20"/>
          <w:szCs w:val="20"/>
          <w:highlight w:val="yellow"/>
        </w:rPr>
        <w:t>.</w:t>
      </w:r>
    </w:p>
    <w:p w14:paraId="6B811AAD" w14:textId="77777777" w:rsidR="007A7695" w:rsidRPr="000B5F1E" w:rsidRDefault="007A7695" w:rsidP="007A7695">
      <w:pPr>
        <w:spacing w:line="360" w:lineRule="auto"/>
        <w:ind w:firstLine="709"/>
        <w:rPr>
          <w:rFonts w:ascii="Arial" w:hAnsi="Arial" w:cs="Arial"/>
          <w:color w:val="000000" w:themeColor="text1"/>
          <w:sz w:val="16"/>
          <w:szCs w:val="16"/>
          <w:highlight w:val="yellow"/>
          <w:lang w:eastAsia="fr-FR"/>
        </w:rPr>
      </w:pPr>
      <w:r w:rsidRPr="000B5F1E">
        <w:rPr>
          <w:rFonts w:ascii="Arial" w:hAnsi="Arial" w:cs="Arial"/>
          <w:b/>
          <w:color w:val="000000" w:themeColor="text1"/>
          <w:sz w:val="16"/>
          <w:szCs w:val="16"/>
          <w:highlight w:val="yellow"/>
          <w:lang w:eastAsia="fr-FR"/>
        </w:rPr>
        <w:t xml:space="preserve">Table 3: </w:t>
      </w:r>
      <w:r w:rsidRPr="000B5F1E">
        <w:rPr>
          <w:rFonts w:ascii="Arial" w:hAnsi="Arial" w:cs="Arial"/>
          <w:bCs/>
          <w:color w:val="000000" w:themeColor="text1"/>
          <w:sz w:val="16"/>
          <w:szCs w:val="16"/>
          <w:highlight w:val="yellow"/>
          <w:lang w:eastAsia="fr-FR"/>
        </w:rPr>
        <w:t>Relationship between waste mass and methane mass</w:t>
      </w:r>
    </w:p>
    <w:tbl>
      <w:tblPr>
        <w:tblStyle w:val="Grilledutableau1"/>
        <w:tblW w:w="0" w:type="auto"/>
        <w:jc w:val="center"/>
        <w:tblBorders>
          <w:top w:val="single" w:sz="18" w:space="0" w:color="000000"/>
          <w:left w:val="none" w:sz="0" w:space="0" w:color="auto"/>
          <w:bottom w:val="single" w:sz="18" w:space="0" w:color="000000"/>
          <w:right w:val="none" w:sz="0" w:space="0" w:color="auto"/>
          <w:insideH w:val="none" w:sz="0" w:space="0" w:color="auto"/>
          <w:insideV w:val="none" w:sz="0" w:space="0" w:color="auto"/>
        </w:tblBorders>
        <w:tblLook w:val="04A0" w:firstRow="1" w:lastRow="0" w:firstColumn="1" w:lastColumn="0" w:noHBand="0" w:noVBand="1"/>
      </w:tblPr>
      <w:tblGrid>
        <w:gridCol w:w="3418"/>
        <w:gridCol w:w="4084"/>
      </w:tblGrid>
      <w:tr w:rsidR="007A7695" w:rsidRPr="000B5F1E" w14:paraId="747A0677" w14:textId="77777777" w:rsidTr="00480C5D">
        <w:trPr>
          <w:trHeight w:val="434"/>
          <w:jc w:val="center"/>
        </w:trPr>
        <w:tc>
          <w:tcPr>
            <w:tcW w:w="3418" w:type="dxa"/>
            <w:tcBorders>
              <w:top w:val="single" w:sz="18" w:space="0" w:color="000000"/>
            </w:tcBorders>
          </w:tcPr>
          <w:p w14:paraId="52E9413A" w14:textId="77777777" w:rsidR="007A7695" w:rsidRPr="000B5F1E" w:rsidRDefault="007A7695" w:rsidP="00480C5D">
            <w:pPr>
              <w:spacing w:line="360" w:lineRule="auto"/>
              <w:jc w:val="both"/>
              <w:rPr>
                <w:rFonts w:ascii="Arial" w:hAnsi="Arial" w:cs="Arial"/>
                <w:color w:val="000000" w:themeColor="text1"/>
                <w:sz w:val="16"/>
                <w:szCs w:val="16"/>
                <w:highlight w:val="yellow"/>
                <w:vertAlign w:val="superscript"/>
              </w:rPr>
            </w:pPr>
            <w:r w:rsidRPr="000B5F1E">
              <w:rPr>
                <w:rFonts w:ascii="Arial" w:hAnsi="Arial" w:cs="Arial"/>
                <w:color w:val="000000" w:themeColor="text1"/>
                <w:sz w:val="16"/>
                <w:szCs w:val="16"/>
                <w:highlight w:val="yellow"/>
              </w:rPr>
              <w:t>Waste mass (t)</w:t>
            </w:r>
          </w:p>
        </w:tc>
        <w:tc>
          <w:tcPr>
            <w:tcW w:w="4084" w:type="dxa"/>
            <w:tcBorders>
              <w:top w:val="single" w:sz="18" w:space="0" w:color="000000"/>
            </w:tcBorders>
          </w:tcPr>
          <w:p w14:paraId="59783AF1" w14:textId="77777777" w:rsidR="007A7695" w:rsidRPr="000B5F1E" w:rsidRDefault="007A7695" w:rsidP="00480C5D">
            <w:pPr>
              <w:spacing w:line="360" w:lineRule="auto"/>
              <w:jc w:val="center"/>
              <w:rPr>
                <w:rFonts w:ascii="Arial" w:hAnsi="Arial" w:cs="Arial"/>
                <w:color w:val="000000" w:themeColor="text1"/>
                <w:sz w:val="16"/>
                <w:szCs w:val="16"/>
                <w:highlight w:val="yellow"/>
              </w:rPr>
            </w:pPr>
            <w:r w:rsidRPr="000B5F1E">
              <w:rPr>
                <w:rFonts w:ascii="Arial" w:hAnsi="Arial" w:cs="Arial"/>
                <w:color w:val="000000" w:themeColor="text1"/>
                <w:sz w:val="16"/>
                <w:szCs w:val="16"/>
                <w:highlight w:val="yellow"/>
              </w:rPr>
              <w:t>26.420</w:t>
            </w:r>
          </w:p>
        </w:tc>
      </w:tr>
      <w:tr w:rsidR="007A7695" w:rsidRPr="000B5F1E" w14:paraId="60B43284" w14:textId="77777777" w:rsidTr="00480C5D">
        <w:trPr>
          <w:trHeight w:val="452"/>
          <w:jc w:val="center"/>
        </w:trPr>
        <w:tc>
          <w:tcPr>
            <w:tcW w:w="3418" w:type="dxa"/>
          </w:tcPr>
          <w:p w14:paraId="0856F80C" w14:textId="77777777" w:rsidR="007A7695" w:rsidRPr="000B5F1E" w:rsidRDefault="007A7695" w:rsidP="00480C5D">
            <w:pPr>
              <w:spacing w:line="360" w:lineRule="auto"/>
              <w:jc w:val="both"/>
              <w:rPr>
                <w:rFonts w:ascii="Arial" w:hAnsi="Arial" w:cs="Arial"/>
                <w:color w:val="000000" w:themeColor="text1"/>
                <w:sz w:val="16"/>
                <w:szCs w:val="16"/>
                <w:highlight w:val="yellow"/>
              </w:rPr>
            </w:pPr>
            <w:proofErr w:type="spellStart"/>
            <w:r w:rsidRPr="000B5F1E">
              <w:rPr>
                <w:rFonts w:ascii="Arial" w:hAnsi="Arial" w:cs="Arial"/>
                <w:color w:val="000000" w:themeColor="text1"/>
                <w:sz w:val="16"/>
                <w:szCs w:val="16"/>
                <w:highlight w:val="yellow"/>
              </w:rPr>
              <w:t>Biomass</w:t>
            </w:r>
            <w:proofErr w:type="spellEnd"/>
            <w:r w:rsidRPr="000B5F1E">
              <w:rPr>
                <w:rFonts w:ascii="Arial" w:hAnsi="Arial" w:cs="Arial"/>
                <w:color w:val="000000" w:themeColor="text1"/>
                <w:sz w:val="16"/>
                <w:szCs w:val="16"/>
                <w:highlight w:val="yellow"/>
              </w:rPr>
              <w:t xml:space="preserve"> proportion (%)</w:t>
            </w:r>
          </w:p>
        </w:tc>
        <w:tc>
          <w:tcPr>
            <w:tcW w:w="4084" w:type="dxa"/>
          </w:tcPr>
          <w:p w14:paraId="0B769EBB" w14:textId="77777777" w:rsidR="007A7695" w:rsidRPr="000B5F1E" w:rsidRDefault="007A7695" w:rsidP="00480C5D">
            <w:pPr>
              <w:spacing w:line="360" w:lineRule="auto"/>
              <w:jc w:val="center"/>
              <w:rPr>
                <w:rFonts w:ascii="Arial" w:hAnsi="Arial" w:cs="Arial"/>
                <w:color w:val="000000" w:themeColor="text1"/>
                <w:sz w:val="16"/>
                <w:szCs w:val="16"/>
                <w:highlight w:val="yellow"/>
              </w:rPr>
            </w:pPr>
            <w:r w:rsidRPr="000B5F1E">
              <w:rPr>
                <w:rFonts w:ascii="Arial" w:hAnsi="Arial" w:cs="Arial"/>
                <w:color w:val="000000" w:themeColor="text1"/>
                <w:sz w:val="16"/>
                <w:szCs w:val="16"/>
                <w:highlight w:val="yellow"/>
              </w:rPr>
              <w:t xml:space="preserve">61.17 </w:t>
            </w:r>
          </w:p>
        </w:tc>
      </w:tr>
      <w:tr w:rsidR="007A7695" w:rsidRPr="000B5F1E" w14:paraId="0ACAC45C" w14:textId="77777777" w:rsidTr="00480C5D">
        <w:trPr>
          <w:trHeight w:val="452"/>
          <w:jc w:val="center"/>
        </w:trPr>
        <w:tc>
          <w:tcPr>
            <w:tcW w:w="3418" w:type="dxa"/>
          </w:tcPr>
          <w:p w14:paraId="7C02CFD6" w14:textId="77777777" w:rsidR="007A7695" w:rsidRPr="000B5F1E" w:rsidRDefault="007A7695" w:rsidP="00480C5D">
            <w:pPr>
              <w:spacing w:line="360" w:lineRule="auto"/>
              <w:jc w:val="both"/>
              <w:rPr>
                <w:rFonts w:ascii="Arial" w:hAnsi="Arial" w:cs="Arial"/>
                <w:color w:val="000000" w:themeColor="text1"/>
                <w:sz w:val="16"/>
                <w:szCs w:val="16"/>
                <w:highlight w:val="yellow"/>
              </w:rPr>
            </w:pPr>
            <w:proofErr w:type="spellStart"/>
            <w:r w:rsidRPr="000B5F1E">
              <w:rPr>
                <w:rFonts w:ascii="Arial" w:hAnsi="Arial" w:cs="Arial"/>
                <w:color w:val="000000" w:themeColor="text1"/>
                <w:sz w:val="16"/>
                <w:szCs w:val="16"/>
                <w:highlight w:val="yellow"/>
              </w:rPr>
              <w:t>Methane</w:t>
            </w:r>
            <w:proofErr w:type="spellEnd"/>
            <w:r w:rsidRPr="000B5F1E">
              <w:rPr>
                <w:rFonts w:ascii="Arial" w:hAnsi="Arial" w:cs="Arial"/>
                <w:color w:val="000000" w:themeColor="text1"/>
                <w:sz w:val="16"/>
                <w:szCs w:val="16"/>
                <w:highlight w:val="yellow"/>
              </w:rPr>
              <w:t xml:space="preserve"> Mass (t)</w:t>
            </w:r>
          </w:p>
        </w:tc>
        <w:tc>
          <w:tcPr>
            <w:tcW w:w="4084" w:type="dxa"/>
          </w:tcPr>
          <w:p w14:paraId="12EC3570" w14:textId="77777777" w:rsidR="007A7695" w:rsidRPr="000B5F1E" w:rsidRDefault="007A7695" w:rsidP="00480C5D">
            <w:pPr>
              <w:spacing w:line="360" w:lineRule="auto"/>
              <w:jc w:val="center"/>
              <w:rPr>
                <w:rFonts w:ascii="Arial" w:hAnsi="Arial" w:cs="Arial"/>
                <w:color w:val="000000" w:themeColor="text1"/>
                <w:sz w:val="16"/>
                <w:szCs w:val="16"/>
                <w:highlight w:val="yellow"/>
              </w:rPr>
            </w:pPr>
            <w:r w:rsidRPr="000B5F1E">
              <w:rPr>
                <w:rFonts w:ascii="Arial" w:hAnsi="Arial" w:cs="Arial"/>
                <w:color w:val="000000" w:themeColor="text1"/>
                <w:sz w:val="16"/>
                <w:szCs w:val="16"/>
                <w:highlight w:val="yellow"/>
              </w:rPr>
              <w:t>1</w:t>
            </w:r>
          </w:p>
        </w:tc>
      </w:tr>
      <w:tr w:rsidR="007A7695" w:rsidRPr="000B5F1E" w14:paraId="0E27D0E4" w14:textId="77777777" w:rsidTr="00480C5D">
        <w:trPr>
          <w:trHeight w:val="452"/>
          <w:jc w:val="center"/>
        </w:trPr>
        <w:tc>
          <w:tcPr>
            <w:tcW w:w="3418" w:type="dxa"/>
          </w:tcPr>
          <w:p w14:paraId="1FDBB984" w14:textId="77777777" w:rsidR="007A7695" w:rsidRPr="000B5F1E" w:rsidRDefault="007A7695" w:rsidP="00480C5D">
            <w:pPr>
              <w:spacing w:line="360" w:lineRule="auto"/>
              <w:jc w:val="both"/>
              <w:rPr>
                <w:rFonts w:ascii="Arial" w:hAnsi="Arial" w:cs="Arial"/>
                <w:color w:val="000000" w:themeColor="text1"/>
                <w:sz w:val="16"/>
                <w:szCs w:val="16"/>
                <w:highlight w:val="yellow"/>
              </w:rPr>
            </w:pPr>
            <w:r w:rsidRPr="000B5F1E">
              <w:rPr>
                <w:rFonts w:ascii="Arial" w:hAnsi="Arial" w:cs="Arial"/>
                <w:color w:val="000000" w:themeColor="text1"/>
                <w:sz w:val="16"/>
                <w:szCs w:val="16"/>
                <w:highlight w:val="yellow"/>
              </w:rPr>
              <w:t>Electric power (MW)</w:t>
            </w:r>
          </w:p>
        </w:tc>
        <w:tc>
          <w:tcPr>
            <w:tcW w:w="4084" w:type="dxa"/>
          </w:tcPr>
          <w:p w14:paraId="4B68CA5B" w14:textId="77777777" w:rsidR="007A7695" w:rsidRPr="000B5F1E" w:rsidRDefault="007A7695" w:rsidP="00480C5D">
            <w:pPr>
              <w:spacing w:line="360" w:lineRule="auto"/>
              <w:jc w:val="center"/>
              <w:rPr>
                <w:rFonts w:ascii="Arial" w:hAnsi="Arial" w:cs="Arial"/>
                <w:color w:val="000000" w:themeColor="text1"/>
                <w:sz w:val="16"/>
                <w:szCs w:val="16"/>
                <w:highlight w:val="yellow"/>
              </w:rPr>
            </w:pPr>
            <w:r w:rsidRPr="000B5F1E">
              <w:rPr>
                <w:rFonts w:ascii="Arial" w:hAnsi="Arial" w:cs="Arial"/>
                <w:color w:val="000000" w:themeColor="text1"/>
                <w:sz w:val="16"/>
                <w:szCs w:val="16"/>
                <w:highlight w:val="yellow"/>
              </w:rPr>
              <w:t>0.255</w:t>
            </w:r>
          </w:p>
        </w:tc>
      </w:tr>
    </w:tbl>
    <w:p w14:paraId="46F1E85F" w14:textId="77777777" w:rsidR="007A7695" w:rsidRPr="000B5F1E" w:rsidRDefault="007A7695" w:rsidP="007A7695">
      <w:pPr>
        <w:pStyle w:val="NormalWeb"/>
        <w:rPr>
          <w:rStyle w:val="lev"/>
          <w:rFonts w:ascii="Arial" w:hAnsi="Arial" w:cs="Arial"/>
          <w:i/>
          <w:iCs/>
          <w:sz w:val="20"/>
          <w:szCs w:val="20"/>
          <w:highlight w:val="yellow"/>
        </w:rPr>
      </w:pPr>
    </w:p>
    <w:p w14:paraId="2885676A" w14:textId="0AAA6BB0" w:rsidR="007A7695" w:rsidRPr="000B5F1E" w:rsidRDefault="007A7695" w:rsidP="007A7695">
      <w:pPr>
        <w:pStyle w:val="NormalWeb"/>
        <w:rPr>
          <w:rFonts w:ascii="Arial" w:hAnsi="Arial" w:cs="Arial"/>
          <w:i/>
          <w:iCs/>
          <w:sz w:val="20"/>
          <w:szCs w:val="20"/>
          <w:highlight w:val="yellow"/>
        </w:rPr>
      </w:pPr>
      <w:r w:rsidRPr="000B5F1E">
        <w:rPr>
          <w:rStyle w:val="lev"/>
          <w:rFonts w:ascii="Arial" w:hAnsi="Arial" w:cs="Arial"/>
          <w:i/>
          <w:iCs/>
          <w:sz w:val="20"/>
          <w:szCs w:val="20"/>
          <w:highlight w:val="yellow"/>
        </w:rPr>
        <w:t>2.2.5. Clean Development Mechanism (CDM) Model</w:t>
      </w:r>
    </w:p>
    <w:p w14:paraId="20DD03E8" w14:textId="7B7FB9F4" w:rsidR="007A7695" w:rsidRPr="000B5F1E" w:rsidRDefault="007A7695" w:rsidP="007A7695">
      <w:pPr>
        <w:pStyle w:val="NormalWeb"/>
        <w:jc w:val="both"/>
        <w:rPr>
          <w:rFonts w:ascii="Arial" w:hAnsi="Arial" w:cs="Arial"/>
          <w:sz w:val="20"/>
          <w:szCs w:val="20"/>
          <w:highlight w:val="yellow"/>
        </w:rPr>
      </w:pPr>
      <w:r w:rsidRPr="000B5F1E">
        <w:rPr>
          <w:rFonts w:ascii="Arial" w:hAnsi="Arial" w:cs="Arial"/>
          <w:sz w:val="20"/>
          <w:szCs w:val="20"/>
          <w:highlight w:val="yellow"/>
        </w:rPr>
        <w:t xml:space="preserve">This model allowed for the direct estimation of the potential electrical power generated from waste, based on a correlation between the waste mass and electrical power, as presented in the results of </w:t>
      </w:r>
      <w:r w:rsidRPr="000B5F1E">
        <w:rPr>
          <w:rFonts w:ascii="Arial" w:hAnsi="Arial" w:cs="Arial"/>
          <w:b/>
          <w:bCs/>
          <w:sz w:val="20"/>
          <w:szCs w:val="20"/>
          <w:highlight w:val="yellow"/>
        </w:rPr>
        <w:t>table 4</w:t>
      </w:r>
      <w:r w:rsidR="006D6AD0" w:rsidRPr="000B5F1E">
        <w:rPr>
          <w:rFonts w:ascii="Arial" w:hAnsi="Arial" w:cs="Arial"/>
          <w:b/>
          <w:bCs/>
          <w:sz w:val="20"/>
          <w:szCs w:val="20"/>
          <w:highlight w:val="yellow"/>
        </w:rPr>
        <w:t>(</w:t>
      </w:r>
      <w:r w:rsidR="006D6AD0" w:rsidRPr="000B5F1E">
        <w:rPr>
          <w:rFonts w:ascii="Arial" w:hAnsi="Arial" w:cs="Arial"/>
          <w:b/>
          <w:bCs/>
          <w:sz w:val="20"/>
          <w:szCs w:val="20"/>
          <w:highlight w:val="yellow"/>
        </w:rPr>
        <w:t>CDM Projects</w:t>
      </w:r>
      <w:r w:rsidR="006D6AD0" w:rsidRPr="000B5F1E">
        <w:rPr>
          <w:rFonts w:ascii="Arial" w:hAnsi="Arial" w:cs="Arial"/>
          <w:b/>
          <w:bCs/>
          <w:sz w:val="20"/>
          <w:szCs w:val="20"/>
          <w:highlight w:val="yellow"/>
        </w:rPr>
        <w:t xml:space="preserve">, </w:t>
      </w:r>
      <w:r w:rsidR="006D6AD0" w:rsidRPr="000B5F1E">
        <w:rPr>
          <w:rFonts w:ascii="Arial" w:hAnsi="Arial" w:cs="Arial"/>
          <w:b/>
          <w:bCs/>
          <w:sz w:val="20"/>
          <w:szCs w:val="20"/>
          <w:highlight w:val="yellow"/>
        </w:rPr>
        <w:t>NYC</w:t>
      </w:r>
      <w:r w:rsidR="006D6AD0" w:rsidRPr="000B5F1E">
        <w:rPr>
          <w:rFonts w:ascii="Arial" w:hAnsi="Arial" w:cs="Arial"/>
          <w:b/>
          <w:bCs/>
          <w:sz w:val="20"/>
          <w:szCs w:val="20"/>
          <w:highlight w:val="yellow"/>
        </w:rPr>
        <w:t xml:space="preserve">, </w:t>
      </w:r>
      <w:r w:rsidR="006D6AD0" w:rsidRPr="000B5F1E">
        <w:rPr>
          <w:rFonts w:ascii="Arial" w:hAnsi="Arial" w:cs="Arial"/>
          <w:b/>
          <w:bCs/>
          <w:sz w:val="20"/>
          <w:szCs w:val="20"/>
          <w:highlight w:val="yellow"/>
        </w:rPr>
        <w:t>2012</w:t>
      </w:r>
      <w:r w:rsidR="006D6AD0" w:rsidRPr="000B5F1E">
        <w:rPr>
          <w:rFonts w:ascii="Arial" w:hAnsi="Arial" w:cs="Arial"/>
          <w:b/>
          <w:bCs/>
          <w:sz w:val="20"/>
          <w:szCs w:val="20"/>
          <w:highlight w:val="yellow"/>
        </w:rPr>
        <w:t>)</w:t>
      </w:r>
      <w:r w:rsidRPr="000B5F1E">
        <w:rPr>
          <w:rFonts w:ascii="Arial" w:hAnsi="Arial" w:cs="Arial"/>
          <w:sz w:val="20"/>
          <w:szCs w:val="20"/>
          <w:highlight w:val="yellow"/>
        </w:rPr>
        <w:t>.</w:t>
      </w:r>
    </w:p>
    <w:p w14:paraId="59EBB02C" w14:textId="77777777" w:rsidR="007A7695" w:rsidRPr="000B5F1E" w:rsidRDefault="007A7695" w:rsidP="007A7695">
      <w:pPr>
        <w:pStyle w:val="NormalWeb"/>
        <w:jc w:val="both"/>
        <w:rPr>
          <w:rFonts w:ascii="Arial" w:hAnsi="Arial" w:cs="Arial"/>
          <w:sz w:val="20"/>
          <w:szCs w:val="20"/>
          <w:highlight w:val="yellow"/>
        </w:rPr>
      </w:pPr>
    </w:p>
    <w:p w14:paraId="41D28078" w14:textId="77777777" w:rsidR="007A7695" w:rsidRPr="000B5F1E" w:rsidRDefault="007A7695" w:rsidP="007A7695">
      <w:pPr>
        <w:pStyle w:val="NormalWeb"/>
        <w:jc w:val="both"/>
        <w:rPr>
          <w:rFonts w:ascii="Arial" w:hAnsi="Arial" w:cs="Arial"/>
          <w:sz w:val="20"/>
          <w:szCs w:val="20"/>
          <w:highlight w:val="yellow"/>
        </w:rPr>
      </w:pPr>
    </w:p>
    <w:p w14:paraId="4397586E" w14:textId="77777777" w:rsidR="007A7695" w:rsidRPr="000B5F1E" w:rsidRDefault="007A7695" w:rsidP="007A7695">
      <w:pPr>
        <w:spacing w:line="360" w:lineRule="auto"/>
        <w:ind w:firstLine="709"/>
        <w:rPr>
          <w:rFonts w:ascii="Arial" w:hAnsi="Arial" w:cs="Arial"/>
          <w:color w:val="000000" w:themeColor="text1"/>
          <w:sz w:val="16"/>
          <w:szCs w:val="16"/>
          <w:highlight w:val="yellow"/>
          <w:lang w:eastAsia="fr-FR"/>
        </w:rPr>
      </w:pPr>
      <w:r w:rsidRPr="000B5F1E">
        <w:rPr>
          <w:rFonts w:ascii="Arial" w:hAnsi="Arial" w:cs="Arial"/>
          <w:b/>
          <w:bCs/>
          <w:sz w:val="16"/>
          <w:szCs w:val="16"/>
          <w:highlight w:val="yellow"/>
        </w:rPr>
        <w:t>Table 4</w:t>
      </w:r>
      <w:r w:rsidRPr="000B5F1E">
        <w:rPr>
          <w:rFonts w:ascii="Arial" w:hAnsi="Arial" w:cs="Arial"/>
          <w:sz w:val="16"/>
          <w:szCs w:val="16"/>
          <w:highlight w:val="yellow"/>
        </w:rPr>
        <w:t>: Relationship between waste mass and electrical power</w:t>
      </w:r>
    </w:p>
    <w:tbl>
      <w:tblPr>
        <w:tblStyle w:val="Grilledutableau1"/>
        <w:tblW w:w="0" w:type="auto"/>
        <w:jc w:val="center"/>
        <w:tblBorders>
          <w:top w:val="single" w:sz="18" w:space="0" w:color="000000"/>
          <w:left w:val="none" w:sz="0" w:space="0" w:color="auto"/>
          <w:bottom w:val="single" w:sz="18" w:space="0" w:color="000000"/>
          <w:right w:val="none" w:sz="0" w:space="0" w:color="auto"/>
          <w:insideH w:val="none" w:sz="0" w:space="0" w:color="auto"/>
          <w:insideV w:val="none" w:sz="0" w:space="0" w:color="auto"/>
        </w:tblBorders>
        <w:tblLook w:val="04A0" w:firstRow="1" w:lastRow="0" w:firstColumn="1" w:lastColumn="0" w:noHBand="0" w:noVBand="1"/>
      </w:tblPr>
      <w:tblGrid>
        <w:gridCol w:w="1668"/>
        <w:gridCol w:w="2835"/>
        <w:gridCol w:w="2976"/>
        <w:gridCol w:w="1991"/>
      </w:tblGrid>
      <w:tr w:rsidR="007A7695" w:rsidRPr="000B5F1E" w14:paraId="23A00507" w14:textId="77777777" w:rsidTr="00480C5D">
        <w:trPr>
          <w:trHeight w:val="434"/>
          <w:jc w:val="center"/>
        </w:trPr>
        <w:tc>
          <w:tcPr>
            <w:tcW w:w="1668" w:type="dxa"/>
            <w:tcBorders>
              <w:top w:val="single" w:sz="18" w:space="0" w:color="000000"/>
              <w:bottom w:val="single" w:sz="18" w:space="0" w:color="000000"/>
            </w:tcBorders>
          </w:tcPr>
          <w:p w14:paraId="20284FD3" w14:textId="77777777" w:rsidR="007A7695" w:rsidRPr="000B5F1E" w:rsidRDefault="007A7695" w:rsidP="00480C5D">
            <w:pPr>
              <w:spacing w:line="360" w:lineRule="auto"/>
              <w:jc w:val="both"/>
              <w:rPr>
                <w:rFonts w:ascii="Arial" w:hAnsi="Arial" w:cs="Arial"/>
                <w:color w:val="000000" w:themeColor="text1"/>
                <w:sz w:val="16"/>
                <w:szCs w:val="16"/>
                <w:highlight w:val="yellow"/>
                <w:lang w:val="en-US"/>
              </w:rPr>
            </w:pPr>
          </w:p>
        </w:tc>
        <w:tc>
          <w:tcPr>
            <w:tcW w:w="2835" w:type="dxa"/>
            <w:tcBorders>
              <w:top w:val="single" w:sz="18" w:space="0" w:color="000000"/>
              <w:bottom w:val="single" w:sz="18" w:space="0" w:color="000000"/>
            </w:tcBorders>
          </w:tcPr>
          <w:p w14:paraId="458B1FA7" w14:textId="77777777" w:rsidR="007A7695" w:rsidRPr="000B5F1E" w:rsidRDefault="007A7695" w:rsidP="00480C5D">
            <w:pPr>
              <w:spacing w:line="360" w:lineRule="auto"/>
              <w:jc w:val="both"/>
              <w:rPr>
                <w:rFonts w:ascii="Arial" w:hAnsi="Arial" w:cs="Arial"/>
                <w:color w:val="000000" w:themeColor="text1"/>
                <w:sz w:val="16"/>
                <w:szCs w:val="16"/>
                <w:highlight w:val="yellow"/>
              </w:rPr>
            </w:pPr>
            <w:r w:rsidRPr="000B5F1E">
              <w:rPr>
                <w:rFonts w:ascii="Arial" w:hAnsi="Arial" w:cs="Arial"/>
                <w:color w:val="000000" w:themeColor="text1"/>
                <w:sz w:val="16"/>
                <w:szCs w:val="16"/>
                <w:highlight w:val="yellow"/>
              </w:rPr>
              <w:t>Waste mass (t)</w:t>
            </w:r>
          </w:p>
        </w:tc>
        <w:tc>
          <w:tcPr>
            <w:tcW w:w="2976" w:type="dxa"/>
            <w:tcBorders>
              <w:top w:val="single" w:sz="18" w:space="0" w:color="000000"/>
              <w:bottom w:val="single" w:sz="18" w:space="0" w:color="000000"/>
            </w:tcBorders>
          </w:tcPr>
          <w:p w14:paraId="054A26E2" w14:textId="77777777" w:rsidR="007A7695" w:rsidRPr="000B5F1E" w:rsidRDefault="007A7695" w:rsidP="00480C5D">
            <w:pPr>
              <w:spacing w:line="360" w:lineRule="auto"/>
              <w:jc w:val="both"/>
              <w:rPr>
                <w:rFonts w:ascii="Arial" w:hAnsi="Arial" w:cs="Arial"/>
                <w:color w:val="000000" w:themeColor="text1"/>
                <w:sz w:val="16"/>
                <w:szCs w:val="16"/>
                <w:highlight w:val="yellow"/>
              </w:rPr>
            </w:pPr>
            <w:r w:rsidRPr="000B5F1E">
              <w:rPr>
                <w:rFonts w:ascii="Arial" w:hAnsi="Arial" w:cs="Arial"/>
                <w:color w:val="000000" w:themeColor="text1"/>
                <w:sz w:val="16"/>
                <w:szCs w:val="16"/>
                <w:highlight w:val="yellow"/>
              </w:rPr>
              <w:t>Electric power (MW)</w:t>
            </w:r>
          </w:p>
        </w:tc>
        <w:tc>
          <w:tcPr>
            <w:tcW w:w="1991" w:type="dxa"/>
            <w:tcBorders>
              <w:top w:val="single" w:sz="18" w:space="0" w:color="000000"/>
              <w:bottom w:val="single" w:sz="18" w:space="0" w:color="000000"/>
            </w:tcBorders>
          </w:tcPr>
          <w:p w14:paraId="08C25E15" w14:textId="77777777" w:rsidR="007A7695" w:rsidRPr="000B5F1E" w:rsidRDefault="007A7695" w:rsidP="00480C5D">
            <w:pPr>
              <w:spacing w:line="360" w:lineRule="auto"/>
              <w:jc w:val="both"/>
              <w:rPr>
                <w:rFonts w:ascii="Arial" w:hAnsi="Arial" w:cs="Arial"/>
                <w:color w:val="000000" w:themeColor="text1"/>
                <w:sz w:val="16"/>
                <w:szCs w:val="16"/>
                <w:highlight w:val="yellow"/>
              </w:rPr>
            </w:pPr>
            <w:proofErr w:type="spellStart"/>
            <w:r w:rsidRPr="000B5F1E">
              <w:rPr>
                <w:rFonts w:ascii="Arial" w:hAnsi="Arial" w:cs="Arial"/>
                <w:color w:val="000000" w:themeColor="text1"/>
                <w:sz w:val="16"/>
                <w:szCs w:val="16"/>
                <w:highlight w:val="yellow"/>
              </w:rPr>
              <w:t>References</w:t>
            </w:r>
            <w:proofErr w:type="spellEnd"/>
          </w:p>
        </w:tc>
      </w:tr>
      <w:tr w:rsidR="007A7695" w:rsidRPr="000B5F1E" w14:paraId="6EBB9A9B" w14:textId="77777777" w:rsidTr="00480C5D">
        <w:trPr>
          <w:trHeight w:val="434"/>
          <w:jc w:val="center"/>
        </w:trPr>
        <w:tc>
          <w:tcPr>
            <w:tcW w:w="1668" w:type="dxa"/>
            <w:tcBorders>
              <w:top w:val="single" w:sz="18" w:space="0" w:color="000000"/>
            </w:tcBorders>
          </w:tcPr>
          <w:p w14:paraId="4CED9643" w14:textId="77777777" w:rsidR="007A7695" w:rsidRPr="000B5F1E" w:rsidRDefault="007A7695" w:rsidP="00480C5D">
            <w:pPr>
              <w:spacing w:line="360" w:lineRule="auto"/>
              <w:jc w:val="both"/>
              <w:rPr>
                <w:rFonts w:ascii="Arial" w:hAnsi="Arial" w:cs="Arial"/>
                <w:color w:val="000000" w:themeColor="text1"/>
                <w:sz w:val="16"/>
                <w:szCs w:val="16"/>
                <w:highlight w:val="yellow"/>
                <w:vertAlign w:val="superscript"/>
              </w:rPr>
            </w:pPr>
            <w:r w:rsidRPr="000B5F1E">
              <w:rPr>
                <w:rFonts w:ascii="Arial" w:hAnsi="Arial" w:cs="Arial"/>
                <w:color w:val="000000" w:themeColor="text1"/>
                <w:sz w:val="16"/>
                <w:szCs w:val="16"/>
                <w:highlight w:val="yellow"/>
              </w:rPr>
              <w:t xml:space="preserve">South </w:t>
            </w:r>
            <w:proofErr w:type="spellStart"/>
            <w:r w:rsidRPr="000B5F1E">
              <w:rPr>
                <w:rFonts w:ascii="Arial" w:hAnsi="Arial" w:cs="Arial"/>
                <w:color w:val="000000" w:themeColor="text1"/>
                <w:sz w:val="16"/>
                <w:szCs w:val="16"/>
                <w:highlight w:val="yellow"/>
              </w:rPr>
              <w:t>Korea</w:t>
            </w:r>
            <w:proofErr w:type="spellEnd"/>
          </w:p>
        </w:tc>
        <w:tc>
          <w:tcPr>
            <w:tcW w:w="2835" w:type="dxa"/>
            <w:tcBorders>
              <w:top w:val="single" w:sz="18" w:space="0" w:color="000000"/>
            </w:tcBorders>
          </w:tcPr>
          <w:p w14:paraId="51AA756F" w14:textId="77777777" w:rsidR="007A7695" w:rsidRPr="000B5F1E" w:rsidRDefault="007A7695" w:rsidP="00480C5D">
            <w:pPr>
              <w:spacing w:line="360" w:lineRule="auto"/>
              <w:jc w:val="both"/>
              <w:rPr>
                <w:rFonts w:ascii="Arial" w:hAnsi="Arial" w:cs="Arial"/>
                <w:color w:val="000000" w:themeColor="text1"/>
                <w:sz w:val="16"/>
                <w:szCs w:val="16"/>
                <w:highlight w:val="yellow"/>
              </w:rPr>
            </w:pPr>
            <w:r w:rsidRPr="000B5F1E">
              <w:rPr>
                <w:rFonts w:ascii="Arial" w:hAnsi="Arial" w:cs="Arial"/>
                <w:color w:val="000000" w:themeColor="text1"/>
                <w:sz w:val="16"/>
                <w:szCs w:val="16"/>
                <w:highlight w:val="yellow"/>
              </w:rPr>
              <w:t>19000</w:t>
            </w:r>
          </w:p>
        </w:tc>
        <w:tc>
          <w:tcPr>
            <w:tcW w:w="2976" w:type="dxa"/>
            <w:tcBorders>
              <w:top w:val="single" w:sz="18" w:space="0" w:color="000000"/>
            </w:tcBorders>
          </w:tcPr>
          <w:p w14:paraId="13680F26" w14:textId="77777777" w:rsidR="007A7695" w:rsidRPr="000B5F1E" w:rsidRDefault="007A7695" w:rsidP="00480C5D">
            <w:pPr>
              <w:spacing w:line="360" w:lineRule="auto"/>
              <w:jc w:val="both"/>
              <w:rPr>
                <w:rFonts w:ascii="Arial" w:hAnsi="Arial" w:cs="Arial"/>
                <w:color w:val="000000" w:themeColor="text1"/>
                <w:sz w:val="16"/>
                <w:szCs w:val="16"/>
                <w:highlight w:val="yellow"/>
              </w:rPr>
            </w:pPr>
            <w:r w:rsidRPr="000B5F1E">
              <w:rPr>
                <w:rFonts w:ascii="Arial" w:hAnsi="Arial" w:cs="Arial"/>
                <w:color w:val="000000" w:themeColor="text1"/>
                <w:sz w:val="16"/>
                <w:szCs w:val="16"/>
                <w:highlight w:val="yellow"/>
              </w:rPr>
              <w:t>50</w:t>
            </w:r>
          </w:p>
        </w:tc>
        <w:tc>
          <w:tcPr>
            <w:tcW w:w="1991" w:type="dxa"/>
            <w:tcBorders>
              <w:top w:val="single" w:sz="18" w:space="0" w:color="000000"/>
            </w:tcBorders>
          </w:tcPr>
          <w:p w14:paraId="1A19E6E5" w14:textId="77777777" w:rsidR="007A7695" w:rsidRPr="000B5F1E" w:rsidRDefault="007A7695" w:rsidP="00480C5D">
            <w:pPr>
              <w:spacing w:line="360" w:lineRule="auto"/>
              <w:jc w:val="both"/>
              <w:rPr>
                <w:rFonts w:ascii="Arial" w:hAnsi="Arial" w:cs="Arial"/>
                <w:color w:val="000000" w:themeColor="text1"/>
                <w:sz w:val="16"/>
                <w:szCs w:val="16"/>
                <w:highlight w:val="yellow"/>
              </w:rPr>
            </w:pPr>
            <w:r w:rsidRPr="000B5F1E">
              <w:rPr>
                <w:rFonts w:ascii="Arial" w:hAnsi="Arial" w:cs="Arial"/>
                <w:b/>
                <w:color w:val="000000" w:themeColor="text1"/>
                <w:sz w:val="16"/>
                <w:szCs w:val="16"/>
                <w:highlight w:val="yellow"/>
              </w:rPr>
              <w:t>(CDM)</w:t>
            </w:r>
          </w:p>
        </w:tc>
      </w:tr>
      <w:tr w:rsidR="007A7695" w:rsidRPr="000B5F1E" w14:paraId="364A0566" w14:textId="77777777" w:rsidTr="00480C5D">
        <w:trPr>
          <w:trHeight w:val="452"/>
          <w:jc w:val="center"/>
        </w:trPr>
        <w:tc>
          <w:tcPr>
            <w:tcW w:w="1668" w:type="dxa"/>
          </w:tcPr>
          <w:p w14:paraId="2E272E16" w14:textId="77777777" w:rsidR="007A7695" w:rsidRPr="000B5F1E" w:rsidRDefault="007A7695" w:rsidP="00480C5D">
            <w:pPr>
              <w:spacing w:line="360" w:lineRule="auto"/>
              <w:jc w:val="both"/>
              <w:rPr>
                <w:rFonts w:ascii="Arial" w:hAnsi="Arial" w:cs="Arial"/>
                <w:color w:val="000000" w:themeColor="text1"/>
                <w:sz w:val="16"/>
                <w:szCs w:val="16"/>
                <w:highlight w:val="yellow"/>
              </w:rPr>
            </w:pPr>
            <w:r w:rsidRPr="000B5F1E">
              <w:rPr>
                <w:rFonts w:ascii="Arial" w:hAnsi="Arial" w:cs="Arial"/>
                <w:color w:val="000000" w:themeColor="text1"/>
                <w:sz w:val="16"/>
                <w:szCs w:val="16"/>
                <w:highlight w:val="yellow"/>
              </w:rPr>
              <w:t xml:space="preserve">China </w:t>
            </w:r>
          </w:p>
        </w:tc>
        <w:tc>
          <w:tcPr>
            <w:tcW w:w="2835" w:type="dxa"/>
          </w:tcPr>
          <w:p w14:paraId="301FCC8C" w14:textId="77777777" w:rsidR="007A7695" w:rsidRPr="000B5F1E" w:rsidRDefault="007A7695" w:rsidP="00480C5D">
            <w:pPr>
              <w:spacing w:line="360" w:lineRule="auto"/>
              <w:jc w:val="both"/>
              <w:rPr>
                <w:rFonts w:ascii="Arial" w:hAnsi="Arial" w:cs="Arial"/>
                <w:color w:val="000000" w:themeColor="text1"/>
                <w:sz w:val="16"/>
                <w:szCs w:val="16"/>
                <w:highlight w:val="yellow"/>
              </w:rPr>
            </w:pPr>
            <w:r w:rsidRPr="000B5F1E">
              <w:rPr>
                <w:rFonts w:ascii="Arial" w:hAnsi="Arial" w:cs="Arial"/>
                <w:color w:val="000000" w:themeColor="text1"/>
                <w:sz w:val="16"/>
                <w:szCs w:val="16"/>
                <w:highlight w:val="yellow"/>
              </w:rPr>
              <w:t>6800 </w:t>
            </w:r>
          </w:p>
        </w:tc>
        <w:tc>
          <w:tcPr>
            <w:tcW w:w="2976" w:type="dxa"/>
          </w:tcPr>
          <w:p w14:paraId="4EF6E66F" w14:textId="77777777" w:rsidR="007A7695" w:rsidRPr="000B5F1E" w:rsidRDefault="007A7695" w:rsidP="00480C5D">
            <w:pPr>
              <w:spacing w:line="360" w:lineRule="auto"/>
              <w:jc w:val="both"/>
              <w:rPr>
                <w:rFonts w:ascii="Arial" w:hAnsi="Arial" w:cs="Arial"/>
                <w:color w:val="000000" w:themeColor="text1"/>
                <w:sz w:val="16"/>
                <w:szCs w:val="16"/>
                <w:highlight w:val="yellow"/>
              </w:rPr>
            </w:pPr>
            <w:r w:rsidRPr="000B5F1E">
              <w:rPr>
                <w:rFonts w:ascii="Arial" w:hAnsi="Arial" w:cs="Arial"/>
                <w:color w:val="000000" w:themeColor="text1"/>
                <w:sz w:val="16"/>
                <w:szCs w:val="16"/>
                <w:highlight w:val="yellow"/>
              </w:rPr>
              <w:t>19</w:t>
            </w:r>
          </w:p>
        </w:tc>
        <w:tc>
          <w:tcPr>
            <w:tcW w:w="1991" w:type="dxa"/>
          </w:tcPr>
          <w:p w14:paraId="70F3066A" w14:textId="77777777" w:rsidR="007A7695" w:rsidRPr="000B5F1E" w:rsidRDefault="007A7695" w:rsidP="00480C5D">
            <w:pPr>
              <w:spacing w:line="360" w:lineRule="auto"/>
              <w:jc w:val="both"/>
              <w:rPr>
                <w:rFonts w:ascii="Arial" w:hAnsi="Arial" w:cs="Arial"/>
                <w:color w:val="000000" w:themeColor="text1"/>
                <w:sz w:val="16"/>
                <w:szCs w:val="16"/>
                <w:highlight w:val="yellow"/>
              </w:rPr>
            </w:pPr>
            <w:r w:rsidRPr="000B5F1E">
              <w:rPr>
                <w:rFonts w:ascii="Arial" w:hAnsi="Arial" w:cs="Arial"/>
                <w:b/>
                <w:color w:val="000000" w:themeColor="text1"/>
                <w:sz w:val="16"/>
                <w:szCs w:val="16"/>
                <w:highlight w:val="yellow"/>
              </w:rPr>
              <w:t>(CDM)</w:t>
            </w:r>
          </w:p>
        </w:tc>
      </w:tr>
      <w:tr w:rsidR="007A7695" w:rsidRPr="000B5F1E" w14:paraId="61959E9F" w14:textId="77777777" w:rsidTr="00480C5D">
        <w:trPr>
          <w:trHeight w:val="452"/>
          <w:jc w:val="center"/>
        </w:trPr>
        <w:tc>
          <w:tcPr>
            <w:tcW w:w="1668" w:type="dxa"/>
          </w:tcPr>
          <w:p w14:paraId="50BDDB51" w14:textId="77777777" w:rsidR="007A7695" w:rsidRPr="000B5F1E" w:rsidRDefault="007A7695" w:rsidP="00480C5D">
            <w:pPr>
              <w:spacing w:line="360" w:lineRule="auto"/>
              <w:jc w:val="both"/>
              <w:rPr>
                <w:rFonts w:ascii="Arial" w:hAnsi="Arial" w:cs="Arial"/>
                <w:color w:val="000000" w:themeColor="text1"/>
                <w:sz w:val="16"/>
                <w:szCs w:val="16"/>
                <w:highlight w:val="yellow"/>
              </w:rPr>
            </w:pPr>
            <w:r w:rsidRPr="000B5F1E">
              <w:rPr>
                <w:rFonts w:ascii="Arial" w:hAnsi="Arial" w:cs="Arial"/>
                <w:color w:val="000000" w:themeColor="text1"/>
                <w:sz w:val="16"/>
                <w:szCs w:val="16"/>
                <w:highlight w:val="yellow"/>
              </w:rPr>
              <w:t>Brazil Site 1</w:t>
            </w:r>
          </w:p>
        </w:tc>
        <w:tc>
          <w:tcPr>
            <w:tcW w:w="2835" w:type="dxa"/>
          </w:tcPr>
          <w:p w14:paraId="1E939449" w14:textId="77777777" w:rsidR="007A7695" w:rsidRPr="000B5F1E" w:rsidRDefault="007A7695" w:rsidP="00480C5D">
            <w:pPr>
              <w:spacing w:line="360" w:lineRule="auto"/>
              <w:jc w:val="both"/>
              <w:rPr>
                <w:rFonts w:ascii="Arial" w:hAnsi="Arial" w:cs="Arial"/>
                <w:color w:val="000000" w:themeColor="text1"/>
                <w:sz w:val="16"/>
                <w:szCs w:val="16"/>
                <w:highlight w:val="yellow"/>
              </w:rPr>
            </w:pPr>
            <w:r w:rsidRPr="000B5F1E">
              <w:rPr>
                <w:rFonts w:ascii="Arial" w:hAnsi="Arial" w:cs="Arial"/>
                <w:color w:val="000000" w:themeColor="text1"/>
                <w:sz w:val="16"/>
                <w:szCs w:val="16"/>
                <w:highlight w:val="yellow"/>
              </w:rPr>
              <w:t>7500</w:t>
            </w:r>
          </w:p>
        </w:tc>
        <w:tc>
          <w:tcPr>
            <w:tcW w:w="2976" w:type="dxa"/>
          </w:tcPr>
          <w:p w14:paraId="1EAC708A" w14:textId="77777777" w:rsidR="007A7695" w:rsidRPr="000B5F1E" w:rsidRDefault="007A7695" w:rsidP="00480C5D">
            <w:pPr>
              <w:spacing w:line="360" w:lineRule="auto"/>
              <w:jc w:val="both"/>
              <w:rPr>
                <w:rFonts w:ascii="Arial" w:hAnsi="Arial" w:cs="Arial"/>
                <w:color w:val="000000" w:themeColor="text1"/>
                <w:sz w:val="16"/>
                <w:szCs w:val="16"/>
                <w:highlight w:val="yellow"/>
              </w:rPr>
            </w:pPr>
            <w:r w:rsidRPr="000B5F1E">
              <w:rPr>
                <w:rFonts w:ascii="Arial" w:hAnsi="Arial" w:cs="Arial"/>
                <w:color w:val="000000" w:themeColor="text1"/>
                <w:sz w:val="16"/>
                <w:szCs w:val="16"/>
                <w:highlight w:val="yellow"/>
              </w:rPr>
              <w:t>20</w:t>
            </w:r>
          </w:p>
        </w:tc>
        <w:tc>
          <w:tcPr>
            <w:tcW w:w="1991" w:type="dxa"/>
          </w:tcPr>
          <w:p w14:paraId="58662490" w14:textId="30C0DE81" w:rsidR="007A7695" w:rsidRPr="000B5F1E" w:rsidRDefault="007A7695" w:rsidP="00480C5D">
            <w:pPr>
              <w:spacing w:line="360" w:lineRule="auto"/>
              <w:jc w:val="both"/>
              <w:rPr>
                <w:rFonts w:ascii="Arial" w:hAnsi="Arial" w:cs="Arial"/>
                <w:color w:val="000000" w:themeColor="text1"/>
                <w:sz w:val="16"/>
                <w:szCs w:val="16"/>
                <w:highlight w:val="yellow"/>
              </w:rPr>
            </w:pPr>
            <w:r w:rsidRPr="000B5F1E">
              <w:rPr>
                <w:rFonts w:ascii="Arial" w:hAnsi="Arial" w:cs="Arial"/>
                <w:b/>
                <w:color w:val="000000" w:themeColor="text1"/>
                <w:sz w:val="16"/>
                <w:szCs w:val="16"/>
                <w:highlight w:val="yellow"/>
              </w:rPr>
              <w:t>(NYC</w:t>
            </w:r>
            <w:r w:rsidR="00AB57EB" w:rsidRPr="000B5F1E">
              <w:rPr>
                <w:rFonts w:ascii="Arial" w:hAnsi="Arial" w:cs="Arial"/>
                <w:b/>
                <w:color w:val="000000" w:themeColor="text1"/>
                <w:sz w:val="16"/>
                <w:szCs w:val="16"/>
                <w:highlight w:val="yellow"/>
              </w:rPr>
              <w:t>, 2012</w:t>
            </w:r>
            <w:r w:rsidRPr="000B5F1E">
              <w:rPr>
                <w:rFonts w:ascii="Arial" w:hAnsi="Arial" w:cs="Arial"/>
                <w:b/>
                <w:color w:val="000000" w:themeColor="text1"/>
                <w:sz w:val="16"/>
                <w:szCs w:val="16"/>
                <w:highlight w:val="yellow"/>
              </w:rPr>
              <w:t>)</w:t>
            </w:r>
          </w:p>
        </w:tc>
      </w:tr>
      <w:tr w:rsidR="007A7695" w:rsidRPr="000B5F1E" w14:paraId="55A7678E" w14:textId="77777777" w:rsidTr="00480C5D">
        <w:trPr>
          <w:trHeight w:val="452"/>
          <w:jc w:val="center"/>
        </w:trPr>
        <w:tc>
          <w:tcPr>
            <w:tcW w:w="1668" w:type="dxa"/>
          </w:tcPr>
          <w:p w14:paraId="43F332B2" w14:textId="77777777" w:rsidR="007A7695" w:rsidRPr="000B5F1E" w:rsidRDefault="007A7695" w:rsidP="00480C5D">
            <w:pPr>
              <w:spacing w:line="360" w:lineRule="auto"/>
              <w:jc w:val="both"/>
              <w:rPr>
                <w:rFonts w:ascii="Arial" w:hAnsi="Arial" w:cs="Arial"/>
                <w:color w:val="000000" w:themeColor="text1"/>
                <w:sz w:val="16"/>
                <w:szCs w:val="16"/>
                <w:highlight w:val="yellow"/>
              </w:rPr>
            </w:pPr>
            <w:r w:rsidRPr="000B5F1E">
              <w:rPr>
                <w:rFonts w:ascii="Arial" w:hAnsi="Arial" w:cs="Arial"/>
                <w:color w:val="000000" w:themeColor="text1"/>
                <w:sz w:val="16"/>
                <w:szCs w:val="16"/>
                <w:highlight w:val="yellow"/>
              </w:rPr>
              <w:t xml:space="preserve">Brazil Site 2 </w:t>
            </w:r>
          </w:p>
        </w:tc>
        <w:tc>
          <w:tcPr>
            <w:tcW w:w="2835" w:type="dxa"/>
          </w:tcPr>
          <w:p w14:paraId="63ECB6F2" w14:textId="77777777" w:rsidR="007A7695" w:rsidRPr="000B5F1E" w:rsidRDefault="007A7695" w:rsidP="00480C5D">
            <w:pPr>
              <w:spacing w:line="360" w:lineRule="auto"/>
              <w:jc w:val="both"/>
              <w:rPr>
                <w:rFonts w:ascii="Arial" w:hAnsi="Arial" w:cs="Arial"/>
                <w:color w:val="000000" w:themeColor="text1"/>
                <w:sz w:val="16"/>
                <w:szCs w:val="16"/>
                <w:highlight w:val="yellow"/>
              </w:rPr>
            </w:pPr>
            <w:r w:rsidRPr="000B5F1E">
              <w:rPr>
                <w:rFonts w:ascii="Arial" w:hAnsi="Arial" w:cs="Arial"/>
                <w:color w:val="000000" w:themeColor="text1"/>
                <w:sz w:val="16"/>
                <w:szCs w:val="16"/>
                <w:highlight w:val="yellow"/>
              </w:rPr>
              <w:t>5479</w:t>
            </w:r>
          </w:p>
        </w:tc>
        <w:tc>
          <w:tcPr>
            <w:tcW w:w="2976" w:type="dxa"/>
          </w:tcPr>
          <w:p w14:paraId="0B334B6B" w14:textId="77777777" w:rsidR="007A7695" w:rsidRPr="000B5F1E" w:rsidRDefault="007A7695" w:rsidP="00480C5D">
            <w:pPr>
              <w:spacing w:line="360" w:lineRule="auto"/>
              <w:jc w:val="both"/>
              <w:rPr>
                <w:rFonts w:ascii="Arial" w:hAnsi="Arial" w:cs="Arial"/>
                <w:color w:val="000000" w:themeColor="text1"/>
                <w:sz w:val="16"/>
                <w:szCs w:val="16"/>
                <w:highlight w:val="yellow"/>
              </w:rPr>
            </w:pPr>
            <w:r w:rsidRPr="000B5F1E">
              <w:rPr>
                <w:rFonts w:ascii="Arial" w:hAnsi="Arial" w:cs="Arial"/>
                <w:color w:val="000000" w:themeColor="text1"/>
                <w:sz w:val="16"/>
                <w:szCs w:val="16"/>
                <w:highlight w:val="yellow"/>
              </w:rPr>
              <w:t>20</w:t>
            </w:r>
          </w:p>
        </w:tc>
        <w:tc>
          <w:tcPr>
            <w:tcW w:w="1991" w:type="dxa"/>
          </w:tcPr>
          <w:p w14:paraId="49E0F1C1" w14:textId="1B2EFE18" w:rsidR="007A7695" w:rsidRPr="000B5F1E" w:rsidRDefault="007A7695" w:rsidP="00480C5D">
            <w:pPr>
              <w:spacing w:line="360" w:lineRule="auto"/>
              <w:jc w:val="both"/>
              <w:rPr>
                <w:rFonts w:ascii="Arial" w:hAnsi="Arial" w:cs="Arial"/>
                <w:color w:val="000000" w:themeColor="text1"/>
                <w:sz w:val="16"/>
                <w:szCs w:val="16"/>
                <w:highlight w:val="yellow"/>
              </w:rPr>
            </w:pPr>
            <w:r w:rsidRPr="000B5F1E">
              <w:rPr>
                <w:rFonts w:ascii="Arial" w:hAnsi="Arial" w:cs="Arial"/>
                <w:b/>
                <w:color w:val="000000" w:themeColor="text1"/>
                <w:sz w:val="16"/>
                <w:szCs w:val="16"/>
                <w:highlight w:val="yellow"/>
              </w:rPr>
              <w:t>(</w:t>
            </w:r>
            <w:r w:rsidR="00AB57EB" w:rsidRPr="000B5F1E">
              <w:rPr>
                <w:rFonts w:ascii="Arial" w:hAnsi="Arial" w:cs="Arial"/>
                <w:b/>
                <w:color w:val="000000" w:themeColor="text1"/>
                <w:sz w:val="16"/>
                <w:szCs w:val="16"/>
                <w:highlight w:val="yellow"/>
              </w:rPr>
              <w:t>NYC, 2012</w:t>
            </w:r>
            <w:r w:rsidRPr="000B5F1E">
              <w:rPr>
                <w:rFonts w:ascii="Arial" w:hAnsi="Arial" w:cs="Arial"/>
                <w:b/>
                <w:color w:val="000000" w:themeColor="text1"/>
                <w:sz w:val="16"/>
                <w:szCs w:val="16"/>
                <w:highlight w:val="yellow"/>
              </w:rPr>
              <w:t>)</w:t>
            </w:r>
          </w:p>
        </w:tc>
      </w:tr>
    </w:tbl>
    <w:p w14:paraId="123CA8C0" w14:textId="77777777" w:rsidR="007A7695" w:rsidRPr="000B5F1E" w:rsidRDefault="007A7695" w:rsidP="007A7695">
      <w:pPr>
        <w:spacing w:before="240" w:after="200" w:line="360" w:lineRule="auto"/>
        <w:rPr>
          <w:rFonts w:ascii="Arial" w:hAnsi="Arial" w:cs="Arial"/>
          <w:b/>
          <w:i/>
          <w:iCs/>
          <w:color w:val="000000" w:themeColor="text1"/>
          <w:highlight w:val="yellow"/>
          <w:lang w:val="fr-FR" w:eastAsia="fr-FR"/>
        </w:rPr>
      </w:pPr>
      <w:r w:rsidRPr="000B5F1E">
        <w:rPr>
          <w:rFonts w:ascii="Arial" w:hAnsi="Arial" w:cs="Arial"/>
          <w:b/>
          <w:i/>
          <w:iCs/>
          <w:color w:val="000000" w:themeColor="text1"/>
          <w:highlight w:val="yellow"/>
          <w:lang w:val="fr-FR" w:eastAsia="fr-FR"/>
        </w:rPr>
        <w:t>2.2.6. Modèle stœchiométrique</w:t>
      </w:r>
    </w:p>
    <w:p w14:paraId="3C229263" w14:textId="57721994" w:rsidR="007A7695" w:rsidRPr="00AB57EB" w:rsidRDefault="007A7695" w:rsidP="007A7695">
      <w:pPr>
        <w:spacing w:before="240" w:after="200" w:line="360" w:lineRule="auto"/>
        <w:ind w:firstLine="709"/>
        <w:jc w:val="both"/>
        <w:rPr>
          <w:rFonts w:ascii="Arial" w:hAnsi="Arial" w:cs="Arial"/>
          <w:b/>
          <w:color w:val="000000" w:themeColor="text1"/>
          <w:lang w:val="fr-FR" w:eastAsia="fr-FR"/>
        </w:rPr>
      </w:pPr>
      <w:r w:rsidRPr="000B5F1E">
        <w:rPr>
          <w:rFonts w:ascii="Arial" w:hAnsi="Arial" w:cs="Arial"/>
          <w:color w:val="000000" w:themeColor="text1"/>
          <w:highlight w:val="yellow"/>
          <w:lang w:val="fr-FR" w:eastAsia="fr-FR"/>
        </w:rPr>
        <w:t>Dans ce cas l’estimation du volume de méthane généré tient compte de la valeur théorique obtenue à partir de la formule générale simplifiée des déchets qui est celle de l’acide adipique</w:t>
      </w:r>
      <w:r w:rsidR="002F7EA8" w:rsidRPr="000B5F1E">
        <w:rPr>
          <w:rFonts w:ascii="Arial" w:hAnsi="Arial" w:cs="Arial"/>
          <w:color w:val="000000" w:themeColor="text1"/>
          <w:highlight w:val="yellow"/>
          <w:lang w:val="fr-FR" w:eastAsia="fr-FR"/>
        </w:rPr>
        <w:t xml:space="preserve"> (</w:t>
      </w:r>
      <w:proofErr w:type="spellStart"/>
      <w:r w:rsidR="002F7EA8" w:rsidRPr="000B5F1E">
        <w:rPr>
          <w:rFonts w:ascii="Arial" w:hAnsi="Arial" w:cs="Arial"/>
          <w:b/>
          <w:bCs/>
          <w:color w:val="000000" w:themeColor="text1"/>
          <w:highlight w:val="yellow"/>
          <w:lang w:val="fr-FR" w:eastAsia="fr-FR"/>
        </w:rPr>
        <w:t>Themelis</w:t>
      </w:r>
      <w:proofErr w:type="spellEnd"/>
      <w:r w:rsidR="002F7EA8" w:rsidRPr="000B5F1E">
        <w:rPr>
          <w:rFonts w:ascii="Arial" w:hAnsi="Arial" w:cs="Arial"/>
          <w:b/>
          <w:bCs/>
          <w:color w:val="000000" w:themeColor="text1"/>
          <w:highlight w:val="yellow"/>
          <w:lang w:val="fr-FR" w:eastAsia="fr-FR"/>
        </w:rPr>
        <w:t xml:space="preserve"> &amp;</w:t>
      </w:r>
      <w:r w:rsidR="002F7EA8" w:rsidRPr="000B5F1E">
        <w:rPr>
          <w:rFonts w:ascii="Arial" w:hAnsi="Arial" w:cs="Arial"/>
          <w:b/>
          <w:bCs/>
          <w:color w:val="000000" w:themeColor="text1"/>
          <w:highlight w:val="yellow"/>
          <w:lang w:val="fr-FR" w:eastAsia="fr-FR"/>
        </w:rPr>
        <w:t xml:space="preserve"> </w:t>
      </w:r>
      <w:proofErr w:type="spellStart"/>
      <w:proofErr w:type="gramStart"/>
      <w:r w:rsidR="002F7EA8" w:rsidRPr="000B5F1E">
        <w:rPr>
          <w:rFonts w:ascii="Arial" w:hAnsi="Arial" w:cs="Arial"/>
          <w:b/>
          <w:bCs/>
          <w:color w:val="000000" w:themeColor="text1"/>
          <w:highlight w:val="yellow"/>
          <w:lang w:val="fr-FR" w:eastAsia="fr-FR"/>
        </w:rPr>
        <w:t>Ulloa</w:t>
      </w:r>
      <w:proofErr w:type="spellEnd"/>
      <w:r w:rsidR="002F7EA8" w:rsidRPr="000B5F1E">
        <w:rPr>
          <w:rFonts w:ascii="Arial" w:hAnsi="Arial" w:cs="Arial"/>
          <w:b/>
          <w:bCs/>
          <w:color w:val="000000" w:themeColor="text1"/>
          <w:highlight w:val="yellow"/>
          <w:lang w:val="fr-FR" w:eastAsia="fr-FR"/>
        </w:rPr>
        <w:t xml:space="preserve"> ,</w:t>
      </w:r>
      <w:proofErr w:type="gramEnd"/>
      <w:r w:rsidR="002F7EA8" w:rsidRPr="000B5F1E">
        <w:rPr>
          <w:rFonts w:ascii="Arial" w:hAnsi="Arial" w:cs="Arial"/>
          <w:b/>
          <w:bCs/>
          <w:color w:val="000000" w:themeColor="text1"/>
          <w:highlight w:val="yellow"/>
          <w:lang w:val="fr-FR" w:eastAsia="fr-FR"/>
        </w:rPr>
        <w:t xml:space="preserve"> 2006</w:t>
      </w:r>
      <w:r w:rsidR="002F7EA8" w:rsidRPr="000B5F1E">
        <w:rPr>
          <w:rFonts w:ascii="Arial" w:hAnsi="Arial" w:cs="Arial"/>
          <w:color w:val="000000" w:themeColor="text1"/>
          <w:highlight w:val="yellow"/>
          <w:lang w:val="fr-FR" w:eastAsia="fr-FR"/>
        </w:rPr>
        <w:t>)</w:t>
      </w:r>
      <w:r w:rsidRPr="000B5F1E">
        <w:rPr>
          <w:rFonts w:ascii="Arial" w:hAnsi="Arial" w:cs="Arial"/>
          <w:b/>
          <w:color w:val="000000" w:themeColor="text1"/>
          <w:highlight w:val="yellow"/>
          <w:lang w:val="fr-FR" w:eastAsia="fr-FR"/>
        </w:rPr>
        <w:t>.</w:t>
      </w:r>
      <w:r w:rsidRPr="000B5F1E">
        <w:rPr>
          <w:rFonts w:ascii="Arial" w:hAnsi="Arial" w:cs="Arial"/>
          <w:color w:val="000000" w:themeColor="text1"/>
          <w:highlight w:val="yellow"/>
          <w:lang w:val="fr-FR" w:eastAsia="fr-FR"/>
        </w:rPr>
        <w:t xml:space="preserve"> D’après cette estimation 1 tonne de DSM produit 208,33 Nm</w:t>
      </w:r>
      <w:r w:rsidRPr="000B5F1E">
        <w:rPr>
          <w:rFonts w:ascii="Arial" w:hAnsi="Arial" w:cs="Arial"/>
          <w:color w:val="000000" w:themeColor="text1"/>
          <w:highlight w:val="yellow"/>
          <w:vertAlign w:val="superscript"/>
          <w:lang w:val="fr-FR" w:eastAsia="fr-FR"/>
        </w:rPr>
        <w:t xml:space="preserve">3 </w:t>
      </w:r>
      <w:r w:rsidRPr="000B5F1E">
        <w:rPr>
          <w:rFonts w:ascii="Arial" w:hAnsi="Arial" w:cs="Arial"/>
          <w:color w:val="000000" w:themeColor="text1"/>
          <w:highlight w:val="yellow"/>
          <w:lang w:val="fr-FR" w:eastAsia="fr-FR"/>
        </w:rPr>
        <w:t xml:space="preserve">de </w:t>
      </w:r>
      <w:proofErr w:type="gramStart"/>
      <w:r w:rsidRPr="000B5F1E">
        <w:rPr>
          <w:rFonts w:ascii="Arial" w:hAnsi="Arial" w:cs="Arial"/>
          <w:color w:val="000000" w:themeColor="text1"/>
          <w:highlight w:val="yellow"/>
          <w:lang w:val="fr-FR" w:eastAsia="fr-FR"/>
        </w:rPr>
        <w:t>méthane</w:t>
      </w:r>
      <w:r w:rsidR="002F7EA8" w:rsidRPr="000B5F1E">
        <w:rPr>
          <w:rFonts w:ascii="Arial" w:hAnsi="Arial" w:cs="Arial"/>
          <w:color w:val="000000" w:themeColor="text1"/>
          <w:highlight w:val="yellow"/>
          <w:lang w:val="fr-FR" w:eastAsia="fr-FR"/>
        </w:rPr>
        <w:t>(</w:t>
      </w:r>
      <w:proofErr w:type="spellStart"/>
      <w:proofErr w:type="gramEnd"/>
      <w:r w:rsidR="002F7EA8" w:rsidRPr="000B5F1E">
        <w:rPr>
          <w:rFonts w:ascii="Arial" w:hAnsi="Arial" w:cs="Arial"/>
          <w:b/>
          <w:bCs/>
          <w:color w:val="000000" w:themeColor="text1"/>
          <w:highlight w:val="yellow"/>
          <w:lang w:val="fr-FR" w:eastAsia="fr-FR"/>
        </w:rPr>
        <w:t>Themelis</w:t>
      </w:r>
      <w:proofErr w:type="spellEnd"/>
      <w:r w:rsidR="002F7EA8" w:rsidRPr="000B5F1E">
        <w:rPr>
          <w:rFonts w:ascii="Arial" w:hAnsi="Arial" w:cs="Arial"/>
          <w:b/>
          <w:bCs/>
          <w:color w:val="000000" w:themeColor="text1"/>
          <w:highlight w:val="yellow"/>
          <w:lang w:val="fr-FR" w:eastAsia="fr-FR"/>
        </w:rPr>
        <w:t xml:space="preserve"> &amp; </w:t>
      </w:r>
      <w:proofErr w:type="spellStart"/>
      <w:r w:rsidR="002F7EA8" w:rsidRPr="000B5F1E">
        <w:rPr>
          <w:rFonts w:ascii="Arial" w:hAnsi="Arial" w:cs="Arial"/>
          <w:b/>
          <w:bCs/>
          <w:color w:val="000000" w:themeColor="text1"/>
          <w:highlight w:val="yellow"/>
          <w:lang w:val="fr-FR" w:eastAsia="fr-FR"/>
        </w:rPr>
        <w:t>Ulloa</w:t>
      </w:r>
      <w:proofErr w:type="spellEnd"/>
      <w:r w:rsidR="002F7EA8" w:rsidRPr="000B5F1E">
        <w:rPr>
          <w:rFonts w:ascii="Arial" w:hAnsi="Arial" w:cs="Arial"/>
          <w:b/>
          <w:bCs/>
          <w:color w:val="000000" w:themeColor="text1"/>
          <w:highlight w:val="yellow"/>
          <w:lang w:val="fr-FR" w:eastAsia="fr-FR"/>
        </w:rPr>
        <w:t xml:space="preserve"> , 2006</w:t>
      </w:r>
      <w:r w:rsidR="002F7EA8" w:rsidRPr="000B5F1E">
        <w:rPr>
          <w:rFonts w:ascii="Arial" w:hAnsi="Arial" w:cs="Arial"/>
          <w:color w:val="000000" w:themeColor="text1"/>
          <w:highlight w:val="yellow"/>
          <w:lang w:val="fr-FR" w:eastAsia="fr-FR"/>
        </w:rPr>
        <w:t>)</w:t>
      </w:r>
      <w:r w:rsidRPr="000B5F1E">
        <w:rPr>
          <w:rFonts w:ascii="Arial" w:hAnsi="Arial" w:cs="Arial"/>
          <w:b/>
          <w:color w:val="000000" w:themeColor="text1"/>
          <w:highlight w:val="yellow"/>
          <w:lang w:val="fr-FR" w:eastAsia="fr-FR"/>
        </w:rPr>
        <w:t xml:space="preserve">. </w:t>
      </w:r>
      <w:r w:rsidRPr="000B5F1E">
        <w:rPr>
          <w:rFonts w:ascii="Arial" w:hAnsi="Arial" w:cs="Arial"/>
          <w:color w:val="000000" w:themeColor="text1"/>
          <w:highlight w:val="yellow"/>
          <w:lang w:val="fr-FR" w:eastAsia="fr-FR"/>
        </w:rPr>
        <w:t>La puissance électrique se calcule à partir de l’équation 1.</w:t>
      </w:r>
    </w:p>
    <w:p w14:paraId="1556A221" w14:textId="77777777" w:rsidR="007A7695" w:rsidRPr="00AB57EB" w:rsidRDefault="007A7695" w:rsidP="007A7695">
      <w:pPr>
        <w:rPr>
          <w:rFonts w:ascii="Arial" w:hAnsi="Arial" w:cs="Arial"/>
          <w:color w:val="000000" w:themeColor="text1"/>
          <w:lang w:val="fr-FR" w:eastAsia="fr-FR"/>
        </w:rPr>
      </w:pPr>
    </w:p>
    <w:p w14:paraId="37968E60" w14:textId="77777777" w:rsidR="007A7695" w:rsidRPr="00AB57EB" w:rsidRDefault="007A7695" w:rsidP="007A7695">
      <w:pPr>
        <w:rPr>
          <w:rFonts w:ascii="Arial" w:hAnsi="Arial" w:cs="Arial"/>
          <w:b/>
          <w:color w:val="000000" w:themeColor="text1"/>
          <w:lang w:val="fr-FR" w:eastAsia="fr-FR"/>
        </w:rPr>
      </w:pPr>
    </w:p>
    <w:p w14:paraId="4FDFAC56" w14:textId="77777777" w:rsidR="00566FC3" w:rsidRPr="007A7695" w:rsidRDefault="00566FC3" w:rsidP="00566FC3">
      <w:pPr>
        <w:spacing w:after="200" w:line="360" w:lineRule="auto"/>
        <w:rPr>
          <w:rFonts w:ascii="Arial" w:hAnsi="Arial" w:cs="Arial"/>
          <w:b/>
          <w:color w:val="000000"/>
          <w:sz w:val="24"/>
          <w:szCs w:val="24"/>
          <w:lang w:val="fr-FR" w:eastAsia="fr-FR"/>
        </w:rPr>
      </w:pPr>
    </w:p>
    <w:bookmarkEnd w:id="1"/>
    <w:p w14:paraId="0D7AB883" w14:textId="77777777" w:rsidR="00902823" w:rsidRPr="00AB57EB" w:rsidRDefault="00000F8F" w:rsidP="00441B6F">
      <w:pPr>
        <w:pStyle w:val="Head1"/>
        <w:spacing w:after="0"/>
        <w:jc w:val="both"/>
        <w:rPr>
          <w:rFonts w:ascii="Arial" w:hAnsi="Arial" w:cs="Arial"/>
          <w:lang w:val="fr-FR"/>
        </w:rPr>
      </w:pPr>
      <w:r w:rsidRPr="00AB57EB">
        <w:rPr>
          <w:rFonts w:ascii="Arial" w:hAnsi="Arial" w:cs="Arial"/>
          <w:lang w:val="fr-FR"/>
        </w:rPr>
        <w:t>3</w:t>
      </w:r>
      <w:r w:rsidR="00902823" w:rsidRPr="00AB57EB">
        <w:rPr>
          <w:rFonts w:ascii="Arial" w:hAnsi="Arial" w:cs="Arial"/>
          <w:lang w:val="fr-FR"/>
        </w:rPr>
        <w:t xml:space="preserve">. </w:t>
      </w:r>
      <w:r w:rsidRPr="00AB57EB">
        <w:rPr>
          <w:rFonts w:ascii="Arial" w:hAnsi="Arial" w:cs="Arial"/>
          <w:lang w:val="fr-FR"/>
        </w:rPr>
        <w:t>results and discussion</w:t>
      </w:r>
    </w:p>
    <w:p w14:paraId="38052EA4" w14:textId="77777777" w:rsidR="00790ADA" w:rsidRPr="00AB57EB" w:rsidRDefault="00790ADA" w:rsidP="00441B6F">
      <w:pPr>
        <w:pStyle w:val="Head1"/>
        <w:spacing w:after="0"/>
        <w:jc w:val="both"/>
        <w:rPr>
          <w:rFonts w:ascii="Arial" w:hAnsi="Arial" w:cs="Arial"/>
          <w:lang w:val="fr-FR"/>
        </w:rPr>
      </w:pPr>
    </w:p>
    <w:p w14:paraId="69D92922" w14:textId="3080B4F5" w:rsidR="00C30A0F" w:rsidRPr="007A7695" w:rsidRDefault="00C30A0F" w:rsidP="00441B6F">
      <w:pPr>
        <w:pStyle w:val="Body"/>
        <w:spacing w:after="0"/>
        <w:rPr>
          <w:rFonts w:ascii="Arial" w:hAnsi="Arial" w:cs="Arial"/>
        </w:rPr>
      </w:pPr>
      <w:bookmarkStart w:id="5" w:name="_Hlk205192345"/>
      <w:r w:rsidRPr="007A7695">
        <w:rPr>
          <w:rFonts w:ascii="Arial" w:hAnsi="Arial" w:cs="Arial"/>
          <w:b/>
          <w:caps/>
          <w:sz w:val="22"/>
        </w:rPr>
        <w:t xml:space="preserve">3.1 </w:t>
      </w:r>
      <w:r w:rsidR="005D75BB" w:rsidRPr="007A7695">
        <w:rPr>
          <w:rFonts w:ascii="Arial" w:hAnsi="Arial" w:cs="Arial"/>
          <w:b/>
          <w:sz w:val="22"/>
        </w:rPr>
        <w:t>Zero</w:t>
      </w:r>
      <w:r w:rsidR="009A6066" w:rsidRPr="007A7695">
        <w:rPr>
          <w:rFonts w:ascii="Arial" w:hAnsi="Arial" w:cs="Arial"/>
          <w:b/>
          <w:sz w:val="22"/>
        </w:rPr>
        <w:t xml:space="preserve"> O</w:t>
      </w:r>
      <w:r w:rsidR="005D75BB" w:rsidRPr="007A7695">
        <w:rPr>
          <w:rFonts w:ascii="Arial" w:hAnsi="Arial" w:cs="Arial"/>
          <w:b/>
          <w:sz w:val="22"/>
        </w:rPr>
        <w:t xml:space="preserve">rder </w:t>
      </w:r>
      <w:r w:rsidR="009A6066" w:rsidRPr="007A7695">
        <w:rPr>
          <w:rFonts w:ascii="Arial" w:hAnsi="Arial" w:cs="Arial"/>
          <w:b/>
          <w:sz w:val="22"/>
        </w:rPr>
        <w:t>D</w:t>
      </w:r>
      <w:r w:rsidR="009A6066" w:rsidRPr="007A7695">
        <w:rPr>
          <w:rFonts w:ascii="Arial" w:hAnsi="Arial" w:cs="Arial"/>
          <w:b/>
          <w:sz w:val="22"/>
        </w:rPr>
        <w:t>ecay</w:t>
      </w:r>
      <w:r w:rsidR="005D75BB" w:rsidRPr="007A7695">
        <w:rPr>
          <w:rFonts w:ascii="Arial" w:hAnsi="Arial" w:cs="Arial"/>
          <w:b/>
          <w:sz w:val="22"/>
        </w:rPr>
        <w:t xml:space="preserve"> M</w:t>
      </w:r>
      <w:proofErr w:type="spellStart"/>
      <w:r w:rsidR="005D75BB" w:rsidRPr="007A7695">
        <w:rPr>
          <w:rFonts w:ascii="Arial" w:hAnsi="Arial" w:cs="Arial"/>
          <w:b/>
          <w:sz w:val="22"/>
        </w:rPr>
        <w:t>odel</w:t>
      </w:r>
      <w:proofErr w:type="spellEnd"/>
      <w:r w:rsidR="005D75BB" w:rsidRPr="007A7695">
        <w:rPr>
          <w:rFonts w:ascii="Arial" w:hAnsi="Arial" w:cs="Arial"/>
          <w:b/>
          <w:sz w:val="22"/>
        </w:rPr>
        <w:t xml:space="preserve"> Based on Different Theories</w:t>
      </w:r>
      <w:r w:rsidRPr="007A7695">
        <w:rPr>
          <w:rFonts w:ascii="Arial" w:hAnsi="Arial" w:cs="Arial"/>
          <w:b/>
          <w:sz w:val="22"/>
        </w:rPr>
        <w:t xml:space="preserve"> </w:t>
      </w:r>
    </w:p>
    <w:bookmarkEnd w:id="5"/>
    <w:p w14:paraId="7CB99058" w14:textId="77777777" w:rsidR="005D75BB" w:rsidRPr="007A7695" w:rsidRDefault="005D75BB" w:rsidP="005D75BB">
      <w:pPr>
        <w:pStyle w:val="NormalWeb"/>
        <w:rPr>
          <w:rFonts w:ascii="Arial" w:hAnsi="Arial" w:cs="Arial"/>
          <w:sz w:val="20"/>
          <w:szCs w:val="20"/>
        </w:rPr>
      </w:pPr>
      <w:r w:rsidRPr="007A7695">
        <w:rPr>
          <w:rFonts w:ascii="Arial" w:hAnsi="Arial" w:cs="Arial"/>
          <w:b/>
          <w:bCs/>
          <w:sz w:val="20"/>
          <w:szCs w:val="20"/>
        </w:rPr>
        <w:t>Figure 1</w:t>
      </w:r>
      <w:r w:rsidRPr="007A7695">
        <w:rPr>
          <w:rFonts w:ascii="Arial" w:hAnsi="Arial" w:cs="Arial"/>
          <w:sz w:val="20"/>
          <w:szCs w:val="20"/>
        </w:rPr>
        <w:t xml:space="preserve"> presents the estimation of the electrical power generated by the biogas from the </w:t>
      </w:r>
      <w:proofErr w:type="spellStart"/>
      <w:r w:rsidRPr="007A7695">
        <w:rPr>
          <w:rFonts w:ascii="Arial" w:hAnsi="Arial" w:cs="Arial"/>
          <w:sz w:val="20"/>
          <w:szCs w:val="20"/>
        </w:rPr>
        <w:t>Akouédo</w:t>
      </w:r>
      <w:proofErr w:type="spellEnd"/>
      <w:r w:rsidRPr="007A7695">
        <w:rPr>
          <w:rFonts w:ascii="Arial" w:hAnsi="Arial" w:cs="Arial"/>
          <w:sz w:val="20"/>
          <w:szCs w:val="20"/>
        </w:rPr>
        <w:t xml:space="preserve"> landfill, based on different theoretical approaches.</w:t>
      </w:r>
    </w:p>
    <w:p w14:paraId="75E37C32" w14:textId="77777777" w:rsidR="005D75BB" w:rsidRPr="007A7695" w:rsidRDefault="005D75BB" w:rsidP="005D75BB">
      <w:pPr>
        <w:pStyle w:val="NormalWeb"/>
        <w:rPr>
          <w:rFonts w:ascii="Arial" w:hAnsi="Arial" w:cs="Arial"/>
          <w:sz w:val="20"/>
          <w:szCs w:val="20"/>
        </w:rPr>
      </w:pPr>
      <w:r w:rsidRPr="007A7695">
        <w:rPr>
          <w:rFonts w:ascii="Arial" w:hAnsi="Arial" w:cs="Arial"/>
          <w:sz w:val="20"/>
          <w:szCs w:val="20"/>
        </w:rPr>
        <w:lastRenderedPageBreak/>
        <w:t xml:space="preserve">                     </w:t>
      </w:r>
      <w:r w:rsidRPr="007A7695">
        <w:rPr>
          <w:rFonts w:ascii="Arial" w:hAnsi="Arial" w:cs="Arial"/>
          <w:noProof/>
          <w:sz w:val="20"/>
          <w:szCs w:val="20"/>
        </w:rPr>
        <w:drawing>
          <wp:inline distT="0" distB="0" distL="0" distR="0" wp14:anchorId="3EC09760" wp14:editId="7D7C0295">
            <wp:extent cx="4369025" cy="263538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69025" cy="2635385"/>
                    </a:xfrm>
                    <a:prstGeom prst="rect">
                      <a:avLst/>
                    </a:prstGeom>
                  </pic:spPr>
                </pic:pic>
              </a:graphicData>
            </a:graphic>
          </wp:inline>
        </w:drawing>
      </w:r>
    </w:p>
    <w:p w14:paraId="332090A9" w14:textId="77777777" w:rsidR="005D75BB" w:rsidRPr="007A7695" w:rsidRDefault="005D75BB" w:rsidP="005D75BB">
      <w:pPr>
        <w:pStyle w:val="Corpsdetexte"/>
        <w:spacing w:before="200" w:line="360" w:lineRule="auto"/>
        <w:ind w:left="566" w:right="980" w:firstLine="710"/>
        <w:jc w:val="both"/>
        <w:rPr>
          <w:rFonts w:ascii="Arial" w:hAnsi="Arial" w:cs="Arial"/>
        </w:rPr>
      </w:pPr>
      <w:r w:rsidRPr="007A7695">
        <w:rPr>
          <w:rFonts w:ascii="Arial" w:hAnsi="Arial" w:cs="Arial"/>
          <w:b/>
          <w:bCs/>
        </w:rPr>
        <w:t xml:space="preserve">Figure </w:t>
      </w:r>
      <w:proofErr w:type="gramStart"/>
      <w:r w:rsidRPr="007A7695">
        <w:rPr>
          <w:rFonts w:ascii="Arial" w:hAnsi="Arial" w:cs="Arial"/>
          <w:b/>
          <w:bCs/>
        </w:rPr>
        <w:t>1</w:t>
      </w:r>
      <w:r w:rsidRPr="007A7695">
        <w:rPr>
          <w:rFonts w:ascii="Arial" w:hAnsi="Arial" w:cs="Arial"/>
        </w:rPr>
        <w:t xml:space="preserve"> :</w:t>
      </w:r>
      <w:proofErr w:type="gramEnd"/>
      <w:r w:rsidRPr="007A7695">
        <w:rPr>
          <w:rFonts w:ascii="Arial" w:hAnsi="Arial" w:cs="Arial"/>
        </w:rPr>
        <w:t xml:space="preserve"> Estimation of the Electrical Power (MW) Generated by Biogas from the </w:t>
      </w:r>
      <w:proofErr w:type="spellStart"/>
      <w:r w:rsidRPr="007A7695">
        <w:rPr>
          <w:rFonts w:ascii="Arial" w:hAnsi="Arial" w:cs="Arial"/>
        </w:rPr>
        <w:t>Kossihouen</w:t>
      </w:r>
      <w:proofErr w:type="spellEnd"/>
      <w:r w:rsidRPr="007A7695">
        <w:rPr>
          <w:rFonts w:ascii="Arial" w:hAnsi="Arial" w:cs="Arial"/>
        </w:rPr>
        <w:t xml:space="preserve"> Landfill Based on Various Theories.</w:t>
      </w:r>
    </w:p>
    <w:p w14:paraId="035A7F09" w14:textId="77777777" w:rsidR="005D75BB" w:rsidRPr="007A7695" w:rsidRDefault="005D75BB" w:rsidP="005D75BB">
      <w:pPr>
        <w:pStyle w:val="Corpsdetexte"/>
        <w:spacing w:before="1" w:line="360" w:lineRule="auto"/>
        <w:ind w:left="566" w:right="980" w:firstLine="710"/>
        <w:jc w:val="both"/>
        <w:rPr>
          <w:rFonts w:ascii="Arial" w:hAnsi="Arial" w:cs="Arial"/>
          <w:color w:val="000000" w:themeColor="text1"/>
        </w:rPr>
      </w:pPr>
      <w:r w:rsidRPr="007A7695">
        <w:rPr>
          <w:rFonts w:ascii="Arial" w:hAnsi="Arial" w:cs="Arial"/>
          <w:color w:val="000000" w:themeColor="text1"/>
        </w:rPr>
        <w:t>The maximum and minimum values of electrical power are 46.42 MW and 36.93 MW, respectively. Thus, theoretically, this electrical power could supply electricity to approximately 278,000 people at maximum. The maximum value was obtained from the stoichiometric model, while the minimum value was derived from the IPCC model. Excluding the stoichiometric model, the average electrical power derived from the other models is 38.88 MW.</w:t>
      </w:r>
    </w:p>
    <w:p w14:paraId="41C8355D" w14:textId="77777777" w:rsidR="005D75BB" w:rsidRPr="007A7695" w:rsidRDefault="005D75BB" w:rsidP="005D75BB">
      <w:pPr>
        <w:pStyle w:val="Corpsdetexte"/>
        <w:spacing w:before="1" w:line="360" w:lineRule="auto"/>
        <w:ind w:left="566" w:right="980" w:firstLine="710"/>
        <w:jc w:val="both"/>
        <w:rPr>
          <w:rFonts w:ascii="Arial" w:hAnsi="Arial" w:cs="Arial"/>
          <w:color w:val="000000" w:themeColor="text1"/>
        </w:rPr>
      </w:pPr>
    </w:p>
    <w:p w14:paraId="38B41A5C" w14:textId="77777777" w:rsidR="005D75BB" w:rsidRPr="007A7695" w:rsidRDefault="005D75BB" w:rsidP="005D75BB">
      <w:pPr>
        <w:pStyle w:val="Corpsdetexte"/>
        <w:spacing w:before="1" w:line="360" w:lineRule="auto"/>
        <w:ind w:left="566" w:right="980" w:firstLine="710"/>
        <w:jc w:val="both"/>
        <w:rPr>
          <w:rFonts w:ascii="Arial" w:hAnsi="Arial" w:cs="Arial"/>
          <w:color w:val="000000" w:themeColor="text1"/>
        </w:rPr>
      </w:pPr>
      <w:r w:rsidRPr="007A7695">
        <w:rPr>
          <w:rFonts w:ascii="Arial" w:hAnsi="Arial" w:cs="Arial"/>
          <w:color w:val="000000" w:themeColor="text1"/>
        </w:rPr>
        <w:t xml:space="preserve">Indeed, the difference in observed electrical power can be explained by the use of different factors in each model for these estimates. The value of 40.60 MW obtained from the </w:t>
      </w:r>
      <w:proofErr w:type="spellStart"/>
      <w:r w:rsidRPr="007A7695">
        <w:rPr>
          <w:rFonts w:ascii="Arial" w:hAnsi="Arial" w:cs="Arial"/>
          <w:color w:val="000000" w:themeColor="text1"/>
        </w:rPr>
        <w:t>Taherzadeh</w:t>
      </w:r>
      <w:proofErr w:type="spellEnd"/>
      <w:r w:rsidRPr="007A7695">
        <w:rPr>
          <w:rFonts w:ascii="Arial" w:hAnsi="Arial" w:cs="Arial"/>
          <w:color w:val="000000" w:themeColor="text1"/>
        </w:rPr>
        <w:t xml:space="preserve"> model is an approximate estimate of the electrical power associated with the anaerobic decomposition of Municipal Solid Waste (MSW). The value of 39.29 MW, estimated using the model by Johari et al., is based on stoichiometry. This model considers biomass as the raw material for the anaerobic generation of landfill gas. The minimum electrical power value obtained from the default IPCC model could be explained by the use of default values for certain parameters, such as the methane correction factor (MCF) and the degradable organic carbon fraction (DOC</w:t>
      </w:r>
      <w:r w:rsidRPr="007A7695">
        <w:rPr>
          <w:rFonts w:ascii="Arial" w:hAnsi="Arial" w:cs="Arial"/>
          <w:color w:val="000000" w:themeColor="text1"/>
          <w:vertAlign w:val="subscript"/>
        </w:rPr>
        <w:t>F</w:t>
      </w:r>
      <w:r w:rsidRPr="007A7695">
        <w:rPr>
          <w:rFonts w:ascii="Arial" w:hAnsi="Arial" w:cs="Arial"/>
          <w:color w:val="000000" w:themeColor="text1"/>
        </w:rPr>
        <w:t>). Additionally, this model does not account for the age or type of waste. The stoichiometric model provides the upper limit for electrical power. Any value beyond this limit is theoretically impossible.</w:t>
      </w:r>
    </w:p>
    <w:p w14:paraId="706412A3" w14:textId="77777777" w:rsidR="005D75BB" w:rsidRPr="007A7695" w:rsidRDefault="005D75BB" w:rsidP="005D75BB">
      <w:pPr>
        <w:pStyle w:val="Corpsdetexte"/>
        <w:spacing w:before="1" w:line="360" w:lineRule="auto"/>
        <w:ind w:left="566" w:right="980" w:firstLine="710"/>
        <w:jc w:val="both"/>
        <w:rPr>
          <w:rFonts w:ascii="Arial" w:hAnsi="Arial" w:cs="Arial"/>
          <w:color w:val="000000" w:themeColor="text1"/>
        </w:rPr>
      </w:pPr>
    </w:p>
    <w:p w14:paraId="4A2BE18A" w14:textId="77777777" w:rsidR="005D75BB" w:rsidRPr="007A7695" w:rsidRDefault="005D75BB" w:rsidP="005D75BB">
      <w:pPr>
        <w:pStyle w:val="Corpsdetexte"/>
        <w:spacing w:before="1" w:line="360" w:lineRule="auto"/>
        <w:ind w:left="566" w:right="980" w:firstLine="710"/>
        <w:jc w:val="both"/>
        <w:rPr>
          <w:rFonts w:ascii="Arial" w:hAnsi="Arial" w:cs="Arial"/>
          <w:color w:val="000000" w:themeColor="text1"/>
        </w:rPr>
      </w:pPr>
      <w:r w:rsidRPr="007A7695">
        <w:rPr>
          <w:rFonts w:ascii="Arial" w:hAnsi="Arial" w:cs="Arial"/>
          <w:color w:val="000000" w:themeColor="text1"/>
        </w:rPr>
        <w:t xml:space="preserve">Global methane emissions from waste landfilling are estimated at 12%, corresponding to 1.5 billion tons of methane, of which only 10% is captured </w:t>
      </w:r>
      <w:r w:rsidRPr="007A7695">
        <w:rPr>
          <w:rFonts w:ascii="Arial" w:hAnsi="Arial" w:cs="Arial"/>
          <w:b/>
          <w:bCs/>
          <w:color w:val="000000" w:themeColor="text1"/>
        </w:rPr>
        <w:t>(Ahmed et al., 2013)</w:t>
      </w:r>
      <w:r w:rsidRPr="007A7695">
        <w:rPr>
          <w:rFonts w:ascii="Arial" w:hAnsi="Arial" w:cs="Arial"/>
          <w:color w:val="000000" w:themeColor="text1"/>
        </w:rPr>
        <w:t xml:space="preserve">. This underscores the importance of accurately estimating the green energy potential of the </w:t>
      </w:r>
      <w:proofErr w:type="spellStart"/>
      <w:r w:rsidRPr="007A7695">
        <w:rPr>
          <w:rFonts w:ascii="Arial" w:hAnsi="Arial" w:cs="Arial"/>
          <w:color w:val="000000" w:themeColor="text1"/>
        </w:rPr>
        <w:t>Kossihouen</w:t>
      </w:r>
      <w:proofErr w:type="spellEnd"/>
      <w:r w:rsidRPr="007A7695">
        <w:rPr>
          <w:rFonts w:ascii="Arial" w:hAnsi="Arial" w:cs="Arial"/>
          <w:color w:val="000000" w:themeColor="text1"/>
        </w:rPr>
        <w:t xml:space="preserve"> landfill by incorporating additional experimental data (</w:t>
      </w:r>
      <w:r w:rsidRPr="007A7695">
        <w:rPr>
          <w:rFonts w:ascii="Arial" w:hAnsi="Arial" w:cs="Arial"/>
          <w:b/>
          <w:bCs/>
          <w:color w:val="000000" w:themeColor="text1"/>
        </w:rPr>
        <w:t>Figures 1 and 2</w:t>
      </w:r>
      <w:r w:rsidRPr="007A7695">
        <w:rPr>
          <w:rFonts w:ascii="Arial" w:hAnsi="Arial" w:cs="Arial"/>
          <w:color w:val="000000" w:themeColor="text1"/>
        </w:rPr>
        <w:t xml:space="preserve">). Understanding the biogas generation potential at the </w:t>
      </w:r>
      <w:proofErr w:type="spellStart"/>
      <w:r w:rsidRPr="007A7695">
        <w:rPr>
          <w:rFonts w:ascii="Arial" w:hAnsi="Arial" w:cs="Arial"/>
          <w:color w:val="000000" w:themeColor="text1"/>
        </w:rPr>
        <w:t>Kossihouen</w:t>
      </w:r>
      <w:proofErr w:type="spellEnd"/>
      <w:r w:rsidRPr="007A7695">
        <w:rPr>
          <w:rFonts w:ascii="Arial" w:hAnsi="Arial" w:cs="Arial"/>
          <w:color w:val="000000" w:themeColor="text1"/>
        </w:rPr>
        <w:t xml:space="preserve"> landfill is crucial before implementing a biogas recovery facility for energy production purposes. Furthermore, this facility is highly costly </w:t>
      </w:r>
      <w:r w:rsidRPr="007A7695">
        <w:rPr>
          <w:rFonts w:ascii="Arial" w:hAnsi="Arial" w:cs="Arial"/>
          <w:b/>
          <w:bCs/>
          <w:color w:val="000000" w:themeColor="text1"/>
        </w:rPr>
        <w:t>(</w:t>
      </w:r>
      <w:proofErr w:type="spellStart"/>
      <w:r w:rsidRPr="007A7695">
        <w:rPr>
          <w:rFonts w:ascii="Arial" w:hAnsi="Arial" w:cs="Arial"/>
          <w:b/>
          <w:bCs/>
          <w:color w:val="000000" w:themeColor="text1"/>
        </w:rPr>
        <w:t>Zairi</w:t>
      </w:r>
      <w:proofErr w:type="spellEnd"/>
      <w:r w:rsidRPr="007A7695">
        <w:rPr>
          <w:rFonts w:ascii="Arial" w:hAnsi="Arial" w:cs="Arial"/>
          <w:b/>
          <w:bCs/>
          <w:color w:val="000000" w:themeColor="text1"/>
        </w:rPr>
        <w:t>, 2014)</w:t>
      </w:r>
      <w:r w:rsidRPr="007A7695">
        <w:rPr>
          <w:rFonts w:ascii="Arial" w:hAnsi="Arial" w:cs="Arial"/>
          <w:color w:val="000000" w:themeColor="text1"/>
        </w:rPr>
        <w:t>. For these reasons, multiple approaches were employed in this study to obtain a more accurate estimate.</w:t>
      </w:r>
    </w:p>
    <w:p w14:paraId="10783B62" w14:textId="77777777" w:rsidR="005D75BB" w:rsidRPr="007A7695" w:rsidRDefault="005D75BB" w:rsidP="005D75BB">
      <w:pPr>
        <w:pStyle w:val="Corpsdetexte"/>
        <w:spacing w:before="1" w:line="360" w:lineRule="auto"/>
        <w:ind w:left="566" w:right="980" w:firstLine="710"/>
        <w:jc w:val="both"/>
        <w:rPr>
          <w:rFonts w:ascii="Arial" w:hAnsi="Arial" w:cs="Arial"/>
          <w:color w:val="000000" w:themeColor="text1"/>
        </w:rPr>
      </w:pPr>
    </w:p>
    <w:p w14:paraId="6F8AE6AE" w14:textId="77777777" w:rsidR="005D75BB" w:rsidRPr="007A7695" w:rsidRDefault="005D75BB" w:rsidP="005D75BB">
      <w:pPr>
        <w:pStyle w:val="Corpsdetexte"/>
        <w:spacing w:before="1" w:line="360" w:lineRule="auto"/>
        <w:ind w:left="566" w:right="980" w:firstLine="710"/>
        <w:jc w:val="both"/>
        <w:rPr>
          <w:rFonts w:ascii="Arial" w:hAnsi="Arial" w:cs="Arial"/>
          <w:color w:val="000000" w:themeColor="text1"/>
        </w:rPr>
      </w:pPr>
      <w:r w:rsidRPr="007A7695">
        <w:rPr>
          <w:rFonts w:ascii="Arial" w:hAnsi="Arial" w:cs="Arial"/>
          <w:color w:val="000000" w:themeColor="text1"/>
        </w:rPr>
        <w:t xml:space="preserve">It is worth noting that biogas generation at the </w:t>
      </w:r>
      <w:proofErr w:type="spellStart"/>
      <w:r w:rsidRPr="007A7695">
        <w:rPr>
          <w:rFonts w:ascii="Arial" w:hAnsi="Arial" w:cs="Arial"/>
          <w:color w:val="000000" w:themeColor="text1"/>
        </w:rPr>
        <w:t>Kossihouen</w:t>
      </w:r>
      <w:proofErr w:type="spellEnd"/>
      <w:r w:rsidRPr="007A7695">
        <w:rPr>
          <w:rFonts w:ascii="Arial" w:hAnsi="Arial" w:cs="Arial"/>
          <w:color w:val="000000" w:themeColor="text1"/>
        </w:rPr>
        <w:t xml:space="preserve"> landfill is continuous due to the anaerobic decomposition of the organic fraction of solid waste. Therefore, if the biogas recovery facility is non-operational, pressure will build up, causing biogas to be released into the atmosphere </w:t>
      </w:r>
      <w:r w:rsidRPr="007A7695">
        <w:rPr>
          <w:rFonts w:ascii="Arial" w:hAnsi="Arial" w:cs="Arial"/>
          <w:b/>
          <w:bCs/>
          <w:color w:val="000000" w:themeColor="text1"/>
        </w:rPr>
        <w:t>(Johari, 2012)</w:t>
      </w:r>
      <w:r w:rsidRPr="007A7695">
        <w:rPr>
          <w:rFonts w:ascii="Arial" w:hAnsi="Arial" w:cs="Arial"/>
          <w:color w:val="000000" w:themeColor="text1"/>
        </w:rPr>
        <w:t>. This would pose a significant environmental threat, as methane from biogas is a potent greenhouse gas. Moreover, the revenue generated from electricity and carbon credits (from emission reduction certifications) using the Johari model amounted to a total of 53.075 million USD. This revenue represents a substantial added value to the economy of Côte d'Ivoire.</w:t>
      </w:r>
    </w:p>
    <w:p w14:paraId="37DC5A70" w14:textId="34D56628" w:rsidR="005D75BB" w:rsidRPr="007A7695" w:rsidRDefault="005D75BB" w:rsidP="005D75BB">
      <w:pPr>
        <w:pStyle w:val="Body"/>
        <w:spacing w:after="0"/>
        <w:rPr>
          <w:rFonts w:ascii="Arial" w:hAnsi="Arial" w:cs="Arial"/>
        </w:rPr>
      </w:pPr>
      <w:r w:rsidRPr="007A7695">
        <w:rPr>
          <w:rFonts w:ascii="Arial" w:hAnsi="Arial" w:cs="Arial"/>
          <w:b/>
          <w:caps/>
          <w:sz w:val="22"/>
        </w:rPr>
        <w:t>3.</w:t>
      </w:r>
      <w:r w:rsidR="009A6066" w:rsidRPr="007A7695">
        <w:rPr>
          <w:rFonts w:ascii="Arial" w:hAnsi="Arial" w:cs="Arial"/>
          <w:b/>
          <w:caps/>
          <w:sz w:val="22"/>
        </w:rPr>
        <w:t>2</w:t>
      </w:r>
      <w:r w:rsidRPr="007A7695">
        <w:rPr>
          <w:rFonts w:ascii="Arial" w:hAnsi="Arial" w:cs="Arial"/>
          <w:b/>
          <w:caps/>
          <w:sz w:val="22"/>
        </w:rPr>
        <w:t xml:space="preserve"> </w:t>
      </w:r>
      <w:r w:rsidRPr="007A7695">
        <w:rPr>
          <w:rFonts w:ascii="Arial" w:hAnsi="Arial" w:cs="Arial"/>
          <w:b/>
          <w:sz w:val="22"/>
        </w:rPr>
        <w:t xml:space="preserve">Zero </w:t>
      </w:r>
      <w:r w:rsidR="009A6066" w:rsidRPr="007A7695">
        <w:rPr>
          <w:rFonts w:ascii="Arial" w:hAnsi="Arial" w:cs="Arial"/>
          <w:b/>
          <w:sz w:val="22"/>
        </w:rPr>
        <w:t>O</w:t>
      </w:r>
      <w:r w:rsidRPr="007A7695">
        <w:rPr>
          <w:rFonts w:ascii="Arial" w:hAnsi="Arial" w:cs="Arial"/>
          <w:b/>
          <w:sz w:val="22"/>
        </w:rPr>
        <w:t xml:space="preserve">rder </w:t>
      </w:r>
      <w:r w:rsidR="009A6066" w:rsidRPr="007A7695">
        <w:rPr>
          <w:rFonts w:ascii="Arial" w:hAnsi="Arial" w:cs="Arial"/>
          <w:b/>
          <w:sz w:val="22"/>
        </w:rPr>
        <w:t>D</w:t>
      </w:r>
      <w:r w:rsidRPr="007A7695">
        <w:rPr>
          <w:rFonts w:ascii="Arial" w:hAnsi="Arial" w:cs="Arial"/>
          <w:b/>
          <w:sz w:val="22"/>
        </w:rPr>
        <w:t xml:space="preserve">ecay </w:t>
      </w:r>
      <w:r w:rsidR="009A6066" w:rsidRPr="007A7695">
        <w:rPr>
          <w:rFonts w:ascii="Arial" w:hAnsi="Arial" w:cs="Arial"/>
          <w:b/>
          <w:sz w:val="22"/>
        </w:rPr>
        <w:t>M</w:t>
      </w:r>
      <w:r w:rsidRPr="007A7695">
        <w:rPr>
          <w:rFonts w:ascii="Arial" w:hAnsi="Arial" w:cs="Arial"/>
          <w:b/>
          <w:sz w:val="22"/>
        </w:rPr>
        <w:t xml:space="preserve">odel </w:t>
      </w:r>
      <w:r w:rsidR="009A6066" w:rsidRPr="007A7695">
        <w:rPr>
          <w:rFonts w:ascii="Arial" w:hAnsi="Arial" w:cs="Arial"/>
          <w:b/>
          <w:sz w:val="22"/>
        </w:rPr>
        <w:t>B</w:t>
      </w:r>
      <w:r w:rsidRPr="007A7695">
        <w:rPr>
          <w:rFonts w:ascii="Arial" w:hAnsi="Arial" w:cs="Arial"/>
          <w:b/>
          <w:sz w:val="22"/>
        </w:rPr>
        <w:t xml:space="preserve">ased on </w:t>
      </w:r>
      <w:r w:rsidR="009A6066" w:rsidRPr="007A7695">
        <w:rPr>
          <w:rFonts w:ascii="Arial" w:hAnsi="Arial" w:cs="Arial"/>
          <w:b/>
          <w:sz w:val="22"/>
        </w:rPr>
        <w:t>E</w:t>
      </w:r>
      <w:r w:rsidRPr="007A7695">
        <w:rPr>
          <w:rFonts w:ascii="Arial" w:hAnsi="Arial" w:cs="Arial"/>
          <w:b/>
          <w:sz w:val="22"/>
        </w:rPr>
        <w:t xml:space="preserve">mpirical </w:t>
      </w:r>
      <w:r w:rsidR="009A6066" w:rsidRPr="007A7695">
        <w:rPr>
          <w:rFonts w:ascii="Arial" w:hAnsi="Arial" w:cs="Arial"/>
          <w:b/>
          <w:sz w:val="22"/>
        </w:rPr>
        <w:t>M</w:t>
      </w:r>
      <w:r w:rsidRPr="007A7695">
        <w:rPr>
          <w:rFonts w:ascii="Arial" w:hAnsi="Arial" w:cs="Arial"/>
          <w:b/>
          <w:sz w:val="22"/>
        </w:rPr>
        <w:t xml:space="preserve">odels </w:t>
      </w:r>
    </w:p>
    <w:p w14:paraId="4B0BE37A" w14:textId="0C9969CA" w:rsidR="00505F06" w:rsidRPr="007A7695" w:rsidRDefault="00505F06" w:rsidP="00441B6F">
      <w:pPr>
        <w:pStyle w:val="Body"/>
        <w:spacing w:after="0"/>
        <w:rPr>
          <w:rFonts w:ascii="Arial" w:hAnsi="Arial" w:cs="Arial"/>
        </w:rPr>
      </w:pPr>
    </w:p>
    <w:p w14:paraId="6983DC07" w14:textId="77777777" w:rsidR="00A34E8E" w:rsidRPr="007A7695" w:rsidRDefault="005D75BB" w:rsidP="005D75BB">
      <w:pPr>
        <w:pStyle w:val="Corpsdetexte"/>
        <w:spacing w:before="1" w:line="360" w:lineRule="auto"/>
        <w:ind w:left="566" w:right="984" w:firstLine="710"/>
        <w:jc w:val="both"/>
        <w:rPr>
          <w:rFonts w:ascii="Arial" w:hAnsi="Arial" w:cs="Arial"/>
          <w:color w:val="000000" w:themeColor="text1"/>
        </w:rPr>
      </w:pPr>
      <w:r w:rsidRPr="007A7695">
        <w:rPr>
          <w:rFonts w:ascii="Arial" w:hAnsi="Arial" w:cs="Arial"/>
          <w:b/>
          <w:bCs/>
          <w:color w:val="000000" w:themeColor="text1"/>
        </w:rPr>
        <w:t>Figure 2</w:t>
      </w:r>
      <w:r w:rsidRPr="007A7695">
        <w:rPr>
          <w:rFonts w:ascii="Arial" w:hAnsi="Arial" w:cs="Arial"/>
          <w:color w:val="000000" w:themeColor="text1"/>
        </w:rPr>
        <w:t xml:space="preserve"> presents the estimation of the electrical power generated from the biogas produced by the </w:t>
      </w:r>
      <w:proofErr w:type="spellStart"/>
      <w:r w:rsidRPr="007A7695">
        <w:rPr>
          <w:rFonts w:ascii="Arial" w:hAnsi="Arial" w:cs="Arial"/>
          <w:color w:val="000000" w:themeColor="text1"/>
        </w:rPr>
        <w:t>Kossihouen</w:t>
      </w:r>
      <w:proofErr w:type="spellEnd"/>
      <w:r w:rsidRPr="007A7695">
        <w:rPr>
          <w:rFonts w:ascii="Arial" w:hAnsi="Arial" w:cs="Arial"/>
          <w:color w:val="000000" w:themeColor="text1"/>
        </w:rPr>
        <w:t xml:space="preserve"> landfill, based on experimental data.</w:t>
      </w:r>
    </w:p>
    <w:p w14:paraId="6BB69CF4" w14:textId="550986C3" w:rsidR="005D75BB" w:rsidRPr="007A7695" w:rsidRDefault="005D75BB" w:rsidP="005D75BB">
      <w:pPr>
        <w:pStyle w:val="Corpsdetexte"/>
        <w:spacing w:before="1" w:line="360" w:lineRule="auto"/>
        <w:ind w:left="566" w:right="984" w:firstLine="710"/>
        <w:jc w:val="both"/>
        <w:rPr>
          <w:rFonts w:ascii="Arial" w:hAnsi="Arial" w:cs="Arial"/>
          <w:color w:val="000000" w:themeColor="text1"/>
        </w:rPr>
      </w:pPr>
      <w:r w:rsidRPr="007A7695">
        <w:rPr>
          <w:rFonts w:ascii="Arial" w:hAnsi="Arial" w:cs="Arial"/>
          <w:noProof/>
          <w:color w:val="000000" w:themeColor="text1"/>
        </w:rPr>
        <w:drawing>
          <wp:inline distT="0" distB="0" distL="0" distR="0" wp14:anchorId="0AC81633" wp14:editId="390855C7">
            <wp:extent cx="4267419" cy="263538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67419" cy="2635385"/>
                    </a:xfrm>
                    <a:prstGeom prst="rect">
                      <a:avLst/>
                    </a:prstGeom>
                  </pic:spPr>
                </pic:pic>
              </a:graphicData>
            </a:graphic>
          </wp:inline>
        </w:drawing>
      </w:r>
    </w:p>
    <w:p w14:paraId="57B02B3C" w14:textId="77777777" w:rsidR="005D75BB" w:rsidRPr="007A7695" w:rsidRDefault="005D75BB" w:rsidP="005D75BB">
      <w:pPr>
        <w:pStyle w:val="Corpsdetexte"/>
        <w:spacing w:line="360" w:lineRule="auto"/>
        <w:ind w:left="566" w:right="987"/>
        <w:jc w:val="both"/>
        <w:rPr>
          <w:rFonts w:ascii="Arial" w:hAnsi="Arial" w:cs="Arial"/>
        </w:rPr>
      </w:pPr>
      <w:r w:rsidRPr="007A7695">
        <w:rPr>
          <w:rFonts w:ascii="Arial" w:hAnsi="Arial" w:cs="Arial"/>
          <w:b/>
          <w:bCs/>
        </w:rPr>
        <w:t>Figure 2</w:t>
      </w:r>
      <w:r w:rsidRPr="007A7695">
        <w:rPr>
          <w:rFonts w:ascii="Arial" w:hAnsi="Arial" w:cs="Arial"/>
        </w:rPr>
        <w:t xml:space="preserve">: Estimation of Electrical Power (MW) Generated by Biogas from the </w:t>
      </w:r>
      <w:proofErr w:type="spellStart"/>
      <w:r w:rsidRPr="007A7695">
        <w:rPr>
          <w:rFonts w:ascii="Arial" w:hAnsi="Arial" w:cs="Arial"/>
        </w:rPr>
        <w:t>Kossihouen</w:t>
      </w:r>
      <w:proofErr w:type="spellEnd"/>
      <w:r w:rsidRPr="007A7695">
        <w:rPr>
          <w:rFonts w:ascii="Arial" w:hAnsi="Arial" w:cs="Arial"/>
        </w:rPr>
        <w:t xml:space="preserve"> Landfill Using Empirical Models</w:t>
      </w:r>
    </w:p>
    <w:p w14:paraId="1C777A89" w14:textId="77777777" w:rsidR="005D75BB" w:rsidRPr="007A7695" w:rsidRDefault="005D75BB" w:rsidP="005D75BB">
      <w:pPr>
        <w:pStyle w:val="Corpsdetexte"/>
        <w:spacing w:line="360" w:lineRule="auto"/>
        <w:ind w:left="566" w:right="987"/>
        <w:jc w:val="both"/>
        <w:rPr>
          <w:rFonts w:ascii="Arial" w:hAnsi="Arial" w:cs="Arial"/>
        </w:rPr>
      </w:pPr>
    </w:p>
    <w:p w14:paraId="2EA4962A" w14:textId="77777777" w:rsidR="005D75BB" w:rsidRPr="007A7695" w:rsidRDefault="005D75BB" w:rsidP="005D75BB">
      <w:pPr>
        <w:pStyle w:val="Corpsdetexte"/>
        <w:spacing w:line="360" w:lineRule="auto"/>
        <w:ind w:right="983"/>
        <w:jc w:val="both"/>
        <w:rPr>
          <w:rFonts w:ascii="Arial" w:hAnsi="Arial" w:cs="Arial"/>
          <w:color w:val="000000" w:themeColor="text1"/>
        </w:rPr>
      </w:pPr>
      <w:r w:rsidRPr="007A7695">
        <w:rPr>
          <w:rFonts w:ascii="Arial" w:hAnsi="Arial" w:cs="Arial"/>
          <w:color w:val="000000" w:themeColor="text1"/>
        </w:rPr>
        <w:t xml:space="preserve">The maximum and minimum values of electrical power are 19.61 MW and 12.80 MW, respectively. The maximum value was obtained from the model by </w:t>
      </w:r>
      <w:proofErr w:type="spellStart"/>
      <w:r w:rsidRPr="007A7695">
        <w:rPr>
          <w:rFonts w:ascii="Arial" w:hAnsi="Arial" w:cs="Arial"/>
          <w:color w:val="000000" w:themeColor="text1"/>
        </w:rPr>
        <w:t>Suroop</w:t>
      </w:r>
      <w:proofErr w:type="spellEnd"/>
      <w:r w:rsidRPr="007A7695">
        <w:rPr>
          <w:rFonts w:ascii="Arial" w:hAnsi="Arial" w:cs="Arial"/>
          <w:color w:val="000000" w:themeColor="text1"/>
        </w:rPr>
        <w:t xml:space="preserve"> and Mohel (United States), while the minimum value was derived from the Clean Development Mechanism (CDM) model of South Korea. The average electrical power value derived from these models is 15.34 MW. There are no significant differences between the electrical power values from the South Korean, Chinese (Guangzhou), and Brazilian (</w:t>
      </w:r>
      <w:proofErr w:type="spellStart"/>
      <w:r w:rsidRPr="007A7695">
        <w:rPr>
          <w:rFonts w:ascii="Arial" w:hAnsi="Arial" w:cs="Arial"/>
          <w:color w:val="000000" w:themeColor="text1"/>
        </w:rPr>
        <w:t>Banderanteis</w:t>
      </w:r>
      <w:proofErr w:type="spellEnd"/>
      <w:r w:rsidRPr="007A7695">
        <w:rPr>
          <w:rFonts w:ascii="Arial" w:hAnsi="Arial" w:cs="Arial"/>
          <w:color w:val="000000" w:themeColor="text1"/>
        </w:rPr>
        <w:t>) models.</w:t>
      </w:r>
    </w:p>
    <w:p w14:paraId="7B218C2A" w14:textId="77777777" w:rsidR="005D75BB" w:rsidRPr="007A7695" w:rsidRDefault="005D75BB" w:rsidP="005D75BB">
      <w:pPr>
        <w:pStyle w:val="Corpsdetexte"/>
        <w:spacing w:line="360" w:lineRule="auto"/>
        <w:ind w:right="983"/>
        <w:jc w:val="both"/>
        <w:rPr>
          <w:rFonts w:ascii="Arial" w:hAnsi="Arial" w:cs="Arial"/>
          <w:color w:val="000000" w:themeColor="text1"/>
        </w:rPr>
      </w:pPr>
    </w:p>
    <w:p w14:paraId="510B2F54" w14:textId="77777777" w:rsidR="005D75BB" w:rsidRPr="007A7695" w:rsidRDefault="005D75BB" w:rsidP="005D75BB">
      <w:pPr>
        <w:pStyle w:val="Corpsdetexte"/>
        <w:spacing w:line="360" w:lineRule="auto"/>
        <w:ind w:right="983"/>
        <w:jc w:val="both"/>
        <w:rPr>
          <w:rFonts w:ascii="Arial" w:hAnsi="Arial" w:cs="Arial"/>
          <w:color w:val="000000" w:themeColor="text1"/>
        </w:rPr>
      </w:pPr>
      <w:r w:rsidRPr="007A7695">
        <w:rPr>
          <w:rFonts w:ascii="Arial" w:hAnsi="Arial" w:cs="Arial"/>
          <w:color w:val="000000" w:themeColor="text1"/>
        </w:rPr>
        <w:t xml:space="preserve">The maximum value obtained from the </w:t>
      </w:r>
      <w:proofErr w:type="spellStart"/>
      <w:r w:rsidRPr="007A7695">
        <w:rPr>
          <w:rFonts w:ascii="Arial" w:hAnsi="Arial" w:cs="Arial"/>
          <w:color w:val="000000" w:themeColor="text1"/>
        </w:rPr>
        <w:t>Suroop</w:t>
      </w:r>
      <w:proofErr w:type="spellEnd"/>
      <w:r w:rsidRPr="007A7695">
        <w:rPr>
          <w:rFonts w:ascii="Arial" w:hAnsi="Arial" w:cs="Arial"/>
          <w:color w:val="000000" w:themeColor="text1"/>
        </w:rPr>
        <w:t xml:space="preserve"> and Mohel model could be explained by the use of the gas law and the properties of methane, such as density and lower heating value, in the estimation </w:t>
      </w:r>
      <w:r w:rsidRPr="007A7695">
        <w:rPr>
          <w:rFonts w:ascii="Arial" w:hAnsi="Arial" w:cs="Arial"/>
          <w:b/>
          <w:bCs/>
          <w:color w:val="000000" w:themeColor="text1"/>
        </w:rPr>
        <w:t>(</w:t>
      </w:r>
      <w:proofErr w:type="spellStart"/>
      <w:r w:rsidRPr="007A7695">
        <w:rPr>
          <w:rFonts w:ascii="Arial" w:hAnsi="Arial" w:cs="Arial"/>
          <w:b/>
          <w:bCs/>
          <w:color w:val="000000" w:themeColor="text1"/>
        </w:rPr>
        <w:t>Idehai</w:t>
      </w:r>
      <w:proofErr w:type="spellEnd"/>
      <w:r w:rsidRPr="007A7695">
        <w:rPr>
          <w:rFonts w:ascii="Arial" w:hAnsi="Arial" w:cs="Arial"/>
          <w:b/>
          <w:bCs/>
          <w:color w:val="000000" w:themeColor="text1"/>
        </w:rPr>
        <w:t xml:space="preserve"> et al., 2015).</w:t>
      </w:r>
      <w:r w:rsidRPr="007A7695">
        <w:rPr>
          <w:rFonts w:ascii="Arial" w:hAnsi="Arial" w:cs="Arial"/>
          <w:color w:val="000000" w:themeColor="text1"/>
        </w:rPr>
        <w:t xml:space="preserve"> It also accounts for the gas flow rate and the efficiency of the biogas recovery system. This estimate is considered to be close to reality (</w:t>
      </w:r>
      <w:proofErr w:type="spellStart"/>
      <w:r w:rsidRPr="007A7695">
        <w:rPr>
          <w:rFonts w:ascii="Arial" w:hAnsi="Arial" w:cs="Arial"/>
          <w:b/>
          <w:bCs/>
          <w:color w:val="000000" w:themeColor="text1"/>
        </w:rPr>
        <w:t>Idehai</w:t>
      </w:r>
      <w:proofErr w:type="spellEnd"/>
      <w:r w:rsidRPr="007A7695">
        <w:rPr>
          <w:rFonts w:ascii="Arial" w:hAnsi="Arial" w:cs="Arial"/>
          <w:b/>
          <w:bCs/>
          <w:color w:val="000000" w:themeColor="text1"/>
        </w:rPr>
        <w:t xml:space="preserve"> et al., 2015)</w:t>
      </w:r>
      <w:r w:rsidRPr="007A7695">
        <w:rPr>
          <w:rFonts w:ascii="Arial" w:hAnsi="Arial" w:cs="Arial"/>
          <w:color w:val="000000" w:themeColor="text1"/>
        </w:rPr>
        <w:t xml:space="preserve">. The electrical power values derived from the CDM models in South Korea, China (Guangzhou), and Brazil are similar. These results demonstrate the </w:t>
      </w:r>
      <w:r w:rsidRPr="007A7695">
        <w:rPr>
          <w:rFonts w:ascii="Arial" w:hAnsi="Arial" w:cs="Arial"/>
          <w:color w:val="000000" w:themeColor="text1"/>
        </w:rPr>
        <w:lastRenderedPageBreak/>
        <w:t>effectiveness of using accurate real-world data. This similarity may be explained by the fact that these models rely solely on the mass of MSW, while the other models incorporate the gas law, methane properties, gas flow rate, etc.</w:t>
      </w:r>
    </w:p>
    <w:p w14:paraId="35237DF6" w14:textId="77777777" w:rsidR="005D75BB" w:rsidRPr="007A7695" w:rsidRDefault="005D75BB" w:rsidP="005D75BB">
      <w:pPr>
        <w:pStyle w:val="Corpsdetexte"/>
        <w:spacing w:line="360" w:lineRule="auto"/>
        <w:ind w:right="983"/>
        <w:jc w:val="both"/>
        <w:rPr>
          <w:rFonts w:ascii="Arial" w:hAnsi="Arial" w:cs="Arial"/>
          <w:color w:val="000000" w:themeColor="text1"/>
        </w:rPr>
      </w:pPr>
    </w:p>
    <w:p w14:paraId="2DA4150B" w14:textId="77777777" w:rsidR="005D75BB" w:rsidRPr="007A7695" w:rsidRDefault="005D75BB" w:rsidP="005D75BB">
      <w:pPr>
        <w:pStyle w:val="Corpsdetexte"/>
        <w:spacing w:line="360" w:lineRule="auto"/>
        <w:ind w:right="983"/>
        <w:jc w:val="both"/>
        <w:rPr>
          <w:rFonts w:ascii="Arial" w:hAnsi="Arial" w:cs="Arial"/>
          <w:color w:val="000000" w:themeColor="text1"/>
        </w:rPr>
      </w:pPr>
      <w:r w:rsidRPr="007A7695">
        <w:rPr>
          <w:rFonts w:ascii="Arial" w:hAnsi="Arial" w:cs="Arial"/>
          <w:color w:val="000000" w:themeColor="text1"/>
        </w:rPr>
        <w:t xml:space="preserve">These electrical power values indicate that the theoretical maximum electrical power (46.42 MW, as shown in Figure 2) cannot be fully achieved in practice. Indeed, not all the methane generated can be recovered. The use of empirical data indicates an estimated average electrical power of 15.34 MW. This electrical power is capable of supplying electricity to over 92,000 inhabitants. The stoichiometric model indicates that one-third of the theoretical electrical potential of the </w:t>
      </w:r>
      <w:proofErr w:type="spellStart"/>
      <w:r w:rsidRPr="007A7695">
        <w:rPr>
          <w:rFonts w:ascii="Arial" w:hAnsi="Arial" w:cs="Arial"/>
          <w:color w:val="000000" w:themeColor="text1"/>
        </w:rPr>
        <w:t>Kossihouen</w:t>
      </w:r>
      <w:proofErr w:type="spellEnd"/>
      <w:r w:rsidRPr="007A7695">
        <w:rPr>
          <w:rFonts w:ascii="Arial" w:hAnsi="Arial" w:cs="Arial"/>
          <w:color w:val="000000" w:themeColor="text1"/>
        </w:rPr>
        <w:t xml:space="preserve"> landfill can be realized using an internal combustion engine.</w:t>
      </w:r>
    </w:p>
    <w:p w14:paraId="00BCDE24" w14:textId="2EC32DF1" w:rsidR="005D75BB" w:rsidRPr="007A7695" w:rsidRDefault="005D75BB" w:rsidP="005D75BB">
      <w:pPr>
        <w:spacing w:before="100" w:beforeAutospacing="1" w:after="100" w:afterAutospacing="1" w:line="360" w:lineRule="auto"/>
        <w:jc w:val="both"/>
        <w:rPr>
          <w:rFonts w:ascii="Arial" w:hAnsi="Arial" w:cs="Arial"/>
          <w:b/>
          <w:bCs/>
          <w:sz w:val="22"/>
          <w:szCs w:val="22"/>
          <w:lang w:eastAsia="fr-FR"/>
        </w:rPr>
      </w:pPr>
      <w:r w:rsidRPr="007A7695">
        <w:rPr>
          <w:rFonts w:ascii="Arial" w:hAnsi="Arial" w:cs="Arial"/>
          <w:b/>
          <w:bCs/>
          <w:sz w:val="22"/>
          <w:szCs w:val="22"/>
          <w:lang w:eastAsia="fr-FR"/>
        </w:rPr>
        <w:t>3.3. Comparative Analysis of Zero-Order, Simplified, and First-Order Kinetic Models</w:t>
      </w:r>
    </w:p>
    <w:p w14:paraId="7BD80918" w14:textId="77777777" w:rsidR="005D75BB" w:rsidRPr="007A7695" w:rsidRDefault="005D75BB" w:rsidP="005D75BB">
      <w:pPr>
        <w:pStyle w:val="Body"/>
        <w:spacing w:line="360" w:lineRule="auto"/>
        <w:rPr>
          <w:rFonts w:ascii="Arial" w:hAnsi="Arial" w:cs="Arial"/>
        </w:rPr>
      </w:pPr>
      <w:r w:rsidRPr="007A7695">
        <w:rPr>
          <w:rFonts w:ascii="Arial" w:hAnsi="Arial" w:cs="Arial"/>
        </w:rPr>
        <w:t xml:space="preserve">Modeling methane emissions from municipal solid waste (MSW) is an essential step in the design of energy recovery systems and the implementation of greenhouse gas reduction strategies. This study applies a zero-order kinetic model to estimate the energy production potential associated with the anaerobic degradation of organic waste at the </w:t>
      </w:r>
      <w:proofErr w:type="spellStart"/>
      <w:r w:rsidRPr="007A7695">
        <w:rPr>
          <w:rFonts w:ascii="Arial" w:hAnsi="Arial" w:cs="Arial"/>
        </w:rPr>
        <w:t>Kossihouen</w:t>
      </w:r>
      <w:proofErr w:type="spellEnd"/>
      <w:r w:rsidRPr="007A7695">
        <w:rPr>
          <w:rFonts w:ascii="Arial" w:hAnsi="Arial" w:cs="Arial"/>
        </w:rPr>
        <w:t xml:space="preserve"> landfill site in Abidjan. To validate the relevance of this simplified approach, the results obtained are compared with those of </w:t>
      </w:r>
      <w:proofErr w:type="spellStart"/>
      <w:r w:rsidRPr="007A7695">
        <w:rPr>
          <w:rFonts w:ascii="Arial" w:hAnsi="Arial" w:cs="Arial"/>
        </w:rPr>
        <w:t>Kouakou</w:t>
      </w:r>
      <w:proofErr w:type="spellEnd"/>
      <w:r w:rsidRPr="007A7695">
        <w:rPr>
          <w:rFonts w:ascii="Arial" w:hAnsi="Arial" w:cs="Arial"/>
        </w:rPr>
        <w:t xml:space="preserve"> et al., (2018) who used the first-order </w:t>
      </w:r>
      <w:proofErr w:type="spellStart"/>
      <w:r w:rsidRPr="007A7695">
        <w:rPr>
          <w:rFonts w:ascii="Arial" w:hAnsi="Arial" w:cs="Arial"/>
        </w:rPr>
        <w:t>LandGEM</w:t>
      </w:r>
      <w:proofErr w:type="spellEnd"/>
      <w:r w:rsidRPr="007A7695">
        <w:rPr>
          <w:rFonts w:ascii="Arial" w:hAnsi="Arial" w:cs="Arial"/>
        </w:rPr>
        <w:t xml:space="preserve"> model in a similar geographical and operational context.</w:t>
      </w:r>
    </w:p>
    <w:p w14:paraId="29E1D17C" w14:textId="77777777" w:rsidR="005D75BB" w:rsidRPr="007A7695" w:rsidRDefault="005D75BB" w:rsidP="005D75BB">
      <w:pPr>
        <w:pStyle w:val="Body"/>
        <w:spacing w:line="360" w:lineRule="auto"/>
        <w:rPr>
          <w:rFonts w:ascii="Arial" w:hAnsi="Arial" w:cs="Arial"/>
        </w:rPr>
      </w:pPr>
      <w:r w:rsidRPr="007A7695">
        <w:rPr>
          <w:rFonts w:ascii="Arial" w:hAnsi="Arial" w:cs="Arial"/>
        </w:rPr>
        <w:t xml:space="preserve">The </w:t>
      </w:r>
      <w:proofErr w:type="spellStart"/>
      <w:r w:rsidRPr="007A7695">
        <w:rPr>
          <w:rFonts w:ascii="Arial" w:hAnsi="Arial" w:cs="Arial"/>
        </w:rPr>
        <w:t>LandGEM</w:t>
      </w:r>
      <w:proofErr w:type="spellEnd"/>
      <w:r w:rsidRPr="007A7695">
        <w:rPr>
          <w:rFonts w:ascii="Arial" w:hAnsi="Arial" w:cs="Arial"/>
        </w:rPr>
        <w:t xml:space="preserve"> model, based on first-order kinetics, posits that methane production depends on two key parameters: methane generation potential (L</w:t>
      </w:r>
      <w:r w:rsidRPr="007A7695">
        <w:rPr>
          <w:rFonts w:ascii="Cambria Math" w:hAnsi="Cambria Math" w:cs="Cambria Math"/>
        </w:rPr>
        <w:t>₀</w:t>
      </w:r>
      <w:r w:rsidRPr="007A7695">
        <w:rPr>
          <w:rFonts w:ascii="Arial" w:hAnsi="Arial" w:cs="Arial"/>
        </w:rPr>
        <w:t xml:space="preserve">) and the degradation rate constant (k). Although widely used, this model requires detailed data that are often difficult to access, such as specific waste composition, waste age, and local degradation conditions. According to Kayaba et al., (2024), the </w:t>
      </w:r>
      <w:proofErr w:type="spellStart"/>
      <w:r w:rsidRPr="007A7695">
        <w:rPr>
          <w:rFonts w:ascii="Arial" w:hAnsi="Arial" w:cs="Arial"/>
        </w:rPr>
        <w:t>LandGEM</w:t>
      </w:r>
      <w:proofErr w:type="spellEnd"/>
      <w:r w:rsidRPr="007A7695">
        <w:rPr>
          <w:rFonts w:ascii="Arial" w:hAnsi="Arial" w:cs="Arial"/>
        </w:rPr>
        <w:t xml:space="preserve"> model is a reliable tool for estimating methane production, but it heavily depends on data regarding waste composition and local environmental conditions, which are not always available in developing countries. In their study, </w:t>
      </w:r>
      <w:proofErr w:type="spellStart"/>
      <w:r w:rsidRPr="007A7695">
        <w:rPr>
          <w:rFonts w:ascii="Arial" w:hAnsi="Arial" w:cs="Arial"/>
        </w:rPr>
        <w:t>Kouakou</w:t>
      </w:r>
      <w:proofErr w:type="spellEnd"/>
      <w:r w:rsidRPr="007A7695">
        <w:rPr>
          <w:rFonts w:ascii="Arial" w:hAnsi="Arial" w:cs="Arial"/>
        </w:rPr>
        <w:t xml:space="preserve"> et al. (2018) estimated annual methane production to range between 61 and 79 million m³, yielding an energy potential of 209 GWh/year (or 23.86 MW), based on optimized parameters (L</w:t>
      </w:r>
      <w:r w:rsidRPr="007A7695">
        <w:rPr>
          <w:rFonts w:ascii="Cambria Math" w:hAnsi="Cambria Math" w:cs="Cambria Math"/>
        </w:rPr>
        <w:t>₀</w:t>
      </w:r>
      <w:r w:rsidRPr="007A7695">
        <w:rPr>
          <w:rFonts w:ascii="Arial" w:hAnsi="Arial" w:cs="Arial"/>
        </w:rPr>
        <w:t xml:space="preserve"> = 170 m³/t, k = 0.149 year</w:t>
      </w:r>
      <w:r w:rsidRPr="007A7695">
        <w:rPr>
          <w:rFonts w:ascii="Cambria Math" w:hAnsi="Cambria Math" w:cs="Cambria Math"/>
        </w:rPr>
        <w:t>⁻</w:t>
      </w:r>
      <w:r w:rsidRPr="007A7695">
        <w:rPr>
          <w:rFonts w:ascii="Arial" w:hAnsi="Arial" w:cs="Arial"/>
        </w:rPr>
        <w:t>¹).</w:t>
      </w:r>
    </w:p>
    <w:p w14:paraId="572E4DF3" w14:textId="77777777" w:rsidR="005D75BB" w:rsidRPr="007A7695" w:rsidRDefault="005D75BB" w:rsidP="005D75BB">
      <w:pPr>
        <w:pStyle w:val="Body"/>
        <w:spacing w:line="360" w:lineRule="auto"/>
        <w:rPr>
          <w:rFonts w:ascii="Arial" w:hAnsi="Arial" w:cs="Arial"/>
        </w:rPr>
      </w:pPr>
      <w:r w:rsidRPr="007A7695">
        <w:rPr>
          <w:rFonts w:ascii="Arial" w:hAnsi="Arial" w:cs="Arial"/>
        </w:rPr>
        <w:t xml:space="preserve">In contrast, the zero-order model applied in this study assumes a constant methane production rate, independent of substrate concentration. Less complex, this approach has the advantage of being more easily applicable in African contexts, where access to local data is often limited or unreliable. The estimate obtained in this study, with an average of 15.34 MW, or approximately 134 GWh/year, remains consistent with the results from the </w:t>
      </w:r>
      <w:proofErr w:type="spellStart"/>
      <w:r w:rsidRPr="007A7695">
        <w:rPr>
          <w:rFonts w:ascii="Arial" w:hAnsi="Arial" w:cs="Arial"/>
        </w:rPr>
        <w:t>LandGEM</w:t>
      </w:r>
      <w:proofErr w:type="spellEnd"/>
      <w:r w:rsidRPr="007A7695">
        <w:rPr>
          <w:rFonts w:ascii="Arial" w:hAnsi="Arial" w:cs="Arial"/>
        </w:rPr>
        <w:t xml:space="preserve"> model in certain contexts. However, it is important to highlight that the difference of 75 GWh/year (9.52 MW) between the two models is significant. This can be explained by the methodological differences: the zero-order model is simpler and less sensitive to variations in waste composition, unlike the first-order model, which takes these factors and the waste degradation dynamics into account.</w:t>
      </w:r>
    </w:p>
    <w:p w14:paraId="26713D31" w14:textId="77777777" w:rsidR="005D75BB" w:rsidRPr="007A7695" w:rsidRDefault="005D75BB" w:rsidP="005D75BB">
      <w:pPr>
        <w:pStyle w:val="Body"/>
        <w:spacing w:line="360" w:lineRule="auto"/>
        <w:rPr>
          <w:rFonts w:ascii="Arial" w:hAnsi="Arial" w:cs="Arial"/>
        </w:rPr>
      </w:pPr>
      <w:r w:rsidRPr="007A7695">
        <w:rPr>
          <w:rFonts w:ascii="Arial" w:hAnsi="Arial" w:cs="Arial"/>
        </w:rPr>
        <w:t xml:space="preserve">The difference between 134 GWh/year and 209 GWh/year can also be attributed to the use of simplified data in the zero-order model, which does not account for the complex degradation of organic waste over time. Models such as </w:t>
      </w:r>
      <w:proofErr w:type="spellStart"/>
      <w:r w:rsidRPr="007A7695">
        <w:rPr>
          <w:rFonts w:ascii="Arial" w:hAnsi="Arial" w:cs="Arial"/>
        </w:rPr>
        <w:t>LandGEM</w:t>
      </w:r>
      <w:proofErr w:type="spellEnd"/>
      <w:r w:rsidRPr="007A7695">
        <w:rPr>
          <w:rFonts w:ascii="Arial" w:hAnsi="Arial" w:cs="Arial"/>
        </w:rPr>
        <w:t xml:space="preserve"> allow for a more detailed and accurate estimation of methane production by incorporating temporal and environmental factors, thus providing a better simulation of the real conditions of organic waste degradation over time (</w:t>
      </w:r>
      <w:proofErr w:type="spellStart"/>
      <w:r w:rsidRPr="007A7695">
        <w:rPr>
          <w:rFonts w:ascii="Arial" w:hAnsi="Arial" w:cs="Arial"/>
        </w:rPr>
        <w:t>Saeedi</w:t>
      </w:r>
      <w:proofErr w:type="spellEnd"/>
      <w:r w:rsidRPr="007A7695">
        <w:rPr>
          <w:rFonts w:ascii="Arial" w:hAnsi="Arial" w:cs="Arial"/>
        </w:rPr>
        <w:t xml:space="preserve"> et al., </w:t>
      </w:r>
      <w:r w:rsidRPr="007A7695">
        <w:rPr>
          <w:rFonts w:ascii="Arial" w:hAnsi="Arial" w:cs="Arial"/>
        </w:rPr>
        <w:lastRenderedPageBreak/>
        <w:t>2025). However, this model requires detailed information that is often difficult to obtain in data-limited contexts, as is the case in many developing regions.</w:t>
      </w:r>
    </w:p>
    <w:p w14:paraId="61455970" w14:textId="77777777" w:rsidR="005D75BB" w:rsidRPr="007A7695" w:rsidRDefault="005D75BB" w:rsidP="005D75BB">
      <w:pPr>
        <w:pStyle w:val="Body"/>
        <w:spacing w:line="360" w:lineRule="auto"/>
        <w:rPr>
          <w:rFonts w:ascii="Arial" w:hAnsi="Arial" w:cs="Arial"/>
        </w:rPr>
      </w:pPr>
      <w:r w:rsidRPr="007A7695">
        <w:rPr>
          <w:rFonts w:ascii="Arial" w:hAnsi="Arial" w:cs="Arial"/>
        </w:rPr>
        <w:t xml:space="preserve">Although simplified, the zero-order model provides results consistent with empirical data and international references on methane recovery in tropical landfills. This type of model is particularly suited for regions where waste degradation data is limited but where preliminary estimates of energy potential are essential for short-term planning of biogas recovery projects (Abhishek &amp; </w:t>
      </w:r>
      <w:proofErr w:type="spellStart"/>
      <w:r w:rsidRPr="007A7695">
        <w:rPr>
          <w:rFonts w:ascii="Arial" w:hAnsi="Arial" w:cs="Arial"/>
        </w:rPr>
        <w:t>Sumedha</w:t>
      </w:r>
      <w:proofErr w:type="spellEnd"/>
      <w:r w:rsidRPr="007A7695">
        <w:rPr>
          <w:rFonts w:ascii="Arial" w:hAnsi="Arial" w:cs="Arial"/>
        </w:rPr>
        <w:t>, 2020). It also has the advantage of being less sensitive to parameter variations and data uncertainties, making it a strategic tool for preliminary studies or decision-making in resource-constrained environments.</w:t>
      </w:r>
    </w:p>
    <w:p w14:paraId="1F2B0607" w14:textId="225B4649" w:rsidR="00790ADA" w:rsidRDefault="005D75BB" w:rsidP="005D75BB">
      <w:pPr>
        <w:pStyle w:val="Body"/>
        <w:spacing w:after="0" w:line="360" w:lineRule="auto"/>
        <w:rPr>
          <w:rFonts w:ascii="Arial" w:hAnsi="Arial" w:cs="Arial"/>
        </w:rPr>
      </w:pPr>
      <w:r w:rsidRPr="007A7695">
        <w:rPr>
          <w:rFonts w:ascii="Arial" w:hAnsi="Arial" w:cs="Arial"/>
        </w:rPr>
        <w:t>This comparative analysis shows that while the first-order model offers a more detailed view and is useful for long-term planning, the zero-order model represents an operational alternative for quick estimates of the energy recovery potential of waste. The convergence of results between the two approaches reinforces the validity of the simplified model and highlights its relevance for other African cities facing similar challenges in waste management and energy transition.</w:t>
      </w:r>
    </w:p>
    <w:p w14:paraId="3E9A8895" w14:textId="77777777" w:rsidR="005956C4" w:rsidRDefault="005956C4" w:rsidP="005956C4">
      <w:pPr>
        <w:pStyle w:val="Body"/>
        <w:spacing w:line="360" w:lineRule="auto"/>
        <w:rPr>
          <w:rFonts w:ascii="Arial" w:hAnsi="Arial" w:cs="Arial"/>
        </w:rPr>
      </w:pPr>
    </w:p>
    <w:p w14:paraId="1625444B" w14:textId="794F2F15" w:rsidR="005956C4" w:rsidRPr="001E0747" w:rsidRDefault="005956C4" w:rsidP="005956C4">
      <w:pPr>
        <w:pStyle w:val="Body"/>
        <w:spacing w:line="360" w:lineRule="auto"/>
        <w:rPr>
          <w:rFonts w:ascii="Arial" w:hAnsi="Arial" w:cs="Arial"/>
          <w:b/>
          <w:bCs/>
          <w:color w:val="FF0000"/>
        </w:rPr>
      </w:pPr>
      <w:r w:rsidRPr="001E0747">
        <w:rPr>
          <w:rFonts w:ascii="Arial" w:hAnsi="Arial" w:cs="Arial"/>
          <w:b/>
          <w:bCs/>
          <w:color w:val="FF0000"/>
        </w:rPr>
        <w:t>3.</w:t>
      </w:r>
      <w:proofErr w:type="gramStart"/>
      <w:r w:rsidRPr="001E0747">
        <w:rPr>
          <w:rFonts w:ascii="Arial" w:hAnsi="Arial" w:cs="Arial"/>
          <w:b/>
          <w:bCs/>
          <w:color w:val="FF0000"/>
        </w:rPr>
        <w:t>4.</w:t>
      </w:r>
      <w:r w:rsidRPr="001E0747">
        <w:rPr>
          <w:rFonts w:ascii="Arial" w:hAnsi="Arial" w:cs="Arial"/>
          <w:b/>
          <w:bCs/>
          <w:color w:val="FF0000"/>
        </w:rPr>
        <w:t>Limitations</w:t>
      </w:r>
      <w:proofErr w:type="gramEnd"/>
      <w:r w:rsidRPr="001E0747">
        <w:rPr>
          <w:rFonts w:ascii="Arial" w:hAnsi="Arial" w:cs="Arial"/>
          <w:b/>
          <w:bCs/>
          <w:color w:val="FF0000"/>
        </w:rPr>
        <w:t xml:space="preserve"> and Uncertainties</w:t>
      </w:r>
    </w:p>
    <w:p w14:paraId="22A41D16" w14:textId="2EB9A519" w:rsidR="009247C4" w:rsidRPr="001E0747" w:rsidRDefault="005956C4" w:rsidP="005956C4">
      <w:pPr>
        <w:pStyle w:val="Body"/>
        <w:spacing w:after="0" w:line="360" w:lineRule="auto"/>
        <w:rPr>
          <w:rFonts w:ascii="Arial" w:hAnsi="Arial" w:cs="Arial"/>
          <w:color w:val="FF0000"/>
        </w:rPr>
      </w:pPr>
      <w:r w:rsidRPr="001E0747">
        <w:rPr>
          <w:rFonts w:ascii="Arial" w:hAnsi="Arial" w:cs="Arial"/>
          <w:color w:val="FF0000"/>
        </w:rPr>
        <w:t xml:space="preserve">While the zero-order (simplified kinetic) model provides operational estimates suitable for contexts with limited data, several limitations must be acknowledged. First, the assumption of a constant methane production rate does not account for variations in waste degradation rates over time, which may lead to under- or over-estimation of peak methane yields. Second, the heterogeneity of waste composition in the </w:t>
      </w:r>
      <w:proofErr w:type="spellStart"/>
      <w:r w:rsidRPr="001E0747">
        <w:rPr>
          <w:rFonts w:ascii="Arial" w:hAnsi="Arial" w:cs="Arial"/>
          <w:color w:val="FF0000"/>
        </w:rPr>
        <w:t>Kossihouen</w:t>
      </w:r>
      <w:proofErr w:type="spellEnd"/>
      <w:r w:rsidRPr="001E0747">
        <w:rPr>
          <w:rFonts w:ascii="Arial" w:hAnsi="Arial" w:cs="Arial"/>
          <w:color w:val="FF0000"/>
        </w:rPr>
        <w:t xml:space="preserve"> landfill, influenced by seasonal variations and informal waste disposal practices, introduces uncertainty in the input parameters. Third, the recovery efficiency of methane is assumed to be constant, whereas in practice it can be affected by operational factors such as gas collection system design and maintenance. A brief sensitivity analysis, varying methane yield and recovery efficiency by ±20%, indicates that the estimated electrical power output could range from 12.27 MW to 18.41 MW. These uncertainties should be considered when interpreting the results, and future studies could integrate more detailed temporal and compositional data to refine the estimates.</w:t>
      </w:r>
    </w:p>
    <w:p w14:paraId="3202AFB9" w14:textId="77777777" w:rsidR="005D75BB" w:rsidRPr="007A7695" w:rsidRDefault="005D75BB" w:rsidP="005D75BB">
      <w:pPr>
        <w:pStyle w:val="Body"/>
        <w:spacing w:after="0" w:line="360" w:lineRule="auto"/>
        <w:rPr>
          <w:rFonts w:ascii="Arial" w:hAnsi="Arial" w:cs="Arial"/>
        </w:rPr>
      </w:pPr>
    </w:p>
    <w:p w14:paraId="5092F583" w14:textId="77777777" w:rsidR="00B01FCD" w:rsidRPr="007A7695" w:rsidRDefault="00000F8F" w:rsidP="005D75BB">
      <w:pPr>
        <w:pStyle w:val="ConcHead"/>
        <w:spacing w:after="0" w:line="360" w:lineRule="auto"/>
        <w:jc w:val="both"/>
        <w:rPr>
          <w:rFonts w:ascii="Arial" w:hAnsi="Arial" w:cs="Arial"/>
        </w:rPr>
      </w:pPr>
      <w:r w:rsidRPr="007A7695">
        <w:rPr>
          <w:rFonts w:ascii="Arial" w:hAnsi="Arial" w:cs="Arial"/>
        </w:rPr>
        <w:t xml:space="preserve">4. </w:t>
      </w:r>
      <w:r w:rsidR="00B01FCD" w:rsidRPr="007A7695">
        <w:rPr>
          <w:rFonts w:ascii="Arial" w:hAnsi="Arial" w:cs="Arial"/>
        </w:rPr>
        <w:t>Conclusion</w:t>
      </w:r>
    </w:p>
    <w:p w14:paraId="30E17A8F" w14:textId="77777777" w:rsidR="00790ADA" w:rsidRPr="007A7695" w:rsidRDefault="00790ADA" w:rsidP="00441B6F">
      <w:pPr>
        <w:pStyle w:val="ConcHead"/>
        <w:spacing w:after="0"/>
        <w:jc w:val="both"/>
        <w:rPr>
          <w:rFonts w:ascii="Arial" w:hAnsi="Arial" w:cs="Arial"/>
        </w:rPr>
      </w:pPr>
    </w:p>
    <w:p w14:paraId="7DEB74BC" w14:textId="77777777" w:rsidR="005D75BB" w:rsidRPr="007A7695" w:rsidRDefault="005D75BB" w:rsidP="005D75BB">
      <w:pPr>
        <w:pStyle w:val="NormalWeb"/>
        <w:spacing w:line="360" w:lineRule="auto"/>
        <w:jc w:val="both"/>
        <w:rPr>
          <w:rFonts w:ascii="Arial" w:hAnsi="Arial" w:cs="Arial"/>
          <w:sz w:val="20"/>
          <w:szCs w:val="20"/>
        </w:rPr>
      </w:pPr>
      <w:r w:rsidRPr="007A7695">
        <w:rPr>
          <w:rFonts w:ascii="Arial" w:hAnsi="Arial" w:cs="Arial"/>
          <w:sz w:val="20"/>
          <w:szCs w:val="20"/>
        </w:rPr>
        <w:t>The rapid urbanization and population growth in Abidjan, coupled with inadequate waste management systems, present a major challenge for the city in terms of waste management and methane emission reduction. The study conducted in this context highlights the importance of waste valorization, particularly through biogas production, as a strategic means to reduce greenhouse gas emissions while contributing to renewable energy production.</w:t>
      </w:r>
    </w:p>
    <w:p w14:paraId="4CEA421D" w14:textId="77777777" w:rsidR="005D75BB" w:rsidRPr="007A7695" w:rsidRDefault="005D75BB" w:rsidP="005D75BB">
      <w:pPr>
        <w:pStyle w:val="NormalWeb"/>
        <w:spacing w:line="360" w:lineRule="auto"/>
        <w:jc w:val="both"/>
        <w:rPr>
          <w:rFonts w:ascii="Arial" w:hAnsi="Arial" w:cs="Arial"/>
          <w:sz w:val="20"/>
          <w:szCs w:val="20"/>
        </w:rPr>
      </w:pPr>
      <w:r w:rsidRPr="007A7695">
        <w:rPr>
          <w:rFonts w:ascii="Arial" w:hAnsi="Arial" w:cs="Arial"/>
          <w:sz w:val="20"/>
          <w:szCs w:val="20"/>
        </w:rPr>
        <w:t xml:space="preserve">The application of the zero-order kinetic model, or similar simplified models, although basic, has enabled an operational estimate of the energy potential generated at the </w:t>
      </w:r>
      <w:proofErr w:type="spellStart"/>
      <w:r w:rsidRPr="007A7695">
        <w:rPr>
          <w:rFonts w:ascii="Arial" w:hAnsi="Arial" w:cs="Arial"/>
          <w:sz w:val="20"/>
          <w:szCs w:val="20"/>
        </w:rPr>
        <w:t>Kossihouen</w:t>
      </w:r>
      <w:proofErr w:type="spellEnd"/>
      <w:r w:rsidRPr="007A7695">
        <w:rPr>
          <w:rFonts w:ascii="Arial" w:hAnsi="Arial" w:cs="Arial"/>
          <w:sz w:val="20"/>
          <w:szCs w:val="20"/>
        </w:rPr>
        <w:t xml:space="preserve"> landfill, taking into account the specific characteristics of the organic waste produced in Abidjan. This modeling demonstrated that it is possible to obtain reliable estimates of methane potential, even in contexts where access to data is limited, as is often the case in West Africa.</w:t>
      </w:r>
    </w:p>
    <w:p w14:paraId="51F72914" w14:textId="77777777" w:rsidR="005D75BB" w:rsidRPr="007A7695" w:rsidRDefault="005D75BB" w:rsidP="005D75BB">
      <w:pPr>
        <w:pStyle w:val="NormalWeb"/>
        <w:spacing w:line="360" w:lineRule="auto"/>
        <w:jc w:val="both"/>
        <w:rPr>
          <w:rFonts w:ascii="Arial" w:hAnsi="Arial" w:cs="Arial"/>
          <w:sz w:val="20"/>
          <w:szCs w:val="20"/>
        </w:rPr>
      </w:pPr>
      <w:r w:rsidRPr="007A7695">
        <w:rPr>
          <w:rFonts w:ascii="Arial" w:hAnsi="Arial" w:cs="Arial"/>
          <w:sz w:val="20"/>
          <w:szCs w:val="20"/>
        </w:rPr>
        <w:t xml:space="preserve">The results of this study are promising, showing the significant potential of the </w:t>
      </w:r>
      <w:proofErr w:type="spellStart"/>
      <w:r w:rsidRPr="007A7695">
        <w:rPr>
          <w:rFonts w:ascii="Arial" w:hAnsi="Arial" w:cs="Arial"/>
          <w:sz w:val="20"/>
          <w:szCs w:val="20"/>
        </w:rPr>
        <w:t>Kossihouen</w:t>
      </w:r>
      <w:proofErr w:type="spellEnd"/>
      <w:r w:rsidRPr="007A7695">
        <w:rPr>
          <w:rFonts w:ascii="Arial" w:hAnsi="Arial" w:cs="Arial"/>
          <w:sz w:val="20"/>
          <w:szCs w:val="20"/>
        </w:rPr>
        <w:t xml:space="preserve"> landfill for biogas production and energy recovery, with estimates that could improve the planning of energy recovery facilities. Moreover, the use of a simplified model like the zero-order model proves not only to be relevant but also necessary in environments where data is difficult to collect or process.</w:t>
      </w:r>
    </w:p>
    <w:p w14:paraId="11EFB63E" w14:textId="4A8E118C" w:rsidR="005D75BB" w:rsidRPr="007A7695" w:rsidRDefault="005D75BB" w:rsidP="005D75BB">
      <w:pPr>
        <w:pStyle w:val="NormalWeb"/>
        <w:spacing w:line="360" w:lineRule="auto"/>
        <w:jc w:val="both"/>
        <w:rPr>
          <w:rFonts w:ascii="Arial" w:hAnsi="Arial" w:cs="Arial"/>
          <w:sz w:val="20"/>
          <w:szCs w:val="20"/>
        </w:rPr>
      </w:pPr>
      <w:r w:rsidRPr="007A7695">
        <w:rPr>
          <w:rFonts w:ascii="Arial" w:hAnsi="Arial" w:cs="Arial"/>
          <w:sz w:val="20"/>
          <w:szCs w:val="20"/>
        </w:rPr>
        <w:lastRenderedPageBreak/>
        <w:t>By providing municipal stakeholders, environmental engineers, and energy planners with practical tools for biogas assessment, this study paves the way for more sustainable waste management strategies and energy solutions tailored to local specifics. The implications of this research are not limited to Abidjan but can be extended to other African cities facing similar challenges in waste management and energy transition.</w:t>
      </w:r>
    </w:p>
    <w:p w14:paraId="4743F76F" w14:textId="1578336B" w:rsidR="0057363A" w:rsidRPr="007A7695" w:rsidRDefault="0057363A">
      <w:pPr>
        <w:rPr>
          <w:rFonts w:ascii="Arial" w:hAnsi="Arial" w:cs="Arial"/>
        </w:rPr>
      </w:pPr>
      <w:r w:rsidRPr="007A7695">
        <w:rPr>
          <w:rFonts w:ascii="Arial" w:hAnsi="Arial" w:cs="Arial"/>
        </w:rPr>
        <w:br w:type="page"/>
      </w:r>
    </w:p>
    <w:p w14:paraId="7958819E" w14:textId="77777777" w:rsidR="00A84A7B" w:rsidRPr="007A7695" w:rsidRDefault="00A84A7B" w:rsidP="00A84A7B">
      <w:pPr>
        <w:spacing w:after="200" w:line="276" w:lineRule="auto"/>
        <w:rPr>
          <w:rFonts w:ascii="Arial" w:eastAsia="Calibri" w:hAnsi="Arial" w:cs="Arial"/>
          <w:kern w:val="2"/>
          <w:sz w:val="22"/>
          <w:szCs w:val="22"/>
          <w:highlight w:val="yellow"/>
        </w:rPr>
      </w:pPr>
      <w:bookmarkStart w:id="6" w:name="_Hlk197682619"/>
      <w:bookmarkStart w:id="7" w:name="_Hlk180402183"/>
      <w:bookmarkStart w:id="8" w:name="_Hlk183680988"/>
      <w:r w:rsidRPr="007A7695">
        <w:rPr>
          <w:rFonts w:ascii="Arial" w:eastAsia="Calibri" w:hAnsi="Arial" w:cs="Arial"/>
          <w:kern w:val="2"/>
          <w:sz w:val="22"/>
          <w:szCs w:val="22"/>
          <w:highlight w:val="yellow"/>
        </w:rPr>
        <w:lastRenderedPageBreak/>
        <w:t>Disclaimer (Artificial intelligence)</w:t>
      </w:r>
    </w:p>
    <w:p w14:paraId="53719610" w14:textId="77777777" w:rsidR="00A84A7B" w:rsidRPr="007A7695" w:rsidRDefault="00A84A7B" w:rsidP="00A84A7B">
      <w:pPr>
        <w:spacing w:after="200" w:line="276" w:lineRule="auto"/>
        <w:rPr>
          <w:rFonts w:ascii="Arial" w:eastAsia="Calibri" w:hAnsi="Arial" w:cs="Arial"/>
          <w:kern w:val="2"/>
          <w:sz w:val="22"/>
          <w:szCs w:val="22"/>
          <w:highlight w:val="yellow"/>
        </w:rPr>
      </w:pPr>
      <w:r w:rsidRPr="007A7695">
        <w:rPr>
          <w:rFonts w:ascii="Arial" w:eastAsia="Calibri" w:hAnsi="Arial" w:cs="Arial"/>
          <w:kern w:val="2"/>
          <w:sz w:val="22"/>
          <w:szCs w:val="22"/>
          <w:highlight w:val="yellow"/>
        </w:rPr>
        <w:t xml:space="preserve">Option 1: </w:t>
      </w:r>
    </w:p>
    <w:p w14:paraId="4796D3D5" w14:textId="77777777" w:rsidR="00A84A7B" w:rsidRPr="007A7695" w:rsidRDefault="00A84A7B" w:rsidP="00A84A7B">
      <w:pPr>
        <w:spacing w:after="200" w:line="276" w:lineRule="auto"/>
        <w:rPr>
          <w:rFonts w:ascii="Arial" w:eastAsia="Calibri" w:hAnsi="Arial" w:cs="Arial"/>
          <w:kern w:val="2"/>
          <w:sz w:val="22"/>
          <w:szCs w:val="22"/>
          <w:highlight w:val="yellow"/>
        </w:rPr>
      </w:pPr>
      <w:r w:rsidRPr="007A7695">
        <w:rPr>
          <w:rFonts w:ascii="Arial" w:eastAsia="Calibri" w:hAnsi="Arial" w:cs="Arial"/>
          <w:kern w:val="2"/>
          <w:sz w:val="22"/>
          <w:szCs w:val="22"/>
          <w:highlight w:val="yellow"/>
        </w:rPr>
        <w:t>Author(s) hereby declare that NO generative AI technologies such as Large Language Models (</w:t>
      </w:r>
      <w:proofErr w:type="spellStart"/>
      <w:r w:rsidRPr="007A7695">
        <w:rPr>
          <w:rFonts w:ascii="Arial" w:eastAsia="Calibri" w:hAnsi="Arial" w:cs="Arial"/>
          <w:kern w:val="2"/>
          <w:sz w:val="22"/>
          <w:szCs w:val="22"/>
          <w:highlight w:val="yellow"/>
        </w:rPr>
        <w:t>ChatGPT</w:t>
      </w:r>
      <w:proofErr w:type="spellEnd"/>
      <w:r w:rsidRPr="007A7695">
        <w:rPr>
          <w:rFonts w:ascii="Arial" w:eastAsia="Calibri" w:hAnsi="Arial" w:cs="Arial"/>
          <w:kern w:val="2"/>
          <w:sz w:val="22"/>
          <w:szCs w:val="22"/>
          <w:highlight w:val="yellow"/>
        </w:rPr>
        <w:t xml:space="preserve">, COPILOT, etc.) and text-to-image generators have been used during the writing or editing of this manuscript. </w:t>
      </w:r>
    </w:p>
    <w:bookmarkEnd w:id="6"/>
    <w:bookmarkEnd w:id="7"/>
    <w:bookmarkEnd w:id="8"/>
    <w:p w14:paraId="3F595E65" w14:textId="77777777" w:rsidR="0057363A" w:rsidRPr="007A7695" w:rsidRDefault="0057363A" w:rsidP="005D75BB">
      <w:pPr>
        <w:pStyle w:val="NormalWeb"/>
        <w:spacing w:line="360" w:lineRule="auto"/>
        <w:jc w:val="both"/>
        <w:rPr>
          <w:rFonts w:ascii="Arial" w:hAnsi="Arial" w:cs="Arial"/>
          <w:sz w:val="20"/>
          <w:szCs w:val="20"/>
        </w:rPr>
      </w:pPr>
    </w:p>
    <w:p w14:paraId="66EE1DF9" w14:textId="77777777" w:rsidR="00790ADA" w:rsidRPr="007A7695" w:rsidRDefault="00790ADA" w:rsidP="00441B6F">
      <w:pPr>
        <w:pStyle w:val="Body"/>
        <w:spacing w:after="0"/>
        <w:rPr>
          <w:rFonts w:ascii="Arial" w:hAnsi="Arial" w:cs="Arial"/>
        </w:rPr>
      </w:pPr>
    </w:p>
    <w:p w14:paraId="7A2ACFB2" w14:textId="77777777" w:rsidR="00A34E8E" w:rsidRPr="007A7695" w:rsidRDefault="00A34E8E" w:rsidP="00A34E8E">
      <w:pPr>
        <w:pStyle w:val="ReferHead"/>
        <w:spacing w:after="0"/>
        <w:jc w:val="both"/>
        <w:rPr>
          <w:rFonts w:ascii="Arial" w:hAnsi="Arial" w:cs="Arial"/>
          <w:b w:val="0"/>
          <w:caps w:val="0"/>
          <w:sz w:val="20"/>
        </w:rPr>
      </w:pPr>
    </w:p>
    <w:p w14:paraId="14A0A4B4" w14:textId="77777777" w:rsidR="00860000" w:rsidRPr="007A7695" w:rsidRDefault="00860000" w:rsidP="00441B6F">
      <w:pPr>
        <w:pStyle w:val="ReferHead"/>
        <w:spacing w:after="0"/>
        <w:jc w:val="both"/>
        <w:rPr>
          <w:rFonts w:ascii="Arial" w:hAnsi="Arial" w:cs="Arial"/>
        </w:rPr>
      </w:pPr>
    </w:p>
    <w:p w14:paraId="71DB3AA5" w14:textId="77777777" w:rsidR="00B01FCD" w:rsidRPr="007A7695" w:rsidRDefault="00B01FCD" w:rsidP="00441B6F">
      <w:pPr>
        <w:pStyle w:val="ReferHead"/>
        <w:spacing w:after="0"/>
        <w:jc w:val="both"/>
        <w:rPr>
          <w:rFonts w:ascii="Arial" w:hAnsi="Arial" w:cs="Arial"/>
        </w:rPr>
      </w:pPr>
      <w:r w:rsidRPr="007A7695">
        <w:rPr>
          <w:rFonts w:ascii="Arial" w:hAnsi="Arial" w:cs="Arial"/>
        </w:rPr>
        <w:t>References</w:t>
      </w:r>
    </w:p>
    <w:p w14:paraId="0265C10F" w14:textId="77777777" w:rsidR="00790ADA" w:rsidRPr="007A7695" w:rsidRDefault="00790ADA" w:rsidP="00441B6F">
      <w:pPr>
        <w:pStyle w:val="ReferHead"/>
        <w:spacing w:after="0"/>
        <w:jc w:val="both"/>
        <w:rPr>
          <w:rFonts w:ascii="Arial" w:hAnsi="Arial" w:cs="Arial"/>
        </w:rPr>
      </w:pPr>
    </w:p>
    <w:p w14:paraId="4B781655" w14:textId="77777777" w:rsidR="005D75BB" w:rsidRPr="007A7695" w:rsidRDefault="005D75BB" w:rsidP="005D75BB">
      <w:pPr>
        <w:spacing w:line="360" w:lineRule="auto"/>
        <w:jc w:val="both"/>
        <w:rPr>
          <w:rFonts w:ascii="Arial" w:hAnsi="Arial" w:cs="Arial"/>
          <w:sz w:val="24"/>
          <w:szCs w:val="24"/>
          <w:lang w:eastAsia="fr-FR"/>
        </w:rPr>
      </w:pPr>
      <w:bookmarkStart w:id="9" w:name="_Hlk201830481"/>
      <w:r w:rsidRPr="007A7695">
        <w:rPr>
          <w:rFonts w:ascii="Arial" w:hAnsi="Arial" w:cs="Arial"/>
          <w:b/>
          <w:bCs/>
          <w:sz w:val="24"/>
          <w:szCs w:val="24"/>
          <w:lang w:eastAsia="fr-FR"/>
        </w:rPr>
        <w:t xml:space="preserve">[1] </w:t>
      </w:r>
      <w:bookmarkEnd w:id="9"/>
      <w:r w:rsidRPr="007A7695">
        <w:rPr>
          <w:rFonts w:ascii="Arial" w:hAnsi="Arial" w:cs="Arial"/>
          <w:b/>
          <w:bCs/>
          <w:sz w:val="24"/>
          <w:szCs w:val="24"/>
          <w:lang w:eastAsia="fr-FR"/>
        </w:rPr>
        <w:t>UN-Habitat &amp; IHS-Erasmus University Rotterdam</w:t>
      </w:r>
      <w:r w:rsidRPr="007A7695">
        <w:rPr>
          <w:rFonts w:ascii="Arial" w:hAnsi="Arial" w:cs="Arial"/>
          <w:sz w:val="24"/>
          <w:szCs w:val="24"/>
          <w:lang w:eastAsia="fr-FR"/>
        </w:rPr>
        <w:t xml:space="preserve"> (2018) “The State of African Cities 2018: The geography of African investment.” (Wall R.S., </w:t>
      </w:r>
      <w:proofErr w:type="spellStart"/>
      <w:r w:rsidRPr="007A7695">
        <w:rPr>
          <w:rFonts w:ascii="Arial" w:hAnsi="Arial" w:cs="Arial"/>
          <w:sz w:val="24"/>
          <w:szCs w:val="24"/>
          <w:lang w:eastAsia="fr-FR"/>
        </w:rPr>
        <w:t>Maseland</w:t>
      </w:r>
      <w:proofErr w:type="spellEnd"/>
      <w:r w:rsidRPr="007A7695">
        <w:rPr>
          <w:rFonts w:ascii="Arial" w:hAnsi="Arial" w:cs="Arial"/>
          <w:sz w:val="24"/>
          <w:szCs w:val="24"/>
          <w:lang w:eastAsia="fr-FR"/>
        </w:rPr>
        <w:t xml:space="preserve"> J., </w:t>
      </w:r>
      <w:proofErr w:type="spellStart"/>
      <w:r w:rsidRPr="007A7695">
        <w:rPr>
          <w:rFonts w:ascii="Arial" w:hAnsi="Arial" w:cs="Arial"/>
          <w:sz w:val="24"/>
          <w:szCs w:val="24"/>
          <w:lang w:eastAsia="fr-FR"/>
        </w:rPr>
        <w:t>Rochell</w:t>
      </w:r>
      <w:proofErr w:type="spellEnd"/>
      <w:r w:rsidRPr="007A7695">
        <w:rPr>
          <w:rFonts w:ascii="Arial" w:hAnsi="Arial" w:cs="Arial"/>
          <w:sz w:val="24"/>
          <w:szCs w:val="24"/>
          <w:lang w:eastAsia="fr-FR"/>
        </w:rPr>
        <w:t xml:space="preserve"> K. and </w:t>
      </w:r>
      <w:proofErr w:type="spellStart"/>
      <w:r w:rsidRPr="007A7695">
        <w:rPr>
          <w:rFonts w:ascii="Arial" w:hAnsi="Arial" w:cs="Arial"/>
          <w:sz w:val="24"/>
          <w:szCs w:val="24"/>
          <w:lang w:eastAsia="fr-FR"/>
        </w:rPr>
        <w:t>Spaliviero</w:t>
      </w:r>
      <w:proofErr w:type="spellEnd"/>
      <w:r w:rsidRPr="007A7695">
        <w:rPr>
          <w:rFonts w:ascii="Arial" w:hAnsi="Arial" w:cs="Arial"/>
          <w:sz w:val="24"/>
          <w:szCs w:val="24"/>
          <w:lang w:eastAsia="fr-FR"/>
        </w:rPr>
        <w:t xml:space="preserve"> M). United Nations Human Settlements </w:t>
      </w:r>
      <w:proofErr w:type="spellStart"/>
      <w:r w:rsidRPr="007A7695">
        <w:rPr>
          <w:rFonts w:ascii="Arial" w:hAnsi="Arial" w:cs="Arial"/>
          <w:sz w:val="24"/>
          <w:szCs w:val="24"/>
          <w:lang w:eastAsia="fr-FR"/>
        </w:rPr>
        <w:t>Programme</w:t>
      </w:r>
      <w:proofErr w:type="spellEnd"/>
      <w:r w:rsidRPr="007A7695">
        <w:rPr>
          <w:rFonts w:ascii="Arial" w:hAnsi="Arial" w:cs="Arial"/>
          <w:sz w:val="24"/>
          <w:szCs w:val="24"/>
          <w:lang w:eastAsia="fr-FR"/>
        </w:rPr>
        <w:t xml:space="preserve"> (UN-Habitat).</w:t>
      </w:r>
    </w:p>
    <w:p w14:paraId="2C942A33" w14:textId="77777777" w:rsidR="00F400A7" w:rsidRPr="006902EE" w:rsidRDefault="005D75BB" w:rsidP="00F400A7">
      <w:pPr>
        <w:rPr>
          <w:color w:val="FF0000"/>
          <w:lang w:val="en-GB"/>
        </w:rPr>
      </w:pPr>
      <w:bookmarkStart w:id="10" w:name="_Hlk200992567"/>
      <w:r w:rsidRPr="006902EE">
        <w:rPr>
          <w:rFonts w:ascii="Arial" w:hAnsi="Arial" w:cs="Arial"/>
          <w:b/>
          <w:bCs/>
          <w:color w:val="FF0000"/>
          <w:sz w:val="24"/>
          <w:szCs w:val="24"/>
          <w:lang w:val="fr-FR" w:eastAsia="fr-FR"/>
        </w:rPr>
        <w:t xml:space="preserve">[2] </w:t>
      </w:r>
      <w:bookmarkStart w:id="11" w:name="_Hlk205892413"/>
      <w:bookmarkEnd w:id="10"/>
      <w:r w:rsidR="00F400A7" w:rsidRPr="006902EE">
        <w:rPr>
          <w:color w:val="FF0000"/>
          <w:lang w:val="fr-FR"/>
        </w:rPr>
        <w:t xml:space="preserve">Liu, Y., Ni, Z., Kong, X., &amp; Liu, J. (2017). </w:t>
      </w:r>
      <w:bookmarkEnd w:id="11"/>
      <w:r w:rsidR="00F400A7" w:rsidRPr="006902EE">
        <w:rPr>
          <w:color w:val="FF0000"/>
          <w:lang w:val="en-GB"/>
        </w:rPr>
        <w:t>Greenhouse gas emissions from municipal solid waste with a high organic fraction under different management scenarios. Journal of cleaner production, 147, 451-457.</w:t>
      </w:r>
    </w:p>
    <w:p w14:paraId="58FD9025" w14:textId="4D719789" w:rsidR="005D75BB" w:rsidRPr="007A7695" w:rsidRDefault="005D75BB" w:rsidP="005D75BB">
      <w:pPr>
        <w:jc w:val="both"/>
        <w:rPr>
          <w:rFonts w:ascii="Arial" w:hAnsi="Arial" w:cs="Arial"/>
          <w:sz w:val="24"/>
          <w:szCs w:val="24"/>
          <w:lang w:eastAsia="fr-FR"/>
        </w:rPr>
      </w:pPr>
    </w:p>
    <w:p w14:paraId="128FD068" w14:textId="77777777" w:rsidR="005D75BB" w:rsidRPr="007A7695" w:rsidRDefault="005D75BB" w:rsidP="005D75BB">
      <w:pPr>
        <w:jc w:val="both"/>
        <w:rPr>
          <w:rFonts w:ascii="Arial" w:hAnsi="Arial" w:cs="Arial"/>
          <w:sz w:val="24"/>
          <w:szCs w:val="24"/>
          <w:lang w:eastAsia="fr-FR"/>
        </w:rPr>
      </w:pPr>
      <w:r w:rsidRPr="007A7695">
        <w:rPr>
          <w:rFonts w:ascii="Arial" w:hAnsi="Arial" w:cs="Arial"/>
          <w:b/>
          <w:bCs/>
          <w:sz w:val="24"/>
          <w:szCs w:val="24"/>
          <w:lang w:eastAsia="fr-FR"/>
        </w:rPr>
        <w:t xml:space="preserve">[3] IPCC </w:t>
      </w:r>
      <w:r w:rsidRPr="007A7695">
        <w:rPr>
          <w:rFonts w:ascii="Arial" w:hAnsi="Arial" w:cs="Arial"/>
          <w:sz w:val="24"/>
          <w:szCs w:val="24"/>
          <w:lang w:eastAsia="fr-FR"/>
        </w:rPr>
        <w:t>(2014). Fifth Assessment Report of the Intergovernmental Panel on Climate Change (AR5). Part I: Climate Change 2014: The Physical Science Basis. Contribution of Working Group I to the Fifth Assessment Report of the IPCC. Cambridge University Press.</w:t>
      </w:r>
    </w:p>
    <w:p w14:paraId="323AEE03" w14:textId="77777777" w:rsidR="005D75BB" w:rsidRPr="007A7695" w:rsidRDefault="00806F77" w:rsidP="005D75BB">
      <w:pPr>
        <w:jc w:val="both"/>
        <w:rPr>
          <w:rFonts w:ascii="Arial" w:hAnsi="Arial" w:cs="Arial"/>
          <w:sz w:val="24"/>
          <w:szCs w:val="24"/>
          <w:lang w:eastAsia="fr-FR"/>
        </w:rPr>
      </w:pPr>
      <w:hyperlink r:id="rId10" w:history="1">
        <w:r w:rsidR="005D75BB" w:rsidRPr="007A7695">
          <w:rPr>
            <w:rStyle w:val="Lienhypertexte"/>
            <w:rFonts w:ascii="Arial" w:hAnsi="Arial" w:cs="Arial"/>
            <w:sz w:val="24"/>
            <w:szCs w:val="24"/>
            <w:lang w:eastAsia="fr-FR"/>
          </w:rPr>
          <w:t>https://www.ipcc.ch/report/ar5/wg1/</w:t>
        </w:r>
      </w:hyperlink>
    </w:p>
    <w:p w14:paraId="19C9C6D4" w14:textId="77777777" w:rsidR="005D75BB" w:rsidRPr="007A7695" w:rsidRDefault="005D75BB" w:rsidP="005D75BB">
      <w:pPr>
        <w:rPr>
          <w:rFonts w:ascii="Arial" w:hAnsi="Arial" w:cs="Arial"/>
          <w:sz w:val="24"/>
          <w:szCs w:val="24"/>
        </w:rPr>
      </w:pPr>
      <w:bookmarkStart w:id="12" w:name="_Hlk200994612"/>
      <w:r w:rsidRPr="007A7695">
        <w:rPr>
          <w:rFonts w:ascii="Arial" w:hAnsi="Arial" w:cs="Arial"/>
          <w:b/>
          <w:bCs/>
          <w:sz w:val="24"/>
          <w:szCs w:val="24"/>
        </w:rPr>
        <w:t>[4]</w:t>
      </w:r>
      <w:r w:rsidRPr="007A7695">
        <w:rPr>
          <w:rFonts w:ascii="Arial" w:hAnsi="Arial" w:cs="Arial"/>
          <w:sz w:val="24"/>
          <w:szCs w:val="24"/>
        </w:rPr>
        <w:t xml:space="preserve"> United Nations Environment </w:t>
      </w:r>
      <w:proofErr w:type="spellStart"/>
      <w:r w:rsidRPr="007A7695">
        <w:rPr>
          <w:rFonts w:ascii="Arial" w:hAnsi="Arial" w:cs="Arial"/>
          <w:sz w:val="24"/>
          <w:szCs w:val="24"/>
        </w:rPr>
        <w:t>Programme</w:t>
      </w:r>
      <w:proofErr w:type="spellEnd"/>
      <w:r w:rsidRPr="007A7695">
        <w:rPr>
          <w:rFonts w:ascii="Arial" w:hAnsi="Arial" w:cs="Arial"/>
          <w:sz w:val="24"/>
          <w:szCs w:val="24"/>
        </w:rPr>
        <w:t xml:space="preserve"> and Climate &amp; Clean Air Coalition. 2021. Global Methane Assessment: Benefits and Costs of Mitigating Methane Emissions. </w:t>
      </w:r>
      <w:hyperlink r:id="rId11" w:history="1">
        <w:r w:rsidRPr="007A7695">
          <w:rPr>
            <w:rStyle w:val="Lienhypertexte"/>
            <w:rFonts w:ascii="Arial" w:hAnsi="Arial" w:cs="Arial"/>
            <w:sz w:val="24"/>
            <w:szCs w:val="24"/>
          </w:rPr>
          <w:t>https://wedocs.unep.org/20.500.11822/35913</w:t>
        </w:r>
      </w:hyperlink>
      <w:r w:rsidRPr="007A7695">
        <w:rPr>
          <w:rFonts w:ascii="Arial" w:hAnsi="Arial" w:cs="Arial"/>
          <w:sz w:val="24"/>
          <w:szCs w:val="24"/>
        </w:rPr>
        <w:t xml:space="preserve"> </w:t>
      </w:r>
      <w:proofErr w:type="gramStart"/>
      <w:r w:rsidRPr="007A7695">
        <w:rPr>
          <w:rFonts w:ascii="Arial" w:hAnsi="Arial" w:cs="Arial"/>
          <w:sz w:val="24"/>
          <w:szCs w:val="24"/>
        </w:rPr>
        <w:t xml:space="preserve">   (</w:t>
      </w:r>
      <w:proofErr w:type="gramEnd"/>
      <w:r w:rsidRPr="007A7695">
        <w:rPr>
          <w:rFonts w:ascii="Arial" w:hAnsi="Arial" w:cs="Arial"/>
          <w:sz w:val="24"/>
          <w:szCs w:val="24"/>
        </w:rPr>
        <w:t>accessed June 25, 2025).</w:t>
      </w:r>
    </w:p>
    <w:p w14:paraId="6CDD6F68" w14:textId="77777777" w:rsidR="005D75BB" w:rsidRPr="007A7695" w:rsidRDefault="005D75BB" w:rsidP="005D75BB">
      <w:pPr>
        <w:jc w:val="both"/>
        <w:rPr>
          <w:rFonts w:ascii="Arial" w:hAnsi="Arial" w:cs="Arial"/>
          <w:sz w:val="24"/>
          <w:szCs w:val="24"/>
        </w:rPr>
      </w:pPr>
    </w:p>
    <w:p w14:paraId="0607D20F" w14:textId="77777777" w:rsidR="005D75BB" w:rsidRPr="007A7695" w:rsidRDefault="005D75BB" w:rsidP="005D75BB">
      <w:pPr>
        <w:pStyle w:val="NormalWeb"/>
        <w:jc w:val="both"/>
        <w:rPr>
          <w:rFonts w:ascii="Arial" w:hAnsi="Arial" w:cs="Arial"/>
        </w:rPr>
      </w:pPr>
      <w:r w:rsidRPr="007A7695">
        <w:rPr>
          <w:rFonts w:ascii="Arial" w:hAnsi="Arial" w:cs="Arial"/>
          <w:b/>
          <w:bCs/>
        </w:rPr>
        <w:t>[5] Intergovernmental Panel on Climate Change.</w:t>
      </w:r>
      <w:r w:rsidRPr="007A7695">
        <w:rPr>
          <w:rFonts w:ascii="Arial" w:hAnsi="Arial" w:cs="Arial"/>
        </w:rPr>
        <w:t xml:space="preserve"> </w:t>
      </w:r>
      <w:r w:rsidRPr="007A7695">
        <w:rPr>
          <w:rStyle w:val="Accentuation"/>
          <w:rFonts w:ascii="Arial" w:hAnsi="Arial" w:cs="Arial"/>
        </w:rPr>
        <w:t>2019 Refinement to the 2006 IPCC Guidelines for National Greenhouse Gas Inventories</w:t>
      </w:r>
      <w:r w:rsidRPr="007A7695">
        <w:rPr>
          <w:rFonts w:ascii="Arial" w:hAnsi="Arial" w:cs="Arial"/>
        </w:rPr>
        <w:t xml:space="preserve">; Cambridge University Press: Cambridge, UK, 2019; </w:t>
      </w:r>
      <w:hyperlink r:id="rId12" w:history="1">
        <w:r w:rsidRPr="007A7695">
          <w:rPr>
            <w:rStyle w:val="Lienhypertexte"/>
            <w:rFonts w:ascii="Arial" w:hAnsi="Arial" w:cs="Arial"/>
          </w:rPr>
          <w:t>https://www.ipcc-nggip.iges.or.jp/public/2019rf/</w:t>
        </w:r>
      </w:hyperlink>
      <w:r w:rsidRPr="007A7695">
        <w:rPr>
          <w:rFonts w:ascii="Arial" w:hAnsi="Arial" w:cs="Arial"/>
        </w:rPr>
        <w:t xml:space="preserve">       (accessed June 25, 2025).</w:t>
      </w:r>
    </w:p>
    <w:p w14:paraId="751244DD" w14:textId="77777777" w:rsidR="005D75BB" w:rsidRPr="007A7695" w:rsidRDefault="005D75BB" w:rsidP="005D75BB">
      <w:pPr>
        <w:rPr>
          <w:rFonts w:ascii="Arial" w:hAnsi="Arial" w:cs="Arial"/>
        </w:rPr>
      </w:pPr>
    </w:p>
    <w:p w14:paraId="58E8D40F" w14:textId="77777777" w:rsidR="005D75BB" w:rsidRPr="007A7695" w:rsidRDefault="005D75BB" w:rsidP="005D75BB">
      <w:pPr>
        <w:jc w:val="both"/>
        <w:rPr>
          <w:rFonts w:ascii="Arial" w:hAnsi="Arial" w:cs="Arial"/>
          <w:sz w:val="24"/>
          <w:szCs w:val="24"/>
          <w:lang w:eastAsia="fr-FR"/>
        </w:rPr>
      </w:pPr>
      <w:r w:rsidRPr="007A7695">
        <w:rPr>
          <w:rFonts w:ascii="Arial" w:hAnsi="Arial" w:cs="Arial"/>
          <w:b/>
          <w:bCs/>
          <w:sz w:val="24"/>
          <w:szCs w:val="24"/>
          <w:lang w:val="fr-FR" w:eastAsia="fr-FR"/>
        </w:rPr>
        <w:t xml:space="preserve">[6] </w:t>
      </w:r>
      <w:proofErr w:type="spellStart"/>
      <w:r w:rsidRPr="007A7695">
        <w:rPr>
          <w:rFonts w:ascii="Arial" w:hAnsi="Arial" w:cs="Arial"/>
          <w:b/>
          <w:bCs/>
          <w:sz w:val="24"/>
          <w:szCs w:val="24"/>
          <w:lang w:val="fr-FR" w:eastAsia="fr-FR"/>
        </w:rPr>
        <w:t>Majdinasab</w:t>
      </w:r>
      <w:proofErr w:type="spellEnd"/>
      <w:r w:rsidRPr="007A7695">
        <w:rPr>
          <w:rFonts w:ascii="Arial" w:hAnsi="Arial" w:cs="Arial"/>
          <w:b/>
          <w:bCs/>
          <w:sz w:val="24"/>
          <w:szCs w:val="24"/>
          <w:lang w:val="fr-FR" w:eastAsia="fr-FR"/>
        </w:rPr>
        <w:t>, A., Zhang, Z., &amp; Yuan, Q.</w:t>
      </w:r>
      <w:r w:rsidRPr="007A7695">
        <w:rPr>
          <w:rFonts w:ascii="Arial" w:hAnsi="Arial" w:cs="Arial"/>
          <w:sz w:val="24"/>
          <w:szCs w:val="24"/>
          <w:lang w:val="fr-FR" w:eastAsia="fr-FR"/>
        </w:rPr>
        <w:t xml:space="preserve"> (2017)</w:t>
      </w:r>
      <w:bookmarkEnd w:id="12"/>
      <w:r w:rsidRPr="007A7695">
        <w:rPr>
          <w:rFonts w:ascii="Arial" w:hAnsi="Arial" w:cs="Arial"/>
          <w:sz w:val="24"/>
          <w:szCs w:val="24"/>
          <w:lang w:val="fr-FR" w:eastAsia="fr-FR"/>
        </w:rPr>
        <w:t xml:space="preserve">. </w:t>
      </w:r>
      <w:r w:rsidRPr="007A7695">
        <w:rPr>
          <w:rFonts w:ascii="Arial" w:hAnsi="Arial" w:cs="Arial"/>
          <w:sz w:val="24"/>
          <w:szCs w:val="24"/>
          <w:lang w:eastAsia="fr-FR"/>
        </w:rPr>
        <w:t>Modelling of landfill gas generation: a review. </w:t>
      </w:r>
      <w:r w:rsidRPr="007A7695">
        <w:rPr>
          <w:rFonts w:ascii="Arial" w:hAnsi="Arial" w:cs="Arial"/>
          <w:i/>
          <w:iCs/>
          <w:sz w:val="24"/>
          <w:szCs w:val="24"/>
          <w:lang w:eastAsia="fr-FR"/>
        </w:rPr>
        <w:t>Reviews in Environmental Science and Bio/Technology</w:t>
      </w:r>
      <w:r w:rsidRPr="007A7695">
        <w:rPr>
          <w:rFonts w:ascii="Arial" w:hAnsi="Arial" w:cs="Arial"/>
          <w:sz w:val="24"/>
          <w:szCs w:val="24"/>
          <w:lang w:eastAsia="fr-FR"/>
        </w:rPr>
        <w:t>, </w:t>
      </w:r>
      <w:r w:rsidRPr="007A7695">
        <w:rPr>
          <w:rFonts w:ascii="Arial" w:hAnsi="Arial" w:cs="Arial"/>
          <w:i/>
          <w:iCs/>
          <w:sz w:val="24"/>
          <w:szCs w:val="24"/>
          <w:lang w:eastAsia="fr-FR"/>
        </w:rPr>
        <w:t>16</w:t>
      </w:r>
      <w:r w:rsidRPr="007A7695">
        <w:rPr>
          <w:rFonts w:ascii="Arial" w:hAnsi="Arial" w:cs="Arial"/>
          <w:sz w:val="24"/>
          <w:szCs w:val="24"/>
          <w:lang w:eastAsia="fr-FR"/>
        </w:rPr>
        <w:t>(2), 361-380.</w:t>
      </w:r>
    </w:p>
    <w:p w14:paraId="771C345D" w14:textId="77777777" w:rsidR="005D75BB" w:rsidRPr="007A7695" w:rsidRDefault="005D75BB" w:rsidP="005D75BB">
      <w:pPr>
        <w:jc w:val="both"/>
        <w:rPr>
          <w:rFonts w:ascii="Arial" w:hAnsi="Arial" w:cs="Arial"/>
          <w:sz w:val="24"/>
          <w:szCs w:val="24"/>
          <w:lang w:eastAsia="fr-FR"/>
        </w:rPr>
      </w:pPr>
    </w:p>
    <w:p w14:paraId="1011C9BA" w14:textId="77777777" w:rsidR="005D75BB" w:rsidRPr="007A7695" w:rsidRDefault="005D75BB" w:rsidP="005D75BB">
      <w:pPr>
        <w:spacing w:before="100" w:beforeAutospacing="1" w:after="100" w:afterAutospacing="1"/>
        <w:jc w:val="both"/>
        <w:rPr>
          <w:rFonts w:ascii="Arial" w:hAnsi="Arial" w:cs="Arial"/>
          <w:sz w:val="24"/>
          <w:szCs w:val="24"/>
          <w:lang w:eastAsia="fr-FR"/>
        </w:rPr>
      </w:pPr>
      <w:r w:rsidRPr="007A7695">
        <w:rPr>
          <w:rFonts w:ascii="Arial" w:hAnsi="Arial" w:cs="Arial"/>
          <w:b/>
          <w:bCs/>
          <w:sz w:val="24"/>
          <w:szCs w:val="24"/>
          <w:lang w:eastAsia="fr-FR"/>
        </w:rPr>
        <w:t>[7] Couth, R.; Trois, C.</w:t>
      </w:r>
      <w:r w:rsidRPr="007A7695">
        <w:rPr>
          <w:rFonts w:ascii="Arial" w:hAnsi="Arial" w:cs="Arial"/>
          <w:sz w:val="24"/>
          <w:szCs w:val="24"/>
          <w:lang w:eastAsia="fr-FR"/>
        </w:rPr>
        <w:t xml:space="preserve"> Waste Management Activities and Carbon Emissions in Africa. </w:t>
      </w:r>
      <w:r w:rsidRPr="007A7695">
        <w:rPr>
          <w:rFonts w:ascii="Arial" w:hAnsi="Arial" w:cs="Arial"/>
          <w:i/>
          <w:iCs/>
          <w:sz w:val="24"/>
          <w:szCs w:val="24"/>
          <w:lang w:eastAsia="fr-FR"/>
        </w:rPr>
        <w:t>Waste Manage.</w:t>
      </w:r>
      <w:r w:rsidRPr="007A7695">
        <w:rPr>
          <w:rFonts w:ascii="Arial" w:hAnsi="Arial" w:cs="Arial"/>
          <w:sz w:val="24"/>
          <w:szCs w:val="24"/>
          <w:lang w:eastAsia="fr-FR"/>
        </w:rPr>
        <w:t xml:space="preserve"> </w:t>
      </w:r>
      <w:r w:rsidRPr="007A7695">
        <w:rPr>
          <w:rFonts w:ascii="Arial" w:hAnsi="Arial" w:cs="Arial"/>
          <w:b/>
          <w:bCs/>
          <w:sz w:val="24"/>
          <w:szCs w:val="24"/>
          <w:lang w:eastAsia="fr-FR"/>
        </w:rPr>
        <w:t>2011</w:t>
      </w:r>
      <w:r w:rsidRPr="007A7695">
        <w:rPr>
          <w:rFonts w:ascii="Arial" w:hAnsi="Arial" w:cs="Arial"/>
          <w:sz w:val="24"/>
          <w:szCs w:val="24"/>
          <w:lang w:eastAsia="fr-FR"/>
        </w:rPr>
        <w:t xml:space="preserve">, </w:t>
      </w:r>
      <w:r w:rsidRPr="007A7695">
        <w:rPr>
          <w:rFonts w:ascii="Arial" w:hAnsi="Arial" w:cs="Arial"/>
          <w:i/>
          <w:iCs/>
          <w:sz w:val="24"/>
          <w:szCs w:val="24"/>
          <w:lang w:eastAsia="fr-FR"/>
        </w:rPr>
        <w:t>31</w:t>
      </w:r>
      <w:r w:rsidRPr="007A7695">
        <w:rPr>
          <w:rFonts w:ascii="Arial" w:hAnsi="Arial" w:cs="Arial"/>
          <w:sz w:val="24"/>
          <w:szCs w:val="24"/>
          <w:lang w:eastAsia="fr-FR"/>
        </w:rPr>
        <w:t xml:space="preserve"> (1), 131–137. </w:t>
      </w:r>
      <w:hyperlink r:id="rId13" w:history="1">
        <w:r w:rsidRPr="007A7695">
          <w:rPr>
            <w:rStyle w:val="Lienhypertexte"/>
            <w:rFonts w:ascii="Arial" w:hAnsi="Arial" w:cs="Arial"/>
            <w:sz w:val="24"/>
            <w:szCs w:val="24"/>
            <w:lang w:eastAsia="fr-FR"/>
          </w:rPr>
          <w:t>https://doi.org/10.1016/j.wasman.2010.08.009</w:t>
        </w:r>
      </w:hyperlink>
    </w:p>
    <w:p w14:paraId="15749474" w14:textId="77777777" w:rsidR="005D75BB" w:rsidRPr="007A7695" w:rsidRDefault="005D75BB" w:rsidP="005D75BB">
      <w:pPr>
        <w:jc w:val="both"/>
        <w:rPr>
          <w:rFonts w:ascii="Arial" w:hAnsi="Arial" w:cs="Arial"/>
          <w:b/>
          <w:bCs/>
          <w:sz w:val="24"/>
          <w:szCs w:val="24"/>
          <w:lang w:eastAsia="fr-FR"/>
        </w:rPr>
      </w:pPr>
      <w:r w:rsidRPr="007A7695">
        <w:rPr>
          <w:rFonts w:ascii="Arial" w:hAnsi="Arial" w:cs="Arial"/>
          <w:b/>
          <w:bCs/>
          <w:sz w:val="24"/>
          <w:szCs w:val="24"/>
        </w:rPr>
        <w:t>[8] Intergovernmental Panel on Climate Change.</w:t>
      </w:r>
      <w:r w:rsidRPr="007A7695">
        <w:rPr>
          <w:rFonts w:ascii="Arial" w:hAnsi="Arial" w:cs="Arial"/>
          <w:sz w:val="24"/>
          <w:szCs w:val="24"/>
        </w:rPr>
        <w:t xml:space="preserve"> </w:t>
      </w:r>
      <w:r w:rsidRPr="007A7695">
        <w:rPr>
          <w:rStyle w:val="Accentuation"/>
          <w:rFonts w:ascii="Arial" w:hAnsi="Arial" w:cs="Arial"/>
          <w:sz w:val="24"/>
          <w:szCs w:val="24"/>
        </w:rPr>
        <w:t>2006 IPCC Guidelines for National Greenhouse Gas Inventories: Volume 5 – Waste</w:t>
      </w:r>
      <w:r w:rsidRPr="007A7695">
        <w:rPr>
          <w:rFonts w:ascii="Arial" w:hAnsi="Arial" w:cs="Arial"/>
          <w:sz w:val="24"/>
          <w:szCs w:val="24"/>
        </w:rPr>
        <w:t xml:space="preserve">; Institute for Global Environmental Strategies: </w:t>
      </w:r>
      <w:proofErr w:type="spellStart"/>
      <w:r w:rsidRPr="007A7695">
        <w:rPr>
          <w:rFonts w:ascii="Arial" w:hAnsi="Arial" w:cs="Arial"/>
          <w:sz w:val="24"/>
          <w:szCs w:val="24"/>
        </w:rPr>
        <w:t>Hayama</w:t>
      </w:r>
      <w:proofErr w:type="spellEnd"/>
      <w:r w:rsidRPr="007A7695">
        <w:rPr>
          <w:rFonts w:ascii="Arial" w:hAnsi="Arial" w:cs="Arial"/>
          <w:sz w:val="24"/>
          <w:szCs w:val="24"/>
        </w:rPr>
        <w:t xml:space="preserve">, Japan, 2006; </w:t>
      </w:r>
      <w:hyperlink r:id="rId14" w:history="1">
        <w:r w:rsidRPr="007A7695">
          <w:rPr>
            <w:rStyle w:val="Lienhypertexte"/>
            <w:rFonts w:ascii="Arial" w:hAnsi="Arial" w:cs="Arial"/>
            <w:sz w:val="24"/>
            <w:szCs w:val="24"/>
          </w:rPr>
          <w:t>https://www.ipcc-nggip.iges.or.jp/public/2006gl/vol5.html</w:t>
        </w:r>
      </w:hyperlink>
      <w:r w:rsidRPr="007A7695">
        <w:rPr>
          <w:rFonts w:ascii="Arial" w:hAnsi="Arial" w:cs="Arial"/>
          <w:sz w:val="24"/>
          <w:szCs w:val="24"/>
        </w:rPr>
        <w:t xml:space="preserve">    (accessed June 25, 2025).</w:t>
      </w:r>
    </w:p>
    <w:p w14:paraId="346FDC3D" w14:textId="77777777" w:rsidR="005D75BB" w:rsidRPr="007A7695" w:rsidRDefault="005D75BB" w:rsidP="005D75BB">
      <w:pPr>
        <w:jc w:val="both"/>
        <w:rPr>
          <w:rFonts w:ascii="Arial" w:hAnsi="Arial" w:cs="Arial"/>
          <w:sz w:val="24"/>
          <w:szCs w:val="24"/>
          <w:lang w:val="fr-FR" w:eastAsia="fr-FR"/>
        </w:rPr>
      </w:pPr>
      <w:r w:rsidRPr="007A7695">
        <w:rPr>
          <w:rFonts w:ascii="Arial" w:hAnsi="Arial" w:cs="Arial"/>
          <w:b/>
          <w:bCs/>
          <w:sz w:val="24"/>
          <w:szCs w:val="24"/>
          <w:lang w:val="fr-FR" w:eastAsia="fr-FR"/>
        </w:rPr>
        <w:t xml:space="preserve">[9] </w:t>
      </w:r>
      <w:proofErr w:type="spellStart"/>
      <w:r w:rsidRPr="007A7695">
        <w:rPr>
          <w:rFonts w:ascii="Arial" w:hAnsi="Arial" w:cs="Arial"/>
          <w:b/>
          <w:bCs/>
          <w:sz w:val="24"/>
          <w:szCs w:val="24"/>
          <w:lang w:val="fr-FR" w:eastAsia="fr-FR"/>
        </w:rPr>
        <w:t>Idehai</w:t>
      </w:r>
      <w:proofErr w:type="spellEnd"/>
      <w:r w:rsidRPr="007A7695">
        <w:rPr>
          <w:rFonts w:ascii="Arial" w:hAnsi="Arial" w:cs="Arial"/>
          <w:b/>
          <w:bCs/>
          <w:sz w:val="24"/>
          <w:szCs w:val="24"/>
          <w:lang w:val="fr-FR" w:eastAsia="fr-FR"/>
        </w:rPr>
        <w:t xml:space="preserve"> I. M. &amp; </w:t>
      </w:r>
      <w:proofErr w:type="spellStart"/>
      <w:r w:rsidRPr="007A7695">
        <w:rPr>
          <w:rFonts w:ascii="Arial" w:hAnsi="Arial" w:cs="Arial"/>
          <w:b/>
          <w:bCs/>
          <w:sz w:val="24"/>
          <w:szCs w:val="24"/>
          <w:lang w:val="fr-FR" w:eastAsia="fr-FR"/>
        </w:rPr>
        <w:t>Akujieze</w:t>
      </w:r>
      <w:proofErr w:type="spellEnd"/>
      <w:r w:rsidRPr="007A7695">
        <w:rPr>
          <w:rFonts w:ascii="Arial" w:hAnsi="Arial" w:cs="Arial"/>
          <w:b/>
          <w:bCs/>
          <w:sz w:val="24"/>
          <w:szCs w:val="24"/>
          <w:lang w:val="fr-FR" w:eastAsia="fr-FR"/>
        </w:rPr>
        <w:t xml:space="preserve"> C. N</w:t>
      </w:r>
      <w:r w:rsidRPr="007A7695">
        <w:rPr>
          <w:rFonts w:ascii="Arial" w:hAnsi="Arial" w:cs="Arial"/>
          <w:sz w:val="24"/>
          <w:szCs w:val="24"/>
          <w:lang w:val="fr-FR" w:eastAsia="fr-FR"/>
        </w:rPr>
        <w:t xml:space="preserve">. (2015). </w:t>
      </w:r>
      <w:r w:rsidRPr="007A7695">
        <w:rPr>
          <w:rFonts w:ascii="Arial" w:hAnsi="Arial" w:cs="Arial"/>
          <w:sz w:val="24"/>
          <w:szCs w:val="24"/>
          <w:lang w:eastAsia="fr-FR"/>
        </w:rPr>
        <w:t xml:space="preserve">Estimation of landfill gas and its renewable energy potential in Lagos, Nigeria. </w:t>
      </w:r>
      <w:r w:rsidRPr="007A7695">
        <w:rPr>
          <w:rFonts w:ascii="Arial" w:hAnsi="Arial" w:cs="Arial"/>
          <w:sz w:val="24"/>
          <w:szCs w:val="24"/>
          <w:lang w:val="fr-FR" w:eastAsia="fr-FR"/>
        </w:rPr>
        <w:t xml:space="preserve">International Journal of Energy and </w:t>
      </w:r>
      <w:proofErr w:type="spellStart"/>
      <w:r w:rsidRPr="007A7695">
        <w:rPr>
          <w:rFonts w:ascii="Arial" w:hAnsi="Arial" w:cs="Arial"/>
          <w:sz w:val="24"/>
          <w:szCs w:val="24"/>
          <w:lang w:val="fr-FR" w:eastAsia="fr-FR"/>
        </w:rPr>
        <w:t>Environmental</w:t>
      </w:r>
      <w:proofErr w:type="spellEnd"/>
      <w:r w:rsidRPr="007A7695">
        <w:rPr>
          <w:rFonts w:ascii="Arial" w:hAnsi="Arial" w:cs="Arial"/>
          <w:sz w:val="24"/>
          <w:szCs w:val="24"/>
          <w:lang w:val="fr-FR" w:eastAsia="fr-FR"/>
        </w:rPr>
        <w:t xml:space="preserve"> Engineering, 6(3), 329-343.</w:t>
      </w:r>
    </w:p>
    <w:p w14:paraId="4260EF8B" w14:textId="77777777" w:rsidR="005D75BB" w:rsidRPr="007A7695" w:rsidRDefault="005D75BB" w:rsidP="005D75BB">
      <w:pPr>
        <w:jc w:val="both"/>
        <w:rPr>
          <w:rFonts w:ascii="Arial" w:hAnsi="Arial" w:cs="Arial"/>
          <w:bCs/>
          <w:sz w:val="24"/>
          <w:szCs w:val="24"/>
          <w:lang w:val="fr-FR" w:eastAsia="fr-FR"/>
        </w:rPr>
      </w:pPr>
      <w:bookmarkStart w:id="13" w:name="_Hlk201042326"/>
      <w:r w:rsidRPr="007A7695">
        <w:rPr>
          <w:rFonts w:ascii="Arial" w:hAnsi="Arial" w:cs="Arial"/>
          <w:b/>
          <w:sz w:val="24"/>
          <w:szCs w:val="24"/>
          <w:lang w:val="fr-FR" w:eastAsia="fr-FR"/>
        </w:rPr>
        <w:t>[10] République de Côte d’Ivoire, Institut National de la Statistique (INS)</w:t>
      </w:r>
      <w:r w:rsidRPr="007A7695">
        <w:rPr>
          <w:rFonts w:ascii="Arial" w:hAnsi="Arial" w:cs="Arial"/>
          <w:bCs/>
          <w:sz w:val="24"/>
          <w:szCs w:val="24"/>
          <w:lang w:val="fr-FR" w:eastAsia="fr-FR"/>
        </w:rPr>
        <w:t xml:space="preserve"> 2021. Recensement Générale de la Population et de l’Habitat (RGPH) 2021.</w:t>
      </w:r>
    </w:p>
    <w:p w14:paraId="1BD28A1B" w14:textId="77777777" w:rsidR="005D75BB" w:rsidRPr="007A7695" w:rsidRDefault="005D75BB" w:rsidP="005D75BB">
      <w:pPr>
        <w:jc w:val="both"/>
        <w:rPr>
          <w:rFonts w:ascii="Arial" w:hAnsi="Arial" w:cs="Arial"/>
          <w:sz w:val="24"/>
          <w:szCs w:val="24"/>
          <w:lang w:eastAsia="fr-FR"/>
        </w:rPr>
      </w:pPr>
      <w:bookmarkStart w:id="14" w:name="_Hlk201043624"/>
      <w:bookmarkEnd w:id="13"/>
      <w:r w:rsidRPr="007A7695">
        <w:rPr>
          <w:rFonts w:ascii="Arial" w:hAnsi="Arial" w:cs="Arial"/>
          <w:b/>
          <w:bCs/>
          <w:sz w:val="24"/>
          <w:szCs w:val="24"/>
          <w:lang w:val="fr-FR" w:eastAsia="fr-FR"/>
        </w:rPr>
        <w:t>[11] GBN.</w:t>
      </w:r>
      <w:r w:rsidRPr="007A7695">
        <w:rPr>
          <w:rFonts w:ascii="Arial" w:hAnsi="Arial" w:cs="Arial"/>
          <w:sz w:val="24"/>
          <w:szCs w:val="24"/>
          <w:lang w:val="fr-FR" w:eastAsia="fr-FR"/>
        </w:rPr>
        <w:t xml:space="preserve"> (2020). </w:t>
      </w:r>
      <w:bookmarkEnd w:id="14"/>
      <w:r w:rsidRPr="007A7695">
        <w:rPr>
          <w:rFonts w:ascii="Arial" w:hAnsi="Arial" w:cs="Arial"/>
          <w:i/>
          <w:iCs/>
          <w:sz w:val="24"/>
          <w:szCs w:val="24"/>
          <w:lang w:val="fr-FR" w:eastAsia="fr-FR"/>
        </w:rPr>
        <w:t xml:space="preserve">Partnership </w:t>
      </w:r>
      <w:proofErr w:type="spellStart"/>
      <w:r w:rsidRPr="007A7695">
        <w:rPr>
          <w:rFonts w:ascii="Arial" w:hAnsi="Arial" w:cs="Arial"/>
          <w:i/>
          <w:iCs/>
          <w:sz w:val="24"/>
          <w:szCs w:val="24"/>
          <w:lang w:val="fr-FR" w:eastAsia="fr-FR"/>
        </w:rPr>
        <w:t>Ready</w:t>
      </w:r>
      <w:proofErr w:type="spellEnd"/>
      <w:r w:rsidRPr="007A7695">
        <w:rPr>
          <w:rFonts w:ascii="Arial" w:hAnsi="Arial" w:cs="Arial"/>
          <w:i/>
          <w:iCs/>
          <w:sz w:val="24"/>
          <w:szCs w:val="24"/>
          <w:lang w:val="fr-FR" w:eastAsia="fr-FR"/>
        </w:rPr>
        <w:t xml:space="preserve"> Côte </w:t>
      </w:r>
      <w:proofErr w:type="gramStart"/>
      <w:r w:rsidRPr="007A7695">
        <w:rPr>
          <w:rFonts w:ascii="Arial" w:hAnsi="Arial" w:cs="Arial"/>
          <w:i/>
          <w:iCs/>
          <w:sz w:val="24"/>
          <w:szCs w:val="24"/>
          <w:lang w:val="fr-FR" w:eastAsia="fr-FR"/>
        </w:rPr>
        <w:t>d’Ivoire:</w:t>
      </w:r>
      <w:proofErr w:type="gramEnd"/>
      <w:r w:rsidRPr="007A7695">
        <w:rPr>
          <w:rFonts w:ascii="Arial" w:hAnsi="Arial" w:cs="Arial"/>
          <w:i/>
          <w:iCs/>
          <w:sz w:val="24"/>
          <w:szCs w:val="24"/>
          <w:lang w:val="fr-FR" w:eastAsia="fr-FR"/>
        </w:rPr>
        <w:t xml:space="preserve"> Gestion et recyclage des déchets organiques</w:t>
      </w:r>
      <w:r w:rsidRPr="007A7695">
        <w:rPr>
          <w:rFonts w:ascii="Arial" w:hAnsi="Arial" w:cs="Arial"/>
          <w:sz w:val="24"/>
          <w:szCs w:val="24"/>
          <w:lang w:val="fr-FR" w:eastAsia="fr-FR"/>
        </w:rPr>
        <w:t xml:space="preserve">. </w:t>
      </w:r>
      <w:r w:rsidRPr="007A7695">
        <w:rPr>
          <w:rFonts w:ascii="Arial" w:hAnsi="Arial" w:cs="Arial"/>
          <w:sz w:val="24"/>
          <w:szCs w:val="24"/>
          <w:lang w:eastAsia="fr-FR"/>
        </w:rPr>
        <w:t xml:space="preserve">Deutsche Gesellschaft </w:t>
      </w:r>
      <w:proofErr w:type="spellStart"/>
      <w:r w:rsidRPr="007A7695">
        <w:rPr>
          <w:rFonts w:ascii="Arial" w:hAnsi="Arial" w:cs="Arial"/>
          <w:sz w:val="24"/>
          <w:szCs w:val="24"/>
          <w:lang w:eastAsia="fr-FR"/>
        </w:rPr>
        <w:t>für</w:t>
      </w:r>
      <w:proofErr w:type="spellEnd"/>
      <w:r w:rsidRPr="007A7695">
        <w:rPr>
          <w:rFonts w:ascii="Arial" w:hAnsi="Arial" w:cs="Arial"/>
          <w:sz w:val="24"/>
          <w:szCs w:val="24"/>
          <w:lang w:eastAsia="fr-FR"/>
        </w:rPr>
        <w:t xml:space="preserve"> </w:t>
      </w:r>
      <w:proofErr w:type="spellStart"/>
      <w:r w:rsidRPr="007A7695">
        <w:rPr>
          <w:rFonts w:ascii="Arial" w:hAnsi="Arial" w:cs="Arial"/>
          <w:sz w:val="24"/>
          <w:szCs w:val="24"/>
          <w:lang w:eastAsia="fr-FR"/>
        </w:rPr>
        <w:t>Internationale</w:t>
      </w:r>
      <w:proofErr w:type="spellEnd"/>
      <w:r w:rsidRPr="007A7695">
        <w:rPr>
          <w:rFonts w:ascii="Arial" w:hAnsi="Arial" w:cs="Arial"/>
          <w:sz w:val="24"/>
          <w:szCs w:val="24"/>
          <w:lang w:eastAsia="fr-FR"/>
        </w:rPr>
        <w:t xml:space="preserve"> </w:t>
      </w:r>
      <w:proofErr w:type="spellStart"/>
      <w:r w:rsidRPr="007A7695">
        <w:rPr>
          <w:rFonts w:ascii="Arial" w:hAnsi="Arial" w:cs="Arial"/>
          <w:sz w:val="24"/>
          <w:szCs w:val="24"/>
          <w:lang w:eastAsia="fr-FR"/>
        </w:rPr>
        <w:t>Zusammenarbeit</w:t>
      </w:r>
      <w:proofErr w:type="spellEnd"/>
      <w:r w:rsidRPr="007A7695">
        <w:rPr>
          <w:rFonts w:ascii="Arial" w:hAnsi="Arial" w:cs="Arial"/>
          <w:sz w:val="24"/>
          <w:szCs w:val="24"/>
          <w:lang w:eastAsia="fr-FR"/>
        </w:rPr>
        <w:t xml:space="preserve"> (GIZ) GmbH.</w:t>
      </w:r>
    </w:p>
    <w:p w14:paraId="7708E2C8" w14:textId="77777777" w:rsidR="005D75BB" w:rsidRPr="007A7695" w:rsidRDefault="005D75BB" w:rsidP="005D75BB">
      <w:pPr>
        <w:jc w:val="both"/>
        <w:rPr>
          <w:rFonts w:ascii="Arial" w:hAnsi="Arial" w:cs="Arial"/>
          <w:sz w:val="24"/>
          <w:szCs w:val="24"/>
          <w:lang w:eastAsia="fr-FR"/>
        </w:rPr>
      </w:pPr>
      <w:bookmarkStart w:id="15" w:name="_Hlk201831580"/>
      <w:r w:rsidRPr="007A7695">
        <w:rPr>
          <w:rFonts w:ascii="Arial" w:hAnsi="Arial" w:cs="Arial"/>
          <w:b/>
          <w:bCs/>
          <w:sz w:val="24"/>
          <w:szCs w:val="24"/>
          <w:lang w:eastAsia="fr-FR"/>
        </w:rPr>
        <w:t xml:space="preserve">[12] </w:t>
      </w:r>
      <w:bookmarkEnd w:id="15"/>
      <w:proofErr w:type="spellStart"/>
      <w:r w:rsidRPr="007A7695">
        <w:rPr>
          <w:rFonts w:ascii="Arial" w:hAnsi="Arial" w:cs="Arial"/>
          <w:b/>
          <w:bCs/>
          <w:sz w:val="24"/>
          <w:szCs w:val="24"/>
          <w:lang w:eastAsia="fr-FR"/>
        </w:rPr>
        <w:t>Surroop</w:t>
      </w:r>
      <w:proofErr w:type="spellEnd"/>
      <w:r w:rsidRPr="007A7695">
        <w:rPr>
          <w:rFonts w:ascii="Arial" w:hAnsi="Arial" w:cs="Arial"/>
          <w:b/>
          <w:bCs/>
          <w:sz w:val="24"/>
          <w:szCs w:val="24"/>
          <w:lang w:eastAsia="fr-FR"/>
        </w:rPr>
        <w:t xml:space="preserve">, D., &amp; </w:t>
      </w:r>
      <w:proofErr w:type="spellStart"/>
      <w:r w:rsidRPr="007A7695">
        <w:rPr>
          <w:rFonts w:ascii="Arial" w:hAnsi="Arial" w:cs="Arial"/>
          <w:b/>
          <w:bCs/>
          <w:sz w:val="24"/>
          <w:szCs w:val="24"/>
          <w:lang w:eastAsia="fr-FR"/>
        </w:rPr>
        <w:t>Mohee</w:t>
      </w:r>
      <w:proofErr w:type="spellEnd"/>
      <w:r w:rsidRPr="007A7695">
        <w:rPr>
          <w:rFonts w:ascii="Arial" w:hAnsi="Arial" w:cs="Arial"/>
          <w:b/>
          <w:bCs/>
          <w:sz w:val="24"/>
          <w:szCs w:val="24"/>
          <w:lang w:eastAsia="fr-FR"/>
        </w:rPr>
        <w:t>, R. (2011, November).</w:t>
      </w:r>
      <w:r w:rsidRPr="007A7695">
        <w:rPr>
          <w:rFonts w:ascii="Arial" w:hAnsi="Arial" w:cs="Arial"/>
          <w:sz w:val="24"/>
          <w:szCs w:val="24"/>
          <w:lang w:eastAsia="fr-FR"/>
        </w:rPr>
        <w:t xml:space="preserve"> Power generation from landfill gas. In 2nd International Conference on Environmental Engineering and Applications IPCBEE (Vol. 17, pp. 237-241).</w:t>
      </w:r>
    </w:p>
    <w:p w14:paraId="2AF0FC9B" w14:textId="77777777" w:rsidR="005D75BB" w:rsidRPr="007A7695" w:rsidRDefault="005D75BB" w:rsidP="005D75BB">
      <w:pPr>
        <w:jc w:val="both"/>
        <w:rPr>
          <w:rFonts w:ascii="Arial" w:hAnsi="Arial" w:cs="Arial"/>
          <w:sz w:val="24"/>
          <w:szCs w:val="24"/>
          <w:lang w:eastAsia="fr-FR"/>
        </w:rPr>
      </w:pPr>
      <w:r w:rsidRPr="007A7695">
        <w:rPr>
          <w:rFonts w:ascii="Arial" w:hAnsi="Arial" w:cs="Arial"/>
          <w:b/>
          <w:bCs/>
          <w:sz w:val="24"/>
          <w:szCs w:val="24"/>
        </w:rPr>
        <w:lastRenderedPageBreak/>
        <w:t xml:space="preserve">[13] IPCC. </w:t>
      </w:r>
      <w:r w:rsidRPr="007A7695">
        <w:rPr>
          <w:rStyle w:val="Accentuation"/>
          <w:rFonts w:ascii="Arial" w:hAnsi="Arial" w:cs="Arial"/>
          <w:b/>
          <w:bCs/>
          <w:sz w:val="24"/>
          <w:szCs w:val="24"/>
        </w:rPr>
        <w:t>Revised 1996 IPCC Guidelines for National Greenhouse Gas Inventories</w:t>
      </w:r>
      <w:r w:rsidRPr="007A7695">
        <w:rPr>
          <w:rStyle w:val="Accentuation"/>
          <w:rFonts w:ascii="Arial" w:hAnsi="Arial" w:cs="Arial"/>
          <w:sz w:val="24"/>
          <w:szCs w:val="24"/>
        </w:rPr>
        <w:t>, Volume 3: Reference Manual</w:t>
      </w:r>
      <w:r w:rsidRPr="007A7695">
        <w:rPr>
          <w:rFonts w:ascii="Arial" w:hAnsi="Arial" w:cs="Arial"/>
          <w:sz w:val="24"/>
          <w:szCs w:val="24"/>
        </w:rPr>
        <w:t xml:space="preserve">; OECD: Paris, 1997. Available online: </w:t>
      </w:r>
      <w:hyperlink r:id="rId15" w:history="1">
        <w:r w:rsidRPr="007A7695">
          <w:rPr>
            <w:rStyle w:val="Lienhypertexte"/>
            <w:rFonts w:ascii="Arial" w:hAnsi="Arial" w:cs="Arial"/>
            <w:sz w:val="24"/>
            <w:szCs w:val="24"/>
          </w:rPr>
          <w:t>https://www.ipcc-nggip.iges.or.jp/public/gl/invs1.html</w:t>
        </w:r>
      </w:hyperlink>
      <w:r w:rsidRPr="007A7695">
        <w:rPr>
          <w:rFonts w:ascii="Arial" w:hAnsi="Arial" w:cs="Arial"/>
          <w:sz w:val="24"/>
          <w:szCs w:val="24"/>
        </w:rPr>
        <w:t xml:space="preserve"> (accessed June 25, 2025).</w:t>
      </w:r>
    </w:p>
    <w:p w14:paraId="7A179A26" w14:textId="77777777" w:rsidR="005D75BB" w:rsidRPr="007A7695" w:rsidRDefault="005D75BB" w:rsidP="005D75BB">
      <w:pPr>
        <w:jc w:val="both"/>
        <w:rPr>
          <w:rFonts w:ascii="Arial" w:hAnsi="Arial" w:cs="Arial"/>
          <w:sz w:val="24"/>
          <w:szCs w:val="24"/>
          <w:lang w:eastAsia="fr-FR"/>
        </w:rPr>
      </w:pPr>
      <w:r w:rsidRPr="007A7695">
        <w:rPr>
          <w:rFonts w:ascii="Arial" w:hAnsi="Arial" w:cs="Arial"/>
          <w:b/>
          <w:bCs/>
          <w:sz w:val="24"/>
          <w:szCs w:val="24"/>
          <w:lang w:eastAsia="fr-FR"/>
        </w:rPr>
        <w:t>[14] Johari, A., Ahmed, S. I., Hashim, H., Alkali, H., &amp; Ramli, M.</w:t>
      </w:r>
      <w:r w:rsidRPr="007A7695">
        <w:rPr>
          <w:rFonts w:ascii="Arial" w:hAnsi="Arial" w:cs="Arial"/>
          <w:sz w:val="24"/>
          <w:szCs w:val="24"/>
          <w:lang w:eastAsia="fr-FR"/>
        </w:rPr>
        <w:t xml:space="preserve"> (2012). Economic and environmental benefits of landfill gas from municipal solid waste in Malaysia. Renewable and Sustainable Energy Reviews, 16(5), 2907-2912.</w:t>
      </w:r>
    </w:p>
    <w:p w14:paraId="7681ADD2" w14:textId="77777777" w:rsidR="005D75BB" w:rsidRPr="007A7695" w:rsidRDefault="005D75BB" w:rsidP="005D75BB">
      <w:pPr>
        <w:jc w:val="both"/>
        <w:rPr>
          <w:rFonts w:ascii="Arial" w:hAnsi="Arial" w:cs="Arial"/>
          <w:sz w:val="24"/>
          <w:szCs w:val="24"/>
        </w:rPr>
      </w:pPr>
      <w:r w:rsidRPr="007A7695">
        <w:rPr>
          <w:rFonts w:ascii="Arial" w:hAnsi="Arial" w:cs="Arial"/>
          <w:b/>
          <w:bCs/>
          <w:sz w:val="24"/>
          <w:szCs w:val="24"/>
        </w:rPr>
        <w:t>[15] CDM Projects</w:t>
      </w:r>
      <w:r w:rsidRPr="007A7695">
        <w:rPr>
          <w:rFonts w:ascii="Arial" w:hAnsi="Arial" w:cs="Arial"/>
          <w:sz w:val="24"/>
          <w:szCs w:val="24"/>
        </w:rPr>
        <w:t xml:space="preserve">: </w:t>
      </w:r>
      <w:hyperlink r:id="rId16" w:history="1">
        <w:r w:rsidRPr="007A7695">
          <w:rPr>
            <w:rStyle w:val="Lienhypertexte"/>
            <w:rFonts w:ascii="Arial" w:hAnsi="Arial" w:cs="Arial"/>
            <w:sz w:val="24"/>
            <w:szCs w:val="24"/>
          </w:rPr>
          <w:t>http://www.mct.gov.br/clima</w:t>
        </w:r>
      </w:hyperlink>
      <w:r w:rsidRPr="007A7695">
        <w:rPr>
          <w:rFonts w:ascii="Arial" w:hAnsi="Arial" w:cs="Arial"/>
          <w:sz w:val="24"/>
          <w:szCs w:val="24"/>
        </w:rPr>
        <w:t xml:space="preserve">. </w:t>
      </w:r>
      <w:bookmarkStart w:id="16" w:name="_Hlk201047786"/>
      <w:r w:rsidRPr="007A7695">
        <w:rPr>
          <w:rFonts w:ascii="Arial" w:hAnsi="Arial" w:cs="Arial"/>
          <w:sz w:val="24"/>
          <w:szCs w:val="24"/>
        </w:rPr>
        <w:t>Accessed 17th June 2025</w:t>
      </w:r>
      <w:bookmarkEnd w:id="16"/>
    </w:p>
    <w:p w14:paraId="67F6419B" w14:textId="77777777" w:rsidR="005D75BB" w:rsidRPr="007A7695" w:rsidRDefault="005D75BB" w:rsidP="005D75BB">
      <w:pPr>
        <w:rPr>
          <w:rFonts w:ascii="Arial" w:hAnsi="Arial" w:cs="Arial"/>
          <w:sz w:val="24"/>
          <w:szCs w:val="24"/>
        </w:rPr>
      </w:pPr>
      <w:r w:rsidRPr="007A7695">
        <w:rPr>
          <w:rFonts w:ascii="Arial" w:hAnsi="Arial" w:cs="Arial"/>
          <w:b/>
          <w:bCs/>
          <w:sz w:val="24"/>
          <w:szCs w:val="24"/>
        </w:rPr>
        <w:t>[16] NYC Global Partners.</w:t>
      </w:r>
      <w:r w:rsidRPr="007A7695">
        <w:rPr>
          <w:rFonts w:ascii="Arial" w:hAnsi="Arial" w:cs="Arial"/>
          <w:sz w:val="24"/>
          <w:szCs w:val="24"/>
        </w:rPr>
        <w:t xml:space="preserve"> (2012). </w:t>
      </w:r>
      <w:r w:rsidRPr="007A7695">
        <w:rPr>
          <w:rStyle w:val="Accentuation"/>
          <w:rFonts w:ascii="Arial" w:hAnsi="Arial" w:cs="Arial"/>
          <w:sz w:val="24"/>
          <w:szCs w:val="24"/>
        </w:rPr>
        <w:t>Best practice: Landfill emissions control</w:t>
      </w:r>
      <w:r w:rsidRPr="007A7695">
        <w:rPr>
          <w:rFonts w:ascii="Arial" w:hAnsi="Arial" w:cs="Arial"/>
          <w:sz w:val="24"/>
          <w:szCs w:val="24"/>
        </w:rPr>
        <w:t xml:space="preserve">.  </w:t>
      </w:r>
      <w:hyperlink r:id="rId17" w:history="1">
        <w:r w:rsidRPr="007A7695">
          <w:rPr>
            <w:rStyle w:val="Lienhypertexte"/>
            <w:rFonts w:ascii="Arial" w:hAnsi="Arial" w:cs="Arial"/>
            <w:sz w:val="24"/>
            <w:szCs w:val="24"/>
          </w:rPr>
          <w:t>https://www.nyc.gov/assets/globalpartners/downloads/pdf/SaoPaulo_landfills.pdf</w:t>
        </w:r>
      </w:hyperlink>
      <w:r w:rsidRPr="007A7695">
        <w:rPr>
          <w:rFonts w:ascii="Arial" w:hAnsi="Arial" w:cs="Arial"/>
        </w:rPr>
        <w:t xml:space="preserve">   </w:t>
      </w:r>
      <w:r w:rsidRPr="007A7695">
        <w:rPr>
          <w:rFonts w:ascii="Arial" w:hAnsi="Arial" w:cs="Arial"/>
          <w:sz w:val="24"/>
          <w:szCs w:val="24"/>
        </w:rPr>
        <w:t>Accessed 17th June 2025</w:t>
      </w:r>
    </w:p>
    <w:p w14:paraId="6D3FBBEF" w14:textId="77777777" w:rsidR="005D75BB" w:rsidRPr="007A7695" w:rsidRDefault="005D75BB" w:rsidP="005D75BB">
      <w:pPr>
        <w:rPr>
          <w:rFonts w:ascii="Arial" w:hAnsi="Arial" w:cs="Arial"/>
          <w:sz w:val="24"/>
          <w:szCs w:val="24"/>
        </w:rPr>
      </w:pPr>
      <w:r w:rsidRPr="007A7695">
        <w:rPr>
          <w:rFonts w:ascii="Arial" w:hAnsi="Arial" w:cs="Arial"/>
          <w:b/>
          <w:bCs/>
          <w:sz w:val="24"/>
          <w:szCs w:val="24"/>
        </w:rPr>
        <w:t xml:space="preserve">[17] </w:t>
      </w:r>
      <w:proofErr w:type="spellStart"/>
      <w:r w:rsidRPr="007A7695">
        <w:rPr>
          <w:rFonts w:ascii="Arial" w:hAnsi="Arial" w:cs="Arial"/>
          <w:b/>
          <w:bCs/>
          <w:sz w:val="24"/>
          <w:szCs w:val="24"/>
        </w:rPr>
        <w:t>Themelis</w:t>
      </w:r>
      <w:proofErr w:type="spellEnd"/>
      <w:r w:rsidRPr="007A7695">
        <w:rPr>
          <w:rFonts w:ascii="Arial" w:hAnsi="Arial" w:cs="Arial"/>
          <w:b/>
          <w:bCs/>
          <w:sz w:val="24"/>
          <w:szCs w:val="24"/>
        </w:rPr>
        <w:t>, N.J., Ulloa, P.A.</w:t>
      </w:r>
      <w:r w:rsidRPr="007A7695">
        <w:rPr>
          <w:rFonts w:ascii="Arial" w:hAnsi="Arial" w:cs="Arial"/>
          <w:sz w:val="24"/>
          <w:szCs w:val="24"/>
        </w:rPr>
        <w:t xml:space="preserve"> (2006). Methane generation in landfill. Renew. Energy 32, 1243–1257</w:t>
      </w:r>
    </w:p>
    <w:p w14:paraId="4119BDDB" w14:textId="77777777" w:rsidR="005D75BB" w:rsidRPr="007A7695" w:rsidRDefault="005D75BB" w:rsidP="005D75BB">
      <w:pPr>
        <w:jc w:val="both"/>
        <w:rPr>
          <w:rFonts w:ascii="Arial" w:hAnsi="Arial" w:cs="Arial"/>
          <w:sz w:val="24"/>
          <w:szCs w:val="24"/>
        </w:rPr>
      </w:pPr>
      <w:r w:rsidRPr="007A7695">
        <w:rPr>
          <w:rFonts w:ascii="Arial" w:hAnsi="Arial" w:cs="Arial"/>
          <w:b/>
          <w:bCs/>
          <w:sz w:val="24"/>
          <w:szCs w:val="24"/>
        </w:rPr>
        <w:t xml:space="preserve">[18] </w:t>
      </w:r>
      <w:proofErr w:type="spellStart"/>
      <w:r w:rsidRPr="007A7695">
        <w:rPr>
          <w:rFonts w:ascii="Arial" w:hAnsi="Arial" w:cs="Arial"/>
          <w:b/>
          <w:bCs/>
          <w:sz w:val="24"/>
          <w:szCs w:val="24"/>
        </w:rPr>
        <w:t>Zairi</w:t>
      </w:r>
      <w:proofErr w:type="spellEnd"/>
      <w:r w:rsidRPr="007A7695">
        <w:rPr>
          <w:rFonts w:ascii="Arial" w:hAnsi="Arial" w:cs="Arial"/>
          <w:b/>
          <w:bCs/>
          <w:sz w:val="24"/>
          <w:szCs w:val="24"/>
        </w:rPr>
        <w:t xml:space="preserve">, M., </w:t>
      </w:r>
      <w:proofErr w:type="spellStart"/>
      <w:r w:rsidRPr="007A7695">
        <w:rPr>
          <w:rFonts w:ascii="Arial" w:hAnsi="Arial" w:cs="Arial"/>
          <w:b/>
          <w:bCs/>
          <w:sz w:val="24"/>
          <w:szCs w:val="24"/>
        </w:rPr>
        <w:t>Aydi</w:t>
      </w:r>
      <w:proofErr w:type="spellEnd"/>
      <w:r w:rsidRPr="007A7695">
        <w:rPr>
          <w:rFonts w:ascii="Arial" w:hAnsi="Arial" w:cs="Arial"/>
          <w:b/>
          <w:bCs/>
          <w:sz w:val="24"/>
          <w:szCs w:val="24"/>
        </w:rPr>
        <w:t xml:space="preserve">, A., &amp; </w:t>
      </w:r>
      <w:proofErr w:type="spellStart"/>
      <w:r w:rsidRPr="007A7695">
        <w:rPr>
          <w:rFonts w:ascii="Arial" w:hAnsi="Arial" w:cs="Arial"/>
          <w:b/>
          <w:bCs/>
          <w:sz w:val="24"/>
          <w:szCs w:val="24"/>
        </w:rPr>
        <w:t>Dhia</w:t>
      </w:r>
      <w:proofErr w:type="spellEnd"/>
      <w:r w:rsidRPr="007A7695">
        <w:rPr>
          <w:rFonts w:ascii="Arial" w:hAnsi="Arial" w:cs="Arial"/>
          <w:b/>
          <w:bCs/>
          <w:sz w:val="24"/>
          <w:szCs w:val="24"/>
        </w:rPr>
        <w:t>, H. B.</w:t>
      </w:r>
      <w:r w:rsidRPr="007A7695">
        <w:rPr>
          <w:rFonts w:ascii="Arial" w:hAnsi="Arial" w:cs="Arial"/>
          <w:sz w:val="24"/>
          <w:szCs w:val="24"/>
        </w:rPr>
        <w:t xml:space="preserve"> (2014). Leachate generation and biogas energy recovery in the Jebel </w:t>
      </w:r>
      <w:proofErr w:type="spellStart"/>
      <w:r w:rsidRPr="007A7695">
        <w:rPr>
          <w:rFonts w:ascii="Arial" w:hAnsi="Arial" w:cs="Arial"/>
          <w:sz w:val="24"/>
          <w:szCs w:val="24"/>
        </w:rPr>
        <w:t>Chakir</w:t>
      </w:r>
      <w:proofErr w:type="spellEnd"/>
      <w:r w:rsidRPr="007A7695">
        <w:rPr>
          <w:rFonts w:ascii="Arial" w:hAnsi="Arial" w:cs="Arial"/>
          <w:sz w:val="24"/>
          <w:szCs w:val="24"/>
        </w:rPr>
        <w:t xml:space="preserve"> municipal solid waste landfill, Tunisia. Journal of Material Cycles and Waste Management, 16(1), 141-150.</w:t>
      </w:r>
    </w:p>
    <w:p w14:paraId="60163E48" w14:textId="77777777" w:rsidR="005D75BB" w:rsidRPr="007A7695" w:rsidRDefault="005D75BB" w:rsidP="005D75BB">
      <w:pPr>
        <w:rPr>
          <w:rFonts w:ascii="Arial" w:hAnsi="Arial" w:cs="Arial"/>
          <w:sz w:val="24"/>
          <w:szCs w:val="24"/>
          <w:lang w:eastAsia="fr-FR"/>
        </w:rPr>
      </w:pPr>
      <w:r w:rsidRPr="007A7695">
        <w:rPr>
          <w:rFonts w:ascii="Arial" w:hAnsi="Arial" w:cs="Arial"/>
          <w:b/>
          <w:bCs/>
          <w:sz w:val="24"/>
          <w:szCs w:val="24"/>
          <w:lang w:eastAsia="fr-FR"/>
        </w:rPr>
        <w:t xml:space="preserve">[19] </w:t>
      </w:r>
      <w:proofErr w:type="spellStart"/>
      <w:r w:rsidRPr="007A7695">
        <w:rPr>
          <w:rFonts w:ascii="Arial" w:hAnsi="Arial" w:cs="Arial"/>
          <w:b/>
          <w:bCs/>
          <w:sz w:val="24"/>
          <w:szCs w:val="24"/>
          <w:lang w:eastAsia="fr-FR"/>
        </w:rPr>
        <w:t>Kouakou</w:t>
      </w:r>
      <w:proofErr w:type="spellEnd"/>
      <w:r w:rsidRPr="007A7695">
        <w:rPr>
          <w:rFonts w:ascii="Arial" w:hAnsi="Arial" w:cs="Arial"/>
          <w:b/>
          <w:bCs/>
          <w:sz w:val="24"/>
          <w:szCs w:val="24"/>
          <w:lang w:eastAsia="fr-FR"/>
        </w:rPr>
        <w:t xml:space="preserve">, A. R., </w:t>
      </w:r>
      <w:proofErr w:type="spellStart"/>
      <w:r w:rsidRPr="007A7695">
        <w:rPr>
          <w:rFonts w:ascii="Arial" w:hAnsi="Arial" w:cs="Arial"/>
          <w:b/>
          <w:bCs/>
          <w:sz w:val="24"/>
          <w:szCs w:val="24"/>
          <w:lang w:eastAsia="fr-FR"/>
        </w:rPr>
        <w:t>Essi</w:t>
      </w:r>
      <w:proofErr w:type="spellEnd"/>
      <w:r w:rsidRPr="007A7695">
        <w:rPr>
          <w:rFonts w:ascii="Arial" w:hAnsi="Arial" w:cs="Arial"/>
          <w:b/>
          <w:bCs/>
          <w:sz w:val="24"/>
          <w:szCs w:val="24"/>
          <w:lang w:eastAsia="fr-FR"/>
        </w:rPr>
        <w:t>, K., Cyril, K. M., &amp; Albert, T.</w:t>
      </w:r>
      <w:r w:rsidRPr="007A7695">
        <w:rPr>
          <w:rFonts w:ascii="Arial" w:hAnsi="Arial" w:cs="Arial"/>
          <w:sz w:val="24"/>
          <w:szCs w:val="24"/>
          <w:lang w:eastAsia="fr-FR"/>
        </w:rPr>
        <w:t xml:space="preserve"> (2018). Estimation of Methane Emission from </w:t>
      </w:r>
      <w:proofErr w:type="spellStart"/>
      <w:r w:rsidRPr="007A7695">
        <w:rPr>
          <w:rFonts w:ascii="Arial" w:hAnsi="Arial" w:cs="Arial"/>
          <w:sz w:val="24"/>
          <w:szCs w:val="24"/>
          <w:lang w:eastAsia="fr-FR"/>
        </w:rPr>
        <w:t>Kossihouen</w:t>
      </w:r>
      <w:proofErr w:type="spellEnd"/>
      <w:r w:rsidRPr="007A7695">
        <w:rPr>
          <w:rFonts w:ascii="Arial" w:hAnsi="Arial" w:cs="Arial"/>
          <w:sz w:val="24"/>
          <w:szCs w:val="24"/>
          <w:lang w:eastAsia="fr-FR"/>
        </w:rPr>
        <w:t xml:space="preserve"> Sanitary Landfill and Its Electricity Generation Potential (Côte d’Ivoire). </w:t>
      </w:r>
      <w:r w:rsidRPr="007A7695">
        <w:rPr>
          <w:rFonts w:ascii="Arial" w:hAnsi="Arial" w:cs="Arial"/>
          <w:i/>
          <w:iCs/>
          <w:sz w:val="24"/>
          <w:szCs w:val="24"/>
          <w:lang w:eastAsia="fr-FR"/>
        </w:rPr>
        <w:t>Journal of Power and Energy Engineering</w:t>
      </w:r>
      <w:r w:rsidRPr="007A7695">
        <w:rPr>
          <w:rFonts w:ascii="Arial" w:hAnsi="Arial" w:cs="Arial"/>
          <w:sz w:val="24"/>
          <w:szCs w:val="24"/>
          <w:lang w:eastAsia="fr-FR"/>
        </w:rPr>
        <w:t xml:space="preserve">, 6(7), 22-31. </w:t>
      </w:r>
      <w:hyperlink r:id="rId18" w:history="1">
        <w:r w:rsidRPr="007A7695">
          <w:rPr>
            <w:rFonts w:ascii="Arial" w:hAnsi="Arial" w:cs="Arial"/>
            <w:color w:val="0000FF"/>
            <w:sz w:val="24"/>
            <w:szCs w:val="24"/>
            <w:u w:val="single"/>
            <w:lang w:eastAsia="fr-FR"/>
          </w:rPr>
          <w:t>https://doi.org/10.4236/jpee.2018.67002</w:t>
        </w:r>
      </w:hyperlink>
    </w:p>
    <w:p w14:paraId="506031A3" w14:textId="77777777" w:rsidR="005D75BB" w:rsidRPr="007A7695" w:rsidRDefault="005D75BB" w:rsidP="005D75BB">
      <w:pPr>
        <w:jc w:val="both"/>
        <w:rPr>
          <w:rFonts w:ascii="Arial" w:hAnsi="Arial" w:cs="Arial"/>
        </w:rPr>
      </w:pPr>
      <w:bookmarkStart w:id="17" w:name="_Hlk201053186"/>
      <w:r w:rsidRPr="007A7695">
        <w:rPr>
          <w:rFonts w:ascii="Arial" w:hAnsi="Arial" w:cs="Arial"/>
          <w:b/>
          <w:bCs/>
          <w:sz w:val="24"/>
          <w:szCs w:val="24"/>
        </w:rPr>
        <w:t>[20] Kayaba,</w:t>
      </w:r>
      <w:bookmarkEnd w:id="17"/>
      <w:r w:rsidRPr="007A7695">
        <w:rPr>
          <w:rFonts w:ascii="Arial" w:hAnsi="Arial" w:cs="Arial"/>
          <w:b/>
          <w:bCs/>
          <w:sz w:val="24"/>
          <w:szCs w:val="24"/>
        </w:rPr>
        <w:t xml:space="preserve"> H., Issoufou, O., </w:t>
      </w:r>
      <w:proofErr w:type="spellStart"/>
      <w:r w:rsidRPr="007A7695">
        <w:rPr>
          <w:rFonts w:ascii="Arial" w:hAnsi="Arial" w:cs="Arial"/>
          <w:b/>
          <w:bCs/>
          <w:sz w:val="24"/>
          <w:szCs w:val="24"/>
        </w:rPr>
        <w:t>Téré</w:t>
      </w:r>
      <w:proofErr w:type="spellEnd"/>
      <w:r w:rsidRPr="007A7695">
        <w:rPr>
          <w:rFonts w:ascii="Arial" w:hAnsi="Arial" w:cs="Arial"/>
          <w:b/>
          <w:bCs/>
          <w:sz w:val="24"/>
          <w:szCs w:val="24"/>
        </w:rPr>
        <w:t xml:space="preserve">, D., Abdoulaye, C., </w:t>
      </w:r>
      <w:proofErr w:type="spellStart"/>
      <w:r w:rsidRPr="007A7695">
        <w:rPr>
          <w:rFonts w:ascii="Arial" w:hAnsi="Arial" w:cs="Arial"/>
          <w:b/>
          <w:bCs/>
          <w:sz w:val="24"/>
          <w:szCs w:val="24"/>
        </w:rPr>
        <w:t>Oumar</w:t>
      </w:r>
      <w:proofErr w:type="spellEnd"/>
      <w:r w:rsidRPr="007A7695">
        <w:rPr>
          <w:rFonts w:ascii="Arial" w:hAnsi="Arial" w:cs="Arial"/>
          <w:b/>
          <w:bCs/>
          <w:sz w:val="24"/>
          <w:szCs w:val="24"/>
        </w:rPr>
        <w:t>, S., Antoine, B. and Jean, K.</w:t>
      </w:r>
      <w:r w:rsidRPr="007A7695">
        <w:rPr>
          <w:rFonts w:ascii="Arial" w:hAnsi="Arial" w:cs="Arial"/>
          <w:sz w:val="24"/>
          <w:szCs w:val="24"/>
        </w:rPr>
        <w:t xml:space="preserve"> (2024) Estimation of Landfill Gas and Its Renewable Energy Potential from the </w:t>
      </w:r>
      <w:proofErr w:type="spellStart"/>
      <w:r w:rsidRPr="007A7695">
        <w:rPr>
          <w:rFonts w:ascii="Arial" w:hAnsi="Arial" w:cs="Arial"/>
          <w:sz w:val="24"/>
          <w:szCs w:val="24"/>
        </w:rPr>
        <w:t>Polesgo</w:t>
      </w:r>
      <w:proofErr w:type="spellEnd"/>
      <w:r w:rsidRPr="007A7695">
        <w:rPr>
          <w:rFonts w:ascii="Arial" w:hAnsi="Arial" w:cs="Arial"/>
          <w:sz w:val="24"/>
          <w:szCs w:val="24"/>
        </w:rPr>
        <w:t xml:space="preserve"> Controlled Landfill Using First-Order Decay (FOD) Models. Journal of Environmental Protection, 15, 975- 993. </w:t>
      </w:r>
      <w:r w:rsidRPr="007A7695">
        <w:rPr>
          <w:rFonts w:ascii="Arial" w:hAnsi="Arial" w:cs="Arial"/>
        </w:rPr>
        <w:t xml:space="preserve"> </w:t>
      </w:r>
      <w:hyperlink r:id="rId19" w:history="1">
        <w:r w:rsidRPr="007A7695">
          <w:rPr>
            <w:rStyle w:val="Lienhypertexte"/>
            <w:rFonts w:ascii="Arial" w:hAnsi="Arial" w:cs="Arial"/>
          </w:rPr>
          <w:t>https://doi.org/10.4236/jep.2024.1510057</w:t>
        </w:r>
      </w:hyperlink>
    </w:p>
    <w:p w14:paraId="155D201F" w14:textId="77777777" w:rsidR="005D75BB" w:rsidRPr="007A7695" w:rsidRDefault="005D75BB" w:rsidP="005D75BB">
      <w:pPr>
        <w:spacing w:before="100" w:beforeAutospacing="1" w:after="100" w:afterAutospacing="1" w:line="360" w:lineRule="auto"/>
        <w:jc w:val="both"/>
        <w:rPr>
          <w:rFonts w:ascii="Arial" w:hAnsi="Arial" w:cs="Arial"/>
          <w:sz w:val="24"/>
          <w:szCs w:val="24"/>
          <w:lang w:eastAsia="fr-FR"/>
        </w:rPr>
      </w:pPr>
      <w:bookmarkStart w:id="18" w:name="_Hlk201053550"/>
      <w:r w:rsidRPr="007A7695">
        <w:rPr>
          <w:rFonts w:ascii="Arial" w:hAnsi="Arial" w:cs="Arial"/>
          <w:b/>
          <w:bCs/>
          <w:sz w:val="24"/>
          <w:szCs w:val="24"/>
          <w:lang w:eastAsia="fr-FR"/>
        </w:rPr>
        <w:t xml:space="preserve">[21] </w:t>
      </w:r>
      <w:proofErr w:type="spellStart"/>
      <w:r w:rsidRPr="007A7695">
        <w:rPr>
          <w:rFonts w:ascii="Arial" w:hAnsi="Arial" w:cs="Arial"/>
          <w:b/>
          <w:bCs/>
          <w:sz w:val="24"/>
          <w:szCs w:val="24"/>
          <w:lang w:eastAsia="fr-FR"/>
        </w:rPr>
        <w:t>Saeedi</w:t>
      </w:r>
      <w:proofErr w:type="spellEnd"/>
      <w:r w:rsidRPr="007A7695">
        <w:rPr>
          <w:rFonts w:ascii="Arial" w:hAnsi="Arial" w:cs="Arial"/>
          <w:b/>
          <w:bCs/>
          <w:sz w:val="24"/>
          <w:szCs w:val="24"/>
          <w:lang w:eastAsia="fr-FR"/>
        </w:rPr>
        <w:t xml:space="preserve">, </w:t>
      </w:r>
      <w:bookmarkEnd w:id="18"/>
      <w:r w:rsidRPr="007A7695">
        <w:rPr>
          <w:rFonts w:ascii="Arial" w:hAnsi="Arial" w:cs="Arial"/>
          <w:b/>
          <w:bCs/>
          <w:sz w:val="24"/>
          <w:szCs w:val="24"/>
          <w:lang w:eastAsia="fr-FR"/>
        </w:rPr>
        <w:t xml:space="preserve">M., </w:t>
      </w:r>
      <w:proofErr w:type="spellStart"/>
      <w:r w:rsidRPr="007A7695">
        <w:rPr>
          <w:rFonts w:ascii="Arial" w:hAnsi="Arial" w:cs="Arial"/>
          <w:b/>
          <w:bCs/>
          <w:sz w:val="24"/>
          <w:szCs w:val="24"/>
          <w:lang w:eastAsia="fr-FR"/>
        </w:rPr>
        <w:t>Mohammadi</w:t>
      </w:r>
      <w:proofErr w:type="spellEnd"/>
      <w:r w:rsidRPr="007A7695">
        <w:rPr>
          <w:rFonts w:ascii="Arial" w:hAnsi="Arial" w:cs="Arial"/>
          <w:b/>
          <w:bCs/>
          <w:sz w:val="24"/>
          <w:szCs w:val="24"/>
          <w:lang w:eastAsia="fr-FR"/>
        </w:rPr>
        <w:t xml:space="preserve">, M., </w:t>
      </w:r>
      <w:proofErr w:type="spellStart"/>
      <w:r w:rsidRPr="007A7695">
        <w:rPr>
          <w:rFonts w:ascii="Arial" w:hAnsi="Arial" w:cs="Arial"/>
          <w:b/>
          <w:bCs/>
          <w:sz w:val="24"/>
          <w:szCs w:val="24"/>
          <w:lang w:eastAsia="fr-FR"/>
        </w:rPr>
        <w:t>Esmaeili</w:t>
      </w:r>
      <w:proofErr w:type="spellEnd"/>
      <w:r w:rsidRPr="007A7695">
        <w:rPr>
          <w:rFonts w:ascii="Arial" w:hAnsi="Arial" w:cs="Arial"/>
          <w:b/>
          <w:bCs/>
          <w:sz w:val="24"/>
          <w:szCs w:val="24"/>
          <w:lang w:eastAsia="fr-FR"/>
        </w:rPr>
        <w:t xml:space="preserve">, N., </w:t>
      </w:r>
      <w:proofErr w:type="spellStart"/>
      <w:r w:rsidRPr="007A7695">
        <w:rPr>
          <w:rFonts w:ascii="Arial" w:hAnsi="Arial" w:cs="Arial"/>
          <w:b/>
          <w:bCs/>
          <w:sz w:val="24"/>
          <w:szCs w:val="24"/>
          <w:lang w:eastAsia="fr-FR"/>
        </w:rPr>
        <w:t>Niri</w:t>
      </w:r>
      <w:proofErr w:type="spellEnd"/>
      <w:r w:rsidRPr="007A7695">
        <w:rPr>
          <w:rFonts w:ascii="Arial" w:hAnsi="Arial" w:cs="Arial"/>
          <w:b/>
          <w:bCs/>
          <w:sz w:val="24"/>
          <w:szCs w:val="24"/>
          <w:lang w:eastAsia="fr-FR"/>
        </w:rPr>
        <w:t>, F. F., &amp; Gol, H.</w:t>
      </w:r>
      <w:r w:rsidRPr="007A7695">
        <w:rPr>
          <w:rFonts w:ascii="Arial" w:hAnsi="Arial" w:cs="Arial"/>
          <w:sz w:val="24"/>
          <w:szCs w:val="24"/>
          <w:lang w:eastAsia="fr-FR"/>
        </w:rPr>
        <w:t xml:space="preserve"> (2025). Optimizing </w:t>
      </w:r>
      <w:proofErr w:type="spellStart"/>
      <w:r w:rsidRPr="007A7695">
        <w:rPr>
          <w:rFonts w:ascii="Arial" w:hAnsi="Arial" w:cs="Arial"/>
          <w:sz w:val="24"/>
          <w:szCs w:val="24"/>
          <w:lang w:eastAsia="fr-FR"/>
        </w:rPr>
        <w:t>LandGEM</w:t>
      </w:r>
      <w:proofErr w:type="spellEnd"/>
      <w:r w:rsidRPr="007A7695">
        <w:rPr>
          <w:rFonts w:ascii="Arial" w:hAnsi="Arial" w:cs="Arial"/>
          <w:sz w:val="24"/>
          <w:szCs w:val="24"/>
          <w:lang w:eastAsia="fr-FR"/>
        </w:rPr>
        <w:t xml:space="preserve"> model parameters using a machine learning method to improve the accuracy of landfill methane gas generation estimates in the United States. </w:t>
      </w:r>
      <w:r w:rsidRPr="007A7695">
        <w:rPr>
          <w:rFonts w:ascii="Arial" w:hAnsi="Arial" w:cs="Arial"/>
          <w:i/>
          <w:iCs/>
          <w:sz w:val="24"/>
          <w:szCs w:val="24"/>
          <w:lang w:eastAsia="fr-FR"/>
        </w:rPr>
        <w:t>Journal of Environmental Management</w:t>
      </w:r>
      <w:r w:rsidRPr="007A7695">
        <w:rPr>
          <w:rFonts w:ascii="Arial" w:hAnsi="Arial" w:cs="Arial"/>
          <w:sz w:val="24"/>
          <w:szCs w:val="24"/>
          <w:lang w:eastAsia="fr-FR"/>
        </w:rPr>
        <w:t>, </w:t>
      </w:r>
      <w:r w:rsidRPr="007A7695">
        <w:rPr>
          <w:rFonts w:ascii="Arial" w:hAnsi="Arial" w:cs="Arial"/>
          <w:i/>
          <w:iCs/>
          <w:sz w:val="24"/>
          <w:szCs w:val="24"/>
          <w:lang w:eastAsia="fr-FR"/>
        </w:rPr>
        <w:t>373</w:t>
      </w:r>
      <w:r w:rsidRPr="007A7695">
        <w:rPr>
          <w:rFonts w:ascii="Arial" w:hAnsi="Arial" w:cs="Arial"/>
          <w:sz w:val="24"/>
          <w:szCs w:val="24"/>
          <w:lang w:eastAsia="fr-FR"/>
        </w:rPr>
        <w:t xml:space="preserve">, 124029.  </w:t>
      </w:r>
      <w:hyperlink r:id="rId20" w:history="1">
        <w:r w:rsidRPr="007A7695">
          <w:rPr>
            <w:rStyle w:val="Lienhypertexte"/>
            <w:rFonts w:ascii="Arial" w:hAnsi="Arial" w:cs="Arial"/>
            <w:sz w:val="24"/>
            <w:szCs w:val="24"/>
            <w:lang w:eastAsia="fr-FR"/>
          </w:rPr>
          <w:t>https://doi.org/10.1016/j.jenvman.2025.124029</w:t>
        </w:r>
      </w:hyperlink>
    </w:p>
    <w:p w14:paraId="30A5F9F0" w14:textId="77777777" w:rsidR="005D75BB" w:rsidRPr="007A7695" w:rsidRDefault="005D75BB" w:rsidP="005D75BB">
      <w:pPr>
        <w:jc w:val="both"/>
        <w:rPr>
          <w:rFonts w:ascii="Arial" w:hAnsi="Arial" w:cs="Arial"/>
          <w:sz w:val="24"/>
          <w:szCs w:val="24"/>
        </w:rPr>
      </w:pPr>
      <w:r w:rsidRPr="007A7695">
        <w:rPr>
          <w:rFonts w:ascii="Arial" w:hAnsi="Arial" w:cs="Arial"/>
          <w:b/>
          <w:bCs/>
          <w:sz w:val="24"/>
          <w:szCs w:val="24"/>
        </w:rPr>
        <w:t xml:space="preserve">[22] Abhishek N Srivastava &amp; </w:t>
      </w:r>
      <w:proofErr w:type="spellStart"/>
      <w:r w:rsidRPr="007A7695">
        <w:rPr>
          <w:rFonts w:ascii="Arial" w:hAnsi="Arial" w:cs="Arial"/>
          <w:b/>
          <w:bCs/>
          <w:sz w:val="24"/>
          <w:szCs w:val="24"/>
        </w:rPr>
        <w:t>Sumedha</w:t>
      </w:r>
      <w:proofErr w:type="spellEnd"/>
      <w:r w:rsidRPr="007A7695">
        <w:rPr>
          <w:rFonts w:ascii="Arial" w:hAnsi="Arial" w:cs="Arial"/>
          <w:b/>
          <w:bCs/>
          <w:sz w:val="24"/>
          <w:szCs w:val="24"/>
        </w:rPr>
        <w:t xml:space="preserve"> Chakma</w:t>
      </w:r>
      <w:r w:rsidRPr="007A7695">
        <w:rPr>
          <w:rFonts w:ascii="Arial" w:hAnsi="Arial" w:cs="Arial"/>
          <w:sz w:val="24"/>
          <w:szCs w:val="24"/>
        </w:rPr>
        <w:t xml:space="preserve"> (2020): Quantification of landfill gas generation and energy recovery estimation from the municipal solid waste landfill sites of Delhi, India, Energy Sources, Part A: Recovery, Utilization, and Environmental Effects, DOI: 10.1080/15567036.2020.1754970 </w:t>
      </w:r>
      <w:hyperlink r:id="rId21" w:history="1">
        <w:r w:rsidRPr="007A7695">
          <w:rPr>
            <w:rStyle w:val="Lienhypertexte"/>
            <w:rFonts w:ascii="Arial" w:hAnsi="Arial" w:cs="Arial"/>
            <w:sz w:val="24"/>
            <w:szCs w:val="24"/>
          </w:rPr>
          <w:t>https://doi.org/10.1080/15567036.2020.1754970</w:t>
        </w:r>
      </w:hyperlink>
    </w:p>
    <w:p w14:paraId="679E44FB" w14:textId="0674D766" w:rsidR="00B1776C" w:rsidRPr="007A7695" w:rsidRDefault="00B1776C" w:rsidP="00441B6F">
      <w:pPr>
        <w:pStyle w:val="Body"/>
        <w:spacing w:after="0"/>
        <w:rPr>
          <w:rFonts w:ascii="Arial" w:hAnsi="Arial" w:cs="Arial"/>
        </w:rPr>
      </w:pPr>
    </w:p>
    <w:p w14:paraId="3DC94207" w14:textId="77777777" w:rsidR="00790ADA" w:rsidRPr="007A7695" w:rsidRDefault="00790ADA" w:rsidP="00441B6F">
      <w:pPr>
        <w:pStyle w:val="Body"/>
        <w:spacing w:after="0"/>
        <w:rPr>
          <w:rFonts w:ascii="Arial" w:hAnsi="Arial" w:cs="Arial"/>
        </w:rPr>
      </w:pPr>
    </w:p>
    <w:p w14:paraId="6CF6CF25" w14:textId="77777777" w:rsidR="008B459E" w:rsidRPr="007A7695" w:rsidRDefault="008B459E" w:rsidP="00441B6F">
      <w:pPr>
        <w:pStyle w:val="Body"/>
        <w:spacing w:after="0"/>
        <w:rPr>
          <w:rFonts w:ascii="Arial" w:hAnsi="Arial" w:cs="Arial"/>
        </w:rPr>
      </w:pPr>
    </w:p>
    <w:p w14:paraId="6C597721" w14:textId="77777777" w:rsidR="00284C4C" w:rsidRPr="007A7695" w:rsidRDefault="00284C4C" w:rsidP="000D689F">
      <w:pPr>
        <w:pStyle w:val="Body"/>
        <w:spacing w:after="0"/>
        <w:rPr>
          <w:rFonts w:ascii="Arial" w:hAnsi="Arial" w:cs="Arial"/>
        </w:rPr>
      </w:pPr>
    </w:p>
    <w:p w14:paraId="2C34C5E8" w14:textId="77777777" w:rsidR="00B01FCD" w:rsidRPr="007A7695" w:rsidRDefault="00B01FCD" w:rsidP="00441B6F">
      <w:pPr>
        <w:pStyle w:val="Appendix"/>
        <w:spacing w:after="0"/>
        <w:jc w:val="both"/>
        <w:rPr>
          <w:rFonts w:ascii="Arial" w:hAnsi="Arial" w:cs="Arial"/>
          <w:b w:val="0"/>
        </w:rPr>
      </w:pPr>
    </w:p>
    <w:sectPr w:rsidR="00B01FCD" w:rsidRPr="007A7695" w:rsidSect="00B15EE1">
      <w:headerReference w:type="even" r:id="rId22"/>
      <w:headerReference w:type="default" r:id="rId23"/>
      <w:footerReference w:type="even" r:id="rId24"/>
      <w:footerReference w:type="default" r:id="rId25"/>
      <w:headerReference w:type="first" r:id="rId26"/>
      <w:footerReference w:type="first" r:id="rId2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B3DC6D" w14:textId="77777777" w:rsidR="00806F77" w:rsidRDefault="00806F77" w:rsidP="00C37E61">
      <w:r>
        <w:separator/>
      </w:r>
    </w:p>
  </w:endnote>
  <w:endnote w:type="continuationSeparator" w:id="0">
    <w:p w14:paraId="0307CCDB" w14:textId="77777777" w:rsidR="00806F77" w:rsidRDefault="00806F7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47F41" w14:textId="77777777" w:rsidR="00B15EE1" w:rsidRDefault="00B15EE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45637" w14:textId="77777777" w:rsidR="00C37E61" w:rsidRPr="00C37E61" w:rsidRDefault="00C37E61" w:rsidP="00C37E6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825F8" w14:textId="77777777" w:rsidR="00B15EE1" w:rsidRDefault="00B15E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60FB8" w14:textId="77777777" w:rsidR="00806F77" w:rsidRDefault="00806F77" w:rsidP="00C37E61">
      <w:r>
        <w:separator/>
      </w:r>
    </w:p>
  </w:footnote>
  <w:footnote w:type="continuationSeparator" w:id="0">
    <w:p w14:paraId="10FB50C4" w14:textId="77777777" w:rsidR="00806F77" w:rsidRDefault="00806F7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A8AD0" w14:textId="200E978A" w:rsidR="00B15EE1" w:rsidRDefault="00806F77">
    <w:pPr>
      <w:pStyle w:val="En-tte"/>
    </w:pPr>
    <w:r>
      <w:rPr>
        <w:noProof/>
      </w:rPr>
      <w:pict w14:anchorId="4740E7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72276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8BF15" w14:textId="5D8C945E" w:rsidR="00B15EE1" w:rsidRDefault="00806F77">
    <w:pPr>
      <w:pStyle w:val="En-tte"/>
    </w:pPr>
    <w:r>
      <w:rPr>
        <w:noProof/>
      </w:rPr>
      <w:pict w14:anchorId="6DD348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72276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770B2" w14:textId="5EBE7E72" w:rsidR="00B15EE1" w:rsidRDefault="00806F77">
    <w:pPr>
      <w:pStyle w:val="En-tte"/>
    </w:pPr>
    <w:r>
      <w:rPr>
        <w:noProof/>
      </w:rPr>
      <w:pict w14:anchorId="2D2E27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722765"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970E4"/>
    <w:rsid w:val="000A47FA"/>
    <w:rsid w:val="000A65D3"/>
    <w:rsid w:val="000B1E33"/>
    <w:rsid w:val="000B5F1E"/>
    <w:rsid w:val="000D600E"/>
    <w:rsid w:val="000D689F"/>
    <w:rsid w:val="000E7B7B"/>
    <w:rsid w:val="000E7D62"/>
    <w:rsid w:val="000F055A"/>
    <w:rsid w:val="00103357"/>
    <w:rsid w:val="00123C9F"/>
    <w:rsid w:val="00126190"/>
    <w:rsid w:val="00130F17"/>
    <w:rsid w:val="001320BF"/>
    <w:rsid w:val="00163BC4"/>
    <w:rsid w:val="00191062"/>
    <w:rsid w:val="00192B72"/>
    <w:rsid w:val="001A29D8"/>
    <w:rsid w:val="001A5CAA"/>
    <w:rsid w:val="001B0427"/>
    <w:rsid w:val="001D3A51"/>
    <w:rsid w:val="001E0747"/>
    <w:rsid w:val="001E10D2"/>
    <w:rsid w:val="001E25B4"/>
    <w:rsid w:val="001E44FE"/>
    <w:rsid w:val="00200595"/>
    <w:rsid w:val="00204835"/>
    <w:rsid w:val="0021565F"/>
    <w:rsid w:val="00231920"/>
    <w:rsid w:val="0023195C"/>
    <w:rsid w:val="0024282C"/>
    <w:rsid w:val="002460DC"/>
    <w:rsid w:val="00250985"/>
    <w:rsid w:val="002556F6"/>
    <w:rsid w:val="00283105"/>
    <w:rsid w:val="00284C4C"/>
    <w:rsid w:val="00287E68"/>
    <w:rsid w:val="0029386C"/>
    <w:rsid w:val="00296529"/>
    <w:rsid w:val="002B27FB"/>
    <w:rsid w:val="002B685A"/>
    <w:rsid w:val="002C57D2"/>
    <w:rsid w:val="002E0D56"/>
    <w:rsid w:val="002F7EA8"/>
    <w:rsid w:val="00315186"/>
    <w:rsid w:val="0033343E"/>
    <w:rsid w:val="003478E7"/>
    <w:rsid w:val="003512C2"/>
    <w:rsid w:val="00371FB6"/>
    <w:rsid w:val="003763C1"/>
    <w:rsid w:val="00376BBE"/>
    <w:rsid w:val="0039224F"/>
    <w:rsid w:val="003A43A4"/>
    <w:rsid w:val="003A7E18"/>
    <w:rsid w:val="003C4C86"/>
    <w:rsid w:val="003C6258"/>
    <w:rsid w:val="003E1E80"/>
    <w:rsid w:val="003E2904"/>
    <w:rsid w:val="00401927"/>
    <w:rsid w:val="0041027F"/>
    <w:rsid w:val="00412475"/>
    <w:rsid w:val="00423789"/>
    <w:rsid w:val="00440F43"/>
    <w:rsid w:val="00441B6F"/>
    <w:rsid w:val="00446221"/>
    <w:rsid w:val="00450E62"/>
    <w:rsid w:val="004539DB"/>
    <w:rsid w:val="00471A80"/>
    <w:rsid w:val="00480918"/>
    <w:rsid w:val="004D305E"/>
    <w:rsid w:val="004D4277"/>
    <w:rsid w:val="00502516"/>
    <w:rsid w:val="00505F06"/>
    <w:rsid w:val="00506828"/>
    <w:rsid w:val="0053056E"/>
    <w:rsid w:val="00554FDA"/>
    <w:rsid w:val="00566FC3"/>
    <w:rsid w:val="0057363A"/>
    <w:rsid w:val="005956C4"/>
    <w:rsid w:val="005C784C"/>
    <w:rsid w:val="005D17F6"/>
    <w:rsid w:val="005D75BB"/>
    <w:rsid w:val="005E5539"/>
    <w:rsid w:val="00602BF5"/>
    <w:rsid w:val="00617FDD"/>
    <w:rsid w:val="00633614"/>
    <w:rsid w:val="00633F68"/>
    <w:rsid w:val="00636EB2"/>
    <w:rsid w:val="006375B8"/>
    <w:rsid w:val="0066510A"/>
    <w:rsid w:val="00673F9F"/>
    <w:rsid w:val="00686953"/>
    <w:rsid w:val="00687DEA"/>
    <w:rsid w:val="00687E67"/>
    <w:rsid w:val="006902EE"/>
    <w:rsid w:val="006967F7"/>
    <w:rsid w:val="006A250C"/>
    <w:rsid w:val="006B21D3"/>
    <w:rsid w:val="006B57D0"/>
    <w:rsid w:val="006D30FF"/>
    <w:rsid w:val="006D6940"/>
    <w:rsid w:val="006D6AD0"/>
    <w:rsid w:val="006F11EC"/>
    <w:rsid w:val="0070082C"/>
    <w:rsid w:val="007369E6"/>
    <w:rsid w:val="00746E59"/>
    <w:rsid w:val="00754C9A"/>
    <w:rsid w:val="0075599A"/>
    <w:rsid w:val="00761D52"/>
    <w:rsid w:val="0077749E"/>
    <w:rsid w:val="00790ADA"/>
    <w:rsid w:val="007A7695"/>
    <w:rsid w:val="007D2288"/>
    <w:rsid w:val="007E088F"/>
    <w:rsid w:val="007F7B32"/>
    <w:rsid w:val="00804BC2"/>
    <w:rsid w:val="00806F77"/>
    <w:rsid w:val="0081431A"/>
    <w:rsid w:val="0083216F"/>
    <w:rsid w:val="00860000"/>
    <w:rsid w:val="00863BD3"/>
    <w:rsid w:val="008641ED"/>
    <w:rsid w:val="00866D66"/>
    <w:rsid w:val="008671C6"/>
    <w:rsid w:val="00875803"/>
    <w:rsid w:val="00880DDD"/>
    <w:rsid w:val="008B459E"/>
    <w:rsid w:val="008D5571"/>
    <w:rsid w:val="008E13AE"/>
    <w:rsid w:val="008E1506"/>
    <w:rsid w:val="008E710C"/>
    <w:rsid w:val="008F69D6"/>
    <w:rsid w:val="00902823"/>
    <w:rsid w:val="00915CA6"/>
    <w:rsid w:val="009247C4"/>
    <w:rsid w:val="00927834"/>
    <w:rsid w:val="009500A6"/>
    <w:rsid w:val="00957C18"/>
    <w:rsid w:val="009659BA"/>
    <w:rsid w:val="00983040"/>
    <w:rsid w:val="009A6066"/>
    <w:rsid w:val="009B3FB9"/>
    <w:rsid w:val="009C2465"/>
    <w:rsid w:val="009D35A0"/>
    <w:rsid w:val="009D7EB7"/>
    <w:rsid w:val="009E048A"/>
    <w:rsid w:val="009E08E9"/>
    <w:rsid w:val="009E3DB9"/>
    <w:rsid w:val="009E6E35"/>
    <w:rsid w:val="009F0EDA"/>
    <w:rsid w:val="00A03B96"/>
    <w:rsid w:val="00A05B19"/>
    <w:rsid w:val="00A1134E"/>
    <w:rsid w:val="00A216E6"/>
    <w:rsid w:val="00A24E7E"/>
    <w:rsid w:val="00A258C3"/>
    <w:rsid w:val="00A347C0"/>
    <w:rsid w:val="00A34E8E"/>
    <w:rsid w:val="00A51431"/>
    <w:rsid w:val="00A539AD"/>
    <w:rsid w:val="00A547A3"/>
    <w:rsid w:val="00A84A7B"/>
    <w:rsid w:val="00A86D1B"/>
    <w:rsid w:val="00A94063"/>
    <w:rsid w:val="00AA6219"/>
    <w:rsid w:val="00AA74E0"/>
    <w:rsid w:val="00AB57EB"/>
    <w:rsid w:val="00AB703F"/>
    <w:rsid w:val="00AC3A10"/>
    <w:rsid w:val="00AC6BB8"/>
    <w:rsid w:val="00AD0DE3"/>
    <w:rsid w:val="00AE008F"/>
    <w:rsid w:val="00B01FCD"/>
    <w:rsid w:val="00B15EE1"/>
    <w:rsid w:val="00B1776C"/>
    <w:rsid w:val="00B52583"/>
    <w:rsid w:val="00B52896"/>
    <w:rsid w:val="00B95236"/>
    <w:rsid w:val="00B96BD9"/>
    <w:rsid w:val="00BA1B01"/>
    <w:rsid w:val="00BA2641"/>
    <w:rsid w:val="00BB37AA"/>
    <w:rsid w:val="00BC53A0"/>
    <w:rsid w:val="00BE62AD"/>
    <w:rsid w:val="00BF121F"/>
    <w:rsid w:val="00BF1F80"/>
    <w:rsid w:val="00C121EF"/>
    <w:rsid w:val="00C166EF"/>
    <w:rsid w:val="00C17EB0"/>
    <w:rsid w:val="00C27F5F"/>
    <w:rsid w:val="00C30A0F"/>
    <w:rsid w:val="00C37E61"/>
    <w:rsid w:val="00C70F1B"/>
    <w:rsid w:val="00C71A47"/>
    <w:rsid w:val="00C7464C"/>
    <w:rsid w:val="00C75B2E"/>
    <w:rsid w:val="00C85588"/>
    <w:rsid w:val="00CD6755"/>
    <w:rsid w:val="00CD6856"/>
    <w:rsid w:val="00CE0089"/>
    <w:rsid w:val="00CE793C"/>
    <w:rsid w:val="00CF193C"/>
    <w:rsid w:val="00D173F1"/>
    <w:rsid w:val="00D244B0"/>
    <w:rsid w:val="00D70518"/>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1DFC"/>
    <w:rsid w:val="00E8407C"/>
    <w:rsid w:val="00E84F3C"/>
    <w:rsid w:val="00EA012C"/>
    <w:rsid w:val="00EC6A55"/>
    <w:rsid w:val="00ED0288"/>
    <w:rsid w:val="00EE52CB"/>
    <w:rsid w:val="00EF581D"/>
    <w:rsid w:val="00EF7FD8"/>
    <w:rsid w:val="00F06F59"/>
    <w:rsid w:val="00F17988"/>
    <w:rsid w:val="00F400A7"/>
    <w:rsid w:val="00F469F0"/>
    <w:rsid w:val="00F53273"/>
    <w:rsid w:val="00F755E4"/>
    <w:rsid w:val="00F77D02"/>
    <w:rsid w:val="00FB3A86"/>
    <w:rsid w:val="00FD36C8"/>
    <w:rsid w:val="00FE0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19B1A2C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styleId="Mentionnonrsolue">
    <w:name w:val="Unresolved Mention"/>
    <w:basedOn w:val="Policepardfau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566FC3"/>
    <w:rPr>
      <w:rFonts w:ascii="Times New Roman" w:hAnsi="Times New Roman"/>
      <w:sz w:val="24"/>
      <w:szCs w:val="24"/>
    </w:rPr>
  </w:style>
  <w:style w:type="table" w:customStyle="1" w:styleId="Grilledutableau1">
    <w:name w:val="Grille du tableau1"/>
    <w:basedOn w:val="TableauNormal"/>
    <w:next w:val="Grilledutableau"/>
    <w:uiPriority w:val="99"/>
    <w:rsid w:val="00566FC3"/>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semiHidden/>
    <w:unhideWhenUsed/>
    <w:rsid w:val="005D75BB"/>
    <w:pPr>
      <w:spacing w:after="120"/>
    </w:pPr>
  </w:style>
  <w:style w:type="character" w:customStyle="1" w:styleId="CorpsdetexteCar">
    <w:name w:val="Corps de texte Car"/>
    <w:basedOn w:val="Policepardfaut"/>
    <w:link w:val="Corpsdetexte"/>
    <w:semiHidden/>
    <w:rsid w:val="005D75BB"/>
    <w:rPr>
      <w:rFonts w:ascii="Helvetica" w:hAnsi="Helvetica"/>
    </w:rPr>
  </w:style>
  <w:style w:type="character" w:styleId="lev">
    <w:name w:val="Strong"/>
    <w:basedOn w:val="Policepardfaut"/>
    <w:uiPriority w:val="22"/>
    <w:qFormat/>
    <w:rsid w:val="007A76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wasman.2010.08.009" TargetMode="External"/><Relationship Id="rId18" Type="http://schemas.openxmlformats.org/officeDocument/2006/relationships/hyperlink" Target="https://doi.org/10.4236/jpee.2018.67002"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1080/15567036.2020.1754970" TargetMode="External"/><Relationship Id="rId7" Type="http://schemas.openxmlformats.org/officeDocument/2006/relationships/endnotes" Target="endnotes.xml"/><Relationship Id="rId12" Type="http://schemas.openxmlformats.org/officeDocument/2006/relationships/hyperlink" Target="https://www.ipcc-nggip.iges.or.jp/public/2019rf/" TargetMode="External"/><Relationship Id="rId17" Type="http://schemas.openxmlformats.org/officeDocument/2006/relationships/hyperlink" Target="https://www.nyc.gov/assets/globalpartners/downloads/pdf/SaoPaulo_landfills.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mct.gov.br/clima" TargetMode="External"/><Relationship Id="rId20" Type="http://schemas.openxmlformats.org/officeDocument/2006/relationships/hyperlink" Target="https://doi.org/10.1016/j.jenvman.2025.12402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docs.unep.org/20.500.11822/35913"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pcc-nggip.iges.or.jp/public/gl/invs1.htm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ipcc.ch/report/ar5/wg1/" TargetMode="External"/><Relationship Id="rId19" Type="http://schemas.openxmlformats.org/officeDocument/2006/relationships/hyperlink" Target="https://doi.org/10.4236/jep.2024.151005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pcc-nggip.iges.or.jp/public/2006gl/vol5.html" TargetMode="External"/><Relationship Id="rId22" Type="http://schemas.openxmlformats.org/officeDocument/2006/relationships/header" Target="header1.xm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C038A-8664-48A1-A965-E512751A0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1170</TotalTime>
  <Pages>12</Pages>
  <Words>4602</Words>
  <Characters>25315</Characters>
  <Application>Microsoft Office Word</Application>
  <DocSecurity>0</DocSecurity>
  <Lines>210</Lines>
  <Paragraphs>59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29858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GRACE INF</cp:lastModifiedBy>
  <cp:revision>30</cp:revision>
  <cp:lastPrinted>1999-07-06T11:00:00Z</cp:lastPrinted>
  <dcterms:created xsi:type="dcterms:W3CDTF">2014-10-25T14:34:00Z</dcterms:created>
  <dcterms:modified xsi:type="dcterms:W3CDTF">2025-08-12T14:19:00Z</dcterms:modified>
</cp:coreProperties>
</file>