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A2D31" w14:textId="00A508AB" w:rsidR="00754C9A" w:rsidRPr="00175078" w:rsidRDefault="00175078" w:rsidP="004D58A3">
      <w:pPr>
        <w:pStyle w:val="Title"/>
        <w:spacing w:after="0"/>
        <w:jc w:val="center"/>
        <w:rPr>
          <w:rFonts w:ascii="Arial" w:hAnsi="Arial" w:cs="Arial"/>
          <w:i/>
          <w:iCs/>
          <w:sz w:val="24"/>
          <w:szCs w:val="14"/>
        </w:rPr>
      </w:pPr>
      <w:r w:rsidRPr="00175078">
        <w:rPr>
          <w:rFonts w:ascii="Arial" w:hAnsi="Arial" w:cs="Arial"/>
          <w:i/>
          <w:iCs/>
          <w:sz w:val="24"/>
          <w:szCs w:val="14"/>
          <w:highlight w:val="yellow"/>
        </w:rPr>
        <w:t>Original Research Article</w:t>
      </w:r>
    </w:p>
    <w:p w14:paraId="302A5878" w14:textId="40301529" w:rsidR="00A258C3" w:rsidRPr="00790ADA" w:rsidRDefault="00D66371" w:rsidP="00441B6F">
      <w:pPr>
        <w:pStyle w:val="Author"/>
        <w:spacing w:line="240" w:lineRule="auto"/>
        <w:jc w:val="both"/>
        <w:rPr>
          <w:rFonts w:ascii="Arial" w:hAnsi="Arial" w:cs="Arial"/>
          <w:sz w:val="36"/>
        </w:rPr>
      </w:pPr>
      <w:r w:rsidRPr="00D66371">
        <w:rPr>
          <w:rFonts w:ascii="Arial" w:hAnsi="Arial" w:cs="Arial"/>
          <w:bCs/>
          <w:iCs/>
          <w:kern w:val="28"/>
          <w:sz w:val="36"/>
          <w:highlight w:val="yellow"/>
        </w:rPr>
        <w:t>Evaluation of Selected Biochemical Parameters, CRP and Viral Load in Hepatitis B Patients with Acyclic Phosphate-Resistant Genes at Rivers State University Teaching Hospital</w:t>
      </w:r>
    </w:p>
    <w:p w14:paraId="0371CC46" w14:textId="76171812" w:rsidR="00B01FCD" w:rsidRPr="00FB3A86" w:rsidRDefault="00B01FCD" w:rsidP="00441B6F">
      <w:pPr>
        <w:pStyle w:val="Copyright"/>
        <w:spacing w:after="0" w:line="240" w:lineRule="auto"/>
        <w:jc w:val="both"/>
        <w:rPr>
          <w:rFonts w:ascii="Arial" w:hAnsi="Arial" w:cs="Arial"/>
        </w:rPr>
        <w:sectPr w:rsidR="00B01FCD" w:rsidRPr="00FB3A86" w:rsidSect="00E56D3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3FB65C1E" w14:textId="5F8D43E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1F8B7B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96529" w:rsidRPr="001E44FE" w14:paraId="459CAF49" w14:textId="77777777" w:rsidTr="001E44FE">
        <w:tc>
          <w:tcPr>
            <w:tcW w:w="9576" w:type="dxa"/>
            <w:shd w:val="clear" w:color="auto" w:fill="F2F2F2"/>
          </w:tcPr>
          <w:p w14:paraId="770E33D3" w14:textId="36E68A28"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 </w:t>
            </w:r>
            <w:r w:rsidR="00823530" w:rsidRPr="00823530">
              <w:rPr>
                <w:rFonts w:ascii="Arial" w:eastAsia="Calibri" w:hAnsi="Arial" w:cs="Arial"/>
                <w:szCs w:val="22"/>
              </w:rPr>
              <w:t>To estimate the activities of aspartate amino transaminase (AST), alanine amino transaminase (ALT), alkaline phosphatase (ALP), Gamma glutamyl transpeptidase (GGT) Lactate dehydrogenase (</w:t>
            </w:r>
            <w:r w:rsidR="00927C9F" w:rsidRPr="00823530">
              <w:rPr>
                <w:rFonts w:ascii="Arial" w:eastAsia="Calibri" w:hAnsi="Arial" w:cs="Arial"/>
                <w:szCs w:val="22"/>
              </w:rPr>
              <w:t>LDH) as</w:t>
            </w:r>
            <w:r w:rsidR="00823530" w:rsidRPr="00823530">
              <w:rPr>
                <w:rFonts w:ascii="Arial" w:eastAsia="Calibri" w:hAnsi="Arial" w:cs="Arial"/>
                <w:szCs w:val="22"/>
              </w:rPr>
              <w:t xml:space="preserve"> well as concentrations of alpha fetoprotein, C reactive Protein and viral load in Hepatitis B positive subjects at Rivers State University Teaching Hospital</w:t>
            </w:r>
          </w:p>
          <w:p w14:paraId="0AD0F17A" w14:textId="77777777" w:rsidR="00CE4902" w:rsidRDefault="00BA1B01" w:rsidP="00441B6F">
            <w:pPr>
              <w:pStyle w:val="Body"/>
              <w:spacing w:after="0"/>
              <w:rPr>
                <w:rFonts w:ascii="Arial" w:eastAsia="Calibri" w:hAnsi="Arial" w:cs="Arial"/>
                <w:b/>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23530">
              <w:rPr>
                <w:rFonts w:ascii="Arial" w:eastAsia="Calibri" w:hAnsi="Arial" w:cs="Arial"/>
                <w:szCs w:val="22"/>
              </w:rPr>
              <w:t xml:space="preserve"> </w:t>
            </w:r>
            <w:r w:rsidRPr="00BA1B01">
              <w:rPr>
                <w:rFonts w:ascii="Arial" w:eastAsia="Calibri" w:hAnsi="Arial" w:cs="Arial"/>
                <w:szCs w:val="22"/>
              </w:rPr>
              <w:t xml:space="preserve"> </w:t>
            </w:r>
            <w:r w:rsidR="00823530" w:rsidRPr="00BA1B01">
              <w:rPr>
                <w:rFonts w:ascii="Arial" w:eastAsia="Calibri" w:hAnsi="Arial" w:cs="Arial"/>
                <w:szCs w:val="22"/>
              </w:rPr>
              <w:t>Analytical</w:t>
            </w:r>
            <w:r w:rsidR="00823530">
              <w:rPr>
                <w:rFonts w:ascii="Arial" w:eastAsia="Calibri" w:hAnsi="Arial" w:cs="Arial"/>
                <w:szCs w:val="22"/>
              </w:rPr>
              <w:t xml:space="preserve"> Cross-sectional study</w:t>
            </w:r>
            <w:r w:rsidR="00823530" w:rsidRPr="00BA1B01">
              <w:rPr>
                <w:rFonts w:ascii="Arial" w:eastAsia="Calibri" w:hAnsi="Arial" w:cs="Arial"/>
                <w:b/>
                <w:szCs w:val="22"/>
              </w:rPr>
              <w:t xml:space="preserve"> </w:t>
            </w:r>
          </w:p>
          <w:p w14:paraId="1B11A66A" w14:textId="00FF483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14145" w:rsidRPr="00A57F9A">
              <w:rPr>
                <w:rFonts w:ascii="Arial" w:eastAsia="Calibri" w:hAnsi="Arial" w:cs="Arial"/>
                <w:szCs w:val="22"/>
              </w:rPr>
              <w:t>Rivers State University Teaching hospital</w:t>
            </w:r>
            <w:r w:rsidR="00514145" w:rsidRPr="00BA1B01">
              <w:rPr>
                <w:rFonts w:ascii="Arial" w:eastAsia="Calibri" w:hAnsi="Arial" w:cs="Arial"/>
                <w:szCs w:val="22"/>
              </w:rPr>
              <w:t xml:space="preserve">, between </w:t>
            </w:r>
            <w:r w:rsidR="00514145">
              <w:rPr>
                <w:rFonts w:ascii="Arial" w:eastAsia="Calibri" w:hAnsi="Arial" w:cs="Arial"/>
                <w:szCs w:val="22"/>
              </w:rPr>
              <w:t>February</w:t>
            </w:r>
            <w:r w:rsidR="00514145" w:rsidRPr="00D46B46">
              <w:rPr>
                <w:rFonts w:ascii="Arial" w:eastAsia="Calibri" w:hAnsi="Arial" w:cs="Arial"/>
                <w:color w:val="EE0000"/>
                <w:szCs w:val="22"/>
              </w:rPr>
              <w:t xml:space="preserve"> </w:t>
            </w:r>
            <w:r w:rsidR="00514145" w:rsidRPr="00CC1FEA">
              <w:rPr>
                <w:rFonts w:ascii="Arial" w:eastAsia="Calibri" w:hAnsi="Arial" w:cs="Arial"/>
                <w:szCs w:val="22"/>
              </w:rPr>
              <w:t>and August 2024.</w:t>
            </w:r>
          </w:p>
          <w:p w14:paraId="3669C87F" w14:textId="2191A3D8" w:rsidR="00F97673" w:rsidRPr="00BA1B01" w:rsidRDefault="00BA1B01" w:rsidP="00F97673">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F97673" w:rsidRPr="00F97673">
              <w:rPr>
                <w:rFonts w:ascii="Arial" w:eastAsia="Calibri" w:hAnsi="Arial" w:cs="Arial"/>
                <w:szCs w:val="22"/>
                <w:highlight w:val="yellow"/>
              </w:rPr>
              <w:t>This cross-sectional study compared 88 HBV-positive subjects (44 naïve, 44 on ART) with 50 HBV-negative controls. Liver enzymes (AST, ALT, ALP, and GGT), CRP, AFP, and viral load were measured. DNA was extracted using a commercial kit and analysed via nested PCR. Statistical significance (p &lt; 0.05) was determined using t-tests/ANOVA</w:t>
            </w:r>
            <w:r w:rsidR="00F97673">
              <w:rPr>
                <w:rFonts w:ascii="Arial" w:eastAsia="Calibri" w:hAnsi="Arial" w:cs="Arial"/>
                <w:szCs w:val="22"/>
                <w:highlight w:val="yellow"/>
              </w:rPr>
              <w:t xml:space="preserve"> a</w:t>
            </w:r>
            <w:r w:rsidR="00F97673" w:rsidRPr="00A80B95">
              <w:rPr>
                <w:rFonts w:ascii="Arial" w:eastAsia="Calibri" w:hAnsi="Arial" w:cs="Arial"/>
                <w:szCs w:val="22"/>
                <w:highlight w:val="yellow"/>
              </w:rPr>
              <w:t>nd data analyzed using GraphPad Prism version 9.02.</w:t>
            </w:r>
          </w:p>
          <w:p w14:paraId="56527E40" w14:textId="7F486D2F"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36A48" w:rsidRPr="00636A48">
              <w:rPr>
                <w:rFonts w:ascii="Arial" w:eastAsia="Calibri" w:hAnsi="Arial" w:cs="Arial"/>
                <w:color w:val="000000" w:themeColor="text1"/>
                <w:szCs w:val="22"/>
                <w:highlight w:val="yellow"/>
              </w:rPr>
              <w:t>HBV-positive subjects showed significantly higher AST (46.75 vs. 37.04 U/L), ALT (55.17 vs. 38.10 U/L), ALP (237.1 vs. 175.4 U/L), GGT (103.1 vs. 48.54 U/L), CRP (5.33 vs. 4.09 ng/mL), and AFP (166.20 vs. 7.72 ng/mL) compared to controls (p &lt; 0.05). Resistance genes A202C (7%), T184G (10%), and A181T (61–62%) were detected.</w:t>
            </w:r>
          </w:p>
          <w:p w14:paraId="7901656B" w14:textId="5BC332CC" w:rsidR="00505F06" w:rsidRPr="00BA1B01" w:rsidRDefault="00BA1B01" w:rsidP="00B911A2">
            <w:pPr>
              <w:pStyle w:val="Body"/>
              <w:spacing w:after="0"/>
              <w:rPr>
                <w:rFonts w:ascii="Arial" w:eastAsia="Calibri" w:hAnsi="Arial" w:cs="Arial"/>
                <w:szCs w:val="22"/>
              </w:rPr>
            </w:pPr>
            <w:r w:rsidRPr="004D0904">
              <w:rPr>
                <w:rFonts w:ascii="Arial" w:eastAsia="Calibri" w:hAnsi="Arial" w:cs="Arial"/>
                <w:b/>
                <w:bCs/>
                <w:color w:val="000000" w:themeColor="text1"/>
                <w:szCs w:val="22"/>
              </w:rPr>
              <w:t>Conclusion:</w:t>
            </w:r>
            <w:r w:rsidRPr="004D0904">
              <w:rPr>
                <w:rFonts w:ascii="Arial" w:eastAsia="Calibri" w:hAnsi="Arial" w:cs="Arial"/>
                <w:color w:val="000000" w:themeColor="text1"/>
                <w:szCs w:val="22"/>
              </w:rPr>
              <w:t xml:space="preserve"> </w:t>
            </w:r>
            <w:r w:rsidR="00A35EA8" w:rsidRPr="00A35EA8">
              <w:rPr>
                <w:rFonts w:ascii="Arial" w:hAnsi="Arial" w:cs="Arial"/>
                <w:color w:val="000000" w:themeColor="text1"/>
                <w:highlight w:val="yellow"/>
              </w:rPr>
              <w:t>HBV infection is associated with elevated liver injury and inflammatory markers, alongside prevalent resistance genes. Regular monitoring of these parameters is critical for clinical management.</w:t>
            </w:r>
          </w:p>
        </w:tc>
      </w:tr>
    </w:tbl>
    <w:p w14:paraId="789E02A9" w14:textId="716F4DF1" w:rsidR="00790ADA" w:rsidRDefault="00A24E7E" w:rsidP="00441B6F">
      <w:pPr>
        <w:pStyle w:val="Body"/>
        <w:spacing w:after="0"/>
        <w:rPr>
          <w:rFonts w:ascii="Arial" w:hAnsi="Arial" w:cs="Arial"/>
          <w:i/>
        </w:rPr>
      </w:pPr>
      <w:r>
        <w:rPr>
          <w:rFonts w:ascii="Arial" w:hAnsi="Arial" w:cs="Arial"/>
          <w:i/>
        </w:rPr>
        <w:t xml:space="preserve">Keywords: </w:t>
      </w:r>
      <w:r w:rsidR="00E96BF3">
        <w:rPr>
          <w:rFonts w:ascii="Arial" w:hAnsi="Arial" w:cs="Arial"/>
          <w:i/>
        </w:rPr>
        <w:t xml:space="preserve">Liver </w:t>
      </w:r>
      <w:r w:rsidR="007A4940">
        <w:rPr>
          <w:rFonts w:ascii="Arial" w:hAnsi="Arial" w:cs="Arial"/>
          <w:i/>
        </w:rPr>
        <w:t>enzymes</w:t>
      </w:r>
      <w:r w:rsidR="00E96BF3">
        <w:rPr>
          <w:rFonts w:ascii="Arial" w:hAnsi="Arial" w:cs="Arial"/>
          <w:i/>
        </w:rPr>
        <w:t>,</w:t>
      </w:r>
      <w:r w:rsidR="00E96BF3" w:rsidRPr="00E96BF3">
        <w:rPr>
          <w:rFonts w:ascii="Arial" w:hAnsi="Arial" w:cs="Arial"/>
          <w:i/>
        </w:rPr>
        <w:t xml:space="preserve"> Hepatitis B</w:t>
      </w:r>
      <w:r w:rsidR="00E96BF3">
        <w:rPr>
          <w:rFonts w:ascii="Arial" w:hAnsi="Arial" w:cs="Arial"/>
          <w:i/>
        </w:rPr>
        <w:t>,</w:t>
      </w:r>
      <w:r w:rsidR="00E96BF3" w:rsidRPr="00E96BF3">
        <w:rPr>
          <w:rFonts w:ascii="Arial" w:hAnsi="Arial" w:cs="Arial"/>
          <w:i/>
        </w:rPr>
        <w:t xml:space="preserve"> acyclic phosphate resistant genes</w:t>
      </w:r>
      <w:r w:rsidR="00E96BF3">
        <w:rPr>
          <w:rFonts w:ascii="Arial" w:hAnsi="Arial" w:cs="Arial"/>
          <w:i/>
        </w:rPr>
        <w:t>,</w:t>
      </w:r>
      <w:r w:rsidR="00E96BF3" w:rsidRPr="00E96BF3">
        <w:rPr>
          <w:rFonts w:ascii="Arial" w:hAnsi="Arial" w:cs="Arial"/>
          <w:i/>
        </w:rPr>
        <w:t xml:space="preserve"> Rivers State University Teaching hospital</w:t>
      </w:r>
    </w:p>
    <w:p w14:paraId="1191793F" w14:textId="77777777" w:rsidR="00E96BF3" w:rsidRDefault="00E96BF3" w:rsidP="00441B6F">
      <w:pPr>
        <w:pStyle w:val="Body"/>
        <w:spacing w:after="0"/>
        <w:rPr>
          <w:rFonts w:ascii="Arial" w:hAnsi="Arial" w:cs="Arial"/>
          <w:i/>
        </w:rPr>
      </w:pPr>
    </w:p>
    <w:p w14:paraId="70A49566" w14:textId="3C58D84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A3D8582" w14:textId="657C44B7" w:rsidR="00A95D03" w:rsidRDefault="00B960B5" w:rsidP="00EF105E">
      <w:pPr>
        <w:pStyle w:val="Body"/>
        <w:spacing w:after="0"/>
        <w:rPr>
          <w:rFonts w:ascii="Arial" w:eastAsia="Calibri" w:hAnsi="Arial" w:cs="Arial"/>
          <w:szCs w:val="22"/>
        </w:rPr>
      </w:pPr>
      <w:r>
        <w:rPr>
          <w:rFonts w:ascii="Arial" w:eastAsia="Calibri" w:hAnsi="Arial" w:cs="Arial"/>
          <w:szCs w:val="22"/>
        </w:rPr>
        <w:t>“</w:t>
      </w:r>
      <w:r w:rsidR="00A95D03" w:rsidRPr="00A95D03">
        <w:rPr>
          <w:rFonts w:ascii="Arial" w:eastAsia="Calibri" w:hAnsi="Arial" w:cs="Arial"/>
          <w:szCs w:val="22"/>
        </w:rPr>
        <w:t>Hepatitis B virus (HBV) is an enveloped deoxyribonucleic acid (DNA) virus whose replication involves transcription to ribonucleic acid (RNA) intermediates that are then reverse transcribed back to DNA. It is a hepatotropic pathogen that directly causes Liver diseases of variable severity</w:t>
      </w:r>
      <w:r>
        <w:rPr>
          <w:rFonts w:ascii="Arial" w:eastAsia="Calibri" w:hAnsi="Arial" w:cs="Arial"/>
          <w:szCs w:val="22"/>
        </w:rPr>
        <w:t>”</w:t>
      </w:r>
      <w:r w:rsidR="00A95D03" w:rsidRPr="00A95D03">
        <w:rPr>
          <w:rFonts w:ascii="Arial" w:eastAsia="Calibri" w:hAnsi="Arial" w:cs="Arial"/>
          <w:szCs w:val="22"/>
        </w:rPr>
        <w:t xml:space="preserve"> </w:t>
      </w:r>
      <w:r w:rsidR="0089050B" w:rsidRPr="005F5067">
        <w:rPr>
          <w:rFonts w:ascii="Arial" w:eastAsia="Calibri" w:hAnsi="Arial" w:cs="Arial"/>
          <w:szCs w:val="22"/>
        </w:rPr>
        <w:t>[1</w:t>
      </w:r>
      <w:r w:rsidR="00AD7A21">
        <w:rPr>
          <w:rFonts w:ascii="Arial" w:eastAsia="Calibri" w:hAnsi="Arial" w:cs="Arial"/>
          <w:szCs w:val="22"/>
        </w:rPr>
        <w:t>,</w:t>
      </w:r>
      <w:r w:rsidR="00AD7A21" w:rsidRPr="00AD7A21">
        <w:rPr>
          <w:rFonts w:ascii="Arial" w:eastAsia="Calibri" w:hAnsi="Arial" w:cs="Arial"/>
          <w:szCs w:val="22"/>
          <w:highlight w:val="yellow"/>
        </w:rPr>
        <w:t>37</w:t>
      </w:r>
      <w:r w:rsidR="0089050B" w:rsidRPr="00AD7A21">
        <w:rPr>
          <w:rFonts w:ascii="Arial" w:eastAsia="Calibri" w:hAnsi="Arial" w:cs="Arial"/>
          <w:szCs w:val="22"/>
          <w:highlight w:val="yellow"/>
        </w:rPr>
        <w:t>]</w:t>
      </w:r>
      <w:r w:rsidR="00A95D03" w:rsidRPr="00A95D03">
        <w:rPr>
          <w:rFonts w:ascii="Arial" w:eastAsia="Calibri" w:hAnsi="Arial" w:cs="Arial"/>
          <w:szCs w:val="22"/>
        </w:rPr>
        <w:t xml:space="preserve">. Despite its DNA genome, HBV is thought to exist as a quasi-species; high levels of diversity are maintained through lack of proofreading during reverse transcription </w:t>
      </w:r>
      <w:r w:rsidR="0089050B" w:rsidRPr="005F5067">
        <w:rPr>
          <w:rFonts w:ascii="Arial" w:eastAsia="Calibri" w:hAnsi="Arial" w:cs="Arial"/>
          <w:szCs w:val="22"/>
        </w:rPr>
        <w:t>[</w:t>
      </w:r>
      <w:r w:rsidR="00B83779">
        <w:rPr>
          <w:rFonts w:ascii="Arial" w:eastAsia="Calibri" w:hAnsi="Arial" w:cs="Arial"/>
          <w:szCs w:val="22"/>
        </w:rPr>
        <w:t>2</w:t>
      </w:r>
      <w:r w:rsidR="0089050B" w:rsidRPr="005F5067">
        <w:rPr>
          <w:rFonts w:ascii="Arial" w:eastAsia="Calibri" w:hAnsi="Arial" w:cs="Arial"/>
          <w:szCs w:val="22"/>
        </w:rPr>
        <w:t>]</w:t>
      </w:r>
      <w:r w:rsidR="00A95D03" w:rsidRPr="00A95D03">
        <w:rPr>
          <w:rFonts w:ascii="Arial" w:eastAsia="Calibri" w:hAnsi="Arial" w:cs="Arial"/>
          <w:szCs w:val="22"/>
        </w:rPr>
        <w:t xml:space="preserve">. </w:t>
      </w:r>
      <w:r>
        <w:rPr>
          <w:rFonts w:ascii="Arial" w:eastAsia="Calibri" w:hAnsi="Arial" w:cs="Arial"/>
          <w:szCs w:val="22"/>
        </w:rPr>
        <w:t>“</w:t>
      </w:r>
      <w:r w:rsidR="00A95D03" w:rsidRPr="00A95D03">
        <w:rPr>
          <w:rFonts w:ascii="Arial" w:eastAsia="Calibri" w:hAnsi="Arial" w:cs="Arial"/>
          <w:szCs w:val="22"/>
        </w:rPr>
        <w:t>This means that, like HIV and many RNA viruses, HBV infections maintain polymorphism at almost all nucleotide positions within a host at a given time</w:t>
      </w:r>
      <w:r>
        <w:rPr>
          <w:rFonts w:ascii="Arial" w:eastAsia="Calibri" w:hAnsi="Arial" w:cs="Arial"/>
          <w:szCs w:val="22"/>
        </w:rPr>
        <w:t>”</w:t>
      </w:r>
      <w:r w:rsidR="00A95D03" w:rsidRPr="00A95D03">
        <w:rPr>
          <w:rFonts w:ascii="Arial" w:eastAsia="Calibri" w:hAnsi="Arial" w:cs="Arial"/>
          <w:szCs w:val="22"/>
        </w:rPr>
        <w:t xml:space="preserve"> </w:t>
      </w:r>
      <w:r w:rsidR="0089050B" w:rsidRPr="005F5067">
        <w:rPr>
          <w:rFonts w:ascii="Arial" w:eastAsia="Calibri" w:hAnsi="Arial" w:cs="Arial"/>
          <w:szCs w:val="22"/>
        </w:rPr>
        <w:t>[</w:t>
      </w:r>
      <w:r w:rsidR="00B83779">
        <w:rPr>
          <w:rFonts w:ascii="Arial" w:eastAsia="Calibri" w:hAnsi="Arial" w:cs="Arial"/>
          <w:szCs w:val="22"/>
        </w:rPr>
        <w:t>3,4</w:t>
      </w:r>
      <w:r w:rsidR="0089050B" w:rsidRPr="005F5067">
        <w:rPr>
          <w:rFonts w:ascii="Arial" w:eastAsia="Calibri" w:hAnsi="Arial" w:cs="Arial"/>
          <w:szCs w:val="22"/>
        </w:rPr>
        <w:t>]</w:t>
      </w:r>
      <w:r w:rsidR="00A95D03" w:rsidRPr="00A95D03">
        <w:rPr>
          <w:rFonts w:ascii="Arial" w:eastAsia="Calibri" w:hAnsi="Arial" w:cs="Arial"/>
          <w:szCs w:val="22"/>
        </w:rPr>
        <w:t xml:space="preserve">, </w:t>
      </w:r>
      <w:r>
        <w:rPr>
          <w:rFonts w:ascii="Arial" w:eastAsia="Calibri" w:hAnsi="Arial" w:cs="Arial"/>
          <w:szCs w:val="22"/>
        </w:rPr>
        <w:t>“</w:t>
      </w:r>
      <w:r w:rsidR="00A95D03" w:rsidRPr="00A95D03">
        <w:rPr>
          <w:rFonts w:ascii="Arial" w:eastAsia="Calibri" w:hAnsi="Arial" w:cs="Arial"/>
          <w:szCs w:val="22"/>
        </w:rPr>
        <w:t>paving the way for resistance mutations to increase in frequency upon drug treatment. HBV is most treated with reverse transcriptase inhibitors, particularly lamivudine. However, several resistance mutations against lamivudine have been observed, many of which have genetic barriers</w:t>
      </w:r>
      <w:r>
        <w:rPr>
          <w:rFonts w:ascii="Arial" w:eastAsia="Calibri" w:hAnsi="Arial" w:cs="Arial"/>
          <w:szCs w:val="22"/>
        </w:rPr>
        <w:t>”</w:t>
      </w:r>
      <w:r w:rsidR="00A95D03" w:rsidRPr="00A95D03">
        <w:rPr>
          <w:rFonts w:ascii="Arial" w:eastAsia="Calibri" w:hAnsi="Arial" w:cs="Arial"/>
          <w:szCs w:val="22"/>
        </w:rPr>
        <w:t xml:space="preserve"> </w:t>
      </w:r>
      <w:r w:rsidR="0089050B" w:rsidRPr="005F5067">
        <w:rPr>
          <w:rFonts w:ascii="Arial" w:eastAsia="Calibri" w:hAnsi="Arial" w:cs="Arial"/>
          <w:szCs w:val="22"/>
        </w:rPr>
        <w:t>[</w:t>
      </w:r>
      <w:r w:rsidR="00B83779">
        <w:rPr>
          <w:rFonts w:ascii="Arial" w:eastAsia="Calibri" w:hAnsi="Arial" w:cs="Arial"/>
          <w:szCs w:val="22"/>
        </w:rPr>
        <w:t>5</w:t>
      </w:r>
      <w:r w:rsidR="0089050B" w:rsidRPr="005F5067">
        <w:rPr>
          <w:rFonts w:ascii="Arial" w:eastAsia="Calibri" w:hAnsi="Arial" w:cs="Arial"/>
          <w:szCs w:val="22"/>
        </w:rPr>
        <w:t>]</w:t>
      </w:r>
      <w:r w:rsidR="00A95D03" w:rsidRPr="00A95D03">
        <w:rPr>
          <w:rFonts w:ascii="Arial" w:eastAsia="Calibri" w:hAnsi="Arial" w:cs="Arial"/>
          <w:szCs w:val="22"/>
        </w:rPr>
        <w:t xml:space="preserve">. </w:t>
      </w:r>
      <w:r>
        <w:rPr>
          <w:rFonts w:ascii="Arial" w:eastAsia="Calibri" w:hAnsi="Arial" w:cs="Arial"/>
          <w:szCs w:val="22"/>
        </w:rPr>
        <w:t>“</w:t>
      </w:r>
      <w:r w:rsidR="00A95D03" w:rsidRPr="00A95D03">
        <w:rPr>
          <w:rFonts w:ascii="Arial" w:eastAsia="Calibri" w:hAnsi="Arial" w:cs="Arial"/>
          <w:szCs w:val="22"/>
        </w:rPr>
        <w:t>Given this, a second reverse transcriptase inhibitor is often supplemented</w:t>
      </w:r>
      <w:r>
        <w:rPr>
          <w:rFonts w:ascii="Arial" w:eastAsia="Calibri" w:hAnsi="Arial" w:cs="Arial"/>
          <w:szCs w:val="22"/>
        </w:rPr>
        <w:t>”</w:t>
      </w:r>
      <w:r w:rsidR="00A95D03" w:rsidRPr="00A95D03">
        <w:rPr>
          <w:rFonts w:ascii="Arial" w:eastAsia="Calibri" w:hAnsi="Arial" w:cs="Arial"/>
          <w:szCs w:val="22"/>
        </w:rPr>
        <w:t xml:space="preserve"> </w:t>
      </w:r>
      <w:r w:rsidR="0089050B" w:rsidRPr="005F5067">
        <w:rPr>
          <w:rFonts w:ascii="Arial" w:eastAsia="Calibri" w:hAnsi="Arial" w:cs="Arial"/>
          <w:szCs w:val="22"/>
        </w:rPr>
        <w:t>[</w:t>
      </w:r>
      <w:r w:rsidR="00B83779">
        <w:rPr>
          <w:rFonts w:ascii="Arial" w:eastAsia="Calibri" w:hAnsi="Arial" w:cs="Arial"/>
          <w:szCs w:val="22"/>
        </w:rPr>
        <w:t>4</w:t>
      </w:r>
      <w:r w:rsidR="0089050B" w:rsidRPr="005F5067">
        <w:rPr>
          <w:rFonts w:ascii="Arial" w:eastAsia="Calibri" w:hAnsi="Arial" w:cs="Arial"/>
          <w:szCs w:val="22"/>
        </w:rPr>
        <w:t>]</w:t>
      </w:r>
      <w:r w:rsidR="00A95D03" w:rsidRPr="00A95D03">
        <w:rPr>
          <w:rFonts w:ascii="Arial" w:eastAsia="Calibri" w:hAnsi="Arial" w:cs="Arial"/>
          <w:szCs w:val="22"/>
        </w:rPr>
        <w:t xml:space="preserve">. </w:t>
      </w:r>
      <w:r>
        <w:rPr>
          <w:rFonts w:ascii="Arial" w:eastAsia="Calibri" w:hAnsi="Arial" w:cs="Arial"/>
          <w:szCs w:val="22"/>
        </w:rPr>
        <w:t>“</w:t>
      </w:r>
      <w:r w:rsidR="00A95D03" w:rsidRPr="00A95D03">
        <w:rPr>
          <w:rFonts w:ascii="Arial" w:eastAsia="Calibri" w:hAnsi="Arial" w:cs="Arial"/>
          <w:szCs w:val="22"/>
        </w:rPr>
        <w:t>This method of drug-switching, if done within a single class, is potentially problematic: it encourages more robust resistance mutations that are either effective across many drugs and/or suffer lower fitness costs when drug treatment (selection) ceases</w:t>
      </w:r>
      <w:r>
        <w:rPr>
          <w:rFonts w:ascii="Arial" w:eastAsia="Calibri" w:hAnsi="Arial" w:cs="Arial"/>
          <w:szCs w:val="22"/>
        </w:rPr>
        <w:t>”</w:t>
      </w:r>
      <w:r w:rsidR="00A95D03" w:rsidRPr="00A95D03">
        <w:rPr>
          <w:rFonts w:ascii="Arial" w:eastAsia="Calibri" w:hAnsi="Arial" w:cs="Arial"/>
          <w:szCs w:val="22"/>
        </w:rPr>
        <w:t xml:space="preserve"> </w:t>
      </w:r>
      <w:r w:rsidR="0089050B" w:rsidRPr="005F5067">
        <w:rPr>
          <w:rFonts w:ascii="Arial" w:eastAsia="Calibri" w:hAnsi="Arial" w:cs="Arial"/>
          <w:szCs w:val="22"/>
        </w:rPr>
        <w:t>[</w:t>
      </w:r>
      <w:r w:rsidR="00B83779">
        <w:rPr>
          <w:rFonts w:ascii="Arial" w:eastAsia="Calibri" w:hAnsi="Arial" w:cs="Arial"/>
          <w:szCs w:val="22"/>
        </w:rPr>
        <w:t>4,6,7</w:t>
      </w:r>
      <w:r w:rsidR="0089050B" w:rsidRPr="005F5067">
        <w:rPr>
          <w:rFonts w:ascii="Arial" w:eastAsia="Calibri" w:hAnsi="Arial" w:cs="Arial"/>
          <w:szCs w:val="22"/>
        </w:rPr>
        <w:t>]</w:t>
      </w:r>
      <w:r w:rsidR="00A95D03" w:rsidRPr="00A95D03">
        <w:rPr>
          <w:rFonts w:ascii="Arial" w:eastAsia="Calibri" w:hAnsi="Arial" w:cs="Arial"/>
          <w:szCs w:val="22"/>
        </w:rPr>
        <w:t xml:space="preserve">. </w:t>
      </w:r>
      <w:r>
        <w:rPr>
          <w:rFonts w:ascii="Arial" w:eastAsia="Calibri" w:hAnsi="Arial" w:cs="Arial"/>
          <w:szCs w:val="22"/>
        </w:rPr>
        <w:t>“</w:t>
      </w:r>
      <w:r w:rsidR="00A95D03" w:rsidRPr="00A95D03">
        <w:rPr>
          <w:rFonts w:ascii="Arial" w:eastAsia="Calibri" w:hAnsi="Arial" w:cs="Arial"/>
          <w:szCs w:val="22"/>
        </w:rPr>
        <w:t>Initial combination therapy is becoming more frequent in clinical trials but is not usually the standard treatment.</w:t>
      </w:r>
    </w:p>
    <w:p w14:paraId="4F6A136F" w14:textId="6F75DCD3" w:rsidR="00EC6A6C" w:rsidRDefault="00F73926" w:rsidP="00EF105E">
      <w:pPr>
        <w:pStyle w:val="Body"/>
        <w:spacing w:after="0"/>
        <w:rPr>
          <w:rFonts w:ascii="Arial" w:eastAsia="Calibri" w:hAnsi="Arial" w:cs="Arial"/>
          <w:szCs w:val="22"/>
        </w:rPr>
      </w:pPr>
      <w:r w:rsidRPr="00F73926">
        <w:rPr>
          <w:rFonts w:ascii="Arial" w:eastAsia="Calibri" w:hAnsi="Arial" w:cs="Arial"/>
          <w:szCs w:val="22"/>
        </w:rPr>
        <w:t>Although NAs are more convenient than IFN-based therapies and have fewer side effects, sustained viral suppression is usually not achieved after withdrawal of a 48week course of NA therapy, necessitating long, and in many cases, indeﬁnite treatment. Unfortunately, a long duration of NA treatment is associated with an increasing risk of development of drug resistance, aggravation of decompensated cirrhosis and auto-immune diseases</w:t>
      </w:r>
      <w:r w:rsidR="00B960B5">
        <w:rPr>
          <w:rFonts w:ascii="Arial" w:eastAsia="Calibri" w:hAnsi="Arial" w:cs="Arial"/>
          <w:szCs w:val="22"/>
        </w:rPr>
        <w:t>”</w:t>
      </w:r>
      <w:r w:rsidRPr="00F73926">
        <w:rPr>
          <w:rFonts w:ascii="Arial" w:eastAsia="Calibri" w:hAnsi="Arial" w:cs="Arial"/>
          <w:szCs w:val="22"/>
        </w:rPr>
        <w:t xml:space="preserve"> </w:t>
      </w:r>
      <w:r w:rsidR="0089050B" w:rsidRPr="005F5067">
        <w:rPr>
          <w:rFonts w:ascii="Arial" w:eastAsia="Calibri" w:hAnsi="Arial" w:cs="Arial"/>
          <w:szCs w:val="22"/>
        </w:rPr>
        <w:t>[</w:t>
      </w:r>
      <w:r w:rsidR="00B83779">
        <w:rPr>
          <w:rFonts w:ascii="Arial" w:eastAsia="Calibri" w:hAnsi="Arial" w:cs="Arial"/>
          <w:szCs w:val="22"/>
        </w:rPr>
        <w:t>8</w:t>
      </w:r>
      <w:r w:rsidR="0089050B" w:rsidRPr="005F5067">
        <w:rPr>
          <w:rFonts w:ascii="Arial" w:eastAsia="Calibri" w:hAnsi="Arial" w:cs="Arial"/>
          <w:szCs w:val="22"/>
        </w:rPr>
        <w:t>]</w:t>
      </w:r>
      <w:r w:rsidRPr="00F73926">
        <w:rPr>
          <w:rFonts w:ascii="Arial" w:eastAsia="Calibri" w:hAnsi="Arial" w:cs="Arial"/>
          <w:szCs w:val="22"/>
        </w:rPr>
        <w:t xml:space="preserve">. </w:t>
      </w:r>
      <w:r w:rsidR="00B960B5">
        <w:rPr>
          <w:rFonts w:ascii="Arial" w:eastAsia="Calibri" w:hAnsi="Arial" w:cs="Arial"/>
          <w:szCs w:val="22"/>
        </w:rPr>
        <w:t>“</w:t>
      </w:r>
      <w:r w:rsidR="00B83779">
        <w:rPr>
          <w:rFonts w:ascii="Arial" w:eastAsia="Calibri" w:hAnsi="Arial" w:cs="Arial"/>
          <w:szCs w:val="22"/>
        </w:rPr>
        <w:t>S</w:t>
      </w:r>
      <w:r w:rsidRPr="00F73926">
        <w:rPr>
          <w:rFonts w:ascii="Arial" w:eastAsia="Calibri" w:hAnsi="Arial" w:cs="Arial"/>
          <w:szCs w:val="22"/>
        </w:rPr>
        <w:t>imilarly, some medications such as Immuno-suppressive drugs, Antiretroviral and Anti-tuberculosis drugs are associated with hepatotoxicity and can cause different degree of liver injury ranging from slightly elevated liver enzyme to acute liver failure</w:t>
      </w:r>
      <w:r w:rsidR="00B960B5">
        <w:rPr>
          <w:rFonts w:ascii="Arial" w:eastAsia="Calibri" w:hAnsi="Arial" w:cs="Arial"/>
          <w:szCs w:val="22"/>
        </w:rPr>
        <w:t>”</w:t>
      </w:r>
      <w:r w:rsidRPr="00F73926">
        <w:rPr>
          <w:rFonts w:ascii="Arial" w:eastAsia="Calibri" w:hAnsi="Arial" w:cs="Arial"/>
          <w:szCs w:val="22"/>
        </w:rPr>
        <w:t xml:space="preserve"> </w:t>
      </w:r>
      <w:r w:rsidR="0089050B" w:rsidRPr="005F5067">
        <w:rPr>
          <w:rFonts w:ascii="Arial" w:eastAsia="Calibri" w:hAnsi="Arial" w:cs="Arial"/>
          <w:szCs w:val="22"/>
        </w:rPr>
        <w:t>[</w:t>
      </w:r>
      <w:r w:rsidR="00B83779">
        <w:rPr>
          <w:rFonts w:ascii="Arial" w:eastAsia="Calibri" w:hAnsi="Arial" w:cs="Arial"/>
          <w:szCs w:val="22"/>
        </w:rPr>
        <w:t>9</w:t>
      </w:r>
      <w:r w:rsidR="0089050B" w:rsidRPr="005F5067">
        <w:rPr>
          <w:rFonts w:ascii="Arial" w:eastAsia="Calibri" w:hAnsi="Arial" w:cs="Arial"/>
          <w:szCs w:val="22"/>
        </w:rPr>
        <w:t>]</w:t>
      </w:r>
      <w:r w:rsidRPr="00F73926">
        <w:rPr>
          <w:rFonts w:ascii="Arial" w:eastAsia="Calibri" w:hAnsi="Arial" w:cs="Arial"/>
          <w:szCs w:val="22"/>
        </w:rPr>
        <w:t>.</w:t>
      </w:r>
      <w:r w:rsidR="0089050B">
        <w:rPr>
          <w:rFonts w:ascii="Arial" w:eastAsia="Calibri" w:hAnsi="Arial" w:cs="Arial"/>
          <w:szCs w:val="22"/>
        </w:rPr>
        <w:t xml:space="preserve"> </w:t>
      </w:r>
      <w:r w:rsidR="00B960B5">
        <w:rPr>
          <w:rFonts w:ascii="Arial" w:eastAsia="Calibri" w:hAnsi="Arial" w:cs="Arial"/>
          <w:szCs w:val="22"/>
        </w:rPr>
        <w:t>“</w:t>
      </w:r>
      <w:r w:rsidRPr="00F73926">
        <w:rPr>
          <w:rFonts w:ascii="Arial" w:eastAsia="Calibri" w:hAnsi="Arial" w:cs="Arial"/>
          <w:szCs w:val="22"/>
        </w:rPr>
        <w:t xml:space="preserve">Hepatotoxicity is a foremost issue for clinicians and the primary reason for pharmaceutical produce recalls, and this can be classified according </w:t>
      </w:r>
      <w:r w:rsidRPr="00F73926">
        <w:rPr>
          <w:rFonts w:ascii="Arial" w:eastAsia="Calibri" w:hAnsi="Arial" w:cs="Arial"/>
          <w:szCs w:val="22"/>
        </w:rPr>
        <w:lastRenderedPageBreak/>
        <w:t>to severity and intensity of hepatic cell damage and the elevation of hepatic biomarkers.</w:t>
      </w:r>
      <w:r w:rsidR="0089050B">
        <w:rPr>
          <w:rFonts w:ascii="Arial" w:eastAsia="Calibri" w:hAnsi="Arial" w:cs="Arial"/>
          <w:szCs w:val="22"/>
        </w:rPr>
        <w:t xml:space="preserve"> </w:t>
      </w:r>
      <w:r w:rsidRPr="00F73926">
        <w:rPr>
          <w:rFonts w:ascii="Arial" w:eastAsia="Calibri" w:hAnsi="Arial" w:cs="Arial"/>
          <w:szCs w:val="22"/>
        </w:rPr>
        <w:t>Hepatotoxicity is the major cause of hepatocellular, cholestatic or mixed hepatic damage which is caused by a 2-3 times higher increase in alanine aminotransferase (ALT) or alkaline phosphatase (ALP)</w:t>
      </w:r>
      <w:r w:rsidR="00B960B5">
        <w:rPr>
          <w:rFonts w:ascii="Arial" w:eastAsia="Calibri" w:hAnsi="Arial" w:cs="Arial"/>
          <w:szCs w:val="22"/>
        </w:rPr>
        <w:t>”</w:t>
      </w:r>
      <w:r w:rsidRPr="00F73926">
        <w:rPr>
          <w:rFonts w:ascii="Arial" w:eastAsia="Calibri" w:hAnsi="Arial" w:cs="Arial"/>
          <w:szCs w:val="22"/>
        </w:rPr>
        <w:t xml:space="preserve"> </w:t>
      </w:r>
      <w:r w:rsidR="0089050B" w:rsidRPr="005F5067">
        <w:rPr>
          <w:rFonts w:ascii="Arial" w:eastAsia="Calibri" w:hAnsi="Arial" w:cs="Arial"/>
          <w:szCs w:val="22"/>
        </w:rPr>
        <w:t>[1</w:t>
      </w:r>
      <w:r w:rsidR="00B83779">
        <w:rPr>
          <w:rFonts w:ascii="Arial" w:eastAsia="Calibri" w:hAnsi="Arial" w:cs="Arial"/>
          <w:szCs w:val="22"/>
        </w:rPr>
        <w:t>0</w:t>
      </w:r>
      <w:r w:rsidR="0089050B" w:rsidRPr="005F5067">
        <w:rPr>
          <w:rFonts w:ascii="Arial" w:eastAsia="Calibri" w:hAnsi="Arial" w:cs="Arial"/>
          <w:szCs w:val="22"/>
        </w:rPr>
        <w:t>]</w:t>
      </w:r>
      <w:r w:rsidRPr="00F73926">
        <w:rPr>
          <w:rFonts w:ascii="Arial" w:eastAsia="Calibri" w:hAnsi="Arial" w:cs="Arial"/>
          <w:szCs w:val="22"/>
        </w:rPr>
        <w:t>.</w:t>
      </w:r>
    </w:p>
    <w:p w14:paraId="2E360046" w14:textId="34A3002B" w:rsidR="00EC6A6C" w:rsidRDefault="00B960B5" w:rsidP="00EF105E">
      <w:pPr>
        <w:pStyle w:val="Body"/>
        <w:spacing w:after="0"/>
        <w:rPr>
          <w:rFonts w:ascii="Arial" w:eastAsia="Calibri" w:hAnsi="Arial" w:cs="Arial"/>
          <w:szCs w:val="22"/>
        </w:rPr>
      </w:pPr>
      <w:r>
        <w:rPr>
          <w:rFonts w:ascii="Arial" w:eastAsia="Calibri" w:hAnsi="Arial" w:cs="Arial"/>
          <w:szCs w:val="22"/>
          <w:highlight w:val="yellow"/>
        </w:rPr>
        <w:t>“</w:t>
      </w:r>
      <w:r w:rsidR="00EC6A6C" w:rsidRPr="00EC6A6C">
        <w:rPr>
          <w:rFonts w:ascii="Arial" w:eastAsia="Calibri" w:hAnsi="Arial" w:cs="Arial"/>
          <w:szCs w:val="22"/>
          <w:highlight w:val="yellow"/>
        </w:rPr>
        <w:t>Although the clinical picture of HBV and HCV in chronic cases is similar, aminotransferase activities are different. In HBV, ALT activity is generally constant, except increases are evident at seroconversion times. On the other hand, two-thirds of HCV cases experience fluctuation</w:t>
      </w:r>
      <w:r w:rsidR="00EC6A6C">
        <w:rPr>
          <w:rFonts w:ascii="Arial" w:eastAsia="Calibri" w:hAnsi="Arial" w:cs="Arial"/>
          <w:szCs w:val="22"/>
          <w:highlight w:val="yellow"/>
        </w:rPr>
        <w:t>.</w:t>
      </w:r>
      <w:r w:rsidR="00EC6A6C" w:rsidRPr="00EC6A6C">
        <w:rPr>
          <w:rFonts w:ascii="Arial" w:eastAsia="Calibri" w:hAnsi="Arial" w:cs="Arial"/>
          <w:szCs w:val="22"/>
          <w:highlight w:val="yellow"/>
        </w:rPr>
        <w:t xml:space="preserve"> Serum ALT activities of chronic hepatitis C cases range between one to four times the upper reference limit, reaching maximum less than seven times. On the other hand, 15-50% of cases with chronic hepatitis C have normal ALT </w:t>
      </w:r>
      <w:r w:rsidR="00EC6A6C" w:rsidRPr="0067181D">
        <w:rPr>
          <w:rFonts w:ascii="Arial" w:eastAsia="Calibri" w:hAnsi="Arial" w:cs="Arial"/>
          <w:szCs w:val="22"/>
          <w:highlight w:val="yellow"/>
        </w:rPr>
        <w:t>activities</w:t>
      </w:r>
      <w:r>
        <w:rPr>
          <w:rFonts w:ascii="Arial" w:eastAsia="Calibri" w:hAnsi="Arial" w:cs="Arial"/>
          <w:szCs w:val="22"/>
          <w:highlight w:val="yellow"/>
        </w:rPr>
        <w:t>”</w:t>
      </w:r>
      <w:r w:rsidR="00EC6A6C" w:rsidRPr="0067181D">
        <w:rPr>
          <w:rFonts w:ascii="Arial" w:eastAsia="Calibri" w:hAnsi="Arial" w:cs="Arial"/>
          <w:szCs w:val="22"/>
          <w:highlight w:val="yellow"/>
        </w:rPr>
        <w:t xml:space="preserve"> </w:t>
      </w:r>
      <w:r w:rsidR="0067181D" w:rsidRPr="0067181D">
        <w:rPr>
          <w:rFonts w:ascii="Arial" w:eastAsia="Calibri" w:hAnsi="Arial" w:cs="Arial"/>
          <w:szCs w:val="22"/>
          <w:highlight w:val="yellow"/>
        </w:rPr>
        <w:t>[38]</w:t>
      </w:r>
      <w:r w:rsidR="00EC6A6C" w:rsidRPr="0067181D">
        <w:rPr>
          <w:rFonts w:ascii="Arial" w:eastAsia="Calibri" w:hAnsi="Arial" w:cs="Arial"/>
          <w:szCs w:val="22"/>
          <w:highlight w:val="yellow"/>
        </w:rPr>
        <w:t xml:space="preserve">, </w:t>
      </w:r>
      <w:r>
        <w:rPr>
          <w:rFonts w:ascii="Arial" w:eastAsia="Calibri" w:hAnsi="Arial" w:cs="Arial"/>
          <w:szCs w:val="22"/>
          <w:highlight w:val="yellow"/>
        </w:rPr>
        <w:t>“</w:t>
      </w:r>
      <w:r w:rsidR="00EC6A6C" w:rsidRPr="0067181D">
        <w:rPr>
          <w:rFonts w:ascii="Arial" w:eastAsia="Calibri" w:hAnsi="Arial" w:cs="Arial"/>
          <w:szCs w:val="22"/>
          <w:highlight w:val="yellow"/>
        </w:rPr>
        <w:t xml:space="preserve">but </w:t>
      </w:r>
      <w:r w:rsidR="00EC6A6C" w:rsidRPr="00EC6A6C">
        <w:rPr>
          <w:rFonts w:ascii="Arial" w:eastAsia="Calibri" w:hAnsi="Arial" w:cs="Arial"/>
          <w:szCs w:val="22"/>
          <w:highlight w:val="yellow"/>
        </w:rPr>
        <w:t>this rate decreases with increasing number of measurements</w:t>
      </w:r>
      <w:r w:rsidR="00EC6A6C">
        <w:rPr>
          <w:rFonts w:ascii="Arial" w:eastAsia="Calibri" w:hAnsi="Arial" w:cs="Arial"/>
          <w:szCs w:val="22"/>
          <w:highlight w:val="yellow"/>
        </w:rPr>
        <w:t xml:space="preserve">. </w:t>
      </w:r>
      <w:r w:rsidR="00EC6A6C" w:rsidRPr="00EC6A6C">
        <w:rPr>
          <w:rFonts w:ascii="Arial" w:eastAsia="Calibri" w:hAnsi="Arial" w:cs="Arial"/>
          <w:szCs w:val="22"/>
          <w:highlight w:val="yellow"/>
        </w:rPr>
        <w:t>From 43% of cases experiencing fluctuation between normal and abnormal, 16% of those with normal ALT on their first two visits and 11% of those with normal ALT on their first three visits subsequently develop increased ALT</w:t>
      </w:r>
      <w:r w:rsidR="00EC6A6C">
        <w:rPr>
          <w:rFonts w:ascii="Arial" w:eastAsia="Calibri" w:hAnsi="Arial" w:cs="Arial"/>
          <w:szCs w:val="22"/>
          <w:highlight w:val="yellow"/>
        </w:rPr>
        <w:t>.</w:t>
      </w:r>
      <w:r w:rsidR="00EC6A6C" w:rsidRPr="00EC6A6C">
        <w:rPr>
          <w:rFonts w:ascii="Arial" w:eastAsia="Calibri" w:hAnsi="Arial" w:cs="Arial"/>
          <w:szCs w:val="22"/>
          <w:highlight w:val="yellow"/>
        </w:rPr>
        <w:t xml:space="preserve"> Chronic hepatitis C cases with persistently normal ALT activities experience lower rates of progression to cirrhosis</w:t>
      </w:r>
      <w:r>
        <w:rPr>
          <w:rFonts w:ascii="Arial" w:eastAsia="Calibri" w:hAnsi="Arial" w:cs="Arial"/>
          <w:szCs w:val="22"/>
          <w:highlight w:val="yellow"/>
        </w:rPr>
        <w:t>”</w:t>
      </w:r>
      <w:r w:rsidR="00EC6A6C" w:rsidRPr="00EC6A6C">
        <w:rPr>
          <w:rFonts w:ascii="Arial" w:eastAsia="Calibri" w:hAnsi="Arial" w:cs="Arial"/>
          <w:szCs w:val="22"/>
          <w:highlight w:val="yellow"/>
        </w:rPr>
        <w:t xml:space="preserve"> </w:t>
      </w:r>
      <w:r w:rsidR="00750CF2" w:rsidRPr="0067181D">
        <w:rPr>
          <w:rFonts w:ascii="Arial" w:eastAsia="Calibri" w:hAnsi="Arial" w:cs="Arial"/>
          <w:szCs w:val="22"/>
          <w:highlight w:val="yellow"/>
        </w:rPr>
        <w:t>[3</w:t>
      </w:r>
      <w:r w:rsidR="00750CF2">
        <w:rPr>
          <w:rFonts w:ascii="Arial" w:eastAsia="Calibri" w:hAnsi="Arial" w:cs="Arial"/>
          <w:szCs w:val="22"/>
          <w:highlight w:val="yellow"/>
        </w:rPr>
        <w:t>9</w:t>
      </w:r>
      <w:r w:rsidR="00750CF2" w:rsidRPr="0067181D">
        <w:rPr>
          <w:rFonts w:ascii="Arial" w:eastAsia="Calibri" w:hAnsi="Arial" w:cs="Arial"/>
          <w:szCs w:val="22"/>
          <w:highlight w:val="yellow"/>
        </w:rPr>
        <w:t>]</w:t>
      </w:r>
      <w:r w:rsidR="00EC6A6C" w:rsidRPr="00EC6A6C">
        <w:rPr>
          <w:rFonts w:ascii="Arial" w:eastAsia="Calibri" w:hAnsi="Arial" w:cs="Arial"/>
          <w:szCs w:val="22"/>
          <w:highlight w:val="yellow"/>
        </w:rPr>
        <w:t>.</w:t>
      </w:r>
    </w:p>
    <w:p w14:paraId="13D416D9" w14:textId="73D411B4" w:rsidR="00B01FCD" w:rsidRDefault="00F73926" w:rsidP="00EF105E">
      <w:pPr>
        <w:pStyle w:val="Body"/>
        <w:spacing w:after="0"/>
        <w:rPr>
          <w:rFonts w:ascii="Arial" w:hAnsi="Arial" w:cs="Arial"/>
        </w:rPr>
      </w:pPr>
      <w:r w:rsidRPr="00F73926">
        <w:rPr>
          <w:rFonts w:ascii="Arial" w:eastAsia="Calibri" w:hAnsi="Arial" w:cs="Arial"/>
          <w:szCs w:val="22"/>
        </w:rPr>
        <w:t xml:space="preserve">Thus, there is need to assess liver function, inflammatory biomarkers and some genes in hepatitis B subjects </w:t>
      </w:r>
      <w:r w:rsidR="005A0FBC">
        <w:rPr>
          <w:rFonts w:ascii="Arial" w:eastAsia="Calibri" w:hAnsi="Arial" w:cs="Arial"/>
          <w:szCs w:val="22"/>
        </w:rPr>
        <w:t xml:space="preserve">on </w:t>
      </w:r>
      <w:r w:rsidRPr="00F73926">
        <w:rPr>
          <w:rFonts w:ascii="Arial" w:eastAsia="Calibri" w:hAnsi="Arial" w:cs="Arial"/>
          <w:szCs w:val="22"/>
        </w:rPr>
        <w:t xml:space="preserve">acyclic phosphate drugs at </w:t>
      </w:r>
      <w:r w:rsidR="005A0FBC">
        <w:rPr>
          <w:rFonts w:ascii="Arial" w:eastAsia="Calibri" w:hAnsi="Arial" w:cs="Arial"/>
          <w:szCs w:val="22"/>
        </w:rPr>
        <w:t>t</w:t>
      </w:r>
      <w:r w:rsidRPr="00F73926">
        <w:rPr>
          <w:rFonts w:ascii="Arial" w:eastAsia="Calibri" w:hAnsi="Arial" w:cs="Arial"/>
          <w:szCs w:val="22"/>
        </w:rPr>
        <w:t>he Rivers State University Teaching Hospital. Results obtained from this study will be used as baseline information to Hepatitis B patients, clinicians and academics.</w:t>
      </w:r>
    </w:p>
    <w:p w14:paraId="4A7D3A81" w14:textId="77777777" w:rsidR="00790ADA" w:rsidRPr="00FB3A86" w:rsidRDefault="00790ADA" w:rsidP="00441B6F">
      <w:pPr>
        <w:pStyle w:val="Body"/>
        <w:spacing w:after="0"/>
        <w:rPr>
          <w:rFonts w:ascii="Arial" w:hAnsi="Arial" w:cs="Arial"/>
        </w:rPr>
      </w:pPr>
    </w:p>
    <w:p w14:paraId="413A3F21" w14:textId="2C4A0290" w:rsidR="007F7B32" w:rsidRDefault="00902823" w:rsidP="00441B6F">
      <w:pPr>
        <w:pStyle w:val="AbstHead"/>
        <w:spacing w:after="0"/>
        <w:jc w:val="both"/>
        <w:rPr>
          <w:rFonts w:ascii="Arial" w:hAnsi="Arial" w:cs="Arial"/>
        </w:rPr>
      </w:pPr>
      <w:r>
        <w:rPr>
          <w:rFonts w:ascii="Arial" w:hAnsi="Arial" w:cs="Arial"/>
        </w:rPr>
        <w:t>2. material</w:t>
      </w:r>
      <w:r w:rsidR="00401964">
        <w:rPr>
          <w:rFonts w:ascii="Arial" w:hAnsi="Arial" w:cs="Arial"/>
        </w:rPr>
        <w:t>S</w:t>
      </w:r>
      <w:r>
        <w:rPr>
          <w:rFonts w:ascii="Arial" w:hAnsi="Arial" w:cs="Arial"/>
        </w:rPr>
        <w:t xml:space="preserve"> and method</w:t>
      </w:r>
      <w:r w:rsidR="00000F8F">
        <w:rPr>
          <w:rFonts w:ascii="Arial" w:hAnsi="Arial" w:cs="Arial"/>
        </w:rPr>
        <w:t xml:space="preserve">s </w:t>
      </w:r>
    </w:p>
    <w:p w14:paraId="7521E93C" w14:textId="77777777" w:rsidR="00EF5982" w:rsidRDefault="00EF5982" w:rsidP="009E465E">
      <w:pPr>
        <w:jc w:val="both"/>
        <w:rPr>
          <w:rFonts w:ascii="Arial" w:hAnsi="Arial" w:cs="Arial"/>
          <w:b/>
        </w:rPr>
      </w:pPr>
    </w:p>
    <w:p w14:paraId="30FD9DE8" w14:textId="77777777" w:rsidR="00EF5982" w:rsidRPr="00785ECB" w:rsidRDefault="00EF5982" w:rsidP="00EF5982">
      <w:pPr>
        <w:jc w:val="both"/>
        <w:rPr>
          <w:rFonts w:ascii="Arial" w:hAnsi="Arial" w:cs="Arial"/>
          <w:b/>
          <w:bCs/>
          <w:sz w:val="22"/>
          <w:szCs w:val="22"/>
        </w:rPr>
      </w:pPr>
      <w:r w:rsidRPr="00785ECB">
        <w:rPr>
          <w:rFonts w:ascii="Arial" w:hAnsi="Arial" w:cs="Arial"/>
          <w:b/>
          <w:sz w:val="22"/>
          <w:szCs w:val="22"/>
        </w:rPr>
        <w:t>3.1</w:t>
      </w:r>
      <w:r w:rsidRPr="00785ECB">
        <w:rPr>
          <w:rFonts w:ascii="Arial" w:hAnsi="Arial" w:cs="Arial"/>
          <w:sz w:val="22"/>
          <w:szCs w:val="22"/>
        </w:rPr>
        <w:t xml:space="preserve"> </w:t>
      </w:r>
      <w:r w:rsidRPr="00785ECB">
        <w:rPr>
          <w:rFonts w:ascii="Arial" w:hAnsi="Arial" w:cs="Arial"/>
          <w:b/>
          <w:bCs/>
          <w:sz w:val="22"/>
          <w:szCs w:val="22"/>
        </w:rPr>
        <w:t xml:space="preserve">Study Area </w:t>
      </w:r>
    </w:p>
    <w:p w14:paraId="0C9F918B" w14:textId="650DA94B" w:rsidR="00EF5982" w:rsidRPr="008C37B4" w:rsidRDefault="00EF5982" w:rsidP="00EF5982">
      <w:pPr>
        <w:jc w:val="both"/>
        <w:rPr>
          <w:rFonts w:ascii="Arial" w:hAnsi="Arial" w:cs="Arial"/>
          <w:color w:val="000000" w:themeColor="text1"/>
        </w:rPr>
      </w:pPr>
      <w:r w:rsidRPr="008C37B4">
        <w:rPr>
          <w:rFonts w:ascii="Arial" w:hAnsi="Arial" w:cs="Arial"/>
          <w:color w:val="000000" w:themeColor="text1"/>
        </w:rPr>
        <w:t xml:space="preserve">This research was conducted in Rivers State University Teaching Hospital (RSUTH). RSUTH is a Teaching Hospital of Rivers State University. </w:t>
      </w:r>
      <w:r w:rsidR="0089050B" w:rsidRPr="008C37B4">
        <w:rPr>
          <w:rFonts w:ascii="Arial" w:eastAsia="Calibri" w:hAnsi="Arial" w:cs="Arial"/>
          <w:color w:val="000000" w:themeColor="text1"/>
          <w:szCs w:val="22"/>
        </w:rPr>
        <w:t>[1</w:t>
      </w:r>
      <w:r w:rsidR="00B83779" w:rsidRPr="008C37B4">
        <w:rPr>
          <w:rFonts w:ascii="Arial" w:eastAsia="Calibri" w:hAnsi="Arial" w:cs="Arial"/>
          <w:color w:val="000000" w:themeColor="text1"/>
          <w:szCs w:val="22"/>
        </w:rPr>
        <w:t>1</w:t>
      </w:r>
      <w:r w:rsidR="0089050B" w:rsidRPr="008C37B4">
        <w:rPr>
          <w:rFonts w:ascii="Arial" w:eastAsia="Calibri" w:hAnsi="Arial" w:cs="Arial"/>
          <w:color w:val="000000" w:themeColor="text1"/>
          <w:szCs w:val="22"/>
        </w:rPr>
        <w:t>]</w:t>
      </w:r>
      <w:r w:rsidRPr="008C37B4">
        <w:rPr>
          <w:rFonts w:ascii="Arial" w:hAnsi="Arial" w:cs="Arial"/>
          <w:color w:val="000000" w:themeColor="text1"/>
        </w:rPr>
        <w:t xml:space="preserve">. </w:t>
      </w:r>
    </w:p>
    <w:p w14:paraId="609F472E" w14:textId="77777777" w:rsidR="00EF5982" w:rsidRDefault="00EF5982" w:rsidP="00EF5982">
      <w:pPr>
        <w:jc w:val="both"/>
        <w:rPr>
          <w:rFonts w:ascii="Arial" w:hAnsi="Arial" w:cs="Arial"/>
          <w:b/>
        </w:rPr>
      </w:pPr>
    </w:p>
    <w:p w14:paraId="597A86B4" w14:textId="77777777" w:rsidR="00EF5982" w:rsidRPr="00785ECB" w:rsidRDefault="00EF5982" w:rsidP="00EF5982">
      <w:pPr>
        <w:jc w:val="both"/>
        <w:rPr>
          <w:rFonts w:ascii="Arial" w:hAnsi="Arial" w:cs="Arial"/>
          <w:b/>
          <w:sz w:val="22"/>
          <w:szCs w:val="22"/>
        </w:rPr>
      </w:pPr>
      <w:r w:rsidRPr="00785ECB">
        <w:rPr>
          <w:rFonts w:ascii="Arial" w:hAnsi="Arial" w:cs="Arial"/>
          <w:b/>
          <w:sz w:val="22"/>
          <w:szCs w:val="22"/>
        </w:rPr>
        <w:t xml:space="preserve">3.2 </w:t>
      </w:r>
      <w:r w:rsidRPr="00785ECB">
        <w:rPr>
          <w:rFonts w:ascii="Arial" w:hAnsi="Arial" w:cs="Arial"/>
          <w:b/>
          <w:bCs/>
          <w:sz w:val="22"/>
          <w:szCs w:val="22"/>
        </w:rPr>
        <w:t>Study Population</w:t>
      </w:r>
    </w:p>
    <w:p w14:paraId="4C8E7CCF" w14:textId="77777777" w:rsidR="00EF5982" w:rsidRPr="00E8509E" w:rsidRDefault="00EF5982" w:rsidP="00EF5982">
      <w:pPr>
        <w:jc w:val="both"/>
        <w:rPr>
          <w:rFonts w:ascii="Arial" w:hAnsi="Arial" w:cs="Arial"/>
        </w:rPr>
      </w:pPr>
      <w:r w:rsidRPr="00E8509E">
        <w:rPr>
          <w:rFonts w:ascii="Arial" w:hAnsi="Arial" w:cs="Arial"/>
        </w:rPr>
        <w:t>All subjects</w:t>
      </w:r>
      <w:r>
        <w:rPr>
          <w:rFonts w:ascii="Arial" w:hAnsi="Arial" w:cs="Arial"/>
        </w:rPr>
        <w:t xml:space="preserve"> comprised of hepatitis B positive and naïve patients sampled at the study population. They</w:t>
      </w:r>
      <w:r w:rsidRPr="00E8509E">
        <w:rPr>
          <w:rFonts w:ascii="Arial" w:hAnsi="Arial" w:cs="Arial"/>
        </w:rPr>
        <w:t xml:space="preserve"> were randomly sampled with their consent obtained and questionnaire administered to them to ascertain their age, the use or non-use of ART is put into consideration, and type of antiretroviral therapy used. Information obtained from them was confidentially treated and maintained.</w:t>
      </w:r>
    </w:p>
    <w:p w14:paraId="1156EDBD" w14:textId="77777777" w:rsidR="00EF5982" w:rsidRDefault="00EF5982" w:rsidP="00EF5982">
      <w:pPr>
        <w:jc w:val="both"/>
        <w:rPr>
          <w:rFonts w:ascii="Arial" w:hAnsi="Arial" w:cs="Arial"/>
          <w:b/>
        </w:rPr>
      </w:pPr>
    </w:p>
    <w:p w14:paraId="4EEB2BA6" w14:textId="77777777" w:rsidR="00EF5982" w:rsidRDefault="00EF5982" w:rsidP="00EF5982">
      <w:pPr>
        <w:jc w:val="both"/>
        <w:rPr>
          <w:rFonts w:ascii="Arial" w:hAnsi="Arial" w:cs="Arial"/>
          <w:b/>
          <w:sz w:val="22"/>
          <w:szCs w:val="22"/>
        </w:rPr>
      </w:pPr>
      <w:r>
        <w:rPr>
          <w:rFonts w:ascii="Arial" w:hAnsi="Arial" w:cs="Arial"/>
          <w:b/>
          <w:sz w:val="22"/>
          <w:szCs w:val="22"/>
        </w:rPr>
        <w:t>3.3 Study Design</w:t>
      </w:r>
    </w:p>
    <w:p w14:paraId="2EF65DCA" w14:textId="579B52E2" w:rsidR="00EF5982" w:rsidRPr="00E8509E" w:rsidRDefault="00EF5982" w:rsidP="00EF5982">
      <w:pPr>
        <w:jc w:val="both"/>
        <w:rPr>
          <w:rFonts w:ascii="Arial" w:hAnsi="Arial" w:cs="Arial"/>
        </w:rPr>
      </w:pPr>
      <w:r w:rsidRPr="00E8509E">
        <w:rPr>
          <w:rFonts w:ascii="Arial" w:hAnsi="Arial" w:cs="Arial"/>
        </w:rPr>
        <w:t>This is a</w:t>
      </w:r>
      <w:r>
        <w:rPr>
          <w:rFonts w:ascii="Arial" w:hAnsi="Arial" w:cs="Arial"/>
        </w:rPr>
        <w:t xml:space="preserve">n analytical cross-sectional </w:t>
      </w:r>
      <w:r w:rsidRPr="00E8509E">
        <w:rPr>
          <w:rFonts w:ascii="Arial" w:hAnsi="Arial" w:cs="Arial"/>
        </w:rPr>
        <w:t>study, which consist of 88 patients (test subjects) aged 35 – 70 years were used on this study out of which 44 subjects are HBV Positive (Naïve) who are not on drugs, 44 subjects are HBV Positive on antiretroviral therapy (ART) for Six months and 50 subjects who are HBV negative were used as control</w:t>
      </w:r>
      <w:r w:rsidR="005A0FBC">
        <w:rPr>
          <w:rFonts w:ascii="Arial" w:hAnsi="Arial" w:cs="Arial"/>
        </w:rPr>
        <w:t xml:space="preserve">, making </w:t>
      </w:r>
      <w:r w:rsidR="005A0FBC" w:rsidRPr="004A609A">
        <w:rPr>
          <w:rFonts w:ascii="Arial" w:hAnsi="Arial" w:cs="Arial"/>
          <w:color w:val="000000" w:themeColor="text1"/>
        </w:rPr>
        <w:t xml:space="preserve">a total of </w:t>
      </w:r>
      <w:r w:rsidR="004A609A" w:rsidRPr="004A609A">
        <w:rPr>
          <w:rFonts w:ascii="Arial" w:hAnsi="Arial" w:cs="Arial"/>
          <w:color w:val="000000" w:themeColor="text1"/>
        </w:rPr>
        <w:t xml:space="preserve">138 </w:t>
      </w:r>
      <w:r w:rsidR="005A0FBC" w:rsidRPr="004A609A">
        <w:rPr>
          <w:rFonts w:ascii="Arial" w:hAnsi="Arial" w:cs="Arial"/>
          <w:color w:val="000000" w:themeColor="text1"/>
        </w:rPr>
        <w:t>subjects</w:t>
      </w:r>
    </w:p>
    <w:p w14:paraId="3C78EA18" w14:textId="77777777" w:rsidR="00EF5982" w:rsidRDefault="00EF5982" w:rsidP="00EF5982">
      <w:pPr>
        <w:jc w:val="both"/>
        <w:rPr>
          <w:rFonts w:ascii="Arial" w:hAnsi="Arial" w:cs="Arial"/>
          <w:b/>
        </w:rPr>
      </w:pPr>
    </w:p>
    <w:p w14:paraId="05B98126" w14:textId="77777777" w:rsidR="00EF5982" w:rsidRDefault="00EF5982" w:rsidP="00EF5982">
      <w:pPr>
        <w:jc w:val="both"/>
        <w:rPr>
          <w:rFonts w:ascii="Arial" w:hAnsi="Arial" w:cs="Arial"/>
          <w:b/>
          <w:sz w:val="22"/>
          <w:szCs w:val="22"/>
        </w:rPr>
      </w:pPr>
      <w:r w:rsidRPr="00785ECB">
        <w:rPr>
          <w:rFonts w:ascii="Arial" w:hAnsi="Arial" w:cs="Arial"/>
          <w:b/>
          <w:sz w:val="22"/>
          <w:szCs w:val="22"/>
        </w:rPr>
        <w:t>3.</w:t>
      </w:r>
      <w:r>
        <w:rPr>
          <w:rFonts w:ascii="Arial" w:hAnsi="Arial" w:cs="Arial"/>
          <w:b/>
          <w:sz w:val="22"/>
          <w:szCs w:val="22"/>
        </w:rPr>
        <w:t>4</w:t>
      </w:r>
      <w:r w:rsidRPr="00785ECB">
        <w:rPr>
          <w:rFonts w:ascii="Arial" w:hAnsi="Arial" w:cs="Arial"/>
          <w:b/>
          <w:sz w:val="22"/>
          <w:szCs w:val="22"/>
        </w:rPr>
        <w:t xml:space="preserve"> </w:t>
      </w:r>
      <w:r>
        <w:rPr>
          <w:rFonts w:ascii="Arial" w:hAnsi="Arial" w:cs="Arial"/>
          <w:b/>
          <w:sz w:val="22"/>
          <w:szCs w:val="22"/>
        </w:rPr>
        <w:t>Eligibility Criteria</w:t>
      </w:r>
    </w:p>
    <w:p w14:paraId="389C4DE5" w14:textId="77777777" w:rsidR="00EF5982" w:rsidRDefault="00EF5982" w:rsidP="00EF5982">
      <w:pPr>
        <w:jc w:val="both"/>
        <w:rPr>
          <w:rFonts w:ascii="Arial" w:hAnsi="Arial" w:cs="Arial"/>
          <w:b/>
          <w:sz w:val="22"/>
          <w:szCs w:val="22"/>
        </w:rPr>
      </w:pPr>
    </w:p>
    <w:p w14:paraId="5F6521C8" w14:textId="77777777" w:rsidR="00EF5982" w:rsidRPr="00785ECB" w:rsidRDefault="00EF5982" w:rsidP="00EF5982">
      <w:pPr>
        <w:jc w:val="both"/>
        <w:rPr>
          <w:rFonts w:ascii="Arial" w:hAnsi="Arial" w:cs="Arial"/>
          <w:b/>
          <w:bCs/>
        </w:rPr>
      </w:pPr>
      <w:r w:rsidRPr="00785ECB">
        <w:rPr>
          <w:rFonts w:ascii="Arial" w:hAnsi="Arial" w:cs="Arial"/>
          <w:b/>
        </w:rPr>
        <w:t xml:space="preserve">3.4.1 </w:t>
      </w:r>
      <w:r w:rsidRPr="00785ECB">
        <w:rPr>
          <w:rFonts w:ascii="Arial" w:hAnsi="Arial" w:cs="Arial"/>
          <w:b/>
          <w:bCs/>
        </w:rPr>
        <w:t>Inclusion Criteria</w:t>
      </w:r>
    </w:p>
    <w:p w14:paraId="45CDDC75" w14:textId="36DFB99D" w:rsidR="00EF5982" w:rsidRPr="00E8509E" w:rsidRDefault="00EF5982" w:rsidP="00EF5982">
      <w:pPr>
        <w:jc w:val="both"/>
        <w:rPr>
          <w:rFonts w:ascii="Arial" w:hAnsi="Arial" w:cs="Arial"/>
        </w:rPr>
      </w:pPr>
      <w:r w:rsidRPr="00E8509E">
        <w:rPr>
          <w:rFonts w:ascii="Arial" w:hAnsi="Arial" w:cs="Arial"/>
        </w:rPr>
        <w:t xml:space="preserve">Subjects who are HBV positive, comprising those on ART, those who are not on </w:t>
      </w:r>
      <w:r w:rsidR="0089050B" w:rsidRPr="00E8509E">
        <w:rPr>
          <w:rFonts w:ascii="Arial" w:hAnsi="Arial" w:cs="Arial"/>
        </w:rPr>
        <w:t>ART (</w:t>
      </w:r>
      <w:r w:rsidRPr="00E8509E">
        <w:rPr>
          <w:rFonts w:ascii="Arial" w:hAnsi="Arial" w:cs="Arial"/>
        </w:rPr>
        <w:t xml:space="preserve">naïve) and those who are HBV negative during this research who gave their consent to participate were included.     </w:t>
      </w:r>
    </w:p>
    <w:p w14:paraId="058F5670" w14:textId="77777777" w:rsidR="00EF5982" w:rsidRDefault="00EF5982" w:rsidP="00EF5982">
      <w:pPr>
        <w:jc w:val="both"/>
        <w:rPr>
          <w:rFonts w:ascii="Arial" w:hAnsi="Arial" w:cs="Arial"/>
          <w:b/>
        </w:rPr>
      </w:pPr>
    </w:p>
    <w:p w14:paraId="66F3C9AC" w14:textId="77777777" w:rsidR="00EF5982" w:rsidRPr="00E8509E" w:rsidRDefault="00EF5982" w:rsidP="00EF5982">
      <w:pPr>
        <w:jc w:val="both"/>
        <w:rPr>
          <w:rFonts w:ascii="Arial" w:hAnsi="Arial" w:cs="Arial"/>
          <w:b/>
          <w:bCs/>
        </w:rPr>
      </w:pPr>
      <w:r w:rsidRPr="00E8509E">
        <w:rPr>
          <w:rFonts w:ascii="Arial" w:hAnsi="Arial" w:cs="Arial"/>
          <w:b/>
        </w:rPr>
        <w:t>3.</w:t>
      </w:r>
      <w:r>
        <w:rPr>
          <w:rFonts w:ascii="Arial" w:hAnsi="Arial" w:cs="Arial"/>
          <w:b/>
        </w:rPr>
        <w:t xml:space="preserve">4.2 </w:t>
      </w:r>
      <w:r w:rsidRPr="00E8509E">
        <w:rPr>
          <w:rFonts w:ascii="Arial" w:hAnsi="Arial" w:cs="Arial"/>
          <w:b/>
          <w:bCs/>
        </w:rPr>
        <w:t xml:space="preserve">Exclusion Criteria </w:t>
      </w:r>
    </w:p>
    <w:p w14:paraId="318CB429" w14:textId="77777777" w:rsidR="00EF5982" w:rsidRPr="00E8509E" w:rsidRDefault="00EF5982" w:rsidP="00EF5982">
      <w:pPr>
        <w:jc w:val="both"/>
        <w:rPr>
          <w:rFonts w:ascii="Arial" w:hAnsi="Arial" w:cs="Arial"/>
        </w:rPr>
      </w:pPr>
      <w:r w:rsidRPr="00E8509E">
        <w:rPr>
          <w:rFonts w:ascii="Arial" w:hAnsi="Arial" w:cs="Arial"/>
        </w:rPr>
        <w:t xml:space="preserve">Subjects with history of diabetes, kidney diseases, hypertension, those below or above the stipulated age and pregnant women were excluded. </w:t>
      </w:r>
    </w:p>
    <w:p w14:paraId="7DE85937" w14:textId="77777777" w:rsidR="00EF5982" w:rsidRDefault="00EF5982" w:rsidP="00EF5982">
      <w:pPr>
        <w:jc w:val="both"/>
        <w:rPr>
          <w:rFonts w:ascii="Arial" w:hAnsi="Arial" w:cs="Arial"/>
          <w:b/>
        </w:rPr>
      </w:pPr>
    </w:p>
    <w:p w14:paraId="55B38864" w14:textId="77777777" w:rsidR="00EF5982" w:rsidRPr="006214A8" w:rsidRDefault="00EF5982" w:rsidP="00EF5982">
      <w:pPr>
        <w:jc w:val="both"/>
        <w:rPr>
          <w:rFonts w:ascii="Arial" w:hAnsi="Arial" w:cs="Arial"/>
          <w:b/>
          <w:bCs/>
          <w:color w:val="000000" w:themeColor="text1"/>
          <w:sz w:val="22"/>
          <w:szCs w:val="22"/>
        </w:rPr>
      </w:pPr>
      <w:r w:rsidRPr="006214A8">
        <w:rPr>
          <w:rFonts w:ascii="Arial" w:hAnsi="Arial" w:cs="Arial"/>
          <w:b/>
          <w:color w:val="000000" w:themeColor="text1"/>
          <w:sz w:val="22"/>
          <w:szCs w:val="22"/>
        </w:rPr>
        <w:t xml:space="preserve">3.5 </w:t>
      </w:r>
      <w:r w:rsidRPr="006214A8">
        <w:rPr>
          <w:rFonts w:ascii="Arial" w:hAnsi="Arial" w:cs="Arial"/>
          <w:b/>
          <w:bCs/>
          <w:color w:val="000000" w:themeColor="text1"/>
          <w:sz w:val="22"/>
          <w:szCs w:val="22"/>
        </w:rPr>
        <w:t xml:space="preserve">Sample Size </w:t>
      </w:r>
    </w:p>
    <w:p w14:paraId="63845671" w14:textId="55BC0E2E" w:rsidR="00EF5982" w:rsidRPr="006214A8" w:rsidRDefault="00EF5982" w:rsidP="00EF5982">
      <w:pPr>
        <w:jc w:val="both"/>
        <w:rPr>
          <w:rFonts w:ascii="Arial" w:hAnsi="Arial" w:cs="Arial"/>
          <w:color w:val="000000" w:themeColor="text1"/>
        </w:rPr>
      </w:pPr>
      <w:r w:rsidRPr="006214A8">
        <w:rPr>
          <w:rFonts w:ascii="Arial" w:hAnsi="Arial" w:cs="Arial"/>
          <w:color w:val="000000" w:themeColor="text1"/>
        </w:rPr>
        <w:t xml:space="preserve">The sample size was determined by Cochran </w:t>
      </w:r>
      <w:r w:rsidR="008648E6" w:rsidRPr="006214A8">
        <w:rPr>
          <w:rFonts w:ascii="Arial" w:hAnsi="Arial" w:cs="Arial"/>
          <w:color w:val="000000" w:themeColor="text1"/>
        </w:rPr>
        <w:t xml:space="preserve">formula </w:t>
      </w:r>
      <w:r w:rsidR="0021360A" w:rsidRPr="006214A8">
        <w:rPr>
          <w:rFonts w:ascii="Arial" w:eastAsia="Calibri" w:hAnsi="Arial" w:cs="Arial"/>
          <w:color w:val="000000" w:themeColor="text1"/>
          <w:szCs w:val="22"/>
        </w:rPr>
        <w:t>[1</w:t>
      </w:r>
      <w:r w:rsidR="00B83779" w:rsidRPr="006214A8">
        <w:rPr>
          <w:rFonts w:ascii="Arial" w:eastAsia="Calibri" w:hAnsi="Arial" w:cs="Arial"/>
          <w:color w:val="000000" w:themeColor="text1"/>
          <w:szCs w:val="22"/>
        </w:rPr>
        <w:t>2</w:t>
      </w:r>
      <w:r w:rsidR="0021360A" w:rsidRPr="006214A8">
        <w:rPr>
          <w:rFonts w:ascii="Arial" w:eastAsia="Calibri" w:hAnsi="Arial" w:cs="Arial"/>
          <w:color w:val="000000" w:themeColor="text1"/>
          <w:szCs w:val="22"/>
        </w:rPr>
        <w:t>]</w:t>
      </w:r>
      <w:r w:rsidRPr="006214A8">
        <w:rPr>
          <w:rFonts w:ascii="Arial" w:hAnsi="Arial" w:cs="Arial"/>
          <w:color w:val="000000" w:themeColor="text1"/>
        </w:rPr>
        <w:t>.</w:t>
      </w:r>
    </w:p>
    <w:p w14:paraId="0BE201B5" w14:textId="77777777" w:rsidR="00EF5982" w:rsidRPr="00E8509E" w:rsidRDefault="00EF5982" w:rsidP="00EF5982">
      <w:pPr>
        <w:jc w:val="both"/>
        <w:rPr>
          <w:rFonts w:ascii="Arial" w:hAnsi="Arial" w:cs="Arial"/>
        </w:rPr>
      </w:pPr>
    </w:p>
    <w:p w14:paraId="78684176" w14:textId="77777777" w:rsidR="00EF5982" w:rsidRPr="00785ECB" w:rsidRDefault="00EF5982" w:rsidP="00EF5982">
      <w:pPr>
        <w:jc w:val="both"/>
        <w:rPr>
          <w:rFonts w:ascii="Arial" w:hAnsi="Arial" w:cs="Arial"/>
          <w:b/>
          <w:bCs/>
          <w:sz w:val="22"/>
          <w:szCs w:val="22"/>
        </w:rPr>
      </w:pPr>
      <w:r w:rsidRPr="00785ECB">
        <w:rPr>
          <w:rFonts w:ascii="Arial" w:hAnsi="Arial" w:cs="Arial"/>
          <w:b/>
          <w:sz w:val="22"/>
          <w:szCs w:val="22"/>
        </w:rPr>
        <w:t>3.</w:t>
      </w:r>
      <w:r>
        <w:rPr>
          <w:rFonts w:ascii="Arial" w:hAnsi="Arial" w:cs="Arial"/>
          <w:b/>
          <w:sz w:val="22"/>
          <w:szCs w:val="22"/>
        </w:rPr>
        <w:t>6</w:t>
      </w:r>
      <w:r w:rsidRPr="00785ECB">
        <w:rPr>
          <w:rFonts w:ascii="Arial" w:hAnsi="Arial" w:cs="Arial"/>
          <w:b/>
          <w:sz w:val="22"/>
          <w:szCs w:val="22"/>
        </w:rPr>
        <w:t xml:space="preserve"> </w:t>
      </w:r>
      <w:r w:rsidRPr="00785ECB">
        <w:rPr>
          <w:rFonts w:ascii="Arial" w:hAnsi="Arial" w:cs="Arial"/>
          <w:b/>
          <w:bCs/>
          <w:sz w:val="22"/>
          <w:szCs w:val="22"/>
        </w:rPr>
        <w:t xml:space="preserve">Sample Collection </w:t>
      </w:r>
    </w:p>
    <w:p w14:paraId="52A43B5C" w14:textId="77777777" w:rsidR="00EF5982" w:rsidRPr="00E8509E" w:rsidRDefault="00EF5982" w:rsidP="00EF5982">
      <w:pPr>
        <w:jc w:val="both"/>
        <w:rPr>
          <w:rFonts w:ascii="Arial" w:hAnsi="Arial" w:cs="Arial"/>
        </w:rPr>
      </w:pPr>
      <w:r w:rsidRPr="00E8509E">
        <w:rPr>
          <w:rFonts w:ascii="Arial" w:hAnsi="Arial" w:cs="Arial"/>
        </w:rPr>
        <w:t>Venous Blood (10mls) was collected from the subjects and put into a plain sample bottle with the aid of 10mls syringe and needle, cotton wool and methylated spirit. The samples collected were put in a specimen rack and moved to the laboratory where they were separated by centrifugation at 3500 rpm for 10 minutes using 800D Centrifuge CE. The supernatant was collected using a pasture pipette into a new plain bottle and stored in a refrigerator at -20</w:t>
      </w:r>
      <w:r w:rsidRPr="00E8509E">
        <w:rPr>
          <w:rFonts w:ascii="Arial" w:hAnsi="Arial" w:cs="Arial"/>
          <w:vertAlign w:val="superscript"/>
        </w:rPr>
        <w:t>o</w:t>
      </w:r>
      <w:r w:rsidRPr="00E8509E">
        <w:rPr>
          <w:rFonts w:ascii="Arial" w:hAnsi="Arial" w:cs="Arial"/>
        </w:rPr>
        <w:t xml:space="preserve">c until the time of analysis. </w:t>
      </w:r>
    </w:p>
    <w:p w14:paraId="673634D6" w14:textId="77777777" w:rsidR="009E465E" w:rsidRPr="00E8509E" w:rsidRDefault="009E465E" w:rsidP="009E465E">
      <w:pPr>
        <w:jc w:val="both"/>
        <w:rPr>
          <w:rFonts w:ascii="Arial" w:hAnsi="Arial" w:cs="Arial"/>
          <w:b/>
        </w:rPr>
      </w:pPr>
    </w:p>
    <w:p w14:paraId="2595DEDE" w14:textId="29995CB4" w:rsidR="009E465E" w:rsidRPr="00E8509E" w:rsidRDefault="009E465E" w:rsidP="009E465E">
      <w:pPr>
        <w:jc w:val="both"/>
        <w:rPr>
          <w:rFonts w:ascii="Arial" w:hAnsi="Arial" w:cs="Arial"/>
          <w:b/>
        </w:rPr>
      </w:pPr>
      <w:r w:rsidRPr="00E8509E">
        <w:rPr>
          <w:rFonts w:ascii="Arial" w:hAnsi="Arial" w:cs="Arial"/>
          <w:b/>
        </w:rPr>
        <w:t>3.</w:t>
      </w:r>
      <w:r w:rsidR="005936A5">
        <w:rPr>
          <w:rFonts w:ascii="Arial" w:hAnsi="Arial" w:cs="Arial"/>
          <w:b/>
        </w:rPr>
        <w:t>7</w:t>
      </w:r>
      <w:r w:rsidRPr="00E8509E">
        <w:rPr>
          <w:rFonts w:ascii="Arial" w:hAnsi="Arial" w:cs="Arial"/>
          <w:b/>
        </w:rPr>
        <w:t xml:space="preserve"> Laboratory Analysis </w:t>
      </w:r>
    </w:p>
    <w:p w14:paraId="05C25082" w14:textId="77777777" w:rsidR="00EF5982" w:rsidRDefault="00EF5982" w:rsidP="009E465E">
      <w:pPr>
        <w:ind w:left="720" w:hanging="720"/>
        <w:jc w:val="both"/>
        <w:rPr>
          <w:rFonts w:ascii="Arial" w:hAnsi="Arial" w:cs="Arial"/>
          <w:b/>
        </w:rPr>
      </w:pPr>
    </w:p>
    <w:p w14:paraId="0193BE6C" w14:textId="6890CA47" w:rsidR="009E465E" w:rsidRPr="00E8509E" w:rsidRDefault="009E465E" w:rsidP="009E465E">
      <w:pPr>
        <w:ind w:left="720" w:hanging="720"/>
        <w:jc w:val="both"/>
        <w:rPr>
          <w:rFonts w:ascii="Arial" w:hAnsi="Arial" w:cs="Arial"/>
          <w:b/>
          <w:bCs/>
        </w:rPr>
      </w:pPr>
      <w:r w:rsidRPr="00E8509E">
        <w:rPr>
          <w:rFonts w:ascii="Arial" w:hAnsi="Arial" w:cs="Arial"/>
          <w:b/>
        </w:rPr>
        <w:t>3.</w:t>
      </w:r>
      <w:r w:rsidR="005936A5">
        <w:rPr>
          <w:rFonts w:ascii="Arial" w:hAnsi="Arial" w:cs="Arial"/>
          <w:b/>
        </w:rPr>
        <w:t>7</w:t>
      </w:r>
      <w:r w:rsidRPr="00E8509E">
        <w:rPr>
          <w:rFonts w:ascii="Arial" w:hAnsi="Arial" w:cs="Arial"/>
          <w:b/>
        </w:rPr>
        <w:t>.1</w:t>
      </w:r>
      <w:r w:rsidRPr="00E8509E">
        <w:rPr>
          <w:rFonts w:ascii="Arial" w:hAnsi="Arial" w:cs="Arial"/>
        </w:rPr>
        <w:tab/>
      </w:r>
      <w:r w:rsidRPr="00E8509E">
        <w:rPr>
          <w:rFonts w:ascii="Arial" w:hAnsi="Arial" w:cs="Arial"/>
          <w:b/>
          <w:bCs/>
        </w:rPr>
        <w:t>Determination of Aspartate Aminotransferase (</w:t>
      </w:r>
      <w:r w:rsidR="00BE300A" w:rsidRPr="00E8509E">
        <w:rPr>
          <w:rFonts w:ascii="Arial" w:hAnsi="Arial" w:cs="Arial"/>
          <w:b/>
          <w:bCs/>
        </w:rPr>
        <w:t xml:space="preserve">AST) </w:t>
      </w:r>
      <w:r w:rsidR="00BE300A" w:rsidRPr="00BE300A">
        <w:rPr>
          <w:rFonts w:ascii="Arial" w:hAnsi="Arial" w:cs="Arial"/>
        </w:rPr>
        <w:t>[</w:t>
      </w:r>
      <w:r w:rsidR="0021360A" w:rsidRPr="005F5067">
        <w:rPr>
          <w:rFonts w:ascii="Arial" w:eastAsia="Calibri" w:hAnsi="Arial" w:cs="Arial"/>
          <w:szCs w:val="22"/>
        </w:rPr>
        <w:t>1</w:t>
      </w:r>
      <w:r w:rsidR="00BE300A">
        <w:rPr>
          <w:rFonts w:ascii="Arial" w:eastAsia="Calibri" w:hAnsi="Arial" w:cs="Arial"/>
          <w:szCs w:val="22"/>
        </w:rPr>
        <w:t>3</w:t>
      </w:r>
      <w:r w:rsidR="0021360A" w:rsidRPr="005F5067">
        <w:rPr>
          <w:rFonts w:ascii="Arial" w:eastAsia="Calibri" w:hAnsi="Arial" w:cs="Arial"/>
          <w:szCs w:val="22"/>
        </w:rPr>
        <w:t>]</w:t>
      </w:r>
      <w:r w:rsidRPr="00E8509E">
        <w:rPr>
          <w:rFonts w:ascii="Arial" w:hAnsi="Arial" w:cs="Arial"/>
          <w:spacing w:val="7"/>
          <w:lang w:val="en-GB"/>
        </w:rPr>
        <w:t xml:space="preserve">           </w:t>
      </w:r>
    </w:p>
    <w:p w14:paraId="1BFCEB8F" w14:textId="77777777" w:rsidR="009E465E" w:rsidRPr="00E8509E" w:rsidRDefault="009E465E" w:rsidP="009E465E">
      <w:pPr>
        <w:jc w:val="both"/>
        <w:rPr>
          <w:rFonts w:ascii="Arial" w:hAnsi="Arial" w:cs="Arial"/>
        </w:rPr>
      </w:pPr>
      <w:r w:rsidRPr="00E8509E">
        <w:rPr>
          <w:rFonts w:ascii="Arial" w:hAnsi="Arial" w:cs="Arial"/>
          <w:b/>
        </w:rPr>
        <w:t>Principle</w:t>
      </w:r>
      <w:r w:rsidRPr="00E8509E">
        <w:rPr>
          <w:rFonts w:ascii="Arial" w:hAnsi="Arial" w:cs="Arial"/>
        </w:rPr>
        <w:t xml:space="preserve">: Kinetic determination of Aspartate aminotransferase is based upon the following reaction. </w:t>
      </w:r>
    </w:p>
    <w:p w14:paraId="5956358E" w14:textId="77777777" w:rsidR="009E465E" w:rsidRPr="00E8509E" w:rsidRDefault="009E465E" w:rsidP="009E465E">
      <w:pPr>
        <w:jc w:val="both"/>
        <w:rPr>
          <w:rFonts w:ascii="Arial" w:hAnsi="Arial" w:cs="Arial"/>
        </w:rPr>
      </w:pPr>
    </w:p>
    <w:p w14:paraId="2831DB16" w14:textId="77777777" w:rsidR="009E465E" w:rsidRPr="00E8509E" w:rsidRDefault="009E465E" w:rsidP="009E465E">
      <w:pPr>
        <w:jc w:val="both"/>
        <w:rPr>
          <w:rFonts w:ascii="Arial" w:hAnsi="Arial" w:cs="Arial"/>
          <w:b/>
        </w:rPr>
      </w:pPr>
    </w:p>
    <w:p w14:paraId="1BAEA15A" w14:textId="65DC0066" w:rsidR="009E465E" w:rsidRPr="00E8509E" w:rsidRDefault="009E465E" w:rsidP="009E465E">
      <w:pPr>
        <w:jc w:val="both"/>
        <w:rPr>
          <w:rFonts w:ascii="Arial" w:hAnsi="Arial" w:cs="Arial"/>
          <w:b/>
          <w:bCs/>
        </w:rPr>
      </w:pPr>
      <w:r w:rsidRPr="00E8509E">
        <w:rPr>
          <w:rFonts w:ascii="Arial" w:hAnsi="Arial" w:cs="Arial"/>
          <w:b/>
        </w:rPr>
        <w:t>3.</w:t>
      </w:r>
      <w:r w:rsidR="005936A5">
        <w:rPr>
          <w:rFonts w:ascii="Arial" w:hAnsi="Arial" w:cs="Arial"/>
          <w:b/>
        </w:rPr>
        <w:t>7</w:t>
      </w:r>
      <w:r w:rsidRPr="00E8509E">
        <w:rPr>
          <w:rFonts w:ascii="Arial" w:hAnsi="Arial" w:cs="Arial"/>
          <w:b/>
        </w:rPr>
        <w:t>.3</w:t>
      </w:r>
      <w:r w:rsidR="005936A5">
        <w:rPr>
          <w:rFonts w:ascii="Arial" w:hAnsi="Arial" w:cs="Arial"/>
          <w:b/>
        </w:rPr>
        <w:t xml:space="preserve"> </w:t>
      </w:r>
      <w:r w:rsidRPr="00E8509E">
        <w:rPr>
          <w:rFonts w:ascii="Arial" w:hAnsi="Arial" w:cs="Arial"/>
          <w:b/>
          <w:bCs/>
        </w:rPr>
        <w:t xml:space="preserve">Determination of Alkaline Phosphatase </w:t>
      </w:r>
      <w:r w:rsidR="0021360A" w:rsidRPr="005F5067">
        <w:rPr>
          <w:rFonts w:ascii="Arial" w:eastAsia="Calibri" w:hAnsi="Arial" w:cs="Arial"/>
          <w:szCs w:val="22"/>
        </w:rPr>
        <w:t>[1</w:t>
      </w:r>
      <w:r w:rsidR="00BE300A">
        <w:rPr>
          <w:rFonts w:ascii="Arial" w:eastAsia="Calibri" w:hAnsi="Arial" w:cs="Arial"/>
          <w:szCs w:val="22"/>
        </w:rPr>
        <w:t>4</w:t>
      </w:r>
      <w:r w:rsidR="0021360A" w:rsidRPr="005F5067">
        <w:rPr>
          <w:rFonts w:ascii="Arial" w:eastAsia="Calibri" w:hAnsi="Arial" w:cs="Arial"/>
          <w:szCs w:val="22"/>
        </w:rPr>
        <w:t>]</w:t>
      </w:r>
      <w:r w:rsidR="005936A5" w:rsidRPr="00E8509E">
        <w:rPr>
          <w:rFonts w:ascii="Arial" w:hAnsi="Arial" w:cs="Arial"/>
        </w:rPr>
        <w:t>.</w:t>
      </w:r>
    </w:p>
    <w:p w14:paraId="1570C2AE" w14:textId="3E6D11E6" w:rsidR="009E465E" w:rsidRPr="00E8509E" w:rsidRDefault="009E465E" w:rsidP="009E465E">
      <w:pPr>
        <w:jc w:val="both"/>
        <w:rPr>
          <w:rFonts w:ascii="Arial" w:hAnsi="Arial" w:cs="Arial"/>
        </w:rPr>
      </w:pPr>
      <w:r w:rsidRPr="00E8509E">
        <w:rPr>
          <w:rFonts w:ascii="Arial" w:hAnsi="Arial" w:cs="Arial"/>
          <w:b/>
        </w:rPr>
        <w:t>Principle</w:t>
      </w:r>
      <w:r w:rsidRPr="00E8509E">
        <w:rPr>
          <w:rFonts w:ascii="Arial" w:hAnsi="Arial" w:cs="Arial"/>
        </w:rPr>
        <w:t xml:space="preserve">: Alkaline Phosphatase acts in highly alkaline </w:t>
      </w:r>
      <w:r w:rsidR="00B71485" w:rsidRPr="00B71485">
        <w:rPr>
          <w:rFonts w:ascii="Arial" w:hAnsi="Arial" w:cs="Arial"/>
          <w:highlight w:val="yellow"/>
        </w:rPr>
        <w:t>pH</w:t>
      </w:r>
      <w:r w:rsidRPr="00E8509E">
        <w:rPr>
          <w:rFonts w:ascii="Arial" w:hAnsi="Arial" w:cs="Arial"/>
        </w:rPr>
        <w:t xml:space="preserve"> in the presence of divalent Mg ions where it </w:t>
      </w:r>
      <w:r w:rsidR="0021360A" w:rsidRPr="00E8509E">
        <w:rPr>
          <w:rFonts w:ascii="Arial" w:hAnsi="Arial" w:cs="Arial"/>
        </w:rPr>
        <w:t>catalyzes</w:t>
      </w:r>
      <w:r w:rsidRPr="00E8509E">
        <w:rPr>
          <w:rFonts w:ascii="Arial" w:hAnsi="Arial" w:cs="Arial"/>
        </w:rPr>
        <w:t xml:space="preserve"> the hydrolysis of (PNPP) which results in release of P – Nitrophenol and free phosphate group. Absorbance is proportional to the serum alkaline phosphatase at 450nm. </w:t>
      </w:r>
    </w:p>
    <w:p w14:paraId="006598E4" w14:textId="77777777" w:rsidR="009E465E" w:rsidRPr="00E8509E" w:rsidRDefault="009E465E" w:rsidP="009E465E">
      <w:pPr>
        <w:jc w:val="both"/>
        <w:rPr>
          <w:rFonts w:ascii="Arial" w:hAnsi="Arial" w:cs="Arial"/>
        </w:rPr>
      </w:pPr>
    </w:p>
    <w:p w14:paraId="54A71DDF" w14:textId="7FC8422A" w:rsidR="009E465E" w:rsidRPr="00E8509E" w:rsidRDefault="009E465E" w:rsidP="009E465E">
      <w:pPr>
        <w:jc w:val="both"/>
        <w:rPr>
          <w:rFonts w:ascii="Arial" w:hAnsi="Arial" w:cs="Arial"/>
          <w:b/>
          <w:bCs/>
        </w:rPr>
      </w:pPr>
      <w:r w:rsidRPr="00E8509E">
        <w:rPr>
          <w:rFonts w:ascii="Arial" w:hAnsi="Arial" w:cs="Arial"/>
          <w:b/>
        </w:rPr>
        <w:t>3.</w:t>
      </w:r>
      <w:r w:rsidR="005936A5">
        <w:rPr>
          <w:rFonts w:ascii="Arial" w:hAnsi="Arial" w:cs="Arial"/>
          <w:b/>
        </w:rPr>
        <w:t>7</w:t>
      </w:r>
      <w:r w:rsidRPr="00E8509E">
        <w:rPr>
          <w:rFonts w:ascii="Arial" w:hAnsi="Arial" w:cs="Arial"/>
          <w:b/>
        </w:rPr>
        <w:t>.4</w:t>
      </w:r>
      <w:r w:rsidRPr="00E8509E">
        <w:rPr>
          <w:rFonts w:ascii="Arial" w:hAnsi="Arial" w:cs="Arial"/>
          <w:b/>
        </w:rPr>
        <w:tab/>
      </w:r>
      <w:r w:rsidRPr="00E8509E">
        <w:rPr>
          <w:rFonts w:ascii="Arial" w:hAnsi="Arial" w:cs="Arial"/>
          <w:b/>
          <w:bCs/>
        </w:rPr>
        <w:t>Determination of Gamma-Glutamyltranspeptidase (GGT)</w:t>
      </w:r>
      <w:r w:rsidR="005936A5">
        <w:rPr>
          <w:rFonts w:ascii="Arial" w:hAnsi="Arial" w:cs="Arial"/>
          <w:b/>
          <w:bCs/>
        </w:rPr>
        <w:t xml:space="preserve"> </w:t>
      </w:r>
      <w:r w:rsidR="0021360A" w:rsidRPr="005F5067">
        <w:rPr>
          <w:rFonts w:ascii="Arial" w:eastAsia="Calibri" w:hAnsi="Arial" w:cs="Arial"/>
          <w:szCs w:val="22"/>
        </w:rPr>
        <w:t>[1</w:t>
      </w:r>
      <w:r w:rsidR="00BE300A">
        <w:rPr>
          <w:rFonts w:ascii="Arial" w:eastAsia="Calibri" w:hAnsi="Arial" w:cs="Arial"/>
          <w:szCs w:val="22"/>
        </w:rPr>
        <w:t>5</w:t>
      </w:r>
      <w:r w:rsidR="0021360A" w:rsidRPr="005F5067">
        <w:rPr>
          <w:rFonts w:ascii="Arial" w:eastAsia="Calibri" w:hAnsi="Arial" w:cs="Arial"/>
          <w:szCs w:val="22"/>
        </w:rPr>
        <w:t>]</w:t>
      </w:r>
      <w:r w:rsidR="005936A5" w:rsidRPr="00E8509E">
        <w:rPr>
          <w:rFonts w:ascii="Arial" w:hAnsi="Arial" w:cs="Arial"/>
        </w:rPr>
        <w:t xml:space="preserve">.  </w:t>
      </w:r>
    </w:p>
    <w:p w14:paraId="2A31D2F3" w14:textId="77777777" w:rsidR="009E465E" w:rsidRPr="00E8509E" w:rsidRDefault="009E465E" w:rsidP="009E465E">
      <w:pPr>
        <w:jc w:val="both"/>
        <w:rPr>
          <w:rFonts w:ascii="Arial" w:hAnsi="Arial" w:cs="Arial"/>
          <w:b/>
          <w:bCs/>
        </w:rPr>
      </w:pPr>
    </w:p>
    <w:p w14:paraId="54767B75" w14:textId="77777777" w:rsidR="009E465E" w:rsidRPr="00E8509E" w:rsidRDefault="009E465E" w:rsidP="009E465E">
      <w:pPr>
        <w:jc w:val="both"/>
        <w:rPr>
          <w:rFonts w:ascii="Arial" w:hAnsi="Arial" w:cs="Arial"/>
        </w:rPr>
      </w:pPr>
      <w:r w:rsidRPr="00E8509E">
        <w:rPr>
          <w:rFonts w:ascii="Arial" w:hAnsi="Arial" w:cs="Arial"/>
          <w:b/>
          <w:bCs/>
        </w:rPr>
        <w:t xml:space="preserve">Principle: </w:t>
      </w:r>
      <w:r w:rsidRPr="00E8509E">
        <w:rPr>
          <w:rFonts w:ascii="Arial" w:hAnsi="Arial" w:cs="Arial"/>
        </w:rPr>
        <w:t xml:space="preserve">Kinetic determination of Gamma GT according to the following reaction. </w:t>
      </w:r>
    </w:p>
    <w:p w14:paraId="6A687B39" w14:textId="77777777" w:rsidR="009E465E" w:rsidRPr="00E8509E" w:rsidRDefault="009E465E" w:rsidP="009E465E">
      <w:pPr>
        <w:jc w:val="both"/>
        <w:rPr>
          <w:rFonts w:ascii="Arial" w:hAnsi="Arial" w:cs="Arial"/>
        </w:rPr>
      </w:pPr>
    </w:p>
    <w:p w14:paraId="454C2288" w14:textId="42E753A8" w:rsidR="009E465E" w:rsidRPr="00E8509E" w:rsidRDefault="009E465E" w:rsidP="009E465E">
      <w:pPr>
        <w:jc w:val="both"/>
        <w:rPr>
          <w:rFonts w:ascii="Arial" w:hAnsi="Arial" w:cs="Arial"/>
          <w:b/>
          <w:bCs/>
        </w:rPr>
      </w:pPr>
      <w:r w:rsidRPr="00E8509E">
        <w:rPr>
          <w:rFonts w:ascii="Arial" w:hAnsi="Arial" w:cs="Arial"/>
          <w:b/>
        </w:rPr>
        <w:t>3.</w:t>
      </w:r>
      <w:r w:rsidR="005936A5">
        <w:rPr>
          <w:rFonts w:ascii="Arial" w:hAnsi="Arial" w:cs="Arial"/>
          <w:b/>
        </w:rPr>
        <w:t>7</w:t>
      </w:r>
      <w:r w:rsidRPr="00E8509E">
        <w:rPr>
          <w:rFonts w:ascii="Arial" w:hAnsi="Arial" w:cs="Arial"/>
          <w:b/>
        </w:rPr>
        <w:t>.5</w:t>
      </w:r>
      <w:r w:rsidRPr="00E8509E">
        <w:rPr>
          <w:rFonts w:ascii="Arial" w:hAnsi="Arial" w:cs="Arial"/>
          <w:b/>
        </w:rPr>
        <w:tab/>
      </w:r>
      <w:r w:rsidRPr="00E8509E">
        <w:rPr>
          <w:rFonts w:ascii="Arial" w:hAnsi="Arial" w:cs="Arial"/>
          <w:b/>
          <w:bCs/>
        </w:rPr>
        <w:t>Determination of   C – Reactive Protein (CRP)</w:t>
      </w:r>
      <w:r w:rsidR="005936A5">
        <w:rPr>
          <w:rFonts w:ascii="Arial" w:hAnsi="Arial" w:cs="Arial"/>
          <w:b/>
          <w:bCs/>
        </w:rPr>
        <w:t xml:space="preserve"> </w:t>
      </w:r>
      <w:r w:rsidR="0021360A" w:rsidRPr="005F5067">
        <w:rPr>
          <w:rFonts w:ascii="Arial" w:eastAsia="Calibri" w:hAnsi="Arial" w:cs="Arial"/>
          <w:szCs w:val="22"/>
        </w:rPr>
        <w:t>[1</w:t>
      </w:r>
      <w:r w:rsidR="00AA2EFB">
        <w:rPr>
          <w:rFonts w:ascii="Arial" w:eastAsia="Calibri" w:hAnsi="Arial" w:cs="Arial"/>
          <w:szCs w:val="22"/>
        </w:rPr>
        <w:t>6</w:t>
      </w:r>
      <w:r w:rsidR="0021360A" w:rsidRPr="005F5067">
        <w:rPr>
          <w:rFonts w:ascii="Arial" w:eastAsia="Calibri" w:hAnsi="Arial" w:cs="Arial"/>
          <w:szCs w:val="22"/>
        </w:rPr>
        <w:t>]</w:t>
      </w:r>
      <w:r w:rsidR="005936A5" w:rsidRPr="00E8509E">
        <w:rPr>
          <w:rFonts w:ascii="Arial" w:hAnsi="Arial" w:cs="Arial"/>
        </w:rPr>
        <w:t>.</w:t>
      </w:r>
    </w:p>
    <w:p w14:paraId="14D599AB" w14:textId="77777777" w:rsidR="009E465E" w:rsidRPr="00E8509E" w:rsidRDefault="009E465E" w:rsidP="009E465E">
      <w:pPr>
        <w:jc w:val="both"/>
        <w:rPr>
          <w:rFonts w:ascii="Arial" w:hAnsi="Arial" w:cs="Arial"/>
        </w:rPr>
      </w:pPr>
      <w:r w:rsidRPr="00E8509E">
        <w:rPr>
          <w:rFonts w:ascii="Arial" w:hAnsi="Arial" w:cs="Arial"/>
          <w:b/>
        </w:rPr>
        <w:t>Principle</w:t>
      </w:r>
      <w:r w:rsidRPr="00E8509E">
        <w:rPr>
          <w:rFonts w:ascii="Arial" w:hAnsi="Arial" w:cs="Arial"/>
        </w:rPr>
        <w:t xml:space="preserve">: CRP samples bind to specific anti-CRP antibodies which have been absorbed to latex particles and agglutinates. The agglutination is directly proportional to the quality of CRP in the sample. </w:t>
      </w:r>
    </w:p>
    <w:p w14:paraId="4EA2BCA3" w14:textId="77777777" w:rsidR="009E465E" w:rsidRPr="00E8509E" w:rsidRDefault="009E465E" w:rsidP="009E465E">
      <w:pPr>
        <w:jc w:val="both"/>
        <w:rPr>
          <w:rFonts w:ascii="Arial" w:hAnsi="Arial" w:cs="Arial"/>
          <w:b/>
        </w:rPr>
      </w:pPr>
    </w:p>
    <w:p w14:paraId="542B91C7" w14:textId="66540A8E" w:rsidR="009E465E" w:rsidRPr="00E8509E" w:rsidRDefault="009E465E" w:rsidP="009E465E">
      <w:pPr>
        <w:jc w:val="both"/>
        <w:rPr>
          <w:rFonts w:ascii="Arial" w:hAnsi="Arial" w:cs="Arial"/>
          <w:b/>
          <w:bCs/>
        </w:rPr>
      </w:pPr>
      <w:r w:rsidRPr="00E8509E">
        <w:rPr>
          <w:rFonts w:ascii="Arial" w:hAnsi="Arial" w:cs="Arial"/>
          <w:b/>
        </w:rPr>
        <w:t>3.</w:t>
      </w:r>
      <w:r w:rsidR="005936A5">
        <w:rPr>
          <w:rFonts w:ascii="Arial" w:hAnsi="Arial" w:cs="Arial"/>
          <w:b/>
        </w:rPr>
        <w:t>7</w:t>
      </w:r>
      <w:r w:rsidRPr="00E8509E">
        <w:rPr>
          <w:rFonts w:ascii="Arial" w:hAnsi="Arial" w:cs="Arial"/>
          <w:b/>
        </w:rPr>
        <w:t xml:space="preserve">.6 </w:t>
      </w:r>
      <w:r w:rsidRPr="00E8509E">
        <w:rPr>
          <w:rFonts w:ascii="Arial" w:hAnsi="Arial" w:cs="Arial"/>
          <w:b/>
        </w:rPr>
        <w:tab/>
      </w:r>
      <w:r w:rsidRPr="00E8509E">
        <w:rPr>
          <w:rFonts w:ascii="Arial" w:hAnsi="Arial" w:cs="Arial"/>
          <w:b/>
          <w:bCs/>
        </w:rPr>
        <w:t xml:space="preserve">Determination of Lactate Dehydrogenase (LDH) </w:t>
      </w:r>
      <w:r w:rsidR="0021360A" w:rsidRPr="005F5067">
        <w:rPr>
          <w:rFonts w:ascii="Arial" w:eastAsia="Calibri" w:hAnsi="Arial" w:cs="Arial"/>
          <w:szCs w:val="22"/>
        </w:rPr>
        <w:t>[1</w:t>
      </w:r>
      <w:r w:rsidR="00AA2EFB">
        <w:rPr>
          <w:rFonts w:ascii="Arial" w:eastAsia="Calibri" w:hAnsi="Arial" w:cs="Arial"/>
          <w:szCs w:val="22"/>
        </w:rPr>
        <w:t>7</w:t>
      </w:r>
      <w:r w:rsidR="0021360A" w:rsidRPr="005F5067">
        <w:rPr>
          <w:rFonts w:ascii="Arial" w:eastAsia="Calibri" w:hAnsi="Arial" w:cs="Arial"/>
          <w:szCs w:val="22"/>
        </w:rPr>
        <w:t>]</w:t>
      </w:r>
      <w:r w:rsidR="005936A5" w:rsidRPr="00E8509E">
        <w:rPr>
          <w:rFonts w:ascii="Arial" w:hAnsi="Arial" w:cs="Arial"/>
        </w:rPr>
        <w:t>.</w:t>
      </w:r>
    </w:p>
    <w:p w14:paraId="43CBBF33" w14:textId="77777777" w:rsidR="0021360A" w:rsidRDefault="0021360A" w:rsidP="009E465E">
      <w:pPr>
        <w:jc w:val="both"/>
        <w:rPr>
          <w:rFonts w:ascii="Arial" w:hAnsi="Arial" w:cs="Arial"/>
        </w:rPr>
      </w:pPr>
    </w:p>
    <w:p w14:paraId="268473F5" w14:textId="0A04C6E6" w:rsidR="009E465E" w:rsidRPr="00E8509E" w:rsidRDefault="009E465E" w:rsidP="009E465E">
      <w:pPr>
        <w:jc w:val="both"/>
        <w:rPr>
          <w:rFonts w:ascii="Arial" w:hAnsi="Arial" w:cs="Arial"/>
        </w:rPr>
      </w:pPr>
      <w:r w:rsidRPr="00E8509E">
        <w:rPr>
          <w:rFonts w:ascii="Arial" w:hAnsi="Arial" w:cs="Arial"/>
        </w:rPr>
        <w:t xml:space="preserve">The ELISA Kits uses the sandwich </w:t>
      </w:r>
      <w:r w:rsidR="006214A8" w:rsidRPr="00E8509E">
        <w:rPr>
          <w:rFonts w:ascii="Arial" w:hAnsi="Arial" w:cs="Arial"/>
        </w:rPr>
        <w:t xml:space="preserve">ELISA </w:t>
      </w:r>
    </w:p>
    <w:p w14:paraId="2823B1DB" w14:textId="77777777" w:rsidR="009E465E" w:rsidRPr="00E8509E" w:rsidRDefault="009E465E" w:rsidP="009E465E">
      <w:pPr>
        <w:jc w:val="both"/>
        <w:rPr>
          <w:rFonts w:ascii="Arial" w:hAnsi="Arial" w:cs="Arial"/>
          <w:b/>
        </w:rPr>
      </w:pPr>
    </w:p>
    <w:p w14:paraId="23E71DD8" w14:textId="617096A3" w:rsidR="005936A5" w:rsidRPr="00E8509E" w:rsidRDefault="009E465E" w:rsidP="005936A5">
      <w:pPr>
        <w:jc w:val="both"/>
        <w:rPr>
          <w:rFonts w:ascii="Arial" w:hAnsi="Arial" w:cs="Arial"/>
        </w:rPr>
      </w:pPr>
      <w:r w:rsidRPr="00E8509E">
        <w:rPr>
          <w:rFonts w:ascii="Arial" w:hAnsi="Arial" w:cs="Arial"/>
          <w:b/>
        </w:rPr>
        <w:t>3.</w:t>
      </w:r>
      <w:r w:rsidR="005936A5">
        <w:rPr>
          <w:rFonts w:ascii="Arial" w:hAnsi="Arial" w:cs="Arial"/>
          <w:b/>
        </w:rPr>
        <w:t>7</w:t>
      </w:r>
      <w:r w:rsidRPr="00E8509E">
        <w:rPr>
          <w:rFonts w:ascii="Arial" w:hAnsi="Arial" w:cs="Arial"/>
          <w:b/>
        </w:rPr>
        <w:t>.7</w:t>
      </w:r>
      <w:r w:rsidRPr="00E8509E">
        <w:rPr>
          <w:rFonts w:ascii="Arial" w:hAnsi="Arial" w:cs="Arial"/>
        </w:rPr>
        <w:tab/>
      </w:r>
      <w:r w:rsidRPr="00E8509E">
        <w:rPr>
          <w:rFonts w:ascii="Arial" w:hAnsi="Arial" w:cs="Arial"/>
          <w:b/>
        </w:rPr>
        <w:t xml:space="preserve">Determination of Alpha-Feto Protein (AFP) </w:t>
      </w:r>
      <w:r w:rsidR="005D2656" w:rsidRPr="005F5067">
        <w:rPr>
          <w:rFonts w:ascii="Arial" w:eastAsia="Calibri" w:hAnsi="Arial" w:cs="Arial"/>
          <w:szCs w:val="22"/>
        </w:rPr>
        <w:t>[1</w:t>
      </w:r>
      <w:r w:rsidR="00AA2EFB">
        <w:rPr>
          <w:rFonts w:ascii="Arial" w:eastAsia="Calibri" w:hAnsi="Arial" w:cs="Arial"/>
          <w:szCs w:val="22"/>
        </w:rPr>
        <w:t>7</w:t>
      </w:r>
      <w:r w:rsidR="005D2656" w:rsidRPr="005F5067">
        <w:rPr>
          <w:rFonts w:ascii="Arial" w:eastAsia="Calibri" w:hAnsi="Arial" w:cs="Arial"/>
          <w:szCs w:val="22"/>
        </w:rPr>
        <w:t>]</w:t>
      </w:r>
      <w:r w:rsidR="005936A5" w:rsidRPr="00E8509E">
        <w:rPr>
          <w:rFonts w:ascii="Arial" w:hAnsi="Arial" w:cs="Arial"/>
        </w:rPr>
        <w:t xml:space="preserve">.  </w:t>
      </w:r>
    </w:p>
    <w:p w14:paraId="2D7501FD" w14:textId="77777777" w:rsidR="009E465E" w:rsidRPr="00E8509E" w:rsidRDefault="009E465E" w:rsidP="009E465E">
      <w:pPr>
        <w:jc w:val="both"/>
        <w:rPr>
          <w:rFonts w:ascii="Arial" w:hAnsi="Arial" w:cs="Arial"/>
          <w:b/>
        </w:rPr>
      </w:pPr>
    </w:p>
    <w:p w14:paraId="7705BC36" w14:textId="744F2DEF" w:rsidR="009E465E" w:rsidRPr="006214A8" w:rsidRDefault="009E465E" w:rsidP="009E465E">
      <w:pPr>
        <w:jc w:val="both"/>
        <w:rPr>
          <w:rFonts w:ascii="Arial" w:hAnsi="Arial" w:cs="Arial"/>
          <w:b/>
          <w:color w:val="000000" w:themeColor="text1"/>
        </w:rPr>
      </w:pPr>
      <w:r w:rsidRPr="006214A8">
        <w:rPr>
          <w:rFonts w:ascii="Arial" w:hAnsi="Arial" w:cs="Arial"/>
          <w:b/>
          <w:color w:val="000000" w:themeColor="text1"/>
        </w:rPr>
        <w:t>3.</w:t>
      </w:r>
      <w:r w:rsidR="005936A5" w:rsidRPr="006214A8">
        <w:rPr>
          <w:rFonts w:ascii="Arial" w:hAnsi="Arial" w:cs="Arial"/>
          <w:b/>
          <w:color w:val="000000" w:themeColor="text1"/>
        </w:rPr>
        <w:t>7</w:t>
      </w:r>
      <w:r w:rsidRPr="006214A8">
        <w:rPr>
          <w:rFonts w:ascii="Arial" w:hAnsi="Arial" w:cs="Arial"/>
          <w:b/>
          <w:color w:val="000000" w:themeColor="text1"/>
        </w:rPr>
        <w:t>.8 Determination of Viral Load</w:t>
      </w:r>
    </w:p>
    <w:p w14:paraId="32126BEA" w14:textId="77777777" w:rsidR="009E465E" w:rsidRPr="006214A8" w:rsidRDefault="009E465E" w:rsidP="009E465E">
      <w:pPr>
        <w:jc w:val="both"/>
        <w:rPr>
          <w:rFonts w:ascii="Arial" w:hAnsi="Arial" w:cs="Arial"/>
          <w:b/>
          <w:color w:val="000000" w:themeColor="text1"/>
        </w:rPr>
      </w:pPr>
      <w:r w:rsidRPr="006214A8">
        <w:rPr>
          <w:rFonts w:ascii="Arial" w:hAnsi="Arial" w:cs="Arial"/>
          <w:b/>
          <w:color w:val="000000" w:themeColor="text1"/>
        </w:rPr>
        <w:t>Extraction Process</w:t>
      </w:r>
    </w:p>
    <w:p w14:paraId="07C2B313" w14:textId="77777777" w:rsidR="009E465E" w:rsidRPr="006214A8" w:rsidRDefault="009E465E" w:rsidP="009E465E">
      <w:pPr>
        <w:jc w:val="both"/>
        <w:rPr>
          <w:rFonts w:ascii="Arial" w:hAnsi="Arial" w:cs="Arial"/>
          <w:color w:val="000000" w:themeColor="text1"/>
        </w:rPr>
      </w:pPr>
      <w:r w:rsidRPr="006214A8">
        <w:rPr>
          <w:rFonts w:ascii="Arial" w:hAnsi="Arial" w:cs="Arial"/>
          <w:color w:val="000000" w:themeColor="text1"/>
        </w:rPr>
        <w:t>Viral load is done using HBV Viral load Quick-DNA/RNA extraction Kit.</w:t>
      </w:r>
    </w:p>
    <w:p w14:paraId="53C3A87A" w14:textId="77777777" w:rsidR="006214A8" w:rsidRDefault="00F23927" w:rsidP="009E465E">
      <w:pPr>
        <w:jc w:val="both"/>
        <w:rPr>
          <w:rFonts w:ascii="Arial" w:hAnsi="Arial" w:cs="Arial"/>
        </w:rPr>
      </w:pPr>
      <w:r w:rsidRPr="004E60C4">
        <w:rPr>
          <w:rFonts w:ascii="Arial" w:eastAsia="Calibri" w:hAnsi="Arial" w:cs="Arial"/>
          <w:szCs w:val="22"/>
        </w:rPr>
        <w:t xml:space="preserve">DNA from the sera was extracted using quick– DNA mini-Kit supplied by </w:t>
      </w:r>
      <w:r w:rsidR="005D2656">
        <w:rPr>
          <w:rFonts w:ascii="Arial" w:eastAsia="Calibri" w:hAnsi="Arial" w:cs="Arial"/>
          <w:szCs w:val="22"/>
        </w:rPr>
        <w:t>I</w:t>
      </w:r>
      <w:r w:rsidRPr="004E60C4">
        <w:rPr>
          <w:rFonts w:ascii="Arial" w:eastAsia="Calibri" w:hAnsi="Arial" w:cs="Arial"/>
          <w:szCs w:val="22"/>
        </w:rPr>
        <w:t xml:space="preserve">nqaba west Africa following the </w:t>
      </w:r>
      <w:r>
        <w:rPr>
          <w:rFonts w:ascii="Arial" w:eastAsia="Calibri" w:hAnsi="Arial" w:cs="Arial"/>
          <w:szCs w:val="22"/>
        </w:rPr>
        <w:t>Z</w:t>
      </w:r>
      <w:r w:rsidRPr="004E60C4">
        <w:rPr>
          <w:rFonts w:ascii="Arial" w:eastAsia="Calibri" w:hAnsi="Arial" w:cs="Arial"/>
          <w:szCs w:val="22"/>
        </w:rPr>
        <w:t>ymo research instructions.</w:t>
      </w:r>
      <w:r>
        <w:rPr>
          <w:rFonts w:ascii="Arial" w:eastAsia="Calibri" w:hAnsi="Arial" w:cs="Arial"/>
          <w:szCs w:val="22"/>
        </w:rPr>
        <w:t xml:space="preserve"> E</w:t>
      </w:r>
      <w:r w:rsidRPr="006D6E22">
        <w:rPr>
          <w:rFonts w:ascii="Arial" w:eastAsia="Calibri" w:hAnsi="Arial" w:cs="Arial"/>
          <w:szCs w:val="22"/>
        </w:rPr>
        <w:t xml:space="preserve">xtracted genomic DNA was quantified using the Nanodrop 100 Spectrophotometer. </w:t>
      </w:r>
      <w:r w:rsidRPr="00E8509E">
        <w:rPr>
          <w:rFonts w:ascii="Arial" w:hAnsi="Arial" w:cs="Arial"/>
        </w:rPr>
        <w:t>The S gene of the virus was amplified using nested PCR approach with primer with on an ABI 9700 applied Biosystem thermal Cycler at a final volume of 30 microlitres for 35 cycles.</w:t>
      </w:r>
    </w:p>
    <w:p w14:paraId="2465B4F2" w14:textId="77777777" w:rsidR="006214A8" w:rsidRDefault="006214A8" w:rsidP="009E465E">
      <w:pPr>
        <w:jc w:val="both"/>
        <w:rPr>
          <w:rFonts w:ascii="Arial" w:hAnsi="Arial" w:cs="Arial"/>
        </w:rPr>
      </w:pPr>
    </w:p>
    <w:p w14:paraId="6D129890" w14:textId="14232C43" w:rsidR="009E465E" w:rsidRPr="00E8509E" w:rsidRDefault="009E465E" w:rsidP="009E465E">
      <w:pPr>
        <w:jc w:val="both"/>
        <w:rPr>
          <w:rFonts w:ascii="Arial" w:hAnsi="Arial" w:cs="Arial"/>
          <w:b/>
        </w:rPr>
      </w:pPr>
      <w:r w:rsidRPr="00E8509E">
        <w:rPr>
          <w:rFonts w:ascii="Arial" w:hAnsi="Arial" w:cs="Arial"/>
          <w:b/>
        </w:rPr>
        <w:t>3.</w:t>
      </w:r>
      <w:r w:rsidR="008648E6">
        <w:rPr>
          <w:rFonts w:ascii="Arial" w:hAnsi="Arial" w:cs="Arial"/>
          <w:b/>
        </w:rPr>
        <w:t>8</w:t>
      </w:r>
      <w:r w:rsidRPr="00E8509E">
        <w:rPr>
          <w:rFonts w:ascii="Arial" w:hAnsi="Arial" w:cs="Arial"/>
          <w:b/>
        </w:rPr>
        <w:t xml:space="preserve"> Statistical Analysis </w:t>
      </w:r>
    </w:p>
    <w:p w14:paraId="7D73B120" w14:textId="6EC98C07" w:rsidR="009E465E" w:rsidRPr="00E8509E" w:rsidRDefault="009E465E" w:rsidP="009E465E">
      <w:pPr>
        <w:jc w:val="both"/>
        <w:rPr>
          <w:rFonts w:ascii="Arial" w:hAnsi="Arial" w:cs="Arial"/>
        </w:rPr>
      </w:pPr>
      <w:r w:rsidRPr="00E8509E">
        <w:rPr>
          <w:rFonts w:ascii="Arial" w:hAnsi="Arial" w:cs="Arial"/>
        </w:rPr>
        <w:t xml:space="preserve">The results obtained were analyzed using GraphPad </w:t>
      </w:r>
      <w:r>
        <w:rPr>
          <w:rFonts w:ascii="Arial" w:hAnsi="Arial" w:cs="Arial"/>
        </w:rPr>
        <w:t>P</w:t>
      </w:r>
      <w:r w:rsidRPr="00E8509E">
        <w:rPr>
          <w:rFonts w:ascii="Arial" w:hAnsi="Arial" w:cs="Arial"/>
        </w:rPr>
        <w:t xml:space="preserve">rism version 9.02. Descriptive statistic invoving the use of mean and standard deviation, and statistical significance was set at p 0.05.  Inferential </w:t>
      </w:r>
      <w:r w:rsidR="00E33B15" w:rsidRPr="00E33B15">
        <w:rPr>
          <w:rFonts w:ascii="Arial" w:hAnsi="Arial" w:cs="Arial"/>
          <w:highlight w:val="yellow"/>
        </w:rPr>
        <w:t>statistics</w:t>
      </w:r>
      <w:r w:rsidRPr="00E8509E">
        <w:rPr>
          <w:rFonts w:ascii="Arial" w:hAnsi="Arial" w:cs="Arial"/>
        </w:rPr>
        <w:t xml:space="preserve"> involving the use of one-way ANOVA (</w:t>
      </w:r>
      <w:r w:rsidR="008E5837" w:rsidRPr="008E5837">
        <w:rPr>
          <w:rFonts w:ascii="Arial" w:hAnsi="Arial" w:cs="Arial"/>
          <w:highlight w:val="yellow"/>
        </w:rPr>
        <w:t>PostHoc: Tukey’s</w:t>
      </w:r>
      <w:r w:rsidRPr="00E8509E">
        <w:rPr>
          <w:rFonts w:ascii="Arial" w:hAnsi="Arial" w:cs="Arial"/>
        </w:rPr>
        <w:t xml:space="preserve"> multiple comparison test), </w:t>
      </w:r>
      <w:r w:rsidRPr="00866340">
        <w:rPr>
          <w:rFonts w:ascii="Arial" w:hAnsi="Arial" w:cs="Arial"/>
          <w:highlight w:val="yellow"/>
        </w:rPr>
        <w:t>Student t-test</w:t>
      </w:r>
      <w:r w:rsidR="00866340" w:rsidRPr="00866340">
        <w:rPr>
          <w:rFonts w:ascii="Arial" w:hAnsi="Arial" w:cs="Arial"/>
          <w:highlight w:val="yellow"/>
        </w:rPr>
        <w:t xml:space="preserve"> was</w:t>
      </w:r>
      <w:r w:rsidRPr="00866340">
        <w:rPr>
          <w:rFonts w:ascii="Arial" w:hAnsi="Arial" w:cs="Arial"/>
          <w:highlight w:val="yellow"/>
        </w:rPr>
        <w:t xml:space="preserve"> used.</w:t>
      </w:r>
    </w:p>
    <w:p w14:paraId="5A5F14EE" w14:textId="77777777" w:rsidR="009E465E" w:rsidRPr="00E8509E" w:rsidRDefault="009E465E" w:rsidP="009E465E">
      <w:pPr>
        <w:rPr>
          <w:rFonts w:ascii="Arial" w:hAnsi="Arial" w:cs="Arial"/>
        </w:rPr>
      </w:pPr>
    </w:p>
    <w:p w14:paraId="0DE639F9" w14:textId="77777777" w:rsidR="00401964" w:rsidRPr="00FB3A86" w:rsidRDefault="00401964" w:rsidP="00401964">
      <w:pPr>
        <w:pStyle w:val="Body"/>
        <w:spacing w:after="0"/>
        <w:rPr>
          <w:rFonts w:ascii="Arial" w:hAnsi="Arial" w:cs="Arial"/>
        </w:rPr>
      </w:pPr>
    </w:p>
    <w:p w14:paraId="093C2C0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29F1FCD" w14:textId="77777777" w:rsidR="00BC17D5" w:rsidRDefault="00BC17D5" w:rsidP="00C0344C">
      <w:pPr>
        <w:rPr>
          <w:rFonts w:ascii="Arial" w:hAnsi="Arial" w:cs="Arial"/>
          <w:b/>
        </w:rPr>
      </w:pPr>
    </w:p>
    <w:p w14:paraId="12B779DA" w14:textId="296164CC" w:rsidR="00C0344C" w:rsidRPr="00181540" w:rsidRDefault="00C0344C" w:rsidP="00C0344C">
      <w:pPr>
        <w:rPr>
          <w:rFonts w:ascii="Arial" w:hAnsi="Arial" w:cs="Arial"/>
          <w:b/>
        </w:rPr>
      </w:pPr>
      <w:r w:rsidRPr="00181540">
        <w:rPr>
          <w:rFonts w:ascii="Arial" w:hAnsi="Arial" w:cs="Arial"/>
          <w:b/>
        </w:rPr>
        <w:t xml:space="preserve">Table </w:t>
      </w:r>
      <w:r w:rsidR="00BC17D5">
        <w:rPr>
          <w:rFonts w:ascii="Arial" w:hAnsi="Arial" w:cs="Arial"/>
          <w:b/>
        </w:rPr>
        <w:t>1</w:t>
      </w:r>
      <w:r w:rsidRPr="00181540">
        <w:rPr>
          <w:rFonts w:ascii="Arial" w:hAnsi="Arial" w:cs="Arial"/>
          <w:b/>
        </w:rPr>
        <w:t>: Biochemical analysis Result (Mean</w:t>
      </w:r>
      <w:r w:rsidR="00A56B75">
        <w:rPr>
          <w:rFonts w:ascii="Arial" w:hAnsi="Arial" w:cs="Arial"/>
          <w:b/>
        </w:rPr>
        <w:t xml:space="preserve"> </w:t>
      </w:r>
      <w:r w:rsidRPr="00181540">
        <w:rPr>
          <w:rFonts w:ascii="Arial" w:hAnsi="Arial" w:cs="Arial"/>
          <w:b/>
        </w:rPr>
        <w:t>±</w:t>
      </w:r>
      <w:r w:rsidR="00A56B75">
        <w:rPr>
          <w:rFonts w:ascii="Arial" w:hAnsi="Arial" w:cs="Arial"/>
          <w:b/>
        </w:rPr>
        <w:t xml:space="preserve"> </w:t>
      </w:r>
      <w:r w:rsidRPr="00181540">
        <w:rPr>
          <w:rFonts w:ascii="Arial" w:hAnsi="Arial" w:cs="Arial"/>
          <w:b/>
        </w:rPr>
        <w:t xml:space="preserve">SD) of Hepatitis B Positive and Negative (Control) </w:t>
      </w:r>
    </w:p>
    <w:p w14:paraId="23CA6B6D" w14:textId="77777777" w:rsidR="00C0344C" w:rsidRPr="00181540" w:rsidRDefault="00C0344C" w:rsidP="00C0344C">
      <w:pPr>
        <w:rPr>
          <w:rFonts w:ascii="Arial" w:hAnsi="Arial" w:cs="Arial"/>
          <w:b/>
        </w:rPr>
      </w:pPr>
      <w:r w:rsidRPr="00181540">
        <w:rPr>
          <w:rFonts w:ascii="Arial" w:hAnsi="Arial" w:cs="Arial"/>
          <w:b/>
        </w:rPr>
        <w:t xml:space="preserve">Subjects </w:t>
      </w:r>
    </w:p>
    <w:tbl>
      <w:tblPr>
        <w:tblStyle w:val="LightShading1"/>
        <w:tblW w:w="10065" w:type="dxa"/>
        <w:shd w:val="clear" w:color="auto" w:fill="FFFFFF" w:themeFill="background1"/>
        <w:tblLook w:val="04A0" w:firstRow="1" w:lastRow="0" w:firstColumn="1" w:lastColumn="0" w:noHBand="0" w:noVBand="1"/>
      </w:tblPr>
      <w:tblGrid>
        <w:gridCol w:w="2241"/>
        <w:gridCol w:w="2021"/>
        <w:gridCol w:w="2159"/>
        <w:gridCol w:w="1424"/>
        <w:gridCol w:w="1164"/>
        <w:gridCol w:w="1056"/>
      </w:tblGrid>
      <w:tr w:rsidR="00C0344C" w:rsidRPr="00181540" w14:paraId="562A623C" w14:textId="77777777" w:rsidTr="00015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shd w:val="clear" w:color="auto" w:fill="FFFFFF" w:themeFill="background1"/>
          </w:tcPr>
          <w:p w14:paraId="2787F629" w14:textId="77777777" w:rsidR="00C0344C" w:rsidRPr="00181540" w:rsidRDefault="00C0344C" w:rsidP="00015CEA">
            <w:pPr>
              <w:rPr>
                <w:rFonts w:ascii="Arial" w:hAnsi="Arial" w:cs="Arial"/>
                <w:bCs w:val="0"/>
              </w:rPr>
            </w:pPr>
            <w:r w:rsidRPr="00181540">
              <w:rPr>
                <w:rFonts w:ascii="Arial" w:hAnsi="Arial" w:cs="Arial"/>
                <w:b w:val="0"/>
              </w:rPr>
              <w:t>Parameters</w:t>
            </w:r>
          </w:p>
        </w:tc>
        <w:tc>
          <w:tcPr>
            <w:tcW w:w="2021" w:type="dxa"/>
            <w:shd w:val="clear" w:color="auto" w:fill="FFFFFF" w:themeFill="background1"/>
          </w:tcPr>
          <w:p w14:paraId="25FB5A43"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Positive</w:t>
            </w:r>
          </w:p>
          <w:p w14:paraId="36C28E3D"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(n=88)</w:t>
            </w:r>
          </w:p>
        </w:tc>
        <w:tc>
          <w:tcPr>
            <w:tcW w:w="2159" w:type="dxa"/>
            <w:shd w:val="clear" w:color="auto" w:fill="FFFFFF" w:themeFill="background1"/>
          </w:tcPr>
          <w:p w14:paraId="60D7821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Control</w:t>
            </w:r>
          </w:p>
          <w:p w14:paraId="46A69495"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(n=50)</w:t>
            </w:r>
          </w:p>
        </w:tc>
        <w:tc>
          <w:tcPr>
            <w:tcW w:w="1424" w:type="dxa"/>
            <w:shd w:val="clear" w:color="auto" w:fill="FFFFFF" w:themeFill="background1"/>
          </w:tcPr>
          <w:p w14:paraId="7F9EE500"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T value</w:t>
            </w:r>
          </w:p>
        </w:tc>
        <w:tc>
          <w:tcPr>
            <w:tcW w:w="1164" w:type="dxa"/>
            <w:shd w:val="clear" w:color="auto" w:fill="FFFFFF" w:themeFill="background1"/>
          </w:tcPr>
          <w:p w14:paraId="0DC43F24"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P value</w:t>
            </w:r>
          </w:p>
        </w:tc>
        <w:tc>
          <w:tcPr>
            <w:tcW w:w="1056" w:type="dxa"/>
            <w:shd w:val="clear" w:color="auto" w:fill="FFFFFF" w:themeFill="background1"/>
          </w:tcPr>
          <w:p w14:paraId="3CB71195"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Remark</w:t>
            </w:r>
          </w:p>
        </w:tc>
      </w:tr>
      <w:tr w:rsidR="00C0344C" w:rsidRPr="00181540" w14:paraId="226CB171" w14:textId="77777777" w:rsidTr="00015CEA">
        <w:trPr>
          <w:trHeight w:val="530"/>
        </w:trPr>
        <w:tc>
          <w:tcPr>
            <w:cnfStyle w:val="001000000000" w:firstRow="0" w:lastRow="0" w:firstColumn="1" w:lastColumn="0" w:oddVBand="0" w:evenVBand="0" w:oddHBand="0" w:evenHBand="0" w:firstRowFirstColumn="0" w:firstRowLastColumn="0" w:lastRowFirstColumn="0" w:lastRowLastColumn="0"/>
            <w:tcW w:w="2241" w:type="dxa"/>
            <w:tcBorders>
              <w:left w:val="nil"/>
              <w:right w:val="nil"/>
            </w:tcBorders>
            <w:shd w:val="clear" w:color="auto" w:fill="FFFFFF" w:themeFill="background1"/>
          </w:tcPr>
          <w:p w14:paraId="33078139" w14:textId="77777777" w:rsidR="00C0344C" w:rsidRPr="00181540" w:rsidRDefault="00C0344C" w:rsidP="00015CEA">
            <w:pPr>
              <w:rPr>
                <w:rFonts w:ascii="Arial" w:hAnsi="Arial" w:cs="Arial"/>
                <w:b w:val="0"/>
                <w:bCs w:val="0"/>
              </w:rPr>
            </w:pPr>
            <w:r w:rsidRPr="00181540">
              <w:rPr>
                <w:rFonts w:ascii="Arial" w:hAnsi="Arial" w:cs="Arial"/>
                <w:b w:val="0"/>
              </w:rPr>
              <w:t>Age (Years)</w:t>
            </w:r>
          </w:p>
        </w:tc>
        <w:tc>
          <w:tcPr>
            <w:tcW w:w="2021" w:type="dxa"/>
            <w:tcBorders>
              <w:right w:val="nil"/>
            </w:tcBorders>
            <w:shd w:val="clear" w:color="auto" w:fill="FFFFFF" w:themeFill="background1"/>
          </w:tcPr>
          <w:p w14:paraId="41F530F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52.09±7.65</w:t>
            </w:r>
          </w:p>
        </w:tc>
        <w:tc>
          <w:tcPr>
            <w:tcW w:w="2159" w:type="dxa"/>
            <w:tcBorders>
              <w:right w:val="nil"/>
            </w:tcBorders>
            <w:shd w:val="clear" w:color="auto" w:fill="FFFFFF" w:themeFill="background1"/>
          </w:tcPr>
          <w:p w14:paraId="7665261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51.18±6.38</w:t>
            </w:r>
          </w:p>
        </w:tc>
        <w:tc>
          <w:tcPr>
            <w:tcW w:w="1424" w:type="dxa"/>
            <w:tcBorders>
              <w:right w:val="nil"/>
            </w:tcBorders>
            <w:shd w:val="clear" w:color="auto" w:fill="FFFFFF" w:themeFill="background1"/>
          </w:tcPr>
          <w:p w14:paraId="2173F5F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0.7144</w:t>
            </w:r>
          </w:p>
        </w:tc>
        <w:tc>
          <w:tcPr>
            <w:tcW w:w="1164" w:type="dxa"/>
            <w:tcBorders>
              <w:right w:val="nil"/>
            </w:tcBorders>
            <w:shd w:val="clear" w:color="auto" w:fill="FFFFFF" w:themeFill="background1"/>
          </w:tcPr>
          <w:p w14:paraId="78AFA68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0.4762</w:t>
            </w:r>
          </w:p>
        </w:tc>
        <w:tc>
          <w:tcPr>
            <w:tcW w:w="1056" w:type="dxa"/>
            <w:tcBorders>
              <w:right w:val="nil"/>
            </w:tcBorders>
            <w:shd w:val="clear" w:color="auto" w:fill="FFFFFF" w:themeFill="background1"/>
          </w:tcPr>
          <w:p w14:paraId="0594397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57D09847" w14:textId="77777777" w:rsidTr="00015CEA">
        <w:tc>
          <w:tcPr>
            <w:cnfStyle w:val="001000000000" w:firstRow="0" w:lastRow="0" w:firstColumn="1" w:lastColumn="0" w:oddVBand="0" w:evenVBand="0" w:oddHBand="0" w:evenHBand="0" w:firstRowFirstColumn="0" w:firstRowLastColumn="0" w:lastRowFirstColumn="0" w:lastRowLastColumn="0"/>
            <w:tcW w:w="2241" w:type="dxa"/>
            <w:shd w:val="clear" w:color="auto" w:fill="FFFFFF" w:themeFill="background1"/>
          </w:tcPr>
          <w:p w14:paraId="3EE00C86" w14:textId="77777777" w:rsidR="00C0344C" w:rsidRPr="00181540" w:rsidRDefault="00C0344C" w:rsidP="00015CEA">
            <w:pPr>
              <w:rPr>
                <w:rFonts w:ascii="Arial" w:hAnsi="Arial" w:cs="Arial"/>
                <w:b w:val="0"/>
                <w:bCs w:val="0"/>
              </w:rPr>
            </w:pPr>
            <w:r w:rsidRPr="00181540">
              <w:rPr>
                <w:rFonts w:ascii="Arial" w:hAnsi="Arial" w:cs="Arial"/>
                <w:b w:val="0"/>
              </w:rPr>
              <w:t>AST (U/L)</w:t>
            </w:r>
          </w:p>
        </w:tc>
        <w:tc>
          <w:tcPr>
            <w:tcW w:w="2021" w:type="dxa"/>
            <w:shd w:val="clear" w:color="auto" w:fill="FFFFFF" w:themeFill="background1"/>
          </w:tcPr>
          <w:p w14:paraId="344D4DA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46.75±16.76</w:t>
            </w:r>
          </w:p>
        </w:tc>
        <w:tc>
          <w:tcPr>
            <w:tcW w:w="2159" w:type="dxa"/>
            <w:shd w:val="clear" w:color="auto" w:fill="FFFFFF" w:themeFill="background1"/>
          </w:tcPr>
          <w:p w14:paraId="14A95C8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37.04±10.42</w:t>
            </w:r>
          </w:p>
        </w:tc>
        <w:tc>
          <w:tcPr>
            <w:tcW w:w="1424" w:type="dxa"/>
            <w:shd w:val="clear" w:color="auto" w:fill="FFFFFF" w:themeFill="background1"/>
          </w:tcPr>
          <w:p w14:paraId="40509FB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3.707</w:t>
            </w:r>
          </w:p>
        </w:tc>
        <w:tc>
          <w:tcPr>
            <w:tcW w:w="1164" w:type="dxa"/>
            <w:shd w:val="clear" w:color="auto" w:fill="FFFFFF" w:themeFill="background1"/>
          </w:tcPr>
          <w:p w14:paraId="700BC0B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0.0003</w:t>
            </w:r>
          </w:p>
        </w:tc>
        <w:tc>
          <w:tcPr>
            <w:tcW w:w="1056" w:type="dxa"/>
            <w:shd w:val="clear" w:color="auto" w:fill="FFFFFF" w:themeFill="background1"/>
          </w:tcPr>
          <w:p w14:paraId="0DECFDC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46451D56" w14:textId="77777777" w:rsidTr="00015CEA">
        <w:tc>
          <w:tcPr>
            <w:cnfStyle w:val="001000000000" w:firstRow="0" w:lastRow="0" w:firstColumn="1" w:lastColumn="0" w:oddVBand="0" w:evenVBand="0" w:oddHBand="0" w:evenHBand="0" w:firstRowFirstColumn="0" w:firstRowLastColumn="0" w:lastRowFirstColumn="0" w:lastRowLastColumn="0"/>
            <w:tcW w:w="2241" w:type="dxa"/>
            <w:tcBorders>
              <w:left w:val="nil"/>
              <w:right w:val="nil"/>
            </w:tcBorders>
            <w:shd w:val="clear" w:color="auto" w:fill="FFFFFF" w:themeFill="background1"/>
          </w:tcPr>
          <w:p w14:paraId="786EC597" w14:textId="77777777" w:rsidR="00C0344C" w:rsidRPr="00181540" w:rsidRDefault="00C0344C" w:rsidP="00015CEA">
            <w:pPr>
              <w:rPr>
                <w:rFonts w:ascii="Arial" w:hAnsi="Arial" w:cs="Arial"/>
                <w:b w:val="0"/>
                <w:bCs w:val="0"/>
              </w:rPr>
            </w:pPr>
            <w:r w:rsidRPr="00181540">
              <w:rPr>
                <w:rFonts w:ascii="Arial" w:hAnsi="Arial" w:cs="Arial"/>
                <w:b w:val="0"/>
              </w:rPr>
              <w:t>ALT (U/L)</w:t>
            </w:r>
          </w:p>
        </w:tc>
        <w:tc>
          <w:tcPr>
            <w:tcW w:w="2021" w:type="dxa"/>
            <w:tcBorders>
              <w:right w:val="nil"/>
            </w:tcBorders>
            <w:shd w:val="clear" w:color="auto" w:fill="FFFFFF" w:themeFill="background1"/>
          </w:tcPr>
          <w:p w14:paraId="4C9F1DF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55.17±22.75</w:t>
            </w:r>
          </w:p>
        </w:tc>
        <w:tc>
          <w:tcPr>
            <w:tcW w:w="2159" w:type="dxa"/>
            <w:tcBorders>
              <w:right w:val="nil"/>
            </w:tcBorders>
            <w:shd w:val="clear" w:color="auto" w:fill="FFFFFF" w:themeFill="background1"/>
          </w:tcPr>
          <w:p w14:paraId="0F4DDDD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38.10±9.89</w:t>
            </w:r>
          </w:p>
        </w:tc>
        <w:tc>
          <w:tcPr>
            <w:tcW w:w="1424" w:type="dxa"/>
            <w:tcBorders>
              <w:right w:val="nil"/>
            </w:tcBorders>
            <w:shd w:val="clear" w:color="auto" w:fill="FFFFFF" w:themeFill="background1"/>
          </w:tcPr>
          <w:p w14:paraId="3944F2D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5.036</w:t>
            </w:r>
          </w:p>
        </w:tc>
        <w:tc>
          <w:tcPr>
            <w:tcW w:w="1164" w:type="dxa"/>
            <w:tcBorders>
              <w:right w:val="nil"/>
            </w:tcBorders>
            <w:shd w:val="clear" w:color="auto" w:fill="FFFFFF" w:themeFill="background1"/>
          </w:tcPr>
          <w:p w14:paraId="2524617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056" w:type="dxa"/>
            <w:tcBorders>
              <w:right w:val="nil"/>
            </w:tcBorders>
            <w:shd w:val="clear" w:color="auto" w:fill="FFFFFF" w:themeFill="background1"/>
          </w:tcPr>
          <w:p w14:paraId="7FBB0F4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1856CDDA" w14:textId="77777777" w:rsidTr="00015CEA">
        <w:tc>
          <w:tcPr>
            <w:cnfStyle w:val="001000000000" w:firstRow="0" w:lastRow="0" w:firstColumn="1" w:lastColumn="0" w:oddVBand="0" w:evenVBand="0" w:oddHBand="0" w:evenHBand="0" w:firstRowFirstColumn="0" w:firstRowLastColumn="0" w:lastRowFirstColumn="0" w:lastRowLastColumn="0"/>
            <w:tcW w:w="2241" w:type="dxa"/>
            <w:shd w:val="clear" w:color="auto" w:fill="FFFFFF" w:themeFill="background1"/>
          </w:tcPr>
          <w:p w14:paraId="6483354C" w14:textId="77777777" w:rsidR="00C0344C" w:rsidRPr="00181540" w:rsidRDefault="00C0344C" w:rsidP="00015CEA">
            <w:pPr>
              <w:rPr>
                <w:rFonts w:ascii="Arial" w:hAnsi="Arial" w:cs="Arial"/>
                <w:b w:val="0"/>
                <w:bCs w:val="0"/>
              </w:rPr>
            </w:pPr>
            <w:r w:rsidRPr="00181540">
              <w:rPr>
                <w:rFonts w:ascii="Arial" w:hAnsi="Arial" w:cs="Arial"/>
                <w:b w:val="0"/>
              </w:rPr>
              <w:t>ALP (U/L)</w:t>
            </w:r>
          </w:p>
        </w:tc>
        <w:tc>
          <w:tcPr>
            <w:tcW w:w="2021" w:type="dxa"/>
            <w:shd w:val="clear" w:color="auto" w:fill="FFFFFF" w:themeFill="background1"/>
          </w:tcPr>
          <w:p w14:paraId="18A0824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237.1±81.34</w:t>
            </w:r>
          </w:p>
        </w:tc>
        <w:tc>
          <w:tcPr>
            <w:tcW w:w="2159" w:type="dxa"/>
            <w:shd w:val="clear" w:color="auto" w:fill="FFFFFF" w:themeFill="background1"/>
          </w:tcPr>
          <w:p w14:paraId="60B26CD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175.4±55.10</w:t>
            </w:r>
          </w:p>
        </w:tc>
        <w:tc>
          <w:tcPr>
            <w:tcW w:w="1424" w:type="dxa"/>
            <w:shd w:val="clear" w:color="auto" w:fill="FFFFFF" w:themeFill="background1"/>
          </w:tcPr>
          <w:p w14:paraId="3806D49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4.770</w:t>
            </w:r>
          </w:p>
        </w:tc>
        <w:tc>
          <w:tcPr>
            <w:tcW w:w="1164" w:type="dxa"/>
            <w:shd w:val="clear" w:color="auto" w:fill="FFFFFF" w:themeFill="background1"/>
          </w:tcPr>
          <w:p w14:paraId="7916862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056" w:type="dxa"/>
            <w:shd w:val="clear" w:color="auto" w:fill="FFFFFF" w:themeFill="background1"/>
          </w:tcPr>
          <w:p w14:paraId="7026B76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5589DB48" w14:textId="77777777" w:rsidTr="00015CEA">
        <w:tc>
          <w:tcPr>
            <w:cnfStyle w:val="001000000000" w:firstRow="0" w:lastRow="0" w:firstColumn="1" w:lastColumn="0" w:oddVBand="0" w:evenVBand="0" w:oddHBand="0" w:evenHBand="0" w:firstRowFirstColumn="0" w:firstRowLastColumn="0" w:lastRowFirstColumn="0" w:lastRowLastColumn="0"/>
            <w:tcW w:w="2241" w:type="dxa"/>
            <w:tcBorders>
              <w:left w:val="nil"/>
              <w:right w:val="nil"/>
            </w:tcBorders>
            <w:shd w:val="clear" w:color="auto" w:fill="FFFFFF" w:themeFill="background1"/>
          </w:tcPr>
          <w:p w14:paraId="5523D92B" w14:textId="77777777" w:rsidR="00C0344C" w:rsidRPr="00181540" w:rsidRDefault="00C0344C" w:rsidP="00015CEA">
            <w:pPr>
              <w:rPr>
                <w:rFonts w:ascii="Arial" w:hAnsi="Arial" w:cs="Arial"/>
                <w:b w:val="0"/>
                <w:bCs w:val="0"/>
              </w:rPr>
            </w:pPr>
            <w:r w:rsidRPr="00181540">
              <w:rPr>
                <w:rFonts w:ascii="Arial" w:hAnsi="Arial" w:cs="Arial"/>
                <w:b w:val="0"/>
              </w:rPr>
              <w:t>GGT (U/L)</w:t>
            </w:r>
          </w:p>
        </w:tc>
        <w:tc>
          <w:tcPr>
            <w:tcW w:w="2021" w:type="dxa"/>
            <w:tcBorders>
              <w:right w:val="nil"/>
            </w:tcBorders>
            <w:shd w:val="clear" w:color="auto" w:fill="FFFFFF" w:themeFill="background1"/>
          </w:tcPr>
          <w:p w14:paraId="5B4F309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103.1±12.11</w:t>
            </w:r>
          </w:p>
        </w:tc>
        <w:tc>
          <w:tcPr>
            <w:tcW w:w="2159" w:type="dxa"/>
            <w:tcBorders>
              <w:right w:val="nil"/>
            </w:tcBorders>
            <w:shd w:val="clear" w:color="auto" w:fill="FFFFFF" w:themeFill="background1"/>
          </w:tcPr>
          <w:p w14:paraId="080724B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48.54±16.56</w:t>
            </w:r>
          </w:p>
        </w:tc>
        <w:tc>
          <w:tcPr>
            <w:tcW w:w="1424" w:type="dxa"/>
            <w:tcBorders>
              <w:right w:val="nil"/>
            </w:tcBorders>
            <w:shd w:val="clear" w:color="auto" w:fill="FFFFFF" w:themeFill="background1"/>
          </w:tcPr>
          <w:p w14:paraId="1519160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3.372</w:t>
            </w:r>
          </w:p>
        </w:tc>
        <w:tc>
          <w:tcPr>
            <w:tcW w:w="1164" w:type="dxa"/>
            <w:tcBorders>
              <w:right w:val="nil"/>
            </w:tcBorders>
            <w:shd w:val="clear" w:color="auto" w:fill="FFFFFF" w:themeFill="background1"/>
          </w:tcPr>
          <w:p w14:paraId="7E6E697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0.0010</w:t>
            </w:r>
          </w:p>
        </w:tc>
        <w:tc>
          <w:tcPr>
            <w:tcW w:w="1056" w:type="dxa"/>
            <w:tcBorders>
              <w:right w:val="nil"/>
            </w:tcBorders>
            <w:shd w:val="clear" w:color="auto" w:fill="FFFFFF" w:themeFill="background1"/>
          </w:tcPr>
          <w:p w14:paraId="6CD2295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06B516BB" w14:textId="77777777" w:rsidTr="00015CEA">
        <w:tc>
          <w:tcPr>
            <w:cnfStyle w:val="001000000000" w:firstRow="0" w:lastRow="0" w:firstColumn="1" w:lastColumn="0" w:oddVBand="0" w:evenVBand="0" w:oddHBand="0" w:evenHBand="0" w:firstRowFirstColumn="0" w:firstRowLastColumn="0" w:lastRowFirstColumn="0" w:lastRowLastColumn="0"/>
            <w:tcW w:w="2241" w:type="dxa"/>
            <w:shd w:val="clear" w:color="auto" w:fill="FFFFFF" w:themeFill="background1"/>
          </w:tcPr>
          <w:p w14:paraId="24AE34CC" w14:textId="77777777" w:rsidR="00C0344C" w:rsidRPr="00181540" w:rsidRDefault="00C0344C" w:rsidP="00015CEA">
            <w:pPr>
              <w:rPr>
                <w:rFonts w:ascii="Arial" w:hAnsi="Arial" w:cs="Arial"/>
                <w:b w:val="0"/>
                <w:bCs w:val="0"/>
              </w:rPr>
            </w:pPr>
            <w:r w:rsidRPr="00181540">
              <w:rPr>
                <w:rFonts w:ascii="Arial" w:hAnsi="Arial" w:cs="Arial"/>
                <w:b w:val="0"/>
              </w:rPr>
              <w:t>CRP (ng/ml)</w:t>
            </w:r>
          </w:p>
        </w:tc>
        <w:tc>
          <w:tcPr>
            <w:tcW w:w="2021" w:type="dxa"/>
            <w:shd w:val="clear" w:color="auto" w:fill="FFFFFF" w:themeFill="background1"/>
          </w:tcPr>
          <w:p w14:paraId="4A2C2F3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5.33±1.48</w:t>
            </w:r>
          </w:p>
        </w:tc>
        <w:tc>
          <w:tcPr>
            <w:tcW w:w="2159" w:type="dxa"/>
            <w:shd w:val="clear" w:color="auto" w:fill="FFFFFF" w:themeFill="background1"/>
          </w:tcPr>
          <w:p w14:paraId="1C1BC77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4.09±1.31</w:t>
            </w:r>
          </w:p>
        </w:tc>
        <w:tc>
          <w:tcPr>
            <w:tcW w:w="1424" w:type="dxa"/>
            <w:shd w:val="clear" w:color="auto" w:fill="FFFFFF" w:themeFill="background1"/>
          </w:tcPr>
          <w:p w14:paraId="70BFF77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5.045</w:t>
            </w:r>
          </w:p>
        </w:tc>
        <w:tc>
          <w:tcPr>
            <w:tcW w:w="1164" w:type="dxa"/>
            <w:shd w:val="clear" w:color="auto" w:fill="FFFFFF" w:themeFill="background1"/>
          </w:tcPr>
          <w:p w14:paraId="0F84BAB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056" w:type="dxa"/>
            <w:shd w:val="clear" w:color="auto" w:fill="FFFFFF" w:themeFill="background1"/>
          </w:tcPr>
          <w:p w14:paraId="71FCB4E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4ABFAFA2" w14:textId="77777777" w:rsidTr="00015CEA">
        <w:tc>
          <w:tcPr>
            <w:cnfStyle w:val="001000000000" w:firstRow="0" w:lastRow="0" w:firstColumn="1" w:lastColumn="0" w:oddVBand="0" w:evenVBand="0" w:oddHBand="0" w:evenHBand="0" w:firstRowFirstColumn="0" w:firstRowLastColumn="0" w:lastRowFirstColumn="0" w:lastRowLastColumn="0"/>
            <w:tcW w:w="2241" w:type="dxa"/>
            <w:tcBorders>
              <w:left w:val="nil"/>
              <w:right w:val="nil"/>
            </w:tcBorders>
            <w:shd w:val="clear" w:color="auto" w:fill="FFFFFF" w:themeFill="background1"/>
          </w:tcPr>
          <w:p w14:paraId="6C35AD84" w14:textId="77777777" w:rsidR="00C0344C" w:rsidRPr="00181540" w:rsidRDefault="00C0344C" w:rsidP="00015CEA">
            <w:pPr>
              <w:rPr>
                <w:rFonts w:ascii="Arial" w:hAnsi="Arial" w:cs="Arial"/>
                <w:b w:val="0"/>
                <w:bCs w:val="0"/>
              </w:rPr>
            </w:pPr>
            <w:r w:rsidRPr="00181540">
              <w:rPr>
                <w:rFonts w:ascii="Arial" w:hAnsi="Arial" w:cs="Arial"/>
                <w:b w:val="0"/>
              </w:rPr>
              <w:t>LDH (U/L)</w:t>
            </w:r>
          </w:p>
        </w:tc>
        <w:tc>
          <w:tcPr>
            <w:tcW w:w="2021" w:type="dxa"/>
            <w:tcBorders>
              <w:right w:val="nil"/>
            </w:tcBorders>
            <w:shd w:val="clear" w:color="auto" w:fill="FFFFFF" w:themeFill="background1"/>
          </w:tcPr>
          <w:p w14:paraId="624E99E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186.40±89.14</w:t>
            </w:r>
          </w:p>
        </w:tc>
        <w:tc>
          <w:tcPr>
            <w:tcW w:w="2159" w:type="dxa"/>
            <w:tcBorders>
              <w:right w:val="nil"/>
            </w:tcBorders>
            <w:shd w:val="clear" w:color="auto" w:fill="FFFFFF" w:themeFill="background1"/>
          </w:tcPr>
          <w:p w14:paraId="7C7279E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540">
              <w:rPr>
                <w:rFonts w:ascii="Arial" w:hAnsi="Arial" w:cs="Arial"/>
              </w:rPr>
              <w:t>183.70±46.54</w:t>
            </w:r>
          </w:p>
        </w:tc>
        <w:tc>
          <w:tcPr>
            <w:tcW w:w="1424" w:type="dxa"/>
            <w:tcBorders>
              <w:right w:val="nil"/>
            </w:tcBorders>
            <w:shd w:val="clear" w:color="auto" w:fill="FFFFFF" w:themeFill="background1"/>
          </w:tcPr>
          <w:p w14:paraId="4EBB3DA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0.2049</w:t>
            </w:r>
          </w:p>
        </w:tc>
        <w:tc>
          <w:tcPr>
            <w:tcW w:w="1164" w:type="dxa"/>
            <w:tcBorders>
              <w:right w:val="nil"/>
            </w:tcBorders>
            <w:shd w:val="clear" w:color="auto" w:fill="FFFFFF" w:themeFill="background1"/>
          </w:tcPr>
          <w:p w14:paraId="003811A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0.8380</w:t>
            </w:r>
          </w:p>
        </w:tc>
        <w:tc>
          <w:tcPr>
            <w:tcW w:w="1056" w:type="dxa"/>
            <w:tcBorders>
              <w:right w:val="nil"/>
            </w:tcBorders>
            <w:shd w:val="clear" w:color="auto" w:fill="FFFFFF" w:themeFill="background1"/>
          </w:tcPr>
          <w:p w14:paraId="0209BDB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79E1E4C3" w14:textId="77777777" w:rsidTr="00015CEA">
        <w:tc>
          <w:tcPr>
            <w:cnfStyle w:val="001000000000" w:firstRow="0" w:lastRow="0" w:firstColumn="1" w:lastColumn="0" w:oddVBand="0" w:evenVBand="0" w:oddHBand="0" w:evenHBand="0" w:firstRowFirstColumn="0" w:firstRowLastColumn="0" w:lastRowFirstColumn="0" w:lastRowLastColumn="0"/>
            <w:tcW w:w="2241" w:type="dxa"/>
            <w:shd w:val="clear" w:color="auto" w:fill="FFFFFF" w:themeFill="background1"/>
          </w:tcPr>
          <w:p w14:paraId="36C1AAC3" w14:textId="77777777" w:rsidR="00C0344C" w:rsidRPr="00181540" w:rsidRDefault="00C0344C" w:rsidP="00015CEA">
            <w:pPr>
              <w:rPr>
                <w:rFonts w:ascii="Arial" w:hAnsi="Arial" w:cs="Arial"/>
                <w:b w:val="0"/>
                <w:bCs w:val="0"/>
              </w:rPr>
            </w:pPr>
            <w:r w:rsidRPr="00181540">
              <w:rPr>
                <w:rFonts w:ascii="Arial" w:hAnsi="Arial" w:cs="Arial"/>
                <w:b w:val="0"/>
              </w:rPr>
              <w:t>AFP (ng/ml)</w:t>
            </w:r>
          </w:p>
        </w:tc>
        <w:tc>
          <w:tcPr>
            <w:tcW w:w="2021" w:type="dxa"/>
            <w:shd w:val="clear" w:color="auto" w:fill="FFFFFF" w:themeFill="background1"/>
          </w:tcPr>
          <w:p w14:paraId="3EC0DB5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166.20±53.59</w:t>
            </w:r>
          </w:p>
        </w:tc>
        <w:tc>
          <w:tcPr>
            <w:tcW w:w="2159" w:type="dxa"/>
            <w:shd w:val="clear" w:color="auto" w:fill="FFFFFF" w:themeFill="background1"/>
          </w:tcPr>
          <w:p w14:paraId="07ABBD6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7.72±5.96</w:t>
            </w:r>
          </w:p>
        </w:tc>
        <w:tc>
          <w:tcPr>
            <w:tcW w:w="1424" w:type="dxa"/>
            <w:shd w:val="clear" w:color="auto" w:fill="FFFFFF" w:themeFill="background1"/>
          </w:tcPr>
          <w:p w14:paraId="628CCFC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20.80</w:t>
            </w:r>
          </w:p>
        </w:tc>
        <w:tc>
          <w:tcPr>
            <w:tcW w:w="1164" w:type="dxa"/>
            <w:shd w:val="clear" w:color="auto" w:fill="FFFFFF" w:themeFill="background1"/>
          </w:tcPr>
          <w:p w14:paraId="4F0B350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056" w:type="dxa"/>
            <w:shd w:val="clear" w:color="auto" w:fill="FFFFFF" w:themeFill="background1"/>
          </w:tcPr>
          <w:p w14:paraId="7BFED29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bl>
    <w:p w14:paraId="20E25104" w14:textId="52E9DBE4" w:rsidR="00C0344C" w:rsidRPr="00181540" w:rsidRDefault="00C0344C" w:rsidP="008648E6">
      <w:pPr>
        <w:jc w:val="both"/>
        <w:rPr>
          <w:rFonts w:ascii="Arial" w:hAnsi="Arial" w:cs="Arial"/>
        </w:rPr>
      </w:pPr>
      <w:r w:rsidRPr="00181540">
        <w:rPr>
          <w:rFonts w:ascii="Arial" w:hAnsi="Arial" w:cs="Arial"/>
        </w:rPr>
        <w:lastRenderedPageBreak/>
        <w:t>KEYS: AST= Aspartate aminotransferase, ALT=Alanine aminotransferase, ALP=Alkaline Phosphatase, GGT=Glutamyl Transferase, CRP=C-Reactive Protein, LDH=Lactate Dehydrogenase, AFP= α-Feto Protein</w:t>
      </w:r>
      <w:r w:rsidRPr="00181540">
        <w:rPr>
          <w:rFonts w:ascii="Arial" w:hAnsi="Arial" w:cs="Arial"/>
          <w:b/>
        </w:rPr>
        <w:t xml:space="preserve">, </w:t>
      </w:r>
      <w:r w:rsidRPr="00181540">
        <w:rPr>
          <w:rFonts w:ascii="Arial" w:hAnsi="Arial" w:cs="Arial"/>
        </w:rPr>
        <w:t>S=Significant, NS=Not Significant at p&lt;0.05.</w:t>
      </w:r>
    </w:p>
    <w:p w14:paraId="254AD49B" w14:textId="77777777" w:rsidR="00C0344C" w:rsidRPr="00181540" w:rsidRDefault="00C0344C" w:rsidP="00C0344C">
      <w:pPr>
        <w:rPr>
          <w:rFonts w:ascii="Arial" w:hAnsi="Arial" w:cs="Arial"/>
        </w:rPr>
      </w:pPr>
    </w:p>
    <w:p w14:paraId="42CB0318" w14:textId="77777777" w:rsidR="00C0344C" w:rsidRPr="00181540" w:rsidRDefault="00C0344C" w:rsidP="00C0344C">
      <w:pPr>
        <w:rPr>
          <w:rFonts w:ascii="Arial" w:hAnsi="Arial" w:cs="Arial"/>
        </w:rPr>
      </w:pPr>
    </w:p>
    <w:p w14:paraId="01427FD2" w14:textId="77777777" w:rsidR="00C0344C" w:rsidRPr="00181540" w:rsidRDefault="00C0344C" w:rsidP="00C0344C">
      <w:pPr>
        <w:rPr>
          <w:rFonts w:ascii="Arial" w:hAnsi="Arial" w:cs="Arial"/>
        </w:rPr>
      </w:pPr>
    </w:p>
    <w:p w14:paraId="6F2E556E" w14:textId="77777777" w:rsidR="00C0344C" w:rsidRPr="00181540" w:rsidRDefault="00C0344C" w:rsidP="00C0344C">
      <w:pPr>
        <w:rPr>
          <w:rFonts w:ascii="Arial" w:hAnsi="Arial" w:cs="Arial"/>
        </w:rPr>
      </w:pPr>
    </w:p>
    <w:p w14:paraId="5F905B5D" w14:textId="77777777" w:rsidR="00C0344C" w:rsidRPr="00181540" w:rsidRDefault="00C0344C" w:rsidP="00C0344C">
      <w:pPr>
        <w:rPr>
          <w:rFonts w:ascii="Arial" w:hAnsi="Arial" w:cs="Arial"/>
          <w:b/>
        </w:rPr>
      </w:pPr>
    </w:p>
    <w:p w14:paraId="400DF4A6" w14:textId="77777777" w:rsidR="00C0344C" w:rsidRPr="00181540" w:rsidRDefault="00C0344C" w:rsidP="00C0344C">
      <w:pPr>
        <w:rPr>
          <w:rFonts w:ascii="Arial" w:hAnsi="Arial" w:cs="Arial"/>
          <w:b/>
        </w:rPr>
      </w:pPr>
    </w:p>
    <w:p w14:paraId="726F536D" w14:textId="77777777" w:rsidR="00C0344C" w:rsidRPr="00181540" w:rsidRDefault="00C0344C" w:rsidP="00C0344C">
      <w:pPr>
        <w:rPr>
          <w:rFonts w:ascii="Arial" w:hAnsi="Arial" w:cs="Arial"/>
          <w:b/>
        </w:rPr>
      </w:pPr>
    </w:p>
    <w:p w14:paraId="33E0759C" w14:textId="77777777" w:rsidR="00C0344C" w:rsidRPr="00181540" w:rsidRDefault="00C0344C" w:rsidP="00C0344C">
      <w:pPr>
        <w:rPr>
          <w:rFonts w:ascii="Arial" w:hAnsi="Arial" w:cs="Arial"/>
        </w:rPr>
        <w:sectPr w:rsidR="00C0344C" w:rsidRPr="00181540" w:rsidSect="00E56D3A">
          <w:headerReference w:type="even" r:id="rId14"/>
          <w:headerReference w:type="default" r:id="rId15"/>
          <w:footerReference w:type="default" r:id="rId16"/>
          <w:headerReference w:type="first" r:id="rId17"/>
          <w:type w:val="continuous"/>
          <w:pgSz w:w="12240" w:h="15840"/>
          <w:pgMar w:top="1440" w:right="1440" w:bottom="1440" w:left="1440" w:header="720" w:footer="720" w:gutter="0"/>
          <w:cols w:space="720"/>
          <w:docGrid w:linePitch="360"/>
        </w:sectPr>
      </w:pPr>
    </w:p>
    <w:p w14:paraId="450CA2A2" w14:textId="2AB46C6F" w:rsidR="00C0344C" w:rsidRPr="00181540" w:rsidRDefault="00C0344C" w:rsidP="00C0344C">
      <w:pPr>
        <w:rPr>
          <w:rFonts w:ascii="Arial" w:hAnsi="Arial" w:cs="Arial"/>
          <w:b/>
        </w:rPr>
      </w:pPr>
      <w:r w:rsidRPr="00181540">
        <w:rPr>
          <w:rFonts w:ascii="Arial" w:hAnsi="Arial" w:cs="Arial"/>
          <w:b/>
        </w:rPr>
        <w:lastRenderedPageBreak/>
        <w:t xml:space="preserve">Table </w:t>
      </w:r>
      <w:r w:rsidR="00BC17D5">
        <w:rPr>
          <w:rFonts w:ascii="Arial" w:hAnsi="Arial" w:cs="Arial"/>
          <w:b/>
        </w:rPr>
        <w:t>2</w:t>
      </w:r>
      <w:r w:rsidRPr="00181540">
        <w:rPr>
          <w:rFonts w:ascii="Arial" w:hAnsi="Arial" w:cs="Arial"/>
          <w:b/>
        </w:rPr>
        <w:t>: Biochemical analysis Result (Mean</w:t>
      </w:r>
      <w:r w:rsidR="00A56B75">
        <w:rPr>
          <w:rFonts w:ascii="Arial" w:hAnsi="Arial" w:cs="Arial"/>
          <w:b/>
        </w:rPr>
        <w:t xml:space="preserve"> </w:t>
      </w:r>
      <w:r w:rsidRPr="00181540">
        <w:rPr>
          <w:rFonts w:ascii="Arial" w:hAnsi="Arial" w:cs="Arial"/>
          <w:b/>
        </w:rPr>
        <w:t>±</w:t>
      </w:r>
      <w:r w:rsidR="00A56B75">
        <w:rPr>
          <w:rFonts w:ascii="Arial" w:hAnsi="Arial" w:cs="Arial"/>
          <w:b/>
        </w:rPr>
        <w:t xml:space="preserve"> </w:t>
      </w:r>
      <w:r w:rsidRPr="00181540">
        <w:rPr>
          <w:rFonts w:ascii="Arial" w:hAnsi="Arial" w:cs="Arial"/>
          <w:b/>
        </w:rPr>
        <w:t>SD) of Hepatitis B Positive Naïve, Resistant and Negative (Control) Female Subjects</w:t>
      </w:r>
    </w:p>
    <w:tbl>
      <w:tblPr>
        <w:tblStyle w:val="LightShading1"/>
        <w:tblW w:w="12778" w:type="dxa"/>
        <w:shd w:val="clear" w:color="auto" w:fill="FFFFFF" w:themeFill="background1"/>
        <w:tblLook w:val="04A0" w:firstRow="1" w:lastRow="0" w:firstColumn="1" w:lastColumn="0" w:noHBand="0" w:noVBand="1"/>
      </w:tblPr>
      <w:tblGrid>
        <w:gridCol w:w="1998"/>
        <w:gridCol w:w="2669"/>
        <w:gridCol w:w="1508"/>
        <w:gridCol w:w="2159"/>
        <w:gridCol w:w="1429"/>
        <w:gridCol w:w="1415"/>
        <w:gridCol w:w="1600"/>
      </w:tblGrid>
      <w:tr w:rsidR="00C0344C" w:rsidRPr="00181540" w14:paraId="4AF0B759" w14:textId="77777777" w:rsidTr="00015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shd w:val="clear" w:color="auto" w:fill="FFFFFF" w:themeFill="background1"/>
          </w:tcPr>
          <w:p w14:paraId="10C80D33" w14:textId="77777777" w:rsidR="00C0344C" w:rsidRPr="00181540" w:rsidRDefault="00C0344C" w:rsidP="00015CEA">
            <w:pPr>
              <w:rPr>
                <w:rFonts w:ascii="Arial" w:hAnsi="Arial" w:cs="Arial"/>
                <w:bCs w:val="0"/>
              </w:rPr>
            </w:pPr>
            <w:r w:rsidRPr="00181540">
              <w:rPr>
                <w:rFonts w:ascii="Arial" w:hAnsi="Arial" w:cs="Arial"/>
                <w:b w:val="0"/>
              </w:rPr>
              <w:t>Parameters</w:t>
            </w:r>
          </w:p>
        </w:tc>
        <w:tc>
          <w:tcPr>
            <w:tcW w:w="2669" w:type="dxa"/>
            <w:shd w:val="clear" w:color="auto" w:fill="FFFFFF" w:themeFill="background1"/>
          </w:tcPr>
          <w:p w14:paraId="65AF2A0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Female (Naïve)</w:t>
            </w:r>
          </w:p>
          <w:p w14:paraId="0BEC39D8"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1508" w:type="dxa"/>
            <w:shd w:val="clear" w:color="auto" w:fill="FFFFFF" w:themeFill="background1"/>
          </w:tcPr>
          <w:p w14:paraId="0073CB25"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Female (Resistant)</w:t>
            </w:r>
          </w:p>
          <w:p w14:paraId="7544FC5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2159" w:type="dxa"/>
            <w:shd w:val="clear" w:color="auto" w:fill="FFFFFF" w:themeFill="background1"/>
          </w:tcPr>
          <w:p w14:paraId="729194C2"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Female (Control)</w:t>
            </w:r>
          </w:p>
          <w:p w14:paraId="5604C54B"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(n=25)</w:t>
            </w:r>
          </w:p>
        </w:tc>
        <w:tc>
          <w:tcPr>
            <w:tcW w:w="1429" w:type="dxa"/>
            <w:shd w:val="clear" w:color="auto" w:fill="FFFFFF" w:themeFill="background1"/>
          </w:tcPr>
          <w:p w14:paraId="1011C0F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F value</w:t>
            </w:r>
          </w:p>
        </w:tc>
        <w:tc>
          <w:tcPr>
            <w:tcW w:w="1415" w:type="dxa"/>
            <w:shd w:val="clear" w:color="auto" w:fill="FFFFFF" w:themeFill="background1"/>
          </w:tcPr>
          <w:p w14:paraId="14247ABB"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P value</w:t>
            </w:r>
          </w:p>
        </w:tc>
        <w:tc>
          <w:tcPr>
            <w:tcW w:w="1600" w:type="dxa"/>
            <w:shd w:val="clear" w:color="auto" w:fill="FFFFFF" w:themeFill="background1"/>
          </w:tcPr>
          <w:p w14:paraId="568517D9"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Remark</w:t>
            </w:r>
          </w:p>
        </w:tc>
      </w:tr>
      <w:tr w:rsidR="00C0344C" w:rsidRPr="00181540" w14:paraId="2045AD3C" w14:textId="77777777" w:rsidTr="00015CEA">
        <w:trPr>
          <w:trHeight w:val="530"/>
        </w:trPr>
        <w:tc>
          <w:tcPr>
            <w:cnfStyle w:val="001000000000" w:firstRow="0" w:lastRow="0" w:firstColumn="1" w:lastColumn="0" w:oddVBand="0" w:evenVBand="0" w:oddHBand="0" w:evenHBand="0" w:firstRowFirstColumn="0" w:firstRowLastColumn="0" w:lastRowFirstColumn="0" w:lastRowLastColumn="0"/>
            <w:tcW w:w="1998" w:type="dxa"/>
            <w:tcBorders>
              <w:left w:val="nil"/>
              <w:right w:val="nil"/>
            </w:tcBorders>
            <w:shd w:val="clear" w:color="auto" w:fill="FFFFFF" w:themeFill="background1"/>
          </w:tcPr>
          <w:p w14:paraId="0FB6B12B" w14:textId="77777777" w:rsidR="00C0344C" w:rsidRPr="00181540" w:rsidRDefault="00C0344C" w:rsidP="00015CEA">
            <w:pPr>
              <w:rPr>
                <w:rFonts w:ascii="Arial" w:hAnsi="Arial" w:cs="Arial"/>
                <w:b w:val="0"/>
                <w:bCs w:val="0"/>
              </w:rPr>
            </w:pPr>
            <w:r w:rsidRPr="00181540">
              <w:rPr>
                <w:rFonts w:ascii="Arial" w:hAnsi="Arial" w:cs="Arial"/>
                <w:b w:val="0"/>
              </w:rPr>
              <w:t>Age (Years)</w:t>
            </w:r>
          </w:p>
        </w:tc>
        <w:tc>
          <w:tcPr>
            <w:tcW w:w="2669" w:type="dxa"/>
            <w:tcBorders>
              <w:right w:val="nil"/>
            </w:tcBorders>
            <w:shd w:val="clear" w:color="auto" w:fill="FFFFFF" w:themeFill="background1"/>
          </w:tcPr>
          <w:p w14:paraId="6EB77E4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51.18±6.666</w:t>
            </w:r>
          </w:p>
        </w:tc>
        <w:tc>
          <w:tcPr>
            <w:tcW w:w="1508" w:type="dxa"/>
            <w:tcBorders>
              <w:right w:val="nil"/>
            </w:tcBorders>
            <w:shd w:val="clear" w:color="auto" w:fill="FFFFFF" w:themeFill="background1"/>
          </w:tcPr>
          <w:p w14:paraId="107585A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49.50±7.209</w:t>
            </w:r>
          </w:p>
        </w:tc>
        <w:tc>
          <w:tcPr>
            <w:tcW w:w="2159" w:type="dxa"/>
            <w:tcBorders>
              <w:right w:val="nil"/>
            </w:tcBorders>
            <w:shd w:val="clear" w:color="auto" w:fill="FFFFFF" w:themeFill="background1"/>
          </w:tcPr>
          <w:p w14:paraId="079603C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49.72±6.413</w:t>
            </w:r>
          </w:p>
        </w:tc>
        <w:tc>
          <w:tcPr>
            <w:tcW w:w="1429" w:type="dxa"/>
            <w:tcBorders>
              <w:right w:val="nil"/>
            </w:tcBorders>
            <w:shd w:val="clear" w:color="auto" w:fill="FFFFFF" w:themeFill="background1"/>
          </w:tcPr>
          <w:p w14:paraId="211AEF0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0.4082</w:t>
            </w:r>
          </w:p>
        </w:tc>
        <w:tc>
          <w:tcPr>
            <w:tcW w:w="1415" w:type="dxa"/>
            <w:tcBorders>
              <w:right w:val="nil"/>
            </w:tcBorders>
            <w:shd w:val="clear" w:color="auto" w:fill="FFFFFF" w:themeFill="background1"/>
          </w:tcPr>
          <w:p w14:paraId="21500F2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0.6665</w:t>
            </w:r>
          </w:p>
        </w:tc>
        <w:tc>
          <w:tcPr>
            <w:tcW w:w="1600" w:type="dxa"/>
            <w:tcBorders>
              <w:right w:val="nil"/>
            </w:tcBorders>
            <w:shd w:val="clear" w:color="auto" w:fill="FFFFFF" w:themeFill="background1"/>
          </w:tcPr>
          <w:p w14:paraId="1761DC1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185EC0D0" w14:textId="77777777" w:rsidTr="00015CEA">
        <w:tc>
          <w:tcPr>
            <w:cnfStyle w:val="001000000000" w:firstRow="0" w:lastRow="0" w:firstColumn="1" w:lastColumn="0" w:oddVBand="0" w:evenVBand="0" w:oddHBand="0" w:evenHBand="0" w:firstRowFirstColumn="0" w:firstRowLastColumn="0" w:lastRowFirstColumn="0" w:lastRowLastColumn="0"/>
            <w:tcW w:w="1998" w:type="dxa"/>
            <w:shd w:val="clear" w:color="auto" w:fill="FFFFFF" w:themeFill="background1"/>
          </w:tcPr>
          <w:p w14:paraId="2C139DD5" w14:textId="77777777" w:rsidR="00C0344C" w:rsidRPr="00181540" w:rsidRDefault="00C0344C" w:rsidP="00015CEA">
            <w:pPr>
              <w:rPr>
                <w:rFonts w:ascii="Arial" w:hAnsi="Arial" w:cs="Arial"/>
                <w:b w:val="0"/>
                <w:bCs w:val="0"/>
              </w:rPr>
            </w:pPr>
            <w:r w:rsidRPr="00181540">
              <w:rPr>
                <w:rFonts w:ascii="Arial" w:hAnsi="Arial" w:cs="Arial"/>
                <w:b w:val="0"/>
              </w:rPr>
              <w:t>Viral Load (cells/ml)</w:t>
            </w:r>
          </w:p>
        </w:tc>
        <w:tc>
          <w:tcPr>
            <w:tcW w:w="2669" w:type="dxa"/>
            <w:shd w:val="clear" w:color="auto" w:fill="FFFFFF" w:themeFill="background1"/>
          </w:tcPr>
          <w:p w14:paraId="079AAF5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1961±443.8</w:t>
            </w:r>
          </w:p>
        </w:tc>
        <w:tc>
          <w:tcPr>
            <w:tcW w:w="1508" w:type="dxa"/>
            <w:shd w:val="clear" w:color="auto" w:fill="FFFFFF" w:themeFill="background1"/>
          </w:tcPr>
          <w:p w14:paraId="5445C14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21408±6473</w:t>
            </w:r>
          </w:p>
        </w:tc>
        <w:tc>
          <w:tcPr>
            <w:tcW w:w="2159" w:type="dxa"/>
            <w:shd w:val="clear" w:color="auto" w:fill="FFFFFF" w:themeFill="background1"/>
          </w:tcPr>
          <w:p w14:paraId="131563E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TND</w:t>
            </w:r>
          </w:p>
        </w:tc>
        <w:tc>
          <w:tcPr>
            <w:tcW w:w="1429" w:type="dxa"/>
            <w:shd w:val="clear" w:color="auto" w:fill="FFFFFF" w:themeFill="background1"/>
          </w:tcPr>
          <w:p w14:paraId="36A5EF2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t=14.06</w:t>
            </w:r>
          </w:p>
        </w:tc>
        <w:tc>
          <w:tcPr>
            <w:tcW w:w="1415" w:type="dxa"/>
            <w:shd w:val="clear" w:color="auto" w:fill="FFFFFF" w:themeFill="background1"/>
          </w:tcPr>
          <w:p w14:paraId="16D4966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600" w:type="dxa"/>
            <w:shd w:val="clear" w:color="auto" w:fill="FFFFFF" w:themeFill="background1"/>
          </w:tcPr>
          <w:p w14:paraId="749A516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p w14:paraId="5F316C1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60C13C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0344C" w:rsidRPr="00181540" w14:paraId="76C7B431" w14:textId="77777777" w:rsidTr="00015CEA">
        <w:tc>
          <w:tcPr>
            <w:cnfStyle w:val="001000000000" w:firstRow="0" w:lastRow="0" w:firstColumn="1" w:lastColumn="0" w:oddVBand="0" w:evenVBand="0" w:oddHBand="0" w:evenHBand="0" w:firstRowFirstColumn="0" w:firstRowLastColumn="0" w:lastRowFirstColumn="0" w:lastRowLastColumn="0"/>
            <w:tcW w:w="1998" w:type="dxa"/>
            <w:tcBorders>
              <w:left w:val="nil"/>
              <w:right w:val="nil"/>
            </w:tcBorders>
            <w:shd w:val="clear" w:color="auto" w:fill="FFFFFF" w:themeFill="background1"/>
          </w:tcPr>
          <w:p w14:paraId="06179C0C" w14:textId="77777777" w:rsidR="00C0344C" w:rsidRPr="00181540" w:rsidRDefault="00C0344C" w:rsidP="00015CEA">
            <w:pPr>
              <w:rPr>
                <w:rFonts w:ascii="Arial" w:hAnsi="Arial" w:cs="Arial"/>
                <w:b w:val="0"/>
                <w:bCs w:val="0"/>
              </w:rPr>
            </w:pPr>
            <w:r w:rsidRPr="00181540">
              <w:rPr>
                <w:rFonts w:ascii="Arial" w:hAnsi="Arial" w:cs="Arial"/>
                <w:b w:val="0"/>
              </w:rPr>
              <w:t>AST (U/L)</w:t>
            </w:r>
          </w:p>
        </w:tc>
        <w:tc>
          <w:tcPr>
            <w:tcW w:w="2669" w:type="dxa"/>
            <w:tcBorders>
              <w:right w:val="nil"/>
            </w:tcBorders>
            <w:shd w:val="clear" w:color="auto" w:fill="FFFFFF" w:themeFill="background1"/>
          </w:tcPr>
          <w:p w14:paraId="52CA197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41.64±17.51</w:t>
            </w:r>
            <w:r w:rsidRPr="00181540">
              <w:rPr>
                <w:rFonts w:ascii="Arial" w:hAnsi="Arial" w:cs="Arial"/>
                <w:vertAlign w:val="superscript"/>
              </w:rPr>
              <w:t>a</w:t>
            </w:r>
          </w:p>
        </w:tc>
        <w:tc>
          <w:tcPr>
            <w:tcW w:w="1508" w:type="dxa"/>
            <w:tcBorders>
              <w:right w:val="nil"/>
            </w:tcBorders>
            <w:shd w:val="clear" w:color="auto" w:fill="FFFFFF" w:themeFill="background1"/>
          </w:tcPr>
          <w:p w14:paraId="2E40421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48.73±15.51</w:t>
            </w:r>
            <w:r w:rsidRPr="00181540">
              <w:rPr>
                <w:rFonts w:ascii="Arial" w:hAnsi="Arial" w:cs="Arial"/>
                <w:vertAlign w:val="superscript"/>
              </w:rPr>
              <w:t>a</w:t>
            </w:r>
          </w:p>
        </w:tc>
        <w:tc>
          <w:tcPr>
            <w:tcW w:w="2159" w:type="dxa"/>
            <w:tcBorders>
              <w:right w:val="nil"/>
            </w:tcBorders>
            <w:shd w:val="clear" w:color="auto" w:fill="FFFFFF" w:themeFill="background1"/>
          </w:tcPr>
          <w:p w14:paraId="72349EA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36.88±9.75</w:t>
            </w:r>
            <w:r w:rsidRPr="00181540">
              <w:rPr>
                <w:rFonts w:ascii="Arial" w:hAnsi="Arial" w:cs="Arial"/>
                <w:vertAlign w:val="superscript"/>
              </w:rPr>
              <w:t>b</w:t>
            </w:r>
          </w:p>
        </w:tc>
        <w:tc>
          <w:tcPr>
            <w:tcW w:w="1429" w:type="dxa"/>
            <w:tcBorders>
              <w:right w:val="nil"/>
            </w:tcBorders>
            <w:shd w:val="clear" w:color="auto" w:fill="FFFFFF" w:themeFill="background1"/>
          </w:tcPr>
          <w:p w14:paraId="67B8851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3.956</w:t>
            </w:r>
          </w:p>
        </w:tc>
        <w:tc>
          <w:tcPr>
            <w:tcW w:w="1415" w:type="dxa"/>
            <w:tcBorders>
              <w:right w:val="nil"/>
            </w:tcBorders>
            <w:shd w:val="clear" w:color="auto" w:fill="FFFFFF" w:themeFill="background1"/>
          </w:tcPr>
          <w:p w14:paraId="2CD7151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0.0238</w:t>
            </w:r>
          </w:p>
        </w:tc>
        <w:tc>
          <w:tcPr>
            <w:tcW w:w="1600" w:type="dxa"/>
            <w:tcBorders>
              <w:right w:val="nil"/>
            </w:tcBorders>
            <w:shd w:val="clear" w:color="auto" w:fill="FFFFFF" w:themeFill="background1"/>
          </w:tcPr>
          <w:p w14:paraId="525089E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19C112C8" w14:textId="77777777" w:rsidTr="00015CEA">
        <w:tc>
          <w:tcPr>
            <w:cnfStyle w:val="001000000000" w:firstRow="0" w:lastRow="0" w:firstColumn="1" w:lastColumn="0" w:oddVBand="0" w:evenVBand="0" w:oddHBand="0" w:evenHBand="0" w:firstRowFirstColumn="0" w:firstRowLastColumn="0" w:lastRowFirstColumn="0" w:lastRowLastColumn="0"/>
            <w:tcW w:w="1998" w:type="dxa"/>
            <w:shd w:val="clear" w:color="auto" w:fill="FFFFFF" w:themeFill="background1"/>
          </w:tcPr>
          <w:p w14:paraId="6658A200" w14:textId="77777777" w:rsidR="00C0344C" w:rsidRPr="00181540" w:rsidRDefault="00C0344C" w:rsidP="00015CEA">
            <w:pPr>
              <w:rPr>
                <w:rFonts w:ascii="Arial" w:hAnsi="Arial" w:cs="Arial"/>
                <w:b w:val="0"/>
                <w:bCs w:val="0"/>
              </w:rPr>
            </w:pPr>
            <w:r w:rsidRPr="00181540">
              <w:rPr>
                <w:rFonts w:ascii="Arial" w:hAnsi="Arial" w:cs="Arial"/>
                <w:b w:val="0"/>
              </w:rPr>
              <w:t>ALT (U/L)</w:t>
            </w:r>
          </w:p>
        </w:tc>
        <w:tc>
          <w:tcPr>
            <w:tcW w:w="2669" w:type="dxa"/>
            <w:shd w:val="clear" w:color="auto" w:fill="FFFFFF" w:themeFill="background1"/>
          </w:tcPr>
          <w:p w14:paraId="714BD0E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52.00±17.36</w:t>
            </w:r>
            <w:r w:rsidRPr="00181540">
              <w:rPr>
                <w:rFonts w:ascii="Arial" w:hAnsi="Arial" w:cs="Arial"/>
                <w:vertAlign w:val="superscript"/>
              </w:rPr>
              <w:t>a</w:t>
            </w:r>
          </w:p>
        </w:tc>
        <w:tc>
          <w:tcPr>
            <w:tcW w:w="1508" w:type="dxa"/>
            <w:shd w:val="clear" w:color="auto" w:fill="FFFFFF" w:themeFill="background1"/>
          </w:tcPr>
          <w:p w14:paraId="049A5E9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61.3±8.83</w:t>
            </w:r>
            <w:r w:rsidRPr="00181540">
              <w:rPr>
                <w:rFonts w:ascii="Arial" w:hAnsi="Arial" w:cs="Arial"/>
                <w:vertAlign w:val="superscript"/>
              </w:rPr>
              <w:t>b</w:t>
            </w:r>
          </w:p>
        </w:tc>
        <w:tc>
          <w:tcPr>
            <w:tcW w:w="2159" w:type="dxa"/>
            <w:shd w:val="clear" w:color="auto" w:fill="FFFFFF" w:themeFill="background1"/>
          </w:tcPr>
          <w:p w14:paraId="312BF96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40.20±7.97</w:t>
            </w:r>
            <w:r w:rsidRPr="00181540">
              <w:rPr>
                <w:rFonts w:ascii="Arial" w:hAnsi="Arial" w:cs="Arial"/>
                <w:vertAlign w:val="superscript"/>
              </w:rPr>
              <w:t>c</w:t>
            </w:r>
          </w:p>
        </w:tc>
        <w:tc>
          <w:tcPr>
            <w:tcW w:w="1429" w:type="dxa"/>
            <w:shd w:val="clear" w:color="auto" w:fill="FFFFFF" w:themeFill="background1"/>
          </w:tcPr>
          <w:p w14:paraId="7F0C053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158.8</w:t>
            </w:r>
          </w:p>
        </w:tc>
        <w:tc>
          <w:tcPr>
            <w:tcW w:w="1415" w:type="dxa"/>
            <w:shd w:val="clear" w:color="auto" w:fill="FFFFFF" w:themeFill="background1"/>
          </w:tcPr>
          <w:p w14:paraId="0B30E12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600" w:type="dxa"/>
            <w:shd w:val="clear" w:color="auto" w:fill="FFFFFF" w:themeFill="background1"/>
          </w:tcPr>
          <w:p w14:paraId="6D3B5F3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40CE348F" w14:textId="77777777" w:rsidTr="00015CEA">
        <w:tc>
          <w:tcPr>
            <w:cnfStyle w:val="001000000000" w:firstRow="0" w:lastRow="0" w:firstColumn="1" w:lastColumn="0" w:oddVBand="0" w:evenVBand="0" w:oddHBand="0" w:evenHBand="0" w:firstRowFirstColumn="0" w:firstRowLastColumn="0" w:lastRowFirstColumn="0" w:lastRowLastColumn="0"/>
            <w:tcW w:w="1998" w:type="dxa"/>
            <w:tcBorders>
              <w:left w:val="nil"/>
              <w:right w:val="nil"/>
            </w:tcBorders>
            <w:shd w:val="clear" w:color="auto" w:fill="FFFFFF" w:themeFill="background1"/>
          </w:tcPr>
          <w:p w14:paraId="1EFA4CEA" w14:textId="77777777" w:rsidR="00C0344C" w:rsidRPr="00181540" w:rsidRDefault="00C0344C" w:rsidP="00015CEA">
            <w:pPr>
              <w:rPr>
                <w:rFonts w:ascii="Arial" w:hAnsi="Arial" w:cs="Arial"/>
                <w:b w:val="0"/>
                <w:bCs w:val="0"/>
              </w:rPr>
            </w:pPr>
            <w:r w:rsidRPr="00181540">
              <w:rPr>
                <w:rFonts w:ascii="Arial" w:hAnsi="Arial" w:cs="Arial"/>
                <w:b w:val="0"/>
              </w:rPr>
              <w:t>ALP (U/L)</w:t>
            </w:r>
          </w:p>
        </w:tc>
        <w:tc>
          <w:tcPr>
            <w:tcW w:w="2669" w:type="dxa"/>
            <w:tcBorders>
              <w:right w:val="nil"/>
            </w:tcBorders>
            <w:shd w:val="clear" w:color="auto" w:fill="FFFFFF" w:themeFill="background1"/>
          </w:tcPr>
          <w:p w14:paraId="036560B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217.5±76.13</w:t>
            </w:r>
            <w:r w:rsidRPr="00181540">
              <w:rPr>
                <w:rFonts w:ascii="Arial" w:hAnsi="Arial" w:cs="Arial"/>
                <w:vertAlign w:val="superscript"/>
              </w:rPr>
              <w:t>a</w:t>
            </w:r>
          </w:p>
        </w:tc>
        <w:tc>
          <w:tcPr>
            <w:tcW w:w="1508" w:type="dxa"/>
            <w:tcBorders>
              <w:right w:val="nil"/>
            </w:tcBorders>
            <w:shd w:val="clear" w:color="auto" w:fill="FFFFFF" w:themeFill="background1"/>
          </w:tcPr>
          <w:p w14:paraId="633BE65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261.3±80.83</w:t>
            </w:r>
            <w:r w:rsidRPr="00181540">
              <w:rPr>
                <w:rFonts w:ascii="Arial" w:hAnsi="Arial" w:cs="Arial"/>
                <w:vertAlign w:val="superscript"/>
              </w:rPr>
              <w:t>a</w:t>
            </w:r>
          </w:p>
        </w:tc>
        <w:tc>
          <w:tcPr>
            <w:tcW w:w="2159" w:type="dxa"/>
            <w:tcBorders>
              <w:right w:val="nil"/>
            </w:tcBorders>
            <w:shd w:val="clear" w:color="auto" w:fill="FFFFFF" w:themeFill="background1"/>
          </w:tcPr>
          <w:p w14:paraId="0C0017E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41.20±7.97</w:t>
            </w:r>
            <w:r w:rsidRPr="00181540">
              <w:rPr>
                <w:rFonts w:ascii="Arial" w:hAnsi="Arial" w:cs="Arial"/>
                <w:vertAlign w:val="superscript"/>
              </w:rPr>
              <w:t>b</w:t>
            </w:r>
          </w:p>
        </w:tc>
        <w:tc>
          <w:tcPr>
            <w:tcW w:w="1429" w:type="dxa"/>
            <w:tcBorders>
              <w:right w:val="nil"/>
            </w:tcBorders>
            <w:shd w:val="clear" w:color="auto" w:fill="FFFFFF" w:themeFill="background1"/>
          </w:tcPr>
          <w:p w14:paraId="7AA1EEA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82.82</w:t>
            </w:r>
          </w:p>
        </w:tc>
        <w:tc>
          <w:tcPr>
            <w:tcW w:w="1415" w:type="dxa"/>
            <w:tcBorders>
              <w:right w:val="nil"/>
            </w:tcBorders>
            <w:shd w:val="clear" w:color="auto" w:fill="FFFFFF" w:themeFill="background1"/>
          </w:tcPr>
          <w:p w14:paraId="314C7E0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600" w:type="dxa"/>
            <w:tcBorders>
              <w:right w:val="nil"/>
            </w:tcBorders>
            <w:shd w:val="clear" w:color="auto" w:fill="FFFFFF" w:themeFill="background1"/>
          </w:tcPr>
          <w:p w14:paraId="5E8C20A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1216FD85" w14:textId="77777777" w:rsidTr="00015CEA">
        <w:tc>
          <w:tcPr>
            <w:cnfStyle w:val="001000000000" w:firstRow="0" w:lastRow="0" w:firstColumn="1" w:lastColumn="0" w:oddVBand="0" w:evenVBand="0" w:oddHBand="0" w:evenHBand="0" w:firstRowFirstColumn="0" w:firstRowLastColumn="0" w:lastRowFirstColumn="0" w:lastRowLastColumn="0"/>
            <w:tcW w:w="1998" w:type="dxa"/>
            <w:shd w:val="clear" w:color="auto" w:fill="FFFFFF" w:themeFill="background1"/>
          </w:tcPr>
          <w:p w14:paraId="41C33621" w14:textId="77777777" w:rsidR="00C0344C" w:rsidRPr="00181540" w:rsidRDefault="00C0344C" w:rsidP="00015CEA">
            <w:pPr>
              <w:rPr>
                <w:rFonts w:ascii="Arial" w:hAnsi="Arial" w:cs="Arial"/>
                <w:b w:val="0"/>
                <w:bCs w:val="0"/>
              </w:rPr>
            </w:pPr>
            <w:r w:rsidRPr="00181540">
              <w:rPr>
                <w:rFonts w:ascii="Arial" w:hAnsi="Arial" w:cs="Arial"/>
                <w:b w:val="0"/>
              </w:rPr>
              <w:t>GGT (U/L)</w:t>
            </w:r>
          </w:p>
        </w:tc>
        <w:tc>
          <w:tcPr>
            <w:tcW w:w="2669" w:type="dxa"/>
            <w:shd w:val="clear" w:color="auto" w:fill="FFFFFF" w:themeFill="background1"/>
          </w:tcPr>
          <w:p w14:paraId="7900643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68.95±17.52</w:t>
            </w:r>
            <w:r w:rsidRPr="00181540">
              <w:rPr>
                <w:rFonts w:ascii="Arial" w:hAnsi="Arial" w:cs="Arial"/>
                <w:vertAlign w:val="superscript"/>
              </w:rPr>
              <w:t>a</w:t>
            </w:r>
          </w:p>
        </w:tc>
        <w:tc>
          <w:tcPr>
            <w:tcW w:w="1508" w:type="dxa"/>
            <w:shd w:val="clear" w:color="auto" w:fill="FFFFFF" w:themeFill="background1"/>
          </w:tcPr>
          <w:p w14:paraId="1F11256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93.93±32.84</w:t>
            </w:r>
            <w:r w:rsidRPr="00181540">
              <w:rPr>
                <w:rFonts w:ascii="Arial" w:hAnsi="Arial" w:cs="Arial"/>
                <w:vertAlign w:val="superscript"/>
              </w:rPr>
              <w:t>b</w:t>
            </w:r>
          </w:p>
        </w:tc>
        <w:tc>
          <w:tcPr>
            <w:tcW w:w="2159" w:type="dxa"/>
            <w:shd w:val="clear" w:color="auto" w:fill="FFFFFF" w:themeFill="background1"/>
          </w:tcPr>
          <w:p w14:paraId="6FD4229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46.32±15.40</w:t>
            </w:r>
            <w:r w:rsidRPr="00181540">
              <w:rPr>
                <w:rFonts w:ascii="Arial" w:hAnsi="Arial" w:cs="Arial"/>
                <w:vertAlign w:val="superscript"/>
              </w:rPr>
              <w:t>c</w:t>
            </w:r>
          </w:p>
        </w:tc>
        <w:tc>
          <w:tcPr>
            <w:tcW w:w="1429" w:type="dxa"/>
            <w:shd w:val="clear" w:color="auto" w:fill="FFFFFF" w:themeFill="background1"/>
          </w:tcPr>
          <w:p w14:paraId="38404D6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25.17</w:t>
            </w:r>
          </w:p>
        </w:tc>
        <w:tc>
          <w:tcPr>
            <w:tcW w:w="1415" w:type="dxa"/>
            <w:shd w:val="clear" w:color="auto" w:fill="FFFFFF" w:themeFill="background1"/>
          </w:tcPr>
          <w:p w14:paraId="15E6522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600" w:type="dxa"/>
            <w:shd w:val="clear" w:color="auto" w:fill="FFFFFF" w:themeFill="background1"/>
          </w:tcPr>
          <w:p w14:paraId="3FEA143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67FB2369" w14:textId="77777777" w:rsidTr="00015CEA">
        <w:tc>
          <w:tcPr>
            <w:cnfStyle w:val="001000000000" w:firstRow="0" w:lastRow="0" w:firstColumn="1" w:lastColumn="0" w:oddVBand="0" w:evenVBand="0" w:oddHBand="0" w:evenHBand="0" w:firstRowFirstColumn="0" w:firstRowLastColumn="0" w:lastRowFirstColumn="0" w:lastRowLastColumn="0"/>
            <w:tcW w:w="1998" w:type="dxa"/>
            <w:tcBorders>
              <w:left w:val="nil"/>
              <w:right w:val="nil"/>
            </w:tcBorders>
            <w:shd w:val="clear" w:color="auto" w:fill="FFFFFF" w:themeFill="background1"/>
          </w:tcPr>
          <w:p w14:paraId="170881E1" w14:textId="77777777" w:rsidR="00C0344C" w:rsidRPr="00181540" w:rsidRDefault="00C0344C" w:rsidP="00015CEA">
            <w:pPr>
              <w:rPr>
                <w:rFonts w:ascii="Arial" w:hAnsi="Arial" w:cs="Arial"/>
                <w:b w:val="0"/>
                <w:bCs w:val="0"/>
              </w:rPr>
            </w:pPr>
            <w:r w:rsidRPr="00181540">
              <w:rPr>
                <w:rFonts w:ascii="Arial" w:hAnsi="Arial" w:cs="Arial"/>
                <w:b w:val="0"/>
              </w:rPr>
              <w:t>CRP (ng/ml)</w:t>
            </w:r>
          </w:p>
        </w:tc>
        <w:tc>
          <w:tcPr>
            <w:tcW w:w="2669" w:type="dxa"/>
            <w:tcBorders>
              <w:right w:val="nil"/>
            </w:tcBorders>
            <w:shd w:val="clear" w:color="auto" w:fill="FFFFFF" w:themeFill="background1"/>
          </w:tcPr>
          <w:p w14:paraId="3C6B4EC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4.820±1.45</w:t>
            </w:r>
            <w:r w:rsidRPr="00181540">
              <w:rPr>
                <w:rFonts w:ascii="Arial" w:hAnsi="Arial" w:cs="Arial"/>
                <w:vertAlign w:val="superscript"/>
              </w:rPr>
              <w:t>a</w:t>
            </w:r>
          </w:p>
        </w:tc>
        <w:tc>
          <w:tcPr>
            <w:tcW w:w="1508" w:type="dxa"/>
            <w:tcBorders>
              <w:right w:val="nil"/>
            </w:tcBorders>
            <w:shd w:val="clear" w:color="auto" w:fill="FFFFFF" w:themeFill="background1"/>
          </w:tcPr>
          <w:p w14:paraId="7BBB2C4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5.68±1.51</w:t>
            </w:r>
            <w:r w:rsidRPr="00181540">
              <w:rPr>
                <w:rFonts w:ascii="Arial" w:hAnsi="Arial" w:cs="Arial"/>
                <w:vertAlign w:val="superscript"/>
              </w:rPr>
              <w:t>a</w:t>
            </w:r>
          </w:p>
        </w:tc>
        <w:tc>
          <w:tcPr>
            <w:tcW w:w="2159" w:type="dxa"/>
            <w:tcBorders>
              <w:right w:val="nil"/>
            </w:tcBorders>
            <w:shd w:val="clear" w:color="auto" w:fill="FFFFFF" w:themeFill="background1"/>
          </w:tcPr>
          <w:p w14:paraId="569E416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3.84±1.24</w:t>
            </w:r>
            <w:r w:rsidRPr="00181540">
              <w:rPr>
                <w:rFonts w:ascii="Arial" w:hAnsi="Arial" w:cs="Arial"/>
                <w:vertAlign w:val="superscript"/>
              </w:rPr>
              <w:t>b</w:t>
            </w:r>
          </w:p>
        </w:tc>
        <w:tc>
          <w:tcPr>
            <w:tcW w:w="1429" w:type="dxa"/>
            <w:tcBorders>
              <w:right w:val="nil"/>
            </w:tcBorders>
            <w:shd w:val="clear" w:color="auto" w:fill="FFFFFF" w:themeFill="background1"/>
          </w:tcPr>
          <w:p w14:paraId="10412E9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10.21</w:t>
            </w:r>
          </w:p>
        </w:tc>
        <w:tc>
          <w:tcPr>
            <w:tcW w:w="1415" w:type="dxa"/>
            <w:tcBorders>
              <w:right w:val="nil"/>
            </w:tcBorders>
            <w:shd w:val="clear" w:color="auto" w:fill="FFFFFF" w:themeFill="background1"/>
          </w:tcPr>
          <w:p w14:paraId="2FA54CF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0.0001</w:t>
            </w:r>
          </w:p>
        </w:tc>
        <w:tc>
          <w:tcPr>
            <w:tcW w:w="1600" w:type="dxa"/>
            <w:tcBorders>
              <w:right w:val="nil"/>
            </w:tcBorders>
            <w:shd w:val="clear" w:color="auto" w:fill="FFFFFF" w:themeFill="background1"/>
          </w:tcPr>
          <w:p w14:paraId="73859D9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1B5110E6" w14:textId="77777777" w:rsidTr="00015CEA">
        <w:tc>
          <w:tcPr>
            <w:cnfStyle w:val="001000000000" w:firstRow="0" w:lastRow="0" w:firstColumn="1" w:lastColumn="0" w:oddVBand="0" w:evenVBand="0" w:oddHBand="0" w:evenHBand="0" w:firstRowFirstColumn="0" w:firstRowLastColumn="0" w:lastRowFirstColumn="0" w:lastRowLastColumn="0"/>
            <w:tcW w:w="1998" w:type="dxa"/>
            <w:shd w:val="clear" w:color="auto" w:fill="FFFFFF" w:themeFill="background1"/>
          </w:tcPr>
          <w:p w14:paraId="288A5BAC" w14:textId="77777777" w:rsidR="00C0344C" w:rsidRPr="00181540" w:rsidRDefault="00C0344C" w:rsidP="00015CEA">
            <w:pPr>
              <w:rPr>
                <w:rFonts w:ascii="Arial" w:hAnsi="Arial" w:cs="Arial"/>
                <w:b w:val="0"/>
                <w:bCs w:val="0"/>
              </w:rPr>
            </w:pPr>
            <w:r w:rsidRPr="00181540">
              <w:rPr>
                <w:rFonts w:ascii="Arial" w:hAnsi="Arial" w:cs="Arial"/>
                <w:b w:val="0"/>
              </w:rPr>
              <w:t>LDH (U/L)</w:t>
            </w:r>
          </w:p>
        </w:tc>
        <w:tc>
          <w:tcPr>
            <w:tcW w:w="2669" w:type="dxa"/>
            <w:shd w:val="clear" w:color="auto" w:fill="FFFFFF" w:themeFill="background1"/>
          </w:tcPr>
          <w:p w14:paraId="5EEB97D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128.7±112.0</w:t>
            </w:r>
            <w:r w:rsidRPr="00181540">
              <w:rPr>
                <w:rFonts w:ascii="Arial" w:hAnsi="Arial" w:cs="Arial"/>
                <w:vertAlign w:val="superscript"/>
              </w:rPr>
              <w:t>a</w:t>
            </w:r>
          </w:p>
        </w:tc>
        <w:tc>
          <w:tcPr>
            <w:tcW w:w="1508" w:type="dxa"/>
            <w:shd w:val="clear" w:color="auto" w:fill="FFFFFF" w:themeFill="background1"/>
          </w:tcPr>
          <w:p w14:paraId="0F2E1D4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196.1±71.38</w:t>
            </w:r>
            <w:r w:rsidRPr="00181540">
              <w:rPr>
                <w:rFonts w:ascii="Arial" w:hAnsi="Arial" w:cs="Arial"/>
                <w:vertAlign w:val="superscript"/>
              </w:rPr>
              <w:t>b</w:t>
            </w:r>
          </w:p>
        </w:tc>
        <w:tc>
          <w:tcPr>
            <w:tcW w:w="2159" w:type="dxa"/>
            <w:shd w:val="clear" w:color="auto" w:fill="FFFFFF" w:themeFill="background1"/>
          </w:tcPr>
          <w:p w14:paraId="7727044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185.7±48.87</w:t>
            </w:r>
            <w:r w:rsidRPr="00181540">
              <w:rPr>
                <w:rFonts w:ascii="Arial" w:hAnsi="Arial" w:cs="Arial"/>
                <w:vertAlign w:val="superscript"/>
              </w:rPr>
              <w:t>b</w:t>
            </w:r>
          </w:p>
        </w:tc>
        <w:tc>
          <w:tcPr>
            <w:tcW w:w="1429" w:type="dxa"/>
            <w:shd w:val="clear" w:color="auto" w:fill="FFFFFF" w:themeFill="background1"/>
          </w:tcPr>
          <w:p w14:paraId="2EDB70C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4.531</w:t>
            </w:r>
          </w:p>
        </w:tc>
        <w:tc>
          <w:tcPr>
            <w:tcW w:w="1415" w:type="dxa"/>
            <w:shd w:val="clear" w:color="auto" w:fill="FFFFFF" w:themeFill="background1"/>
          </w:tcPr>
          <w:p w14:paraId="3381840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0.0143</w:t>
            </w:r>
          </w:p>
        </w:tc>
        <w:tc>
          <w:tcPr>
            <w:tcW w:w="1600" w:type="dxa"/>
            <w:shd w:val="clear" w:color="auto" w:fill="FFFFFF" w:themeFill="background1"/>
          </w:tcPr>
          <w:p w14:paraId="0AB34B0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1E48A513" w14:textId="77777777" w:rsidTr="00015CEA">
        <w:tc>
          <w:tcPr>
            <w:cnfStyle w:val="001000000000" w:firstRow="0" w:lastRow="0" w:firstColumn="1" w:lastColumn="0" w:oddVBand="0" w:evenVBand="0" w:oddHBand="0" w:evenHBand="0" w:firstRowFirstColumn="0" w:firstRowLastColumn="0" w:lastRowFirstColumn="0" w:lastRowLastColumn="0"/>
            <w:tcW w:w="1998" w:type="dxa"/>
            <w:tcBorders>
              <w:left w:val="nil"/>
              <w:right w:val="nil"/>
            </w:tcBorders>
            <w:shd w:val="clear" w:color="auto" w:fill="FFFFFF" w:themeFill="background1"/>
          </w:tcPr>
          <w:p w14:paraId="10020F7D" w14:textId="77777777" w:rsidR="00C0344C" w:rsidRPr="00181540" w:rsidRDefault="00C0344C" w:rsidP="00015CEA">
            <w:pPr>
              <w:rPr>
                <w:rFonts w:ascii="Arial" w:hAnsi="Arial" w:cs="Arial"/>
                <w:b w:val="0"/>
                <w:bCs w:val="0"/>
              </w:rPr>
            </w:pPr>
            <w:r w:rsidRPr="00181540">
              <w:rPr>
                <w:rFonts w:ascii="Arial" w:hAnsi="Arial" w:cs="Arial"/>
                <w:b w:val="0"/>
              </w:rPr>
              <w:t>AFP (ng/ml)</w:t>
            </w:r>
          </w:p>
        </w:tc>
        <w:tc>
          <w:tcPr>
            <w:tcW w:w="2669" w:type="dxa"/>
            <w:tcBorders>
              <w:right w:val="nil"/>
            </w:tcBorders>
            <w:shd w:val="clear" w:color="auto" w:fill="FFFFFF" w:themeFill="background1"/>
          </w:tcPr>
          <w:p w14:paraId="3A18F04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164.7±60.72</w:t>
            </w:r>
            <w:r w:rsidRPr="00181540">
              <w:rPr>
                <w:rFonts w:ascii="Arial" w:hAnsi="Arial" w:cs="Arial"/>
                <w:vertAlign w:val="superscript"/>
              </w:rPr>
              <w:t>a</w:t>
            </w:r>
          </w:p>
        </w:tc>
        <w:tc>
          <w:tcPr>
            <w:tcW w:w="1508" w:type="dxa"/>
            <w:tcBorders>
              <w:right w:val="nil"/>
            </w:tcBorders>
            <w:shd w:val="clear" w:color="auto" w:fill="FFFFFF" w:themeFill="background1"/>
          </w:tcPr>
          <w:p w14:paraId="69C67A4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176.0±48.55</w:t>
            </w:r>
            <w:r w:rsidRPr="00181540">
              <w:rPr>
                <w:rFonts w:ascii="Arial" w:hAnsi="Arial" w:cs="Arial"/>
                <w:vertAlign w:val="superscript"/>
              </w:rPr>
              <w:t>a</w:t>
            </w:r>
          </w:p>
        </w:tc>
        <w:tc>
          <w:tcPr>
            <w:tcW w:w="2159" w:type="dxa"/>
            <w:tcBorders>
              <w:right w:val="nil"/>
            </w:tcBorders>
            <w:shd w:val="clear" w:color="auto" w:fill="FFFFFF" w:themeFill="background1"/>
          </w:tcPr>
          <w:p w14:paraId="7E4EEA1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6.99±3.88</w:t>
            </w:r>
            <w:r w:rsidRPr="00181540">
              <w:rPr>
                <w:rFonts w:ascii="Arial" w:hAnsi="Arial" w:cs="Arial"/>
                <w:vertAlign w:val="superscript"/>
              </w:rPr>
              <w:t>b</w:t>
            </w:r>
          </w:p>
        </w:tc>
        <w:tc>
          <w:tcPr>
            <w:tcW w:w="1429" w:type="dxa"/>
            <w:tcBorders>
              <w:right w:val="nil"/>
            </w:tcBorders>
            <w:shd w:val="clear" w:color="auto" w:fill="FFFFFF" w:themeFill="background1"/>
          </w:tcPr>
          <w:p w14:paraId="347823F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110.7</w:t>
            </w:r>
          </w:p>
        </w:tc>
        <w:tc>
          <w:tcPr>
            <w:tcW w:w="1415" w:type="dxa"/>
            <w:tcBorders>
              <w:right w:val="nil"/>
            </w:tcBorders>
            <w:shd w:val="clear" w:color="auto" w:fill="FFFFFF" w:themeFill="background1"/>
          </w:tcPr>
          <w:p w14:paraId="000894E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600" w:type="dxa"/>
            <w:tcBorders>
              <w:right w:val="nil"/>
            </w:tcBorders>
            <w:shd w:val="clear" w:color="auto" w:fill="FFFFFF" w:themeFill="background1"/>
          </w:tcPr>
          <w:p w14:paraId="6443F63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bl>
    <w:p w14:paraId="63F180E6" w14:textId="682F7229" w:rsidR="00C0344C" w:rsidRPr="00181540" w:rsidRDefault="00C0344C" w:rsidP="00C0344C">
      <w:pPr>
        <w:jc w:val="both"/>
        <w:rPr>
          <w:rFonts w:ascii="Arial" w:hAnsi="Arial" w:cs="Arial"/>
        </w:rPr>
      </w:pPr>
      <w:r w:rsidRPr="00181540">
        <w:rPr>
          <w:rFonts w:ascii="Arial" w:hAnsi="Arial" w:cs="Arial"/>
          <w:b/>
        </w:rPr>
        <w:t>PostHoc:</w:t>
      </w:r>
      <w:r w:rsidRPr="00181540">
        <w:rPr>
          <w:rFonts w:ascii="Arial" w:hAnsi="Arial" w:cs="Arial"/>
        </w:rPr>
        <w:t xml:space="preserve"> Values in the same row with different </w:t>
      </w:r>
      <w:r w:rsidR="00326330" w:rsidRPr="00181540">
        <w:rPr>
          <w:rFonts w:ascii="Arial" w:hAnsi="Arial" w:cs="Arial"/>
        </w:rPr>
        <w:t>superscripts</w:t>
      </w:r>
      <w:r w:rsidRPr="00181540">
        <w:rPr>
          <w:rFonts w:ascii="Arial" w:hAnsi="Arial" w:cs="Arial"/>
        </w:rPr>
        <w:t xml:space="preserve"> differ significantly at p&lt;0.05.</w:t>
      </w:r>
    </w:p>
    <w:p w14:paraId="42EADDD5" w14:textId="77777777" w:rsidR="00C0344C" w:rsidRPr="00181540" w:rsidRDefault="00C0344C" w:rsidP="00C0344C">
      <w:pPr>
        <w:jc w:val="both"/>
        <w:rPr>
          <w:rFonts w:ascii="Arial" w:hAnsi="Arial" w:cs="Arial"/>
        </w:rPr>
      </w:pPr>
      <w:r w:rsidRPr="00181540">
        <w:rPr>
          <w:rFonts w:ascii="Arial" w:hAnsi="Arial" w:cs="Arial"/>
        </w:rPr>
        <w:t>KEYS: AST= Aspartate aminotransferase, ALT=Alanine aminotransferase, ALP=Alkaline Phosphatase, GGT=Glutamyl Transferase, CRP=C-Reactive Protein, LDH=Lactate Dehydrogenase, AFP= α-Feto Protein</w:t>
      </w:r>
      <w:r w:rsidRPr="00181540">
        <w:rPr>
          <w:rFonts w:ascii="Arial" w:hAnsi="Arial" w:cs="Arial"/>
          <w:b/>
        </w:rPr>
        <w:t xml:space="preserve">, </w:t>
      </w:r>
      <w:r w:rsidRPr="00181540">
        <w:rPr>
          <w:rFonts w:ascii="Arial" w:hAnsi="Arial" w:cs="Arial"/>
        </w:rPr>
        <w:t>S=Significant, NS=Not Significant at p&lt;0.05, TND=Target Not Detected.</w:t>
      </w:r>
    </w:p>
    <w:p w14:paraId="474D0BE5" w14:textId="77777777" w:rsidR="00C0344C" w:rsidRPr="00181540" w:rsidRDefault="00C0344C" w:rsidP="00C0344C">
      <w:pPr>
        <w:rPr>
          <w:rFonts w:ascii="Arial" w:hAnsi="Arial" w:cs="Arial"/>
        </w:rPr>
      </w:pPr>
    </w:p>
    <w:p w14:paraId="71CE3006" w14:textId="77777777" w:rsidR="00C0344C" w:rsidRPr="00181540" w:rsidRDefault="00C0344C" w:rsidP="00C0344C">
      <w:pPr>
        <w:rPr>
          <w:rFonts w:ascii="Arial" w:hAnsi="Arial" w:cs="Arial"/>
        </w:rPr>
      </w:pPr>
      <w:r w:rsidRPr="00181540">
        <w:rPr>
          <w:rFonts w:ascii="Arial" w:hAnsi="Arial" w:cs="Arial"/>
          <w:b/>
        </w:rPr>
        <w:t xml:space="preserve">         </w:t>
      </w:r>
    </w:p>
    <w:p w14:paraId="0E153C3C" w14:textId="2EF19DBD" w:rsidR="00C0344C" w:rsidRPr="00181540" w:rsidRDefault="00C0344C" w:rsidP="00C0344C">
      <w:pPr>
        <w:rPr>
          <w:rFonts w:ascii="Arial" w:hAnsi="Arial" w:cs="Arial"/>
          <w:b/>
        </w:rPr>
      </w:pPr>
      <w:r w:rsidRPr="00181540">
        <w:rPr>
          <w:rFonts w:ascii="Arial" w:hAnsi="Arial" w:cs="Arial"/>
          <w:b/>
        </w:rPr>
        <w:t xml:space="preserve">Table </w:t>
      </w:r>
      <w:r w:rsidR="00BC17D5">
        <w:rPr>
          <w:rFonts w:ascii="Arial" w:hAnsi="Arial" w:cs="Arial"/>
          <w:b/>
        </w:rPr>
        <w:t>3</w:t>
      </w:r>
      <w:r w:rsidRPr="00181540">
        <w:rPr>
          <w:rFonts w:ascii="Arial" w:hAnsi="Arial" w:cs="Arial"/>
          <w:b/>
        </w:rPr>
        <w:t>: Biochemical analysis Result (Mean</w:t>
      </w:r>
      <w:r w:rsidR="00A56B75">
        <w:rPr>
          <w:rFonts w:ascii="Arial" w:hAnsi="Arial" w:cs="Arial"/>
          <w:b/>
        </w:rPr>
        <w:t xml:space="preserve"> </w:t>
      </w:r>
      <w:r w:rsidRPr="00181540">
        <w:rPr>
          <w:rFonts w:ascii="Arial" w:hAnsi="Arial" w:cs="Arial"/>
          <w:b/>
        </w:rPr>
        <w:t>±</w:t>
      </w:r>
      <w:r w:rsidR="00A56B75">
        <w:rPr>
          <w:rFonts w:ascii="Arial" w:hAnsi="Arial" w:cs="Arial"/>
          <w:b/>
        </w:rPr>
        <w:t xml:space="preserve"> </w:t>
      </w:r>
      <w:r w:rsidRPr="00181540">
        <w:rPr>
          <w:rFonts w:ascii="Arial" w:hAnsi="Arial" w:cs="Arial"/>
          <w:b/>
        </w:rPr>
        <w:t>SD) of Hepatitis B Positive Naïve, Resistant and Negative (Control) Male Subjects</w:t>
      </w:r>
    </w:p>
    <w:tbl>
      <w:tblPr>
        <w:tblStyle w:val="LightShading1"/>
        <w:tblW w:w="12076" w:type="dxa"/>
        <w:shd w:val="clear" w:color="auto" w:fill="FFFFFF" w:themeFill="background1"/>
        <w:tblLook w:val="04A0" w:firstRow="1" w:lastRow="0" w:firstColumn="1" w:lastColumn="0" w:noHBand="0" w:noVBand="1"/>
      </w:tblPr>
      <w:tblGrid>
        <w:gridCol w:w="2088"/>
        <w:gridCol w:w="2022"/>
        <w:gridCol w:w="2160"/>
        <w:gridCol w:w="2160"/>
        <w:gridCol w:w="1426"/>
        <w:gridCol w:w="1164"/>
        <w:gridCol w:w="1056"/>
      </w:tblGrid>
      <w:tr w:rsidR="00C0344C" w:rsidRPr="00181540" w14:paraId="190F0BCE" w14:textId="77777777" w:rsidTr="00015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5FB48C8E" w14:textId="77777777" w:rsidR="00C0344C" w:rsidRPr="00181540" w:rsidRDefault="00C0344C" w:rsidP="00015CEA">
            <w:pPr>
              <w:rPr>
                <w:rFonts w:ascii="Arial" w:hAnsi="Arial" w:cs="Arial"/>
                <w:bCs w:val="0"/>
              </w:rPr>
            </w:pPr>
            <w:r w:rsidRPr="00181540">
              <w:rPr>
                <w:rFonts w:ascii="Arial" w:hAnsi="Arial" w:cs="Arial"/>
                <w:b w:val="0"/>
              </w:rPr>
              <w:t>Parameters</w:t>
            </w:r>
          </w:p>
        </w:tc>
        <w:tc>
          <w:tcPr>
            <w:tcW w:w="2022" w:type="dxa"/>
            <w:shd w:val="clear" w:color="auto" w:fill="FFFFFF" w:themeFill="background1"/>
          </w:tcPr>
          <w:p w14:paraId="2C811DB8"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Male (Naïve)</w:t>
            </w:r>
          </w:p>
          <w:p w14:paraId="705DF88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2160" w:type="dxa"/>
            <w:shd w:val="clear" w:color="auto" w:fill="FFFFFF" w:themeFill="background1"/>
          </w:tcPr>
          <w:p w14:paraId="60144754"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Male (Resistant)</w:t>
            </w:r>
          </w:p>
          <w:p w14:paraId="05015E20"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2160" w:type="dxa"/>
            <w:shd w:val="clear" w:color="auto" w:fill="FFFFFF" w:themeFill="background1"/>
          </w:tcPr>
          <w:p w14:paraId="2084A7BA"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Male (Control)</w:t>
            </w:r>
          </w:p>
          <w:p w14:paraId="1C234398"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(n=25)</w:t>
            </w:r>
          </w:p>
        </w:tc>
        <w:tc>
          <w:tcPr>
            <w:tcW w:w="1426" w:type="dxa"/>
            <w:shd w:val="clear" w:color="auto" w:fill="FFFFFF" w:themeFill="background1"/>
          </w:tcPr>
          <w:p w14:paraId="0FE4DA7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F value</w:t>
            </w:r>
          </w:p>
        </w:tc>
        <w:tc>
          <w:tcPr>
            <w:tcW w:w="1164" w:type="dxa"/>
            <w:shd w:val="clear" w:color="auto" w:fill="FFFFFF" w:themeFill="background1"/>
          </w:tcPr>
          <w:p w14:paraId="599DBC34"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P value</w:t>
            </w:r>
          </w:p>
        </w:tc>
        <w:tc>
          <w:tcPr>
            <w:tcW w:w="1056" w:type="dxa"/>
            <w:shd w:val="clear" w:color="auto" w:fill="FFFFFF" w:themeFill="background1"/>
          </w:tcPr>
          <w:p w14:paraId="134A00D8"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Remark</w:t>
            </w:r>
          </w:p>
        </w:tc>
      </w:tr>
      <w:tr w:rsidR="00C0344C" w:rsidRPr="00181540" w14:paraId="509D9041" w14:textId="77777777" w:rsidTr="00015CEA">
        <w:trPr>
          <w:trHeight w:val="530"/>
        </w:trPr>
        <w:tc>
          <w:tcPr>
            <w:cnfStyle w:val="001000000000" w:firstRow="0" w:lastRow="0" w:firstColumn="1" w:lastColumn="0" w:oddVBand="0" w:evenVBand="0" w:oddHBand="0" w:evenHBand="0" w:firstRowFirstColumn="0" w:firstRowLastColumn="0" w:lastRowFirstColumn="0" w:lastRowLastColumn="0"/>
            <w:tcW w:w="2088" w:type="dxa"/>
            <w:tcBorders>
              <w:left w:val="nil"/>
              <w:right w:val="nil"/>
            </w:tcBorders>
            <w:shd w:val="clear" w:color="auto" w:fill="FFFFFF" w:themeFill="background1"/>
          </w:tcPr>
          <w:p w14:paraId="71448D30" w14:textId="77777777" w:rsidR="00C0344C" w:rsidRPr="00181540" w:rsidRDefault="00C0344C" w:rsidP="00015CEA">
            <w:pPr>
              <w:rPr>
                <w:rFonts w:ascii="Arial" w:hAnsi="Arial" w:cs="Arial"/>
                <w:b w:val="0"/>
                <w:bCs w:val="0"/>
              </w:rPr>
            </w:pPr>
            <w:r w:rsidRPr="00181540">
              <w:rPr>
                <w:rFonts w:ascii="Arial" w:hAnsi="Arial" w:cs="Arial"/>
                <w:b w:val="0"/>
              </w:rPr>
              <w:t>Age (Years)</w:t>
            </w:r>
          </w:p>
        </w:tc>
        <w:tc>
          <w:tcPr>
            <w:tcW w:w="2022" w:type="dxa"/>
            <w:tcBorders>
              <w:right w:val="nil"/>
            </w:tcBorders>
            <w:shd w:val="clear" w:color="auto" w:fill="FFFFFF" w:themeFill="background1"/>
          </w:tcPr>
          <w:p w14:paraId="6DE962D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53.45±8.210</w:t>
            </w:r>
          </w:p>
        </w:tc>
        <w:tc>
          <w:tcPr>
            <w:tcW w:w="2160" w:type="dxa"/>
            <w:tcBorders>
              <w:right w:val="nil"/>
            </w:tcBorders>
            <w:shd w:val="clear" w:color="auto" w:fill="FFFFFF" w:themeFill="background1"/>
          </w:tcPr>
          <w:p w14:paraId="2D81F4C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54.23±7.994</w:t>
            </w:r>
          </w:p>
        </w:tc>
        <w:tc>
          <w:tcPr>
            <w:tcW w:w="2160" w:type="dxa"/>
            <w:tcBorders>
              <w:right w:val="nil"/>
            </w:tcBorders>
            <w:shd w:val="clear" w:color="auto" w:fill="FFFFFF" w:themeFill="background1"/>
          </w:tcPr>
          <w:p w14:paraId="6D9836F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52.64±6.013</w:t>
            </w:r>
          </w:p>
        </w:tc>
        <w:tc>
          <w:tcPr>
            <w:tcW w:w="1426" w:type="dxa"/>
            <w:tcBorders>
              <w:right w:val="nil"/>
            </w:tcBorders>
            <w:shd w:val="clear" w:color="auto" w:fill="FFFFFF" w:themeFill="background1"/>
          </w:tcPr>
          <w:p w14:paraId="0381257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0.2691</w:t>
            </w:r>
          </w:p>
        </w:tc>
        <w:tc>
          <w:tcPr>
            <w:tcW w:w="1164" w:type="dxa"/>
            <w:tcBorders>
              <w:right w:val="nil"/>
            </w:tcBorders>
            <w:shd w:val="clear" w:color="auto" w:fill="FFFFFF" w:themeFill="background1"/>
          </w:tcPr>
          <w:p w14:paraId="0C87967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0.7649</w:t>
            </w:r>
          </w:p>
        </w:tc>
        <w:tc>
          <w:tcPr>
            <w:tcW w:w="1056" w:type="dxa"/>
            <w:tcBorders>
              <w:right w:val="nil"/>
            </w:tcBorders>
            <w:shd w:val="clear" w:color="auto" w:fill="FFFFFF" w:themeFill="background1"/>
          </w:tcPr>
          <w:p w14:paraId="48A3D7E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1D19DDED" w14:textId="77777777" w:rsidTr="00015CEA">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47B3EC53" w14:textId="77777777" w:rsidR="00C0344C" w:rsidRPr="00181540" w:rsidRDefault="00C0344C" w:rsidP="00015CEA">
            <w:pPr>
              <w:rPr>
                <w:rFonts w:ascii="Arial" w:hAnsi="Arial" w:cs="Arial"/>
                <w:b w:val="0"/>
                <w:bCs w:val="0"/>
              </w:rPr>
            </w:pPr>
            <w:r w:rsidRPr="00181540">
              <w:rPr>
                <w:rFonts w:ascii="Arial" w:hAnsi="Arial" w:cs="Arial"/>
                <w:b w:val="0"/>
              </w:rPr>
              <w:t>Viral Load (cells/ml)</w:t>
            </w:r>
          </w:p>
        </w:tc>
        <w:tc>
          <w:tcPr>
            <w:tcW w:w="2022" w:type="dxa"/>
            <w:shd w:val="clear" w:color="auto" w:fill="FFFFFF" w:themeFill="background1"/>
          </w:tcPr>
          <w:p w14:paraId="5C7DF66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2346±542.9</w:t>
            </w:r>
          </w:p>
        </w:tc>
        <w:tc>
          <w:tcPr>
            <w:tcW w:w="2160" w:type="dxa"/>
            <w:shd w:val="clear" w:color="auto" w:fill="FFFFFF" w:themeFill="background1"/>
          </w:tcPr>
          <w:p w14:paraId="6762CDD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22246±7531</w:t>
            </w:r>
          </w:p>
        </w:tc>
        <w:tc>
          <w:tcPr>
            <w:tcW w:w="2160" w:type="dxa"/>
            <w:shd w:val="clear" w:color="auto" w:fill="FFFFFF" w:themeFill="background1"/>
          </w:tcPr>
          <w:p w14:paraId="547FBE0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TND</w:t>
            </w:r>
          </w:p>
        </w:tc>
        <w:tc>
          <w:tcPr>
            <w:tcW w:w="1426" w:type="dxa"/>
            <w:shd w:val="clear" w:color="auto" w:fill="FFFFFF" w:themeFill="background1"/>
          </w:tcPr>
          <w:p w14:paraId="43AA9F6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t=12.36</w:t>
            </w:r>
          </w:p>
        </w:tc>
        <w:tc>
          <w:tcPr>
            <w:tcW w:w="1164" w:type="dxa"/>
            <w:shd w:val="clear" w:color="auto" w:fill="FFFFFF" w:themeFill="background1"/>
          </w:tcPr>
          <w:p w14:paraId="03B1685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056" w:type="dxa"/>
            <w:shd w:val="clear" w:color="auto" w:fill="FFFFFF" w:themeFill="background1"/>
          </w:tcPr>
          <w:p w14:paraId="47FBAC9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59E1ED35" w14:textId="77777777" w:rsidTr="00015CEA">
        <w:tc>
          <w:tcPr>
            <w:cnfStyle w:val="001000000000" w:firstRow="0" w:lastRow="0" w:firstColumn="1" w:lastColumn="0" w:oddVBand="0" w:evenVBand="0" w:oddHBand="0" w:evenHBand="0" w:firstRowFirstColumn="0" w:firstRowLastColumn="0" w:lastRowFirstColumn="0" w:lastRowLastColumn="0"/>
            <w:tcW w:w="2088" w:type="dxa"/>
            <w:tcBorders>
              <w:left w:val="nil"/>
              <w:right w:val="nil"/>
            </w:tcBorders>
            <w:shd w:val="clear" w:color="auto" w:fill="FFFFFF" w:themeFill="background1"/>
          </w:tcPr>
          <w:p w14:paraId="04638D3E" w14:textId="77777777" w:rsidR="00C0344C" w:rsidRPr="00181540" w:rsidRDefault="00C0344C" w:rsidP="00015CEA">
            <w:pPr>
              <w:rPr>
                <w:rFonts w:ascii="Arial" w:hAnsi="Arial" w:cs="Arial"/>
                <w:b w:val="0"/>
                <w:bCs w:val="0"/>
              </w:rPr>
            </w:pPr>
            <w:r w:rsidRPr="00181540">
              <w:rPr>
                <w:rFonts w:ascii="Arial" w:hAnsi="Arial" w:cs="Arial"/>
                <w:b w:val="0"/>
              </w:rPr>
              <w:t>AST (U/L)</w:t>
            </w:r>
          </w:p>
        </w:tc>
        <w:tc>
          <w:tcPr>
            <w:tcW w:w="2022" w:type="dxa"/>
            <w:tcBorders>
              <w:right w:val="nil"/>
            </w:tcBorders>
            <w:shd w:val="clear" w:color="auto" w:fill="FFFFFF" w:themeFill="background1"/>
          </w:tcPr>
          <w:p w14:paraId="7A2E233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45.86±17.42</w:t>
            </w:r>
            <w:r w:rsidRPr="00181540">
              <w:rPr>
                <w:rFonts w:ascii="Arial" w:hAnsi="Arial" w:cs="Arial"/>
                <w:vertAlign w:val="superscript"/>
              </w:rPr>
              <w:t>a</w:t>
            </w:r>
          </w:p>
        </w:tc>
        <w:tc>
          <w:tcPr>
            <w:tcW w:w="2160" w:type="dxa"/>
            <w:tcBorders>
              <w:right w:val="nil"/>
            </w:tcBorders>
            <w:shd w:val="clear" w:color="auto" w:fill="FFFFFF" w:themeFill="background1"/>
          </w:tcPr>
          <w:p w14:paraId="5709EED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50.77±16.23</w:t>
            </w:r>
            <w:r w:rsidRPr="00181540">
              <w:rPr>
                <w:rFonts w:ascii="Arial" w:hAnsi="Arial" w:cs="Arial"/>
                <w:vertAlign w:val="superscript"/>
              </w:rPr>
              <w:t>a</w:t>
            </w:r>
          </w:p>
        </w:tc>
        <w:tc>
          <w:tcPr>
            <w:tcW w:w="2160" w:type="dxa"/>
            <w:tcBorders>
              <w:right w:val="nil"/>
            </w:tcBorders>
            <w:shd w:val="clear" w:color="auto" w:fill="FFFFFF" w:themeFill="background1"/>
          </w:tcPr>
          <w:p w14:paraId="331B88E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37.20±11.24</w:t>
            </w:r>
            <w:r w:rsidRPr="00181540">
              <w:rPr>
                <w:rFonts w:ascii="Arial" w:hAnsi="Arial" w:cs="Arial"/>
                <w:vertAlign w:val="superscript"/>
              </w:rPr>
              <w:t>b</w:t>
            </w:r>
          </w:p>
        </w:tc>
        <w:tc>
          <w:tcPr>
            <w:tcW w:w="1426" w:type="dxa"/>
            <w:tcBorders>
              <w:right w:val="nil"/>
            </w:tcBorders>
            <w:shd w:val="clear" w:color="auto" w:fill="FFFFFF" w:themeFill="background1"/>
          </w:tcPr>
          <w:p w14:paraId="425F58D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4.940</w:t>
            </w:r>
          </w:p>
        </w:tc>
        <w:tc>
          <w:tcPr>
            <w:tcW w:w="1164" w:type="dxa"/>
            <w:tcBorders>
              <w:right w:val="nil"/>
            </w:tcBorders>
            <w:shd w:val="clear" w:color="auto" w:fill="FFFFFF" w:themeFill="background1"/>
          </w:tcPr>
          <w:p w14:paraId="5EDEF01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0.0100</w:t>
            </w:r>
          </w:p>
        </w:tc>
        <w:tc>
          <w:tcPr>
            <w:tcW w:w="1056" w:type="dxa"/>
            <w:tcBorders>
              <w:right w:val="nil"/>
            </w:tcBorders>
            <w:shd w:val="clear" w:color="auto" w:fill="FFFFFF" w:themeFill="background1"/>
          </w:tcPr>
          <w:p w14:paraId="29AC811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48682BEF" w14:textId="77777777" w:rsidTr="00015CEA">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4B55E285" w14:textId="77777777" w:rsidR="00C0344C" w:rsidRPr="00181540" w:rsidRDefault="00C0344C" w:rsidP="00015CEA">
            <w:pPr>
              <w:rPr>
                <w:rFonts w:ascii="Arial" w:hAnsi="Arial" w:cs="Arial"/>
                <w:b w:val="0"/>
                <w:bCs w:val="0"/>
              </w:rPr>
            </w:pPr>
            <w:r w:rsidRPr="00181540">
              <w:rPr>
                <w:rFonts w:ascii="Arial" w:hAnsi="Arial" w:cs="Arial"/>
                <w:b w:val="0"/>
              </w:rPr>
              <w:t>ALT (U/L)</w:t>
            </w:r>
          </w:p>
        </w:tc>
        <w:tc>
          <w:tcPr>
            <w:tcW w:w="2022" w:type="dxa"/>
            <w:shd w:val="clear" w:color="auto" w:fill="FFFFFF" w:themeFill="background1"/>
          </w:tcPr>
          <w:p w14:paraId="38DFE11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50.05±18.29</w:t>
            </w:r>
            <w:r w:rsidRPr="00181540">
              <w:rPr>
                <w:rFonts w:ascii="Arial" w:hAnsi="Arial" w:cs="Arial"/>
                <w:vertAlign w:val="superscript"/>
              </w:rPr>
              <w:t>a</w:t>
            </w:r>
          </w:p>
        </w:tc>
        <w:tc>
          <w:tcPr>
            <w:tcW w:w="2160" w:type="dxa"/>
            <w:shd w:val="clear" w:color="auto" w:fill="FFFFFF" w:themeFill="background1"/>
          </w:tcPr>
          <w:p w14:paraId="7FCBAC0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58.73±15.61</w:t>
            </w:r>
            <w:r w:rsidRPr="00181540">
              <w:rPr>
                <w:rFonts w:ascii="Arial" w:hAnsi="Arial" w:cs="Arial"/>
                <w:vertAlign w:val="superscript"/>
              </w:rPr>
              <w:t>a</w:t>
            </w:r>
          </w:p>
        </w:tc>
        <w:tc>
          <w:tcPr>
            <w:tcW w:w="2160" w:type="dxa"/>
            <w:shd w:val="clear" w:color="auto" w:fill="FFFFFF" w:themeFill="background1"/>
          </w:tcPr>
          <w:p w14:paraId="4392DBD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36.00±11.27</w:t>
            </w:r>
            <w:r w:rsidRPr="00181540">
              <w:rPr>
                <w:rFonts w:ascii="Arial" w:hAnsi="Arial" w:cs="Arial"/>
                <w:vertAlign w:val="superscript"/>
              </w:rPr>
              <w:t>b</w:t>
            </w:r>
          </w:p>
        </w:tc>
        <w:tc>
          <w:tcPr>
            <w:tcW w:w="1426" w:type="dxa"/>
            <w:shd w:val="clear" w:color="auto" w:fill="FFFFFF" w:themeFill="background1"/>
          </w:tcPr>
          <w:p w14:paraId="7407839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13.51</w:t>
            </w:r>
          </w:p>
        </w:tc>
        <w:tc>
          <w:tcPr>
            <w:tcW w:w="1164" w:type="dxa"/>
            <w:shd w:val="clear" w:color="auto" w:fill="FFFFFF" w:themeFill="background1"/>
          </w:tcPr>
          <w:p w14:paraId="5F51220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056" w:type="dxa"/>
            <w:shd w:val="clear" w:color="auto" w:fill="FFFFFF" w:themeFill="background1"/>
          </w:tcPr>
          <w:p w14:paraId="4694756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1AC70420" w14:textId="77777777" w:rsidTr="00015CEA">
        <w:tc>
          <w:tcPr>
            <w:cnfStyle w:val="001000000000" w:firstRow="0" w:lastRow="0" w:firstColumn="1" w:lastColumn="0" w:oddVBand="0" w:evenVBand="0" w:oddHBand="0" w:evenHBand="0" w:firstRowFirstColumn="0" w:firstRowLastColumn="0" w:lastRowFirstColumn="0" w:lastRowLastColumn="0"/>
            <w:tcW w:w="2088" w:type="dxa"/>
            <w:tcBorders>
              <w:left w:val="nil"/>
              <w:right w:val="nil"/>
            </w:tcBorders>
            <w:shd w:val="clear" w:color="auto" w:fill="FFFFFF" w:themeFill="background1"/>
          </w:tcPr>
          <w:p w14:paraId="5F6A48EA" w14:textId="77777777" w:rsidR="00C0344C" w:rsidRPr="00181540" w:rsidRDefault="00C0344C" w:rsidP="00015CEA">
            <w:pPr>
              <w:rPr>
                <w:rFonts w:ascii="Arial" w:hAnsi="Arial" w:cs="Arial"/>
                <w:b w:val="0"/>
                <w:bCs w:val="0"/>
              </w:rPr>
            </w:pPr>
            <w:r w:rsidRPr="00181540">
              <w:rPr>
                <w:rFonts w:ascii="Arial" w:hAnsi="Arial" w:cs="Arial"/>
                <w:b w:val="0"/>
              </w:rPr>
              <w:t>ALP (U/L)</w:t>
            </w:r>
          </w:p>
        </w:tc>
        <w:tc>
          <w:tcPr>
            <w:tcW w:w="2022" w:type="dxa"/>
            <w:tcBorders>
              <w:right w:val="nil"/>
            </w:tcBorders>
            <w:shd w:val="clear" w:color="auto" w:fill="FFFFFF" w:themeFill="background1"/>
          </w:tcPr>
          <w:p w14:paraId="0B7C11B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214.6±80.04</w:t>
            </w:r>
            <w:r w:rsidRPr="00181540">
              <w:rPr>
                <w:rFonts w:ascii="Arial" w:hAnsi="Arial" w:cs="Arial"/>
                <w:vertAlign w:val="superscript"/>
              </w:rPr>
              <w:t>a</w:t>
            </w:r>
          </w:p>
        </w:tc>
        <w:tc>
          <w:tcPr>
            <w:tcW w:w="2160" w:type="dxa"/>
            <w:tcBorders>
              <w:right w:val="nil"/>
            </w:tcBorders>
            <w:shd w:val="clear" w:color="auto" w:fill="FFFFFF" w:themeFill="background1"/>
          </w:tcPr>
          <w:p w14:paraId="31C0C27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254.8±82.48</w:t>
            </w:r>
            <w:r w:rsidRPr="00181540">
              <w:rPr>
                <w:rFonts w:ascii="Arial" w:hAnsi="Arial" w:cs="Arial"/>
                <w:vertAlign w:val="superscript"/>
              </w:rPr>
              <w:t>a</w:t>
            </w:r>
          </w:p>
        </w:tc>
        <w:tc>
          <w:tcPr>
            <w:tcW w:w="2160" w:type="dxa"/>
            <w:tcBorders>
              <w:right w:val="nil"/>
            </w:tcBorders>
            <w:shd w:val="clear" w:color="auto" w:fill="FFFFFF" w:themeFill="background1"/>
          </w:tcPr>
          <w:p w14:paraId="4AF059E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172.6±55.20</w:t>
            </w:r>
            <w:r w:rsidRPr="00181540">
              <w:rPr>
                <w:rFonts w:ascii="Arial" w:hAnsi="Arial" w:cs="Arial"/>
                <w:vertAlign w:val="superscript"/>
              </w:rPr>
              <w:t>b</w:t>
            </w:r>
          </w:p>
        </w:tc>
        <w:tc>
          <w:tcPr>
            <w:tcW w:w="1426" w:type="dxa"/>
            <w:tcBorders>
              <w:right w:val="nil"/>
            </w:tcBorders>
            <w:shd w:val="clear" w:color="auto" w:fill="FFFFFF" w:themeFill="background1"/>
          </w:tcPr>
          <w:p w14:paraId="01B56EC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7.457</w:t>
            </w:r>
          </w:p>
        </w:tc>
        <w:tc>
          <w:tcPr>
            <w:tcW w:w="1164" w:type="dxa"/>
            <w:tcBorders>
              <w:right w:val="nil"/>
            </w:tcBorders>
            <w:shd w:val="clear" w:color="auto" w:fill="FFFFFF" w:themeFill="background1"/>
          </w:tcPr>
          <w:p w14:paraId="2868625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0.0012</w:t>
            </w:r>
          </w:p>
        </w:tc>
        <w:tc>
          <w:tcPr>
            <w:tcW w:w="1056" w:type="dxa"/>
            <w:tcBorders>
              <w:right w:val="nil"/>
            </w:tcBorders>
            <w:shd w:val="clear" w:color="auto" w:fill="FFFFFF" w:themeFill="background1"/>
          </w:tcPr>
          <w:p w14:paraId="4790D84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6A5F2034" w14:textId="77777777" w:rsidTr="00015CEA">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5FF606A8" w14:textId="77777777" w:rsidR="00C0344C" w:rsidRPr="00181540" w:rsidRDefault="00C0344C" w:rsidP="00015CEA">
            <w:pPr>
              <w:rPr>
                <w:rFonts w:ascii="Arial" w:hAnsi="Arial" w:cs="Arial"/>
                <w:b w:val="0"/>
                <w:bCs w:val="0"/>
              </w:rPr>
            </w:pPr>
            <w:r w:rsidRPr="00181540">
              <w:rPr>
                <w:rFonts w:ascii="Arial" w:hAnsi="Arial" w:cs="Arial"/>
                <w:b w:val="0"/>
              </w:rPr>
              <w:t>GGT (U/L)</w:t>
            </w:r>
          </w:p>
        </w:tc>
        <w:tc>
          <w:tcPr>
            <w:tcW w:w="2022" w:type="dxa"/>
            <w:shd w:val="clear" w:color="auto" w:fill="FFFFFF" w:themeFill="background1"/>
          </w:tcPr>
          <w:p w14:paraId="7C6A3C5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158.2±215.4</w:t>
            </w:r>
            <w:r w:rsidRPr="00181540">
              <w:rPr>
                <w:rFonts w:ascii="Arial" w:hAnsi="Arial" w:cs="Arial"/>
                <w:vertAlign w:val="superscript"/>
              </w:rPr>
              <w:t>a</w:t>
            </w:r>
          </w:p>
        </w:tc>
        <w:tc>
          <w:tcPr>
            <w:tcW w:w="2160" w:type="dxa"/>
            <w:shd w:val="clear" w:color="auto" w:fill="FFFFFF" w:themeFill="background1"/>
          </w:tcPr>
          <w:p w14:paraId="129A93C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91.48±33.27</w:t>
            </w:r>
            <w:r w:rsidRPr="00181540">
              <w:rPr>
                <w:rFonts w:ascii="Arial" w:hAnsi="Arial" w:cs="Arial"/>
                <w:vertAlign w:val="superscript"/>
              </w:rPr>
              <w:t>b</w:t>
            </w:r>
          </w:p>
        </w:tc>
        <w:tc>
          <w:tcPr>
            <w:tcW w:w="2160" w:type="dxa"/>
            <w:shd w:val="clear" w:color="auto" w:fill="FFFFFF" w:themeFill="background1"/>
          </w:tcPr>
          <w:p w14:paraId="4F23102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50.76±17.68</w:t>
            </w:r>
            <w:r w:rsidRPr="00181540">
              <w:rPr>
                <w:rFonts w:ascii="Arial" w:hAnsi="Arial" w:cs="Arial"/>
                <w:vertAlign w:val="superscript"/>
              </w:rPr>
              <w:t>c</w:t>
            </w:r>
          </w:p>
        </w:tc>
        <w:tc>
          <w:tcPr>
            <w:tcW w:w="1426" w:type="dxa"/>
            <w:shd w:val="clear" w:color="auto" w:fill="FFFFFF" w:themeFill="background1"/>
          </w:tcPr>
          <w:p w14:paraId="0F308FF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4.479</w:t>
            </w:r>
          </w:p>
        </w:tc>
        <w:tc>
          <w:tcPr>
            <w:tcW w:w="1164" w:type="dxa"/>
            <w:shd w:val="clear" w:color="auto" w:fill="FFFFFF" w:themeFill="background1"/>
          </w:tcPr>
          <w:p w14:paraId="5510267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0.0150</w:t>
            </w:r>
          </w:p>
        </w:tc>
        <w:tc>
          <w:tcPr>
            <w:tcW w:w="1056" w:type="dxa"/>
            <w:shd w:val="clear" w:color="auto" w:fill="FFFFFF" w:themeFill="background1"/>
          </w:tcPr>
          <w:p w14:paraId="679F6E8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7719560D" w14:textId="77777777" w:rsidTr="00015CEA">
        <w:trPr>
          <w:trHeight w:val="287"/>
        </w:trPr>
        <w:tc>
          <w:tcPr>
            <w:cnfStyle w:val="001000000000" w:firstRow="0" w:lastRow="0" w:firstColumn="1" w:lastColumn="0" w:oddVBand="0" w:evenVBand="0" w:oddHBand="0" w:evenHBand="0" w:firstRowFirstColumn="0" w:firstRowLastColumn="0" w:lastRowFirstColumn="0" w:lastRowLastColumn="0"/>
            <w:tcW w:w="2088" w:type="dxa"/>
            <w:tcBorders>
              <w:left w:val="nil"/>
              <w:right w:val="nil"/>
            </w:tcBorders>
            <w:shd w:val="clear" w:color="auto" w:fill="FFFFFF" w:themeFill="background1"/>
          </w:tcPr>
          <w:p w14:paraId="5E6366D2" w14:textId="77777777" w:rsidR="00C0344C" w:rsidRPr="00181540" w:rsidRDefault="00C0344C" w:rsidP="00015CEA">
            <w:pPr>
              <w:rPr>
                <w:rFonts w:ascii="Arial" w:hAnsi="Arial" w:cs="Arial"/>
                <w:b w:val="0"/>
                <w:bCs w:val="0"/>
              </w:rPr>
            </w:pPr>
            <w:r w:rsidRPr="00181540">
              <w:rPr>
                <w:rFonts w:ascii="Arial" w:hAnsi="Arial" w:cs="Arial"/>
                <w:b w:val="0"/>
              </w:rPr>
              <w:t>CRP (ng/ml)</w:t>
            </w:r>
          </w:p>
        </w:tc>
        <w:tc>
          <w:tcPr>
            <w:tcW w:w="2022" w:type="dxa"/>
            <w:tcBorders>
              <w:right w:val="nil"/>
            </w:tcBorders>
            <w:shd w:val="clear" w:color="auto" w:fill="FFFFFF" w:themeFill="background1"/>
          </w:tcPr>
          <w:p w14:paraId="266C70C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5.154±1.35</w:t>
            </w:r>
            <w:r w:rsidRPr="00181540">
              <w:rPr>
                <w:rFonts w:ascii="Arial" w:hAnsi="Arial" w:cs="Arial"/>
                <w:vertAlign w:val="superscript"/>
              </w:rPr>
              <w:t>a</w:t>
            </w:r>
          </w:p>
        </w:tc>
        <w:tc>
          <w:tcPr>
            <w:tcW w:w="2160" w:type="dxa"/>
            <w:tcBorders>
              <w:right w:val="nil"/>
            </w:tcBorders>
            <w:shd w:val="clear" w:color="auto" w:fill="FFFFFF" w:themeFill="background1"/>
          </w:tcPr>
          <w:p w14:paraId="292EC6F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5.670±1.30</w:t>
            </w:r>
            <w:r w:rsidRPr="00181540">
              <w:rPr>
                <w:rFonts w:ascii="Arial" w:hAnsi="Arial" w:cs="Arial"/>
                <w:vertAlign w:val="superscript"/>
              </w:rPr>
              <w:t>a</w:t>
            </w:r>
          </w:p>
        </w:tc>
        <w:tc>
          <w:tcPr>
            <w:tcW w:w="2160" w:type="dxa"/>
            <w:tcBorders>
              <w:right w:val="nil"/>
            </w:tcBorders>
            <w:shd w:val="clear" w:color="auto" w:fill="FFFFFF" w:themeFill="background1"/>
          </w:tcPr>
          <w:p w14:paraId="0293378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4.345±1.35</w:t>
            </w:r>
            <w:r w:rsidRPr="00181540">
              <w:rPr>
                <w:rFonts w:ascii="Arial" w:hAnsi="Arial" w:cs="Arial"/>
                <w:vertAlign w:val="superscript"/>
              </w:rPr>
              <w:t>b</w:t>
            </w:r>
          </w:p>
        </w:tc>
        <w:tc>
          <w:tcPr>
            <w:tcW w:w="1426" w:type="dxa"/>
            <w:tcBorders>
              <w:right w:val="nil"/>
            </w:tcBorders>
            <w:shd w:val="clear" w:color="auto" w:fill="FFFFFF" w:themeFill="background1"/>
          </w:tcPr>
          <w:p w14:paraId="64C5714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5.910</w:t>
            </w:r>
          </w:p>
        </w:tc>
        <w:tc>
          <w:tcPr>
            <w:tcW w:w="1164" w:type="dxa"/>
            <w:tcBorders>
              <w:right w:val="nil"/>
            </w:tcBorders>
            <w:shd w:val="clear" w:color="auto" w:fill="FFFFFF" w:themeFill="background1"/>
          </w:tcPr>
          <w:p w14:paraId="0596D49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0.0044</w:t>
            </w:r>
          </w:p>
        </w:tc>
        <w:tc>
          <w:tcPr>
            <w:tcW w:w="1056" w:type="dxa"/>
            <w:tcBorders>
              <w:right w:val="nil"/>
            </w:tcBorders>
            <w:shd w:val="clear" w:color="auto" w:fill="FFFFFF" w:themeFill="background1"/>
          </w:tcPr>
          <w:p w14:paraId="06654BC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00D9E657" w14:textId="77777777" w:rsidTr="00015CEA">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2207307A" w14:textId="77777777" w:rsidR="00C0344C" w:rsidRPr="00181540" w:rsidRDefault="00C0344C" w:rsidP="00015CEA">
            <w:pPr>
              <w:rPr>
                <w:rFonts w:ascii="Arial" w:hAnsi="Arial" w:cs="Arial"/>
                <w:b w:val="0"/>
                <w:bCs w:val="0"/>
              </w:rPr>
            </w:pPr>
            <w:r w:rsidRPr="00181540">
              <w:rPr>
                <w:rFonts w:ascii="Arial" w:hAnsi="Arial" w:cs="Arial"/>
                <w:b w:val="0"/>
              </w:rPr>
              <w:t>LDH (U/L)</w:t>
            </w:r>
          </w:p>
        </w:tc>
        <w:tc>
          <w:tcPr>
            <w:tcW w:w="2022" w:type="dxa"/>
            <w:shd w:val="clear" w:color="auto" w:fill="FFFFFF" w:themeFill="background1"/>
          </w:tcPr>
          <w:p w14:paraId="08DB86A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219.9±73.64</w:t>
            </w:r>
          </w:p>
        </w:tc>
        <w:tc>
          <w:tcPr>
            <w:tcW w:w="2160" w:type="dxa"/>
            <w:shd w:val="clear" w:color="auto" w:fill="FFFFFF" w:themeFill="background1"/>
          </w:tcPr>
          <w:p w14:paraId="68C8547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201.1±69.80</w:t>
            </w:r>
          </w:p>
        </w:tc>
        <w:tc>
          <w:tcPr>
            <w:tcW w:w="2160" w:type="dxa"/>
            <w:shd w:val="clear" w:color="auto" w:fill="FFFFFF" w:themeFill="background1"/>
          </w:tcPr>
          <w:p w14:paraId="685DE0E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181.6±45.01</w:t>
            </w:r>
          </w:p>
        </w:tc>
        <w:tc>
          <w:tcPr>
            <w:tcW w:w="1426" w:type="dxa"/>
            <w:shd w:val="clear" w:color="auto" w:fill="FFFFFF" w:themeFill="background1"/>
          </w:tcPr>
          <w:p w14:paraId="7489DF2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2.135</w:t>
            </w:r>
          </w:p>
        </w:tc>
        <w:tc>
          <w:tcPr>
            <w:tcW w:w="1164" w:type="dxa"/>
            <w:shd w:val="clear" w:color="auto" w:fill="FFFFFF" w:themeFill="background1"/>
          </w:tcPr>
          <w:p w14:paraId="6843925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0.1263</w:t>
            </w:r>
          </w:p>
        </w:tc>
        <w:tc>
          <w:tcPr>
            <w:tcW w:w="1056" w:type="dxa"/>
            <w:shd w:val="clear" w:color="auto" w:fill="FFFFFF" w:themeFill="background1"/>
          </w:tcPr>
          <w:p w14:paraId="0352217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71268B49" w14:textId="77777777" w:rsidTr="00015CEA">
        <w:tc>
          <w:tcPr>
            <w:cnfStyle w:val="001000000000" w:firstRow="0" w:lastRow="0" w:firstColumn="1" w:lastColumn="0" w:oddVBand="0" w:evenVBand="0" w:oddHBand="0" w:evenHBand="0" w:firstRowFirstColumn="0" w:firstRowLastColumn="0" w:lastRowFirstColumn="0" w:lastRowLastColumn="0"/>
            <w:tcW w:w="2088" w:type="dxa"/>
            <w:tcBorders>
              <w:left w:val="nil"/>
              <w:right w:val="nil"/>
            </w:tcBorders>
            <w:shd w:val="clear" w:color="auto" w:fill="FFFFFF" w:themeFill="background1"/>
          </w:tcPr>
          <w:p w14:paraId="42663581" w14:textId="77777777" w:rsidR="00C0344C" w:rsidRPr="00181540" w:rsidRDefault="00C0344C" w:rsidP="00015CEA">
            <w:pPr>
              <w:rPr>
                <w:rFonts w:ascii="Arial" w:hAnsi="Arial" w:cs="Arial"/>
                <w:b w:val="0"/>
                <w:bCs w:val="0"/>
              </w:rPr>
            </w:pPr>
            <w:r w:rsidRPr="00181540">
              <w:rPr>
                <w:rFonts w:ascii="Arial" w:hAnsi="Arial" w:cs="Arial"/>
                <w:b w:val="0"/>
              </w:rPr>
              <w:t>AFP (ng/ml)</w:t>
            </w:r>
          </w:p>
        </w:tc>
        <w:tc>
          <w:tcPr>
            <w:tcW w:w="2022" w:type="dxa"/>
            <w:tcBorders>
              <w:right w:val="nil"/>
            </w:tcBorders>
            <w:shd w:val="clear" w:color="auto" w:fill="FFFFFF" w:themeFill="background1"/>
          </w:tcPr>
          <w:p w14:paraId="661F728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158.8±49.19</w:t>
            </w:r>
            <w:r w:rsidRPr="00181540">
              <w:rPr>
                <w:rFonts w:ascii="Arial" w:hAnsi="Arial" w:cs="Arial"/>
                <w:vertAlign w:val="superscript"/>
              </w:rPr>
              <w:t>a</w:t>
            </w:r>
          </w:p>
        </w:tc>
        <w:tc>
          <w:tcPr>
            <w:tcW w:w="2160" w:type="dxa"/>
            <w:tcBorders>
              <w:right w:val="nil"/>
            </w:tcBorders>
            <w:shd w:val="clear" w:color="auto" w:fill="FFFFFF" w:themeFill="background1"/>
          </w:tcPr>
          <w:p w14:paraId="5F7A1FA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165.2±57.21</w:t>
            </w:r>
            <w:r w:rsidRPr="00181540">
              <w:rPr>
                <w:rFonts w:ascii="Arial" w:hAnsi="Arial" w:cs="Arial"/>
                <w:vertAlign w:val="superscript"/>
              </w:rPr>
              <w:t>a</w:t>
            </w:r>
          </w:p>
        </w:tc>
        <w:tc>
          <w:tcPr>
            <w:tcW w:w="2160" w:type="dxa"/>
            <w:tcBorders>
              <w:right w:val="nil"/>
            </w:tcBorders>
            <w:shd w:val="clear" w:color="auto" w:fill="FFFFFF" w:themeFill="background1"/>
          </w:tcPr>
          <w:p w14:paraId="6B1E203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8.436±7.49</w:t>
            </w:r>
            <w:r w:rsidRPr="00181540">
              <w:rPr>
                <w:rFonts w:ascii="Arial" w:hAnsi="Arial" w:cs="Arial"/>
                <w:vertAlign w:val="superscript"/>
              </w:rPr>
              <w:t>b</w:t>
            </w:r>
          </w:p>
        </w:tc>
        <w:tc>
          <w:tcPr>
            <w:tcW w:w="1426" w:type="dxa"/>
            <w:tcBorders>
              <w:right w:val="nil"/>
            </w:tcBorders>
            <w:shd w:val="clear" w:color="auto" w:fill="FFFFFF" w:themeFill="background1"/>
          </w:tcPr>
          <w:p w14:paraId="7DC7AFA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102.7</w:t>
            </w:r>
          </w:p>
        </w:tc>
        <w:tc>
          <w:tcPr>
            <w:tcW w:w="1164" w:type="dxa"/>
            <w:tcBorders>
              <w:right w:val="nil"/>
            </w:tcBorders>
            <w:shd w:val="clear" w:color="auto" w:fill="FFFFFF" w:themeFill="background1"/>
          </w:tcPr>
          <w:p w14:paraId="70AB993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056" w:type="dxa"/>
            <w:tcBorders>
              <w:right w:val="nil"/>
            </w:tcBorders>
            <w:shd w:val="clear" w:color="auto" w:fill="FFFFFF" w:themeFill="background1"/>
          </w:tcPr>
          <w:p w14:paraId="0222190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bl>
    <w:p w14:paraId="6EBA71BF" w14:textId="5B9910F9" w:rsidR="00C0344C" w:rsidRPr="00181540" w:rsidRDefault="00C0344C" w:rsidP="00C0344C">
      <w:pPr>
        <w:jc w:val="both"/>
        <w:rPr>
          <w:rFonts w:ascii="Arial" w:hAnsi="Arial" w:cs="Arial"/>
        </w:rPr>
      </w:pPr>
      <w:r w:rsidRPr="00181540">
        <w:rPr>
          <w:rFonts w:ascii="Arial" w:hAnsi="Arial" w:cs="Arial"/>
          <w:b/>
        </w:rPr>
        <w:t>PostHoc:</w:t>
      </w:r>
      <w:r w:rsidRPr="00181540">
        <w:rPr>
          <w:rFonts w:ascii="Arial" w:hAnsi="Arial" w:cs="Arial"/>
        </w:rPr>
        <w:t xml:space="preserve"> Values in the same row with different </w:t>
      </w:r>
      <w:r w:rsidR="00326330" w:rsidRPr="00181540">
        <w:rPr>
          <w:rFonts w:ascii="Arial" w:hAnsi="Arial" w:cs="Arial"/>
        </w:rPr>
        <w:t>superscripts</w:t>
      </w:r>
      <w:r w:rsidRPr="00181540">
        <w:rPr>
          <w:rFonts w:ascii="Arial" w:hAnsi="Arial" w:cs="Arial"/>
        </w:rPr>
        <w:t xml:space="preserve"> differ significantly at p&lt;0.05.</w:t>
      </w:r>
    </w:p>
    <w:p w14:paraId="01AA9178" w14:textId="77777777" w:rsidR="00C0344C" w:rsidRPr="00181540" w:rsidRDefault="00C0344C" w:rsidP="00C0344C">
      <w:pPr>
        <w:jc w:val="both"/>
        <w:rPr>
          <w:rFonts w:ascii="Arial" w:hAnsi="Arial" w:cs="Arial"/>
        </w:rPr>
      </w:pPr>
      <w:r w:rsidRPr="00181540">
        <w:rPr>
          <w:rFonts w:ascii="Arial" w:hAnsi="Arial" w:cs="Arial"/>
        </w:rPr>
        <w:t>KEYS: AST= Aspartate aminotransferase, ALT=Alanine aminotransferase, ALP=Alkaline Phosphatase, GGT=Glutamyl Transferase, CRP=C-Reactive Protein, LDH=Lactate Dehydrogenase, AFP= α-Feto Protein</w:t>
      </w:r>
      <w:r w:rsidRPr="00181540">
        <w:rPr>
          <w:rFonts w:ascii="Arial" w:hAnsi="Arial" w:cs="Arial"/>
          <w:b/>
        </w:rPr>
        <w:t xml:space="preserve">, </w:t>
      </w:r>
      <w:r w:rsidRPr="00181540">
        <w:rPr>
          <w:rFonts w:ascii="Arial" w:hAnsi="Arial" w:cs="Arial"/>
        </w:rPr>
        <w:t>S=Significant, NS=Not Significant at p&lt;0.05, TND=Target Not Detected.</w:t>
      </w:r>
    </w:p>
    <w:p w14:paraId="079B5D6C" w14:textId="77777777" w:rsidR="00C0344C" w:rsidRPr="00181540" w:rsidRDefault="00C0344C" w:rsidP="00C0344C">
      <w:pPr>
        <w:jc w:val="both"/>
        <w:rPr>
          <w:rFonts w:ascii="Arial" w:hAnsi="Arial" w:cs="Arial"/>
        </w:rPr>
        <w:sectPr w:rsidR="00C0344C" w:rsidRPr="00181540" w:rsidSect="00E56D3A">
          <w:pgSz w:w="15840" w:h="12240" w:orient="landscape"/>
          <w:pgMar w:top="1440" w:right="1440" w:bottom="1440" w:left="1440" w:header="720" w:footer="720" w:gutter="0"/>
          <w:cols w:space="720"/>
          <w:docGrid w:linePitch="360"/>
        </w:sectPr>
      </w:pPr>
    </w:p>
    <w:p w14:paraId="6E5BADE2" w14:textId="1F7BACD7" w:rsidR="00C0344C" w:rsidRPr="00181540" w:rsidRDefault="00C0344C" w:rsidP="00C0344C">
      <w:pPr>
        <w:rPr>
          <w:rFonts w:ascii="Arial" w:hAnsi="Arial" w:cs="Arial"/>
          <w:b/>
        </w:rPr>
      </w:pPr>
      <w:r w:rsidRPr="00181540">
        <w:rPr>
          <w:rFonts w:ascii="Arial" w:hAnsi="Arial" w:cs="Arial"/>
          <w:b/>
        </w:rPr>
        <w:lastRenderedPageBreak/>
        <w:t xml:space="preserve">Table 4: Biochemical analysis Result of Hepatitis B Positive Naïve Female against Naïve Male Subjects </w:t>
      </w:r>
    </w:p>
    <w:tbl>
      <w:tblPr>
        <w:tblStyle w:val="LightShading1"/>
        <w:tblW w:w="9532" w:type="dxa"/>
        <w:shd w:val="clear" w:color="auto" w:fill="FFFFFF" w:themeFill="background1"/>
        <w:tblLook w:val="04A0" w:firstRow="1" w:lastRow="0" w:firstColumn="1" w:lastColumn="0" w:noHBand="0" w:noVBand="1"/>
      </w:tblPr>
      <w:tblGrid>
        <w:gridCol w:w="1718"/>
        <w:gridCol w:w="2017"/>
        <w:gridCol w:w="2154"/>
        <w:gridCol w:w="1428"/>
        <w:gridCol w:w="1159"/>
        <w:gridCol w:w="1056"/>
      </w:tblGrid>
      <w:tr w:rsidR="00C0344C" w:rsidRPr="00181540" w14:paraId="7C62D689" w14:textId="77777777" w:rsidTr="00015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shd w:val="clear" w:color="auto" w:fill="FFFFFF" w:themeFill="background1"/>
          </w:tcPr>
          <w:p w14:paraId="4E2AAA08" w14:textId="77777777" w:rsidR="00C0344C" w:rsidRPr="00181540" w:rsidRDefault="00C0344C" w:rsidP="00015CEA">
            <w:pPr>
              <w:jc w:val="center"/>
              <w:rPr>
                <w:rFonts w:ascii="Arial" w:hAnsi="Arial" w:cs="Arial"/>
                <w:bCs w:val="0"/>
              </w:rPr>
            </w:pPr>
            <w:r w:rsidRPr="00181540">
              <w:rPr>
                <w:rFonts w:ascii="Arial" w:hAnsi="Arial" w:cs="Arial"/>
                <w:b w:val="0"/>
              </w:rPr>
              <w:t>Parameters</w:t>
            </w:r>
          </w:p>
        </w:tc>
        <w:tc>
          <w:tcPr>
            <w:tcW w:w="2017" w:type="dxa"/>
            <w:shd w:val="clear" w:color="auto" w:fill="FFFFFF" w:themeFill="background1"/>
          </w:tcPr>
          <w:p w14:paraId="55C9D809"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Female (Naïve)</w:t>
            </w:r>
          </w:p>
          <w:p w14:paraId="3B71B706"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2154" w:type="dxa"/>
            <w:shd w:val="clear" w:color="auto" w:fill="FFFFFF" w:themeFill="background1"/>
          </w:tcPr>
          <w:p w14:paraId="14872E49"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Male (Naive)</w:t>
            </w:r>
          </w:p>
          <w:p w14:paraId="2107567A"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1428" w:type="dxa"/>
            <w:shd w:val="clear" w:color="auto" w:fill="FFFFFF" w:themeFill="background1"/>
          </w:tcPr>
          <w:p w14:paraId="318D4363"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T value</w:t>
            </w:r>
          </w:p>
        </w:tc>
        <w:tc>
          <w:tcPr>
            <w:tcW w:w="1159" w:type="dxa"/>
            <w:shd w:val="clear" w:color="auto" w:fill="FFFFFF" w:themeFill="background1"/>
          </w:tcPr>
          <w:p w14:paraId="135F083B"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P value</w:t>
            </w:r>
          </w:p>
        </w:tc>
        <w:tc>
          <w:tcPr>
            <w:tcW w:w="1056" w:type="dxa"/>
            <w:shd w:val="clear" w:color="auto" w:fill="FFFFFF" w:themeFill="background1"/>
          </w:tcPr>
          <w:p w14:paraId="3FCB7C0D"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Remark</w:t>
            </w:r>
          </w:p>
        </w:tc>
      </w:tr>
      <w:tr w:rsidR="00C0344C" w:rsidRPr="00181540" w14:paraId="4B403E92" w14:textId="77777777" w:rsidTr="00015CEA">
        <w:trPr>
          <w:trHeight w:val="530"/>
        </w:trPr>
        <w:tc>
          <w:tcPr>
            <w:cnfStyle w:val="001000000000" w:firstRow="0" w:lastRow="0" w:firstColumn="1" w:lastColumn="0" w:oddVBand="0" w:evenVBand="0" w:oddHBand="0" w:evenHBand="0" w:firstRowFirstColumn="0" w:firstRowLastColumn="0" w:lastRowFirstColumn="0" w:lastRowLastColumn="0"/>
            <w:tcW w:w="1718" w:type="dxa"/>
            <w:tcBorders>
              <w:left w:val="nil"/>
              <w:right w:val="nil"/>
            </w:tcBorders>
            <w:shd w:val="clear" w:color="auto" w:fill="FFFFFF" w:themeFill="background1"/>
          </w:tcPr>
          <w:p w14:paraId="76CD4179" w14:textId="77777777" w:rsidR="00C0344C" w:rsidRPr="00181540" w:rsidRDefault="00C0344C" w:rsidP="00015CEA">
            <w:pPr>
              <w:rPr>
                <w:rFonts w:ascii="Arial" w:hAnsi="Arial" w:cs="Arial"/>
                <w:b w:val="0"/>
                <w:bCs w:val="0"/>
              </w:rPr>
            </w:pPr>
            <w:r w:rsidRPr="00181540">
              <w:rPr>
                <w:rFonts w:ascii="Arial" w:hAnsi="Arial" w:cs="Arial"/>
                <w:b w:val="0"/>
              </w:rPr>
              <w:t>Age (Years)</w:t>
            </w:r>
          </w:p>
        </w:tc>
        <w:tc>
          <w:tcPr>
            <w:tcW w:w="2017" w:type="dxa"/>
            <w:tcBorders>
              <w:right w:val="nil"/>
            </w:tcBorders>
            <w:shd w:val="clear" w:color="auto" w:fill="FFFFFF" w:themeFill="background1"/>
          </w:tcPr>
          <w:p w14:paraId="3B55BAF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51.18±6.666</w:t>
            </w:r>
          </w:p>
        </w:tc>
        <w:tc>
          <w:tcPr>
            <w:tcW w:w="2154" w:type="dxa"/>
            <w:tcBorders>
              <w:right w:val="nil"/>
            </w:tcBorders>
            <w:shd w:val="clear" w:color="auto" w:fill="FFFFFF" w:themeFill="background1"/>
          </w:tcPr>
          <w:p w14:paraId="62F260E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53.45±8.210</w:t>
            </w:r>
          </w:p>
        </w:tc>
        <w:tc>
          <w:tcPr>
            <w:tcW w:w="1428" w:type="dxa"/>
            <w:tcBorders>
              <w:right w:val="nil"/>
            </w:tcBorders>
            <w:shd w:val="clear" w:color="auto" w:fill="FFFFFF" w:themeFill="background1"/>
          </w:tcPr>
          <w:p w14:paraId="077B9F1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1.008</w:t>
            </w:r>
          </w:p>
        </w:tc>
        <w:tc>
          <w:tcPr>
            <w:tcW w:w="1159" w:type="dxa"/>
            <w:tcBorders>
              <w:right w:val="nil"/>
            </w:tcBorders>
            <w:shd w:val="clear" w:color="auto" w:fill="FFFFFF" w:themeFill="background1"/>
          </w:tcPr>
          <w:p w14:paraId="2C91DDF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0.3192</w:t>
            </w:r>
          </w:p>
        </w:tc>
        <w:tc>
          <w:tcPr>
            <w:tcW w:w="1056" w:type="dxa"/>
            <w:tcBorders>
              <w:right w:val="nil"/>
            </w:tcBorders>
            <w:shd w:val="clear" w:color="auto" w:fill="FFFFFF" w:themeFill="background1"/>
          </w:tcPr>
          <w:p w14:paraId="72FC11B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572C4B01" w14:textId="77777777" w:rsidTr="00015CEA">
        <w:tc>
          <w:tcPr>
            <w:cnfStyle w:val="001000000000" w:firstRow="0" w:lastRow="0" w:firstColumn="1" w:lastColumn="0" w:oddVBand="0" w:evenVBand="0" w:oddHBand="0" w:evenHBand="0" w:firstRowFirstColumn="0" w:firstRowLastColumn="0" w:lastRowFirstColumn="0" w:lastRowLastColumn="0"/>
            <w:tcW w:w="1718" w:type="dxa"/>
            <w:shd w:val="clear" w:color="auto" w:fill="FFFFFF" w:themeFill="background1"/>
          </w:tcPr>
          <w:p w14:paraId="7AAD3D94" w14:textId="77777777" w:rsidR="00C0344C" w:rsidRPr="00181540" w:rsidRDefault="00C0344C" w:rsidP="00015CEA">
            <w:pPr>
              <w:rPr>
                <w:rFonts w:ascii="Arial" w:hAnsi="Arial" w:cs="Arial"/>
                <w:b w:val="0"/>
                <w:bCs w:val="0"/>
              </w:rPr>
            </w:pPr>
            <w:r w:rsidRPr="00181540">
              <w:rPr>
                <w:rFonts w:ascii="Arial" w:hAnsi="Arial" w:cs="Arial"/>
                <w:b w:val="0"/>
              </w:rPr>
              <w:t>Viral Load (cells/ml)</w:t>
            </w:r>
          </w:p>
        </w:tc>
        <w:tc>
          <w:tcPr>
            <w:tcW w:w="2017" w:type="dxa"/>
            <w:shd w:val="clear" w:color="auto" w:fill="FFFFFF" w:themeFill="background1"/>
          </w:tcPr>
          <w:p w14:paraId="63204F1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1961±443.8</w:t>
            </w:r>
          </w:p>
        </w:tc>
        <w:tc>
          <w:tcPr>
            <w:tcW w:w="2154" w:type="dxa"/>
            <w:shd w:val="clear" w:color="auto" w:fill="FFFFFF" w:themeFill="background1"/>
          </w:tcPr>
          <w:p w14:paraId="6987677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2346±542.9</w:t>
            </w:r>
          </w:p>
        </w:tc>
        <w:tc>
          <w:tcPr>
            <w:tcW w:w="1428" w:type="dxa"/>
            <w:shd w:val="clear" w:color="auto" w:fill="FFFFFF" w:themeFill="background1"/>
          </w:tcPr>
          <w:p w14:paraId="0A9A3ED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2.575</w:t>
            </w:r>
          </w:p>
        </w:tc>
        <w:tc>
          <w:tcPr>
            <w:tcW w:w="1159" w:type="dxa"/>
            <w:shd w:val="clear" w:color="auto" w:fill="FFFFFF" w:themeFill="background1"/>
          </w:tcPr>
          <w:p w14:paraId="5A689CE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0.0136</w:t>
            </w:r>
          </w:p>
        </w:tc>
        <w:tc>
          <w:tcPr>
            <w:tcW w:w="1056" w:type="dxa"/>
            <w:shd w:val="clear" w:color="auto" w:fill="FFFFFF" w:themeFill="background1"/>
          </w:tcPr>
          <w:p w14:paraId="7A5961D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p w14:paraId="520AD62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4C6BC2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0344C" w:rsidRPr="00181540" w14:paraId="400CF838" w14:textId="77777777" w:rsidTr="00015CEA">
        <w:tc>
          <w:tcPr>
            <w:cnfStyle w:val="001000000000" w:firstRow="0" w:lastRow="0" w:firstColumn="1" w:lastColumn="0" w:oddVBand="0" w:evenVBand="0" w:oddHBand="0" w:evenHBand="0" w:firstRowFirstColumn="0" w:firstRowLastColumn="0" w:lastRowFirstColumn="0" w:lastRowLastColumn="0"/>
            <w:tcW w:w="1718" w:type="dxa"/>
            <w:tcBorders>
              <w:left w:val="nil"/>
              <w:right w:val="nil"/>
            </w:tcBorders>
            <w:shd w:val="clear" w:color="auto" w:fill="FFFFFF" w:themeFill="background1"/>
          </w:tcPr>
          <w:p w14:paraId="5946395B" w14:textId="77777777" w:rsidR="00C0344C" w:rsidRPr="00181540" w:rsidRDefault="00C0344C" w:rsidP="00015CEA">
            <w:pPr>
              <w:rPr>
                <w:rFonts w:ascii="Arial" w:hAnsi="Arial" w:cs="Arial"/>
                <w:b w:val="0"/>
                <w:bCs w:val="0"/>
              </w:rPr>
            </w:pPr>
            <w:r w:rsidRPr="00181540">
              <w:rPr>
                <w:rFonts w:ascii="Arial" w:hAnsi="Arial" w:cs="Arial"/>
                <w:b w:val="0"/>
              </w:rPr>
              <w:t>AST (U/L)</w:t>
            </w:r>
          </w:p>
        </w:tc>
        <w:tc>
          <w:tcPr>
            <w:tcW w:w="2017" w:type="dxa"/>
            <w:tcBorders>
              <w:right w:val="nil"/>
            </w:tcBorders>
            <w:shd w:val="clear" w:color="auto" w:fill="FFFFFF" w:themeFill="background1"/>
          </w:tcPr>
          <w:p w14:paraId="761349A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41.64±17.51</w:t>
            </w:r>
          </w:p>
        </w:tc>
        <w:tc>
          <w:tcPr>
            <w:tcW w:w="2154" w:type="dxa"/>
            <w:tcBorders>
              <w:right w:val="nil"/>
            </w:tcBorders>
            <w:shd w:val="clear" w:color="auto" w:fill="FFFFFF" w:themeFill="background1"/>
          </w:tcPr>
          <w:p w14:paraId="5CFD4D3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45.86±17.42</w:t>
            </w:r>
          </w:p>
        </w:tc>
        <w:tc>
          <w:tcPr>
            <w:tcW w:w="1428" w:type="dxa"/>
            <w:tcBorders>
              <w:right w:val="nil"/>
            </w:tcBorders>
            <w:shd w:val="clear" w:color="auto" w:fill="FFFFFF" w:themeFill="background1"/>
          </w:tcPr>
          <w:p w14:paraId="7C88A7D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0.8027</w:t>
            </w:r>
          </w:p>
        </w:tc>
        <w:tc>
          <w:tcPr>
            <w:tcW w:w="1159" w:type="dxa"/>
            <w:tcBorders>
              <w:right w:val="nil"/>
            </w:tcBorders>
            <w:shd w:val="clear" w:color="auto" w:fill="FFFFFF" w:themeFill="background1"/>
          </w:tcPr>
          <w:p w14:paraId="219D153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0.4266</w:t>
            </w:r>
          </w:p>
        </w:tc>
        <w:tc>
          <w:tcPr>
            <w:tcW w:w="1056" w:type="dxa"/>
            <w:tcBorders>
              <w:right w:val="nil"/>
            </w:tcBorders>
            <w:shd w:val="clear" w:color="auto" w:fill="FFFFFF" w:themeFill="background1"/>
          </w:tcPr>
          <w:p w14:paraId="2244AF7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4CFFA9F4" w14:textId="77777777" w:rsidTr="00015CEA">
        <w:tc>
          <w:tcPr>
            <w:cnfStyle w:val="001000000000" w:firstRow="0" w:lastRow="0" w:firstColumn="1" w:lastColumn="0" w:oddVBand="0" w:evenVBand="0" w:oddHBand="0" w:evenHBand="0" w:firstRowFirstColumn="0" w:firstRowLastColumn="0" w:lastRowFirstColumn="0" w:lastRowLastColumn="0"/>
            <w:tcW w:w="1718" w:type="dxa"/>
            <w:shd w:val="clear" w:color="auto" w:fill="FFFFFF" w:themeFill="background1"/>
          </w:tcPr>
          <w:p w14:paraId="4C9B63D2" w14:textId="77777777" w:rsidR="00C0344C" w:rsidRPr="00181540" w:rsidRDefault="00C0344C" w:rsidP="00015CEA">
            <w:pPr>
              <w:rPr>
                <w:rFonts w:ascii="Arial" w:hAnsi="Arial" w:cs="Arial"/>
                <w:b w:val="0"/>
                <w:bCs w:val="0"/>
              </w:rPr>
            </w:pPr>
            <w:r w:rsidRPr="00181540">
              <w:rPr>
                <w:rFonts w:ascii="Arial" w:hAnsi="Arial" w:cs="Arial"/>
                <w:b w:val="0"/>
              </w:rPr>
              <w:t>ALT (U/L)</w:t>
            </w:r>
          </w:p>
        </w:tc>
        <w:tc>
          <w:tcPr>
            <w:tcW w:w="2017" w:type="dxa"/>
            <w:shd w:val="clear" w:color="auto" w:fill="FFFFFF" w:themeFill="background1"/>
          </w:tcPr>
          <w:p w14:paraId="0051433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52.00±17.36</w:t>
            </w:r>
          </w:p>
        </w:tc>
        <w:tc>
          <w:tcPr>
            <w:tcW w:w="2154" w:type="dxa"/>
            <w:shd w:val="clear" w:color="auto" w:fill="FFFFFF" w:themeFill="background1"/>
          </w:tcPr>
          <w:p w14:paraId="488C32E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50.05±18.29</w:t>
            </w:r>
          </w:p>
        </w:tc>
        <w:tc>
          <w:tcPr>
            <w:tcW w:w="1428" w:type="dxa"/>
            <w:shd w:val="clear" w:color="auto" w:fill="FFFFFF" w:themeFill="background1"/>
          </w:tcPr>
          <w:p w14:paraId="4588A76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0.3636</w:t>
            </w:r>
          </w:p>
        </w:tc>
        <w:tc>
          <w:tcPr>
            <w:tcW w:w="1159" w:type="dxa"/>
            <w:shd w:val="clear" w:color="auto" w:fill="FFFFFF" w:themeFill="background1"/>
          </w:tcPr>
          <w:p w14:paraId="268BBF9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0.7180</w:t>
            </w:r>
          </w:p>
        </w:tc>
        <w:tc>
          <w:tcPr>
            <w:tcW w:w="1056" w:type="dxa"/>
            <w:shd w:val="clear" w:color="auto" w:fill="FFFFFF" w:themeFill="background1"/>
          </w:tcPr>
          <w:p w14:paraId="5A42BAA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0B8A8B2B" w14:textId="77777777" w:rsidTr="00015CEA">
        <w:tc>
          <w:tcPr>
            <w:cnfStyle w:val="001000000000" w:firstRow="0" w:lastRow="0" w:firstColumn="1" w:lastColumn="0" w:oddVBand="0" w:evenVBand="0" w:oddHBand="0" w:evenHBand="0" w:firstRowFirstColumn="0" w:firstRowLastColumn="0" w:lastRowFirstColumn="0" w:lastRowLastColumn="0"/>
            <w:tcW w:w="1718" w:type="dxa"/>
            <w:tcBorders>
              <w:left w:val="nil"/>
              <w:right w:val="nil"/>
            </w:tcBorders>
            <w:shd w:val="clear" w:color="auto" w:fill="FFFFFF" w:themeFill="background1"/>
          </w:tcPr>
          <w:p w14:paraId="0727D733" w14:textId="77777777" w:rsidR="00C0344C" w:rsidRPr="00181540" w:rsidRDefault="00C0344C" w:rsidP="00015CEA">
            <w:pPr>
              <w:rPr>
                <w:rFonts w:ascii="Arial" w:hAnsi="Arial" w:cs="Arial"/>
                <w:b w:val="0"/>
                <w:bCs w:val="0"/>
              </w:rPr>
            </w:pPr>
            <w:r w:rsidRPr="00181540">
              <w:rPr>
                <w:rFonts w:ascii="Arial" w:hAnsi="Arial" w:cs="Arial"/>
                <w:b w:val="0"/>
              </w:rPr>
              <w:t>ALP (U/L)</w:t>
            </w:r>
          </w:p>
        </w:tc>
        <w:tc>
          <w:tcPr>
            <w:tcW w:w="2017" w:type="dxa"/>
            <w:tcBorders>
              <w:right w:val="nil"/>
            </w:tcBorders>
            <w:shd w:val="clear" w:color="auto" w:fill="FFFFFF" w:themeFill="background1"/>
          </w:tcPr>
          <w:p w14:paraId="1E77860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217.5±76.13</w:t>
            </w:r>
          </w:p>
        </w:tc>
        <w:tc>
          <w:tcPr>
            <w:tcW w:w="2154" w:type="dxa"/>
            <w:tcBorders>
              <w:right w:val="nil"/>
            </w:tcBorders>
            <w:shd w:val="clear" w:color="auto" w:fill="FFFFFF" w:themeFill="background1"/>
          </w:tcPr>
          <w:p w14:paraId="6A5DDE2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214.6±80.04</w:t>
            </w:r>
          </w:p>
        </w:tc>
        <w:tc>
          <w:tcPr>
            <w:tcW w:w="1428" w:type="dxa"/>
            <w:tcBorders>
              <w:right w:val="nil"/>
            </w:tcBorders>
            <w:shd w:val="clear" w:color="auto" w:fill="FFFFFF" w:themeFill="background1"/>
          </w:tcPr>
          <w:p w14:paraId="2E21A5E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0.1216</w:t>
            </w:r>
          </w:p>
        </w:tc>
        <w:tc>
          <w:tcPr>
            <w:tcW w:w="1159" w:type="dxa"/>
            <w:tcBorders>
              <w:right w:val="nil"/>
            </w:tcBorders>
            <w:shd w:val="clear" w:color="auto" w:fill="FFFFFF" w:themeFill="background1"/>
          </w:tcPr>
          <w:p w14:paraId="5BE5D61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0.9038</w:t>
            </w:r>
          </w:p>
        </w:tc>
        <w:tc>
          <w:tcPr>
            <w:tcW w:w="1056" w:type="dxa"/>
            <w:tcBorders>
              <w:right w:val="nil"/>
            </w:tcBorders>
            <w:shd w:val="clear" w:color="auto" w:fill="FFFFFF" w:themeFill="background1"/>
          </w:tcPr>
          <w:p w14:paraId="1B54493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00696CE6" w14:textId="77777777" w:rsidTr="00015CEA">
        <w:tc>
          <w:tcPr>
            <w:cnfStyle w:val="001000000000" w:firstRow="0" w:lastRow="0" w:firstColumn="1" w:lastColumn="0" w:oddVBand="0" w:evenVBand="0" w:oddHBand="0" w:evenHBand="0" w:firstRowFirstColumn="0" w:firstRowLastColumn="0" w:lastRowFirstColumn="0" w:lastRowLastColumn="0"/>
            <w:tcW w:w="1718" w:type="dxa"/>
            <w:shd w:val="clear" w:color="auto" w:fill="FFFFFF" w:themeFill="background1"/>
          </w:tcPr>
          <w:p w14:paraId="5D09BA93" w14:textId="77777777" w:rsidR="00C0344C" w:rsidRPr="00181540" w:rsidRDefault="00C0344C" w:rsidP="00015CEA">
            <w:pPr>
              <w:rPr>
                <w:rFonts w:ascii="Arial" w:hAnsi="Arial" w:cs="Arial"/>
                <w:b w:val="0"/>
                <w:bCs w:val="0"/>
              </w:rPr>
            </w:pPr>
            <w:r w:rsidRPr="00181540">
              <w:rPr>
                <w:rFonts w:ascii="Arial" w:hAnsi="Arial" w:cs="Arial"/>
                <w:b w:val="0"/>
              </w:rPr>
              <w:t>GGT (U/L)</w:t>
            </w:r>
          </w:p>
        </w:tc>
        <w:tc>
          <w:tcPr>
            <w:tcW w:w="2017" w:type="dxa"/>
            <w:shd w:val="clear" w:color="auto" w:fill="FFFFFF" w:themeFill="background1"/>
          </w:tcPr>
          <w:p w14:paraId="59477DF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68.95±17.52</w:t>
            </w:r>
          </w:p>
        </w:tc>
        <w:tc>
          <w:tcPr>
            <w:tcW w:w="2154" w:type="dxa"/>
            <w:shd w:val="clear" w:color="auto" w:fill="FFFFFF" w:themeFill="background1"/>
          </w:tcPr>
          <w:p w14:paraId="26B7F0B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158.2±25.4</w:t>
            </w:r>
          </w:p>
        </w:tc>
        <w:tc>
          <w:tcPr>
            <w:tcW w:w="1428" w:type="dxa"/>
            <w:shd w:val="clear" w:color="auto" w:fill="FFFFFF" w:themeFill="background1"/>
          </w:tcPr>
          <w:p w14:paraId="7999F4E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1.937</w:t>
            </w:r>
          </w:p>
        </w:tc>
        <w:tc>
          <w:tcPr>
            <w:tcW w:w="1159" w:type="dxa"/>
            <w:shd w:val="clear" w:color="auto" w:fill="FFFFFF" w:themeFill="background1"/>
          </w:tcPr>
          <w:p w14:paraId="2255B8C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0.0495</w:t>
            </w:r>
          </w:p>
        </w:tc>
        <w:tc>
          <w:tcPr>
            <w:tcW w:w="1056" w:type="dxa"/>
            <w:shd w:val="clear" w:color="auto" w:fill="FFFFFF" w:themeFill="background1"/>
          </w:tcPr>
          <w:p w14:paraId="4D9FA42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5796A382" w14:textId="77777777" w:rsidTr="00015CEA">
        <w:tc>
          <w:tcPr>
            <w:cnfStyle w:val="001000000000" w:firstRow="0" w:lastRow="0" w:firstColumn="1" w:lastColumn="0" w:oddVBand="0" w:evenVBand="0" w:oddHBand="0" w:evenHBand="0" w:firstRowFirstColumn="0" w:firstRowLastColumn="0" w:lastRowFirstColumn="0" w:lastRowLastColumn="0"/>
            <w:tcW w:w="1718" w:type="dxa"/>
            <w:tcBorders>
              <w:left w:val="nil"/>
              <w:right w:val="nil"/>
            </w:tcBorders>
            <w:shd w:val="clear" w:color="auto" w:fill="FFFFFF" w:themeFill="background1"/>
          </w:tcPr>
          <w:p w14:paraId="67836947" w14:textId="77777777" w:rsidR="00C0344C" w:rsidRPr="00181540" w:rsidRDefault="00C0344C" w:rsidP="00015CEA">
            <w:pPr>
              <w:rPr>
                <w:rFonts w:ascii="Arial" w:hAnsi="Arial" w:cs="Arial"/>
                <w:b w:val="0"/>
                <w:bCs w:val="0"/>
              </w:rPr>
            </w:pPr>
            <w:r w:rsidRPr="00181540">
              <w:rPr>
                <w:rFonts w:ascii="Arial" w:hAnsi="Arial" w:cs="Arial"/>
                <w:b w:val="0"/>
              </w:rPr>
              <w:t>CRP (ng/ml)</w:t>
            </w:r>
          </w:p>
        </w:tc>
        <w:tc>
          <w:tcPr>
            <w:tcW w:w="2017" w:type="dxa"/>
            <w:tcBorders>
              <w:right w:val="nil"/>
            </w:tcBorders>
            <w:shd w:val="clear" w:color="auto" w:fill="FFFFFF" w:themeFill="background1"/>
          </w:tcPr>
          <w:p w14:paraId="376AABB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4.820±1.445</w:t>
            </w:r>
          </w:p>
        </w:tc>
        <w:tc>
          <w:tcPr>
            <w:tcW w:w="2154" w:type="dxa"/>
            <w:tcBorders>
              <w:right w:val="nil"/>
            </w:tcBorders>
            <w:shd w:val="clear" w:color="auto" w:fill="FFFFFF" w:themeFill="background1"/>
          </w:tcPr>
          <w:p w14:paraId="1249D14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5.154±1.348</w:t>
            </w:r>
          </w:p>
        </w:tc>
        <w:tc>
          <w:tcPr>
            <w:tcW w:w="1428" w:type="dxa"/>
            <w:tcBorders>
              <w:right w:val="nil"/>
            </w:tcBorders>
            <w:shd w:val="clear" w:color="auto" w:fill="FFFFFF" w:themeFill="background1"/>
          </w:tcPr>
          <w:p w14:paraId="34EDCC0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0.7931</w:t>
            </w:r>
          </w:p>
        </w:tc>
        <w:tc>
          <w:tcPr>
            <w:tcW w:w="1159" w:type="dxa"/>
            <w:tcBorders>
              <w:right w:val="nil"/>
            </w:tcBorders>
            <w:shd w:val="clear" w:color="auto" w:fill="FFFFFF" w:themeFill="background1"/>
          </w:tcPr>
          <w:p w14:paraId="21B84C4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0.4322</w:t>
            </w:r>
          </w:p>
        </w:tc>
        <w:tc>
          <w:tcPr>
            <w:tcW w:w="1056" w:type="dxa"/>
            <w:tcBorders>
              <w:right w:val="nil"/>
            </w:tcBorders>
            <w:shd w:val="clear" w:color="auto" w:fill="FFFFFF" w:themeFill="background1"/>
          </w:tcPr>
          <w:p w14:paraId="3654358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5435C347" w14:textId="77777777" w:rsidTr="00015CEA">
        <w:tc>
          <w:tcPr>
            <w:cnfStyle w:val="001000000000" w:firstRow="0" w:lastRow="0" w:firstColumn="1" w:lastColumn="0" w:oddVBand="0" w:evenVBand="0" w:oddHBand="0" w:evenHBand="0" w:firstRowFirstColumn="0" w:firstRowLastColumn="0" w:lastRowFirstColumn="0" w:lastRowLastColumn="0"/>
            <w:tcW w:w="1718" w:type="dxa"/>
            <w:shd w:val="clear" w:color="auto" w:fill="FFFFFF" w:themeFill="background1"/>
          </w:tcPr>
          <w:p w14:paraId="490B8ACB" w14:textId="77777777" w:rsidR="00C0344C" w:rsidRPr="00181540" w:rsidRDefault="00C0344C" w:rsidP="00015CEA">
            <w:pPr>
              <w:rPr>
                <w:rFonts w:ascii="Arial" w:hAnsi="Arial" w:cs="Arial"/>
                <w:b w:val="0"/>
                <w:bCs w:val="0"/>
              </w:rPr>
            </w:pPr>
            <w:r w:rsidRPr="00181540">
              <w:rPr>
                <w:rFonts w:ascii="Arial" w:hAnsi="Arial" w:cs="Arial"/>
                <w:b w:val="0"/>
              </w:rPr>
              <w:t>LDH (U/L)</w:t>
            </w:r>
          </w:p>
        </w:tc>
        <w:tc>
          <w:tcPr>
            <w:tcW w:w="2017" w:type="dxa"/>
            <w:shd w:val="clear" w:color="auto" w:fill="FFFFFF" w:themeFill="background1"/>
          </w:tcPr>
          <w:p w14:paraId="5AD85C0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128.7±112.0</w:t>
            </w:r>
          </w:p>
        </w:tc>
        <w:tc>
          <w:tcPr>
            <w:tcW w:w="2154" w:type="dxa"/>
            <w:shd w:val="clear" w:color="auto" w:fill="FFFFFF" w:themeFill="background1"/>
          </w:tcPr>
          <w:p w14:paraId="39500B1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219.9±73.64</w:t>
            </w:r>
          </w:p>
        </w:tc>
        <w:tc>
          <w:tcPr>
            <w:tcW w:w="1428" w:type="dxa"/>
            <w:shd w:val="clear" w:color="auto" w:fill="FFFFFF" w:themeFill="background1"/>
          </w:tcPr>
          <w:p w14:paraId="4EC5EC7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3.192</w:t>
            </w:r>
          </w:p>
        </w:tc>
        <w:tc>
          <w:tcPr>
            <w:tcW w:w="1159" w:type="dxa"/>
            <w:shd w:val="clear" w:color="auto" w:fill="FFFFFF" w:themeFill="background1"/>
          </w:tcPr>
          <w:p w14:paraId="1A0E324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0.0027</w:t>
            </w:r>
          </w:p>
        </w:tc>
        <w:tc>
          <w:tcPr>
            <w:tcW w:w="1056" w:type="dxa"/>
            <w:shd w:val="clear" w:color="auto" w:fill="FFFFFF" w:themeFill="background1"/>
          </w:tcPr>
          <w:p w14:paraId="2DACAB5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3B840074" w14:textId="77777777" w:rsidTr="00015CEA">
        <w:tc>
          <w:tcPr>
            <w:cnfStyle w:val="001000000000" w:firstRow="0" w:lastRow="0" w:firstColumn="1" w:lastColumn="0" w:oddVBand="0" w:evenVBand="0" w:oddHBand="0" w:evenHBand="0" w:firstRowFirstColumn="0" w:firstRowLastColumn="0" w:lastRowFirstColumn="0" w:lastRowLastColumn="0"/>
            <w:tcW w:w="1718" w:type="dxa"/>
            <w:tcBorders>
              <w:left w:val="nil"/>
              <w:right w:val="nil"/>
            </w:tcBorders>
            <w:shd w:val="clear" w:color="auto" w:fill="FFFFFF" w:themeFill="background1"/>
          </w:tcPr>
          <w:p w14:paraId="2D916E1C" w14:textId="77777777" w:rsidR="00C0344C" w:rsidRPr="00181540" w:rsidRDefault="00C0344C" w:rsidP="00015CEA">
            <w:pPr>
              <w:rPr>
                <w:rFonts w:ascii="Arial" w:hAnsi="Arial" w:cs="Arial"/>
                <w:b w:val="0"/>
                <w:bCs w:val="0"/>
              </w:rPr>
            </w:pPr>
            <w:r w:rsidRPr="00181540">
              <w:rPr>
                <w:rFonts w:ascii="Arial" w:hAnsi="Arial" w:cs="Arial"/>
                <w:b w:val="0"/>
              </w:rPr>
              <w:t>AFP (ng/ml)</w:t>
            </w:r>
          </w:p>
        </w:tc>
        <w:tc>
          <w:tcPr>
            <w:tcW w:w="2017" w:type="dxa"/>
            <w:tcBorders>
              <w:right w:val="nil"/>
            </w:tcBorders>
            <w:shd w:val="clear" w:color="auto" w:fill="FFFFFF" w:themeFill="background1"/>
          </w:tcPr>
          <w:p w14:paraId="3F39F08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164.7±60.72</w:t>
            </w:r>
          </w:p>
        </w:tc>
        <w:tc>
          <w:tcPr>
            <w:tcW w:w="2154" w:type="dxa"/>
            <w:tcBorders>
              <w:right w:val="nil"/>
            </w:tcBorders>
            <w:shd w:val="clear" w:color="auto" w:fill="FFFFFF" w:themeFill="background1"/>
          </w:tcPr>
          <w:p w14:paraId="2CCE3CE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158.8±49.19</w:t>
            </w:r>
          </w:p>
        </w:tc>
        <w:tc>
          <w:tcPr>
            <w:tcW w:w="1428" w:type="dxa"/>
            <w:tcBorders>
              <w:right w:val="nil"/>
            </w:tcBorders>
            <w:shd w:val="clear" w:color="auto" w:fill="FFFFFF" w:themeFill="background1"/>
          </w:tcPr>
          <w:p w14:paraId="7F02F7B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0.3574</w:t>
            </w:r>
          </w:p>
        </w:tc>
        <w:tc>
          <w:tcPr>
            <w:tcW w:w="1159" w:type="dxa"/>
            <w:tcBorders>
              <w:right w:val="nil"/>
            </w:tcBorders>
            <w:shd w:val="clear" w:color="auto" w:fill="FFFFFF" w:themeFill="background1"/>
          </w:tcPr>
          <w:p w14:paraId="2FE59E6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0.7226</w:t>
            </w:r>
          </w:p>
        </w:tc>
        <w:tc>
          <w:tcPr>
            <w:tcW w:w="1056" w:type="dxa"/>
            <w:tcBorders>
              <w:right w:val="nil"/>
            </w:tcBorders>
            <w:shd w:val="clear" w:color="auto" w:fill="FFFFFF" w:themeFill="background1"/>
          </w:tcPr>
          <w:p w14:paraId="16FB234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bl>
    <w:p w14:paraId="52123071" w14:textId="77777777" w:rsidR="00C0344C" w:rsidRPr="00181540" w:rsidRDefault="00C0344C" w:rsidP="00C0344C">
      <w:pPr>
        <w:jc w:val="both"/>
        <w:rPr>
          <w:rFonts w:ascii="Arial" w:hAnsi="Arial" w:cs="Arial"/>
        </w:rPr>
      </w:pPr>
      <w:r w:rsidRPr="00181540">
        <w:rPr>
          <w:rFonts w:ascii="Arial" w:hAnsi="Arial" w:cs="Arial"/>
        </w:rPr>
        <w:t>KEYS: AST= Aspartate aminotransferase, ALT=Alanine aminotransferase, ALP=Alkaline Phosphatase, GGT=Glutamyl Transferase, CRP=C-Reactive Protein, LDH=Lactate Dehydrogenase, AFP= α-Feto Protein</w:t>
      </w:r>
      <w:r w:rsidRPr="00181540">
        <w:rPr>
          <w:rFonts w:ascii="Arial" w:hAnsi="Arial" w:cs="Arial"/>
          <w:b/>
        </w:rPr>
        <w:t xml:space="preserve">, </w:t>
      </w:r>
      <w:r w:rsidRPr="00181540">
        <w:rPr>
          <w:rFonts w:ascii="Arial" w:hAnsi="Arial" w:cs="Arial"/>
        </w:rPr>
        <w:t>S=Significant, NS=Not Significant at p&lt;0.05.</w:t>
      </w:r>
    </w:p>
    <w:p w14:paraId="1ED931C6" w14:textId="77777777" w:rsidR="00C0344C" w:rsidRPr="00181540" w:rsidRDefault="00C0344C" w:rsidP="00C0344C">
      <w:pPr>
        <w:rPr>
          <w:rFonts w:ascii="Arial" w:hAnsi="Arial" w:cs="Arial"/>
        </w:rPr>
      </w:pPr>
    </w:p>
    <w:p w14:paraId="0D5740CA" w14:textId="77777777" w:rsidR="00C0344C" w:rsidRPr="00181540" w:rsidRDefault="00C0344C" w:rsidP="00C0344C">
      <w:pPr>
        <w:rPr>
          <w:rFonts w:ascii="Arial" w:hAnsi="Arial" w:cs="Arial"/>
          <w:b/>
        </w:rPr>
      </w:pPr>
    </w:p>
    <w:p w14:paraId="675D4046" w14:textId="721104D3" w:rsidR="00C0344C" w:rsidRPr="00181540" w:rsidRDefault="00C0344C" w:rsidP="00C0344C">
      <w:pPr>
        <w:rPr>
          <w:rFonts w:ascii="Arial" w:hAnsi="Arial" w:cs="Arial"/>
          <w:b/>
        </w:rPr>
      </w:pPr>
      <w:r w:rsidRPr="00181540">
        <w:rPr>
          <w:rFonts w:ascii="Arial" w:hAnsi="Arial" w:cs="Arial"/>
          <w:b/>
        </w:rPr>
        <w:t xml:space="preserve">Table </w:t>
      </w:r>
      <w:r w:rsidR="00BC17D5">
        <w:rPr>
          <w:rFonts w:ascii="Arial" w:hAnsi="Arial" w:cs="Arial"/>
          <w:b/>
        </w:rPr>
        <w:t>5</w:t>
      </w:r>
      <w:r w:rsidRPr="00181540">
        <w:rPr>
          <w:rFonts w:ascii="Arial" w:hAnsi="Arial" w:cs="Arial"/>
          <w:b/>
        </w:rPr>
        <w:t xml:space="preserve">: Biochemical analysis Result of Hepatitis B Positive Resistant Female against Resistant Male Subjects </w:t>
      </w:r>
    </w:p>
    <w:tbl>
      <w:tblPr>
        <w:tblStyle w:val="LightShading1"/>
        <w:tblW w:w="9532" w:type="dxa"/>
        <w:shd w:val="clear" w:color="auto" w:fill="FFFFFF" w:themeFill="background1"/>
        <w:tblLook w:val="04A0" w:firstRow="1" w:lastRow="0" w:firstColumn="1" w:lastColumn="0" w:noHBand="0" w:noVBand="1"/>
      </w:tblPr>
      <w:tblGrid>
        <w:gridCol w:w="1717"/>
        <w:gridCol w:w="2016"/>
        <w:gridCol w:w="2153"/>
        <w:gridCol w:w="1431"/>
        <w:gridCol w:w="1159"/>
        <w:gridCol w:w="1056"/>
      </w:tblGrid>
      <w:tr w:rsidR="00C0344C" w:rsidRPr="00181540" w14:paraId="5C9A46B8" w14:textId="77777777" w:rsidTr="00015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shd w:val="clear" w:color="auto" w:fill="FFFFFF" w:themeFill="background1"/>
          </w:tcPr>
          <w:p w14:paraId="7F77B4C9" w14:textId="77777777" w:rsidR="00C0344C" w:rsidRPr="00181540" w:rsidRDefault="00C0344C" w:rsidP="00015CEA">
            <w:pPr>
              <w:rPr>
                <w:rFonts w:ascii="Arial" w:hAnsi="Arial" w:cs="Arial"/>
                <w:bCs w:val="0"/>
              </w:rPr>
            </w:pPr>
            <w:r w:rsidRPr="00181540">
              <w:rPr>
                <w:rFonts w:ascii="Arial" w:hAnsi="Arial" w:cs="Arial"/>
                <w:b w:val="0"/>
              </w:rPr>
              <w:t>Parameters</w:t>
            </w:r>
          </w:p>
        </w:tc>
        <w:tc>
          <w:tcPr>
            <w:tcW w:w="2016" w:type="dxa"/>
            <w:shd w:val="clear" w:color="auto" w:fill="FFFFFF" w:themeFill="background1"/>
          </w:tcPr>
          <w:p w14:paraId="2E5F90C9"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Female (Resistant)</w:t>
            </w:r>
          </w:p>
          <w:p w14:paraId="23423BF9"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2153" w:type="dxa"/>
            <w:shd w:val="clear" w:color="auto" w:fill="FFFFFF" w:themeFill="background1"/>
          </w:tcPr>
          <w:p w14:paraId="3F0387D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 xml:space="preserve">Male </w:t>
            </w:r>
          </w:p>
          <w:p w14:paraId="057F086B"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(Resistant)</w:t>
            </w:r>
          </w:p>
          <w:p w14:paraId="7572A505"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1431" w:type="dxa"/>
            <w:shd w:val="clear" w:color="auto" w:fill="FFFFFF" w:themeFill="background1"/>
          </w:tcPr>
          <w:p w14:paraId="4A319AD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T value</w:t>
            </w:r>
          </w:p>
        </w:tc>
        <w:tc>
          <w:tcPr>
            <w:tcW w:w="1159" w:type="dxa"/>
            <w:shd w:val="clear" w:color="auto" w:fill="FFFFFF" w:themeFill="background1"/>
          </w:tcPr>
          <w:p w14:paraId="6C0E04D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P value</w:t>
            </w:r>
          </w:p>
        </w:tc>
        <w:tc>
          <w:tcPr>
            <w:tcW w:w="1056" w:type="dxa"/>
            <w:shd w:val="clear" w:color="auto" w:fill="FFFFFF" w:themeFill="background1"/>
          </w:tcPr>
          <w:p w14:paraId="70DCAB08"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Remark</w:t>
            </w:r>
          </w:p>
        </w:tc>
      </w:tr>
      <w:tr w:rsidR="00C0344C" w:rsidRPr="00181540" w14:paraId="05B5A18D" w14:textId="77777777" w:rsidTr="00015CEA">
        <w:trPr>
          <w:trHeight w:val="530"/>
        </w:trPr>
        <w:tc>
          <w:tcPr>
            <w:cnfStyle w:val="001000000000" w:firstRow="0" w:lastRow="0" w:firstColumn="1" w:lastColumn="0" w:oddVBand="0" w:evenVBand="0" w:oddHBand="0" w:evenHBand="0" w:firstRowFirstColumn="0" w:firstRowLastColumn="0" w:lastRowFirstColumn="0" w:lastRowLastColumn="0"/>
            <w:tcW w:w="1717" w:type="dxa"/>
            <w:tcBorders>
              <w:left w:val="nil"/>
              <w:right w:val="nil"/>
            </w:tcBorders>
            <w:shd w:val="clear" w:color="auto" w:fill="FFFFFF" w:themeFill="background1"/>
          </w:tcPr>
          <w:p w14:paraId="2597E194" w14:textId="77777777" w:rsidR="00C0344C" w:rsidRPr="00181540" w:rsidRDefault="00C0344C" w:rsidP="00015CEA">
            <w:pPr>
              <w:rPr>
                <w:rFonts w:ascii="Arial" w:hAnsi="Arial" w:cs="Arial"/>
                <w:b w:val="0"/>
                <w:bCs w:val="0"/>
              </w:rPr>
            </w:pPr>
            <w:r w:rsidRPr="00181540">
              <w:rPr>
                <w:rFonts w:ascii="Arial" w:hAnsi="Arial" w:cs="Arial"/>
                <w:b w:val="0"/>
              </w:rPr>
              <w:t>Age (Years)</w:t>
            </w:r>
          </w:p>
        </w:tc>
        <w:tc>
          <w:tcPr>
            <w:tcW w:w="2016" w:type="dxa"/>
            <w:tcBorders>
              <w:right w:val="nil"/>
            </w:tcBorders>
            <w:shd w:val="clear" w:color="auto" w:fill="FFFFFF" w:themeFill="background1"/>
          </w:tcPr>
          <w:p w14:paraId="4EB5B15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49.50±7.209</w:t>
            </w:r>
          </w:p>
        </w:tc>
        <w:tc>
          <w:tcPr>
            <w:tcW w:w="2153" w:type="dxa"/>
            <w:tcBorders>
              <w:right w:val="nil"/>
            </w:tcBorders>
            <w:shd w:val="clear" w:color="auto" w:fill="FFFFFF" w:themeFill="background1"/>
          </w:tcPr>
          <w:p w14:paraId="2B61813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54.23±7.994</w:t>
            </w:r>
          </w:p>
        </w:tc>
        <w:tc>
          <w:tcPr>
            <w:tcW w:w="1431" w:type="dxa"/>
            <w:tcBorders>
              <w:right w:val="nil"/>
            </w:tcBorders>
            <w:shd w:val="clear" w:color="auto" w:fill="FFFFFF" w:themeFill="background1"/>
          </w:tcPr>
          <w:p w14:paraId="56A70BA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2.060</w:t>
            </w:r>
          </w:p>
        </w:tc>
        <w:tc>
          <w:tcPr>
            <w:tcW w:w="1159" w:type="dxa"/>
            <w:tcBorders>
              <w:right w:val="nil"/>
            </w:tcBorders>
            <w:shd w:val="clear" w:color="auto" w:fill="FFFFFF" w:themeFill="background1"/>
          </w:tcPr>
          <w:p w14:paraId="6177A68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0.0456</w:t>
            </w:r>
          </w:p>
        </w:tc>
        <w:tc>
          <w:tcPr>
            <w:tcW w:w="1056" w:type="dxa"/>
            <w:tcBorders>
              <w:right w:val="nil"/>
            </w:tcBorders>
            <w:shd w:val="clear" w:color="auto" w:fill="FFFFFF" w:themeFill="background1"/>
          </w:tcPr>
          <w:p w14:paraId="463BF86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7EA75F9A" w14:textId="77777777" w:rsidTr="00015CEA">
        <w:tc>
          <w:tcPr>
            <w:cnfStyle w:val="001000000000" w:firstRow="0" w:lastRow="0" w:firstColumn="1" w:lastColumn="0" w:oddVBand="0" w:evenVBand="0" w:oddHBand="0" w:evenHBand="0" w:firstRowFirstColumn="0" w:firstRowLastColumn="0" w:lastRowFirstColumn="0" w:lastRowLastColumn="0"/>
            <w:tcW w:w="1717" w:type="dxa"/>
            <w:shd w:val="clear" w:color="auto" w:fill="FFFFFF" w:themeFill="background1"/>
          </w:tcPr>
          <w:p w14:paraId="240343B0" w14:textId="77777777" w:rsidR="00C0344C" w:rsidRPr="00181540" w:rsidRDefault="00C0344C" w:rsidP="00015CEA">
            <w:pPr>
              <w:rPr>
                <w:rFonts w:ascii="Arial" w:hAnsi="Arial" w:cs="Arial"/>
                <w:b w:val="0"/>
                <w:bCs w:val="0"/>
              </w:rPr>
            </w:pPr>
            <w:r w:rsidRPr="00181540">
              <w:rPr>
                <w:rFonts w:ascii="Arial" w:hAnsi="Arial" w:cs="Arial"/>
                <w:b w:val="0"/>
              </w:rPr>
              <w:t>Viral Load (cells/ml)</w:t>
            </w:r>
          </w:p>
        </w:tc>
        <w:tc>
          <w:tcPr>
            <w:tcW w:w="2016" w:type="dxa"/>
            <w:shd w:val="clear" w:color="auto" w:fill="FFFFFF" w:themeFill="background1"/>
          </w:tcPr>
          <w:p w14:paraId="2C4889E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21408±6473</w:t>
            </w:r>
          </w:p>
        </w:tc>
        <w:tc>
          <w:tcPr>
            <w:tcW w:w="2153" w:type="dxa"/>
            <w:shd w:val="clear" w:color="auto" w:fill="FFFFFF" w:themeFill="background1"/>
          </w:tcPr>
          <w:p w14:paraId="75DE7FD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22246±7531</w:t>
            </w:r>
          </w:p>
        </w:tc>
        <w:tc>
          <w:tcPr>
            <w:tcW w:w="1431" w:type="dxa"/>
            <w:shd w:val="clear" w:color="auto" w:fill="FFFFFF" w:themeFill="background1"/>
          </w:tcPr>
          <w:p w14:paraId="73DC162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0.3959</w:t>
            </w:r>
          </w:p>
        </w:tc>
        <w:tc>
          <w:tcPr>
            <w:tcW w:w="1159" w:type="dxa"/>
            <w:shd w:val="clear" w:color="auto" w:fill="FFFFFF" w:themeFill="background1"/>
          </w:tcPr>
          <w:p w14:paraId="5D4BB4E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0.6942</w:t>
            </w:r>
          </w:p>
        </w:tc>
        <w:tc>
          <w:tcPr>
            <w:tcW w:w="1056" w:type="dxa"/>
            <w:shd w:val="clear" w:color="auto" w:fill="FFFFFF" w:themeFill="background1"/>
          </w:tcPr>
          <w:p w14:paraId="3C680C2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173978E4" w14:textId="77777777" w:rsidTr="00015CEA">
        <w:tc>
          <w:tcPr>
            <w:cnfStyle w:val="001000000000" w:firstRow="0" w:lastRow="0" w:firstColumn="1" w:lastColumn="0" w:oddVBand="0" w:evenVBand="0" w:oddHBand="0" w:evenHBand="0" w:firstRowFirstColumn="0" w:firstRowLastColumn="0" w:lastRowFirstColumn="0" w:lastRowLastColumn="0"/>
            <w:tcW w:w="1717" w:type="dxa"/>
            <w:tcBorders>
              <w:left w:val="nil"/>
              <w:right w:val="nil"/>
            </w:tcBorders>
            <w:shd w:val="clear" w:color="auto" w:fill="FFFFFF" w:themeFill="background1"/>
          </w:tcPr>
          <w:p w14:paraId="760B878F" w14:textId="77777777" w:rsidR="00C0344C" w:rsidRPr="00181540" w:rsidRDefault="00C0344C" w:rsidP="00015CEA">
            <w:pPr>
              <w:rPr>
                <w:rFonts w:ascii="Arial" w:hAnsi="Arial" w:cs="Arial"/>
                <w:b w:val="0"/>
                <w:bCs w:val="0"/>
              </w:rPr>
            </w:pPr>
            <w:r w:rsidRPr="00181540">
              <w:rPr>
                <w:rFonts w:ascii="Arial" w:hAnsi="Arial" w:cs="Arial"/>
                <w:b w:val="0"/>
              </w:rPr>
              <w:t>AST (U/L)</w:t>
            </w:r>
          </w:p>
        </w:tc>
        <w:tc>
          <w:tcPr>
            <w:tcW w:w="2016" w:type="dxa"/>
            <w:tcBorders>
              <w:right w:val="nil"/>
            </w:tcBorders>
            <w:shd w:val="clear" w:color="auto" w:fill="FFFFFF" w:themeFill="background1"/>
          </w:tcPr>
          <w:p w14:paraId="335C797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48.73±15.51</w:t>
            </w:r>
          </w:p>
        </w:tc>
        <w:tc>
          <w:tcPr>
            <w:tcW w:w="2153" w:type="dxa"/>
            <w:tcBorders>
              <w:right w:val="nil"/>
            </w:tcBorders>
            <w:shd w:val="clear" w:color="auto" w:fill="FFFFFF" w:themeFill="background1"/>
          </w:tcPr>
          <w:p w14:paraId="7DAC1E6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50.77±16.23</w:t>
            </w:r>
          </w:p>
        </w:tc>
        <w:tc>
          <w:tcPr>
            <w:tcW w:w="1431" w:type="dxa"/>
            <w:tcBorders>
              <w:right w:val="nil"/>
            </w:tcBorders>
            <w:shd w:val="clear" w:color="auto" w:fill="FFFFFF" w:themeFill="background1"/>
          </w:tcPr>
          <w:p w14:paraId="4F16FEE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0.4273</w:t>
            </w:r>
          </w:p>
        </w:tc>
        <w:tc>
          <w:tcPr>
            <w:tcW w:w="1159" w:type="dxa"/>
            <w:tcBorders>
              <w:right w:val="nil"/>
            </w:tcBorders>
            <w:shd w:val="clear" w:color="auto" w:fill="FFFFFF" w:themeFill="background1"/>
          </w:tcPr>
          <w:p w14:paraId="403EBC3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0.6713</w:t>
            </w:r>
          </w:p>
        </w:tc>
        <w:tc>
          <w:tcPr>
            <w:tcW w:w="1056" w:type="dxa"/>
            <w:tcBorders>
              <w:right w:val="nil"/>
            </w:tcBorders>
            <w:shd w:val="clear" w:color="auto" w:fill="FFFFFF" w:themeFill="background1"/>
          </w:tcPr>
          <w:p w14:paraId="41C755F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0F89AAE6" w14:textId="77777777" w:rsidTr="00015CEA">
        <w:tc>
          <w:tcPr>
            <w:cnfStyle w:val="001000000000" w:firstRow="0" w:lastRow="0" w:firstColumn="1" w:lastColumn="0" w:oddVBand="0" w:evenVBand="0" w:oddHBand="0" w:evenHBand="0" w:firstRowFirstColumn="0" w:firstRowLastColumn="0" w:lastRowFirstColumn="0" w:lastRowLastColumn="0"/>
            <w:tcW w:w="1717" w:type="dxa"/>
            <w:shd w:val="clear" w:color="auto" w:fill="FFFFFF" w:themeFill="background1"/>
          </w:tcPr>
          <w:p w14:paraId="12DF70FD" w14:textId="77777777" w:rsidR="00C0344C" w:rsidRPr="00181540" w:rsidRDefault="00C0344C" w:rsidP="00015CEA">
            <w:pPr>
              <w:rPr>
                <w:rFonts w:ascii="Arial" w:hAnsi="Arial" w:cs="Arial"/>
                <w:b w:val="0"/>
                <w:bCs w:val="0"/>
              </w:rPr>
            </w:pPr>
            <w:r w:rsidRPr="00181540">
              <w:rPr>
                <w:rFonts w:ascii="Arial" w:hAnsi="Arial" w:cs="Arial"/>
                <w:b w:val="0"/>
              </w:rPr>
              <w:t>ALT (U/L)</w:t>
            </w:r>
          </w:p>
        </w:tc>
        <w:tc>
          <w:tcPr>
            <w:tcW w:w="2016" w:type="dxa"/>
            <w:shd w:val="clear" w:color="auto" w:fill="FFFFFF" w:themeFill="background1"/>
          </w:tcPr>
          <w:p w14:paraId="20FE493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59.91±34.49</w:t>
            </w:r>
          </w:p>
        </w:tc>
        <w:tc>
          <w:tcPr>
            <w:tcW w:w="2153" w:type="dxa"/>
            <w:shd w:val="clear" w:color="auto" w:fill="FFFFFF" w:themeFill="background1"/>
          </w:tcPr>
          <w:p w14:paraId="564AA7E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58.73±15.61</w:t>
            </w:r>
          </w:p>
        </w:tc>
        <w:tc>
          <w:tcPr>
            <w:tcW w:w="1431" w:type="dxa"/>
            <w:shd w:val="clear" w:color="auto" w:fill="FFFFFF" w:themeFill="background1"/>
          </w:tcPr>
          <w:p w14:paraId="09173CB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0.1464</w:t>
            </w:r>
          </w:p>
        </w:tc>
        <w:tc>
          <w:tcPr>
            <w:tcW w:w="1159" w:type="dxa"/>
            <w:shd w:val="clear" w:color="auto" w:fill="FFFFFF" w:themeFill="background1"/>
          </w:tcPr>
          <w:p w14:paraId="5B818B2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0.8843</w:t>
            </w:r>
          </w:p>
        </w:tc>
        <w:tc>
          <w:tcPr>
            <w:tcW w:w="1056" w:type="dxa"/>
            <w:shd w:val="clear" w:color="auto" w:fill="FFFFFF" w:themeFill="background1"/>
          </w:tcPr>
          <w:p w14:paraId="13C534D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37F2518E" w14:textId="77777777" w:rsidTr="00015CEA">
        <w:tc>
          <w:tcPr>
            <w:cnfStyle w:val="001000000000" w:firstRow="0" w:lastRow="0" w:firstColumn="1" w:lastColumn="0" w:oddVBand="0" w:evenVBand="0" w:oddHBand="0" w:evenHBand="0" w:firstRowFirstColumn="0" w:firstRowLastColumn="0" w:lastRowFirstColumn="0" w:lastRowLastColumn="0"/>
            <w:tcW w:w="1717" w:type="dxa"/>
            <w:tcBorders>
              <w:left w:val="nil"/>
              <w:right w:val="nil"/>
            </w:tcBorders>
            <w:shd w:val="clear" w:color="auto" w:fill="FFFFFF" w:themeFill="background1"/>
          </w:tcPr>
          <w:p w14:paraId="2F6DFE44" w14:textId="77777777" w:rsidR="00C0344C" w:rsidRPr="00181540" w:rsidRDefault="00C0344C" w:rsidP="00015CEA">
            <w:pPr>
              <w:rPr>
                <w:rFonts w:ascii="Arial" w:hAnsi="Arial" w:cs="Arial"/>
                <w:b w:val="0"/>
                <w:bCs w:val="0"/>
              </w:rPr>
            </w:pPr>
            <w:r w:rsidRPr="00181540">
              <w:rPr>
                <w:rFonts w:ascii="Arial" w:hAnsi="Arial" w:cs="Arial"/>
                <w:b w:val="0"/>
              </w:rPr>
              <w:t>ALP (U/L)</w:t>
            </w:r>
          </w:p>
        </w:tc>
        <w:tc>
          <w:tcPr>
            <w:tcW w:w="2016" w:type="dxa"/>
            <w:tcBorders>
              <w:right w:val="nil"/>
            </w:tcBorders>
            <w:shd w:val="clear" w:color="auto" w:fill="FFFFFF" w:themeFill="background1"/>
          </w:tcPr>
          <w:p w14:paraId="29C03FD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261.3±80.83</w:t>
            </w:r>
          </w:p>
        </w:tc>
        <w:tc>
          <w:tcPr>
            <w:tcW w:w="2153" w:type="dxa"/>
            <w:tcBorders>
              <w:right w:val="nil"/>
            </w:tcBorders>
            <w:shd w:val="clear" w:color="auto" w:fill="FFFFFF" w:themeFill="background1"/>
          </w:tcPr>
          <w:p w14:paraId="4F5DB30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254.8±82.48</w:t>
            </w:r>
          </w:p>
        </w:tc>
        <w:tc>
          <w:tcPr>
            <w:tcW w:w="1431" w:type="dxa"/>
            <w:tcBorders>
              <w:right w:val="nil"/>
            </w:tcBorders>
            <w:shd w:val="clear" w:color="auto" w:fill="FFFFFF" w:themeFill="background1"/>
          </w:tcPr>
          <w:p w14:paraId="58A92B6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0.2621</w:t>
            </w:r>
          </w:p>
        </w:tc>
        <w:tc>
          <w:tcPr>
            <w:tcW w:w="1159" w:type="dxa"/>
            <w:tcBorders>
              <w:right w:val="nil"/>
            </w:tcBorders>
            <w:shd w:val="clear" w:color="auto" w:fill="FFFFFF" w:themeFill="background1"/>
          </w:tcPr>
          <w:p w14:paraId="6CF2891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0.7945</w:t>
            </w:r>
          </w:p>
        </w:tc>
        <w:tc>
          <w:tcPr>
            <w:tcW w:w="1056" w:type="dxa"/>
            <w:tcBorders>
              <w:right w:val="nil"/>
            </w:tcBorders>
            <w:shd w:val="clear" w:color="auto" w:fill="FFFFFF" w:themeFill="background1"/>
          </w:tcPr>
          <w:p w14:paraId="2F8261E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148E8922" w14:textId="77777777" w:rsidTr="00015CEA">
        <w:tc>
          <w:tcPr>
            <w:cnfStyle w:val="001000000000" w:firstRow="0" w:lastRow="0" w:firstColumn="1" w:lastColumn="0" w:oddVBand="0" w:evenVBand="0" w:oddHBand="0" w:evenHBand="0" w:firstRowFirstColumn="0" w:firstRowLastColumn="0" w:lastRowFirstColumn="0" w:lastRowLastColumn="0"/>
            <w:tcW w:w="1717" w:type="dxa"/>
            <w:shd w:val="clear" w:color="auto" w:fill="FFFFFF" w:themeFill="background1"/>
          </w:tcPr>
          <w:p w14:paraId="662F7360" w14:textId="77777777" w:rsidR="00C0344C" w:rsidRPr="00181540" w:rsidRDefault="00C0344C" w:rsidP="00015CEA">
            <w:pPr>
              <w:rPr>
                <w:rFonts w:ascii="Arial" w:hAnsi="Arial" w:cs="Arial"/>
                <w:b w:val="0"/>
                <w:bCs w:val="0"/>
              </w:rPr>
            </w:pPr>
            <w:r w:rsidRPr="00181540">
              <w:rPr>
                <w:rFonts w:ascii="Arial" w:hAnsi="Arial" w:cs="Arial"/>
                <w:b w:val="0"/>
              </w:rPr>
              <w:t>GGT (U/L)</w:t>
            </w:r>
          </w:p>
        </w:tc>
        <w:tc>
          <w:tcPr>
            <w:tcW w:w="2016" w:type="dxa"/>
            <w:shd w:val="clear" w:color="auto" w:fill="FFFFFF" w:themeFill="background1"/>
          </w:tcPr>
          <w:p w14:paraId="456A0BF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93.93±32.84</w:t>
            </w:r>
          </w:p>
        </w:tc>
        <w:tc>
          <w:tcPr>
            <w:tcW w:w="2153" w:type="dxa"/>
            <w:shd w:val="clear" w:color="auto" w:fill="FFFFFF" w:themeFill="background1"/>
          </w:tcPr>
          <w:p w14:paraId="105986E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91.48±33.27</w:t>
            </w:r>
          </w:p>
        </w:tc>
        <w:tc>
          <w:tcPr>
            <w:tcW w:w="1431" w:type="dxa"/>
            <w:shd w:val="clear" w:color="auto" w:fill="FFFFFF" w:themeFill="background1"/>
          </w:tcPr>
          <w:p w14:paraId="559A128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0.2459</w:t>
            </w:r>
          </w:p>
        </w:tc>
        <w:tc>
          <w:tcPr>
            <w:tcW w:w="1159" w:type="dxa"/>
            <w:shd w:val="clear" w:color="auto" w:fill="FFFFFF" w:themeFill="background1"/>
          </w:tcPr>
          <w:p w14:paraId="12C5BC7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0.8070</w:t>
            </w:r>
          </w:p>
        </w:tc>
        <w:tc>
          <w:tcPr>
            <w:tcW w:w="1056" w:type="dxa"/>
            <w:shd w:val="clear" w:color="auto" w:fill="FFFFFF" w:themeFill="background1"/>
          </w:tcPr>
          <w:p w14:paraId="46DC82B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524D98D0" w14:textId="77777777" w:rsidTr="00015CEA">
        <w:tc>
          <w:tcPr>
            <w:cnfStyle w:val="001000000000" w:firstRow="0" w:lastRow="0" w:firstColumn="1" w:lastColumn="0" w:oddVBand="0" w:evenVBand="0" w:oddHBand="0" w:evenHBand="0" w:firstRowFirstColumn="0" w:firstRowLastColumn="0" w:lastRowFirstColumn="0" w:lastRowLastColumn="0"/>
            <w:tcW w:w="1717" w:type="dxa"/>
            <w:tcBorders>
              <w:left w:val="nil"/>
              <w:right w:val="nil"/>
            </w:tcBorders>
            <w:shd w:val="clear" w:color="auto" w:fill="FFFFFF" w:themeFill="background1"/>
          </w:tcPr>
          <w:p w14:paraId="3B2FA61C" w14:textId="77777777" w:rsidR="00C0344C" w:rsidRPr="00181540" w:rsidRDefault="00C0344C" w:rsidP="00015CEA">
            <w:pPr>
              <w:rPr>
                <w:rFonts w:ascii="Arial" w:hAnsi="Arial" w:cs="Arial"/>
                <w:b w:val="0"/>
                <w:bCs w:val="0"/>
              </w:rPr>
            </w:pPr>
            <w:r w:rsidRPr="00181540">
              <w:rPr>
                <w:rFonts w:ascii="Arial" w:hAnsi="Arial" w:cs="Arial"/>
                <w:b w:val="0"/>
              </w:rPr>
              <w:t>CRP (ng/ml)</w:t>
            </w:r>
          </w:p>
        </w:tc>
        <w:tc>
          <w:tcPr>
            <w:tcW w:w="2016" w:type="dxa"/>
            <w:tcBorders>
              <w:right w:val="nil"/>
            </w:tcBorders>
            <w:shd w:val="clear" w:color="auto" w:fill="FFFFFF" w:themeFill="background1"/>
          </w:tcPr>
          <w:p w14:paraId="2E0441F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5.681±1.513</w:t>
            </w:r>
          </w:p>
        </w:tc>
        <w:tc>
          <w:tcPr>
            <w:tcW w:w="2153" w:type="dxa"/>
            <w:tcBorders>
              <w:right w:val="nil"/>
            </w:tcBorders>
            <w:shd w:val="clear" w:color="auto" w:fill="FFFFFF" w:themeFill="background1"/>
          </w:tcPr>
          <w:p w14:paraId="7463404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5.670±1.301</w:t>
            </w:r>
          </w:p>
        </w:tc>
        <w:tc>
          <w:tcPr>
            <w:tcW w:w="1431" w:type="dxa"/>
            <w:tcBorders>
              <w:right w:val="nil"/>
            </w:tcBorders>
            <w:shd w:val="clear" w:color="auto" w:fill="FFFFFF" w:themeFill="background1"/>
          </w:tcPr>
          <w:p w14:paraId="1EA5A95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0.02671</w:t>
            </w:r>
          </w:p>
        </w:tc>
        <w:tc>
          <w:tcPr>
            <w:tcW w:w="1159" w:type="dxa"/>
            <w:tcBorders>
              <w:right w:val="nil"/>
            </w:tcBorders>
            <w:shd w:val="clear" w:color="auto" w:fill="FFFFFF" w:themeFill="background1"/>
          </w:tcPr>
          <w:p w14:paraId="545DC49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0.9788</w:t>
            </w:r>
          </w:p>
        </w:tc>
        <w:tc>
          <w:tcPr>
            <w:tcW w:w="1056" w:type="dxa"/>
            <w:tcBorders>
              <w:right w:val="nil"/>
            </w:tcBorders>
            <w:shd w:val="clear" w:color="auto" w:fill="FFFFFF" w:themeFill="background1"/>
          </w:tcPr>
          <w:p w14:paraId="2C4AF2B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28739F9F" w14:textId="77777777" w:rsidTr="00015CEA">
        <w:tc>
          <w:tcPr>
            <w:cnfStyle w:val="001000000000" w:firstRow="0" w:lastRow="0" w:firstColumn="1" w:lastColumn="0" w:oddVBand="0" w:evenVBand="0" w:oddHBand="0" w:evenHBand="0" w:firstRowFirstColumn="0" w:firstRowLastColumn="0" w:lastRowFirstColumn="0" w:lastRowLastColumn="0"/>
            <w:tcW w:w="1717" w:type="dxa"/>
            <w:shd w:val="clear" w:color="auto" w:fill="FFFFFF" w:themeFill="background1"/>
          </w:tcPr>
          <w:p w14:paraId="05EC50F6" w14:textId="77777777" w:rsidR="00C0344C" w:rsidRPr="00181540" w:rsidRDefault="00C0344C" w:rsidP="00015CEA">
            <w:pPr>
              <w:rPr>
                <w:rFonts w:ascii="Arial" w:hAnsi="Arial" w:cs="Arial"/>
                <w:b w:val="0"/>
                <w:bCs w:val="0"/>
              </w:rPr>
            </w:pPr>
            <w:r w:rsidRPr="00181540">
              <w:rPr>
                <w:rFonts w:ascii="Arial" w:hAnsi="Arial" w:cs="Arial"/>
                <w:b w:val="0"/>
              </w:rPr>
              <w:t>LDH (U/L)</w:t>
            </w:r>
          </w:p>
        </w:tc>
        <w:tc>
          <w:tcPr>
            <w:tcW w:w="2016" w:type="dxa"/>
            <w:shd w:val="clear" w:color="auto" w:fill="FFFFFF" w:themeFill="background1"/>
          </w:tcPr>
          <w:p w14:paraId="55EAA85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196.1±71.38</w:t>
            </w:r>
          </w:p>
        </w:tc>
        <w:tc>
          <w:tcPr>
            <w:tcW w:w="2153" w:type="dxa"/>
            <w:shd w:val="clear" w:color="auto" w:fill="FFFFFF" w:themeFill="background1"/>
          </w:tcPr>
          <w:p w14:paraId="2648C33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201.1±69.80</w:t>
            </w:r>
          </w:p>
        </w:tc>
        <w:tc>
          <w:tcPr>
            <w:tcW w:w="1431" w:type="dxa"/>
            <w:shd w:val="clear" w:color="auto" w:fill="FFFFFF" w:themeFill="background1"/>
          </w:tcPr>
          <w:p w14:paraId="5075AB8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0.2328</w:t>
            </w:r>
          </w:p>
        </w:tc>
        <w:tc>
          <w:tcPr>
            <w:tcW w:w="1159" w:type="dxa"/>
            <w:shd w:val="clear" w:color="auto" w:fill="FFFFFF" w:themeFill="background1"/>
          </w:tcPr>
          <w:p w14:paraId="4D42741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0.8171</w:t>
            </w:r>
          </w:p>
        </w:tc>
        <w:tc>
          <w:tcPr>
            <w:tcW w:w="1056" w:type="dxa"/>
            <w:shd w:val="clear" w:color="auto" w:fill="FFFFFF" w:themeFill="background1"/>
          </w:tcPr>
          <w:p w14:paraId="096CA7F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37455D74" w14:textId="77777777" w:rsidTr="00015CEA">
        <w:tc>
          <w:tcPr>
            <w:cnfStyle w:val="001000000000" w:firstRow="0" w:lastRow="0" w:firstColumn="1" w:lastColumn="0" w:oddVBand="0" w:evenVBand="0" w:oddHBand="0" w:evenHBand="0" w:firstRowFirstColumn="0" w:firstRowLastColumn="0" w:lastRowFirstColumn="0" w:lastRowLastColumn="0"/>
            <w:tcW w:w="1717" w:type="dxa"/>
            <w:tcBorders>
              <w:left w:val="nil"/>
              <w:right w:val="nil"/>
            </w:tcBorders>
            <w:shd w:val="clear" w:color="auto" w:fill="FFFFFF" w:themeFill="background1"/>
          </w:tcPr>
          <w:p w14:paraId="76BF4CC8" w14:textId="77777777" w:rsidR="00C0344C" w:rsidRPr="00181540" w:rsidRDefault="00C0344C" w:rsidP="00015CEA">
            <w:pPr>
              <w:rPr>
                <w:rFonts w:ascii="Arial" w:hAnsi="Arial" w:cs="Arial"/>
                <w:b w:val="0"/>
                <w:bCs w:val="0"/>
              </w:rPr>
            </w:pPr>
            <w:r w:rsidRPr="00181540">
              <w:rPr>
                <w:rFonts w:ascii="Arial" w:hAnsi="Arial" w:cs="Arial"/>
                <w:b w:val="0"/>
              </w:rPr>
              <w:t>AFP (ng/ml)</w:t>
            </w:r>
          </w:p>
        </w:tc>
        <w:tc>
          <w:tcPr>
            <w:tcW w:w="2016" w:type="dxa"/>
            <w:tcBorders>
              <w:right w:val="nil"/>
            </w:tcBorders>
            <w:shd w:val="clear" w:color="auto" w:fill="FFFFFF" w:themeFill="background1"/>
          </w:tcPr>
          <w:p w14:paraId="23F1937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176.0±48.55</w:t>
            </w:r>
          </w:p>
        </w:tc>
        <w:tc>
          <w:tcPr>
            <w:tcW w:w="2153" w:type="dxa"/>
            <w:tcBorders>
              <w:right w:val="nil"/>
            </w:tcBorders>
            <w:shd w:val="clear" w:color="auto" w:fill="FFFFFF" w:themeFill="background1"/>
          </w:tcPr>
          <w:p w14:paraId="05B1F00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165.2±57.21</w:t>
            </w:r>
          </w:p>
        </w:tc>
        <w:tc>
          <w:tcPr>
            <w:tcW w:w="1431" w:type="dxa"/>
            <w:tcBorders>
              <w:right w:val="nil"/>
            </w:tcBorders>
            <w:shd w:val="clear" w:color="auto" w:fill="FFFFFF" w:themeFill="background1"/>
          </w:tcPr>
          <w:p w14:paraId="1652FDB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0.6762</w:t>
            </w:r>
          </w:p>
        </w:tc>
        <w:tc>
          <w:tcPr>
            <w:tcW w:w="1159" w:type="dxa"/>
            <w:tcBorders>
              <w:right w:val="nil"/>
            </w:tcBorders>
            <w:shd w:val="clear" w:color="auto" w:fill="FFFFFF" w:themeFill="background1"/>
          </w:tcPr>
          <w:p w14:paraId="08DB100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0.5026</w:t>
            </w:r>
          </w:p>
        </w:tc>
        <w:tc>
          <w:tcPr>
            <w:tcW w:w="1056" w:type="dxa"/>
            <w:tcBorders>
              <w:right w:val="nil"/>
            </w:tcBorders>
            <w:shd w:val="clear" w:color="auto" w:fill="FFFFFF" w:themeFill="background1"/>
          </w:tcPr>
          <w:p w14:paraId="57035E4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bl>
    <w:p w14:paraId="7B1F0ECB" w14:textId="77777777" w:rsidR="00C0344C" w:rsidRPr="00181540" w:rsidRDefault="00C0344C" w:rsidP="00C0344C">
      <w:pPr>
        <w:jc w:val="both"/>
        <w:rPr>
          <w:rFonts w:ascii="Arial" w:hAnsi="Arial" w:cs="Arial"/>
        </w:rPr>
      </w:pPr>
      <w:r w:rsidRPr="00181540">
        <w:rPr>
          <w:rFonts w:ascii="Arial" w:hAnsi="Arial" w:cs="Arial"/>
        </w:rPr>
        <w:t>KEYS: AST= Aspartate aminotransferase, ALT=Alanine aminotransferase, ALP=Alkaline Phosphatase, GGT=Glutamyl Transferase, CRP=C-Reactive Protein, LDH=Lactate Dehydrogenase, AFP= α-Feto Protein</w:t>
      </w:r>
      <w:r w:rsidRPr="00181540">
        <w:rPr>
          <w:rFonts w:ascii="Arial" w:hAnsi="Arial" w:cs="Arial"/>
          <w:b/>
        </w:rPr>
        <w:t xml:space="preserve">, </w:t>
      </w:r>
      <w:r w:rsidRPr="00181540">
        <w:rPr>
          <w:rFonts w:ascii="Arial" w:hAnsi="Arial" w:cs="Arial"/>
        </w:rPr>
        <w:t>S=Significant, NS=Not Significant at p&lt;0.05.</w:t>
      </w:r>
    </w:p>
    <w:p w14:paraId="718771E9" w14:textId="77777777" w:rsidR="00C0344C" w:rsidRPr="00181540" w:rsidRDefault="00C0344C" w:rsidP="00C0344C">
      <w:pPr>
        <w:rPr>
          <w:rFonts w:ascii="Arial" w:hAnsi="Arial" w:cs="Arial"/>
        </w:rPr>
      </w:pPr>
    </w:p>
    <w:p w14:paraId="034B2DE3" w14:textId="77777777" w:rsidR="00A56B75" w:rsidRDefault="00A56B75" w:rsidP="00FC7D61">
      <w:pPr>
        <w:rPr>
          <w:rFonts w:ascii="Times New Roman" w:hAnsi="Times New Roman"/>
          <w:b/>
          <w:sz w:val="24"/>
          <w:szCs w:val="24"/>
        </w:rPr>
      </w:pPr>
    </w:p>
    <w:p w14:paraId="0B1CF0FA" w14:textId="17611ABB" w:rsidR="00FC7D61" w:rsidRDefault="00FC7D61" w:rsidP="00FC7D61">
      <w:pPr>
        <w:rPr>
          <w:rFonts w:ascii="Times New Roman" w:hAnsi="Times New Roman"/>
          <w:b/>
          <w:sz w:val="24"/>
          <w:szCs w:val="24"/>
        </w:rPr>
      </w:pPr>
      <w:r>
        <w:rPr>
          <w:rFonts w:ascii="Times New Roman" w:hAnsi="Times New Roman"/>
          <w:b/>
          <w:sz w:val="24"/>
          <w:szCs w:val="24"/>
        </w:rPr>
        <w:t xml:space="preserve">Table </w:t>
      </w:r>
      <w:r w:rsidR="00BC17D5">
        <w:rPr>
          <w:rFonts w:ascii="Times New Roman" w:hAnsi="Times New Roman"/>
          <w:b/>
          <w:sz w:val="24"/>
          <w:szCs w:val="24"/>
        </w:rPr>
        <w:t>6</w:t>
      </w:r>
      <w:r>
        <w:rPr>
          <w:rFonts w:ascii="Times New Roman" w:hAnsi="Times New Roman"/>
          <w:b/>
          <w:sz w:val="24"/>
          <w:szCs w:val="24"/>
        </w:rPr>
        <w:t>: Biochemical</w:t>
      </w:r>
      <w:r w:rsidRPr="00A86714">
        <w:rPr>
          <w:rFonts w:ascii="Times New Roman" w:hAnsi="Times New Roman"/>
          <w:b/>
          <w:sz w:val="24"/>
          <w:szCs w:val="24"/>
        </w:rPr>
        <w:t xml:space="preserve"> </w:t>
      </w:r>
      <w:r>
        <w:rPr>
          <w:rFonts w:ascii="Times New Roman" w:hAnsi="Times New Roman"/>
          <w:b/>
          <w:sz w:val="24"/>
          <w:szCs w:val="24"/>
        </w:rPr>
        <w:t xml:space="preserve">analysis Result of Hepatitis B Positive Resistant Subjects with Varying Resistant Genes </w:t>
      </w:r>
    </w:p>
    <w:tbl>
      <w:tblPr>
        <w:tblStyle w:val="LightShading1"/>
        <w:tblW w:w="9576" w:type="dxa"/>
        <w:shd w:val="clear" w:color="auto" w:fill="FFFFFF" w:themeFill="background1"/>
        <w:tblLook w:val="04A0" w:firstRow="1" w:lastRow="0" w:firstColumn="1" w:lastColumn="0" w:noHBand="0" w:noVBand="1"/>
      </w:tblPr>
      <w:tblGrid>
        <w:gridCol w:w="1546"/>
        <w:gridCol w:w="1610"/>
        <w:gridCol w:w="1700"/>
        <w:gridCol w:w="1428"/>
        <w:gridCol w:w="1225"/>
        <w:gridCol w:w="1011"/>
        <w:gridCol w:w="1056"/>
      </w:tblGrid>
      <w:tr w:rsidR="00FC7D61" w:rsidRPr="00FC7D61" w14:paraId="78BD3321" w14:textId="77777777" w:rsidTr="00037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shd w:val="clear" w:color="auto" w:fill="FFFFFF" w:themeFill="background1"/>
          </w:tcPr>
          <w:p w14:paraId="705557E5" w14:textId="77777777" w:rsidR="00FC7D61" w:rsidRPr="00FC7D61" w:rsidRDefault="00FC7D61" w:rsidP="00FC7D61">
            <w:pPr>
              <w:rPr>
                <w:rFonts w:ascii="Arial" w:hAnsi="Arial" w:cs="Arial"/>
                <w:bCs w:val="0"/>
              </w:rPr>
            </w:pPr>
            <w:r w:rsidRPr="00FC7D61">
              <w:rPr>
                <w:rFonts w:ascii="Arial" w:hAnsi="Arial" w:cs="Arial"/>
                <w:b w:val="0"/>
              </w:rPr>
              <w:t>Parameters</w:t>
            </w:r>
          </w:p>
        </w:tc>
        <w:tc>
          <w:tcPr>
            <w:tcW w:w="1610" w:type="dxa"/>
            <w:shd w:val="clear" w:color="auto" w:fill="FFFFFF" w:themeFill="background1"/>
          </w:tcPr>
          <w:p w14:paraId="1519EB6C"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A202C</w:t>
            </w:r>
          </w:p>
          <w:p w14:paraId="1E695232"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Female</w:t>
            </w:r>
          </w:p>
          <w:p w14:paraId="49831856"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(n=3)</w:t>
            </w:r>
          </w:p>
        </w:tc>
        <w:tc>
          <w:tcPr>
            <w:tcW w:w="1700" w:type="dxa"/>
            <w:shd w:val="clear" w:color="auto" w:fill="FFFFFF" w:themeFill="background1"/>
          </w:tcPr>
          <w:p w14:paraId="454982B8"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T184G Female</w:t>
            </w:r>
          </w:p>
          <w:p w14:paraId="3028A0C4"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(n=6)</w:t>
            </w:r>
          </w:p>
        </w:tc>
        <w:tc>
          <w:tcPr>
            <w:tcW w:w="1428" w:type="dxa"/>
            <w:shd w:val="clear" w:color="auto" w:fill="FFFFFF" w:themeFill="background1"/>
          </w:tcPr>
          <w:p w14:paraId="21AC4377"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A181T Female</w:t>
            </w:r>
          </w:p>
          <w:p w14:paraId="68A4F1E9"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(n=13)</w:t>
            </w:r>
          </w:p>
        </w:tc>
        <w:tc>
          <w:tcPr>
            <w:tcW w:w="1225" w:type="dxa"/>
            <w:shd w:val="clear" w:color="auto" w:fill="FFFFFF" w:themeFill="background1"/>
          </w:tcPr>
          <w:p w14:paraId="1AE17501"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F value</w:t>
            </w:r>
          </w:p>
        </w:tc>
        <w:tc>
          <w:tcPr>
            <w:tcW w:w="1011" w:type="dxa"/>
            <w:shd w:val="clear" w:color="auto" w:fill="FFFFFF" w:themeFill="background1"/>
          </w:tcPr>
          <w:p w14:paraId="5652566B"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P value</w:t>
            </w:r>
          </w:p>
        </w:tc>
        <w:tc>
          <w:tcPr>
            <w:tcW w:w="1056" w:type="dxa"/>
            <w:shd w:val="clear" w:color="auto" w:fill="FFFFFF" w:themeFill="background1"/>
          </w:tcPr>
          <w:p w14:paraId="2FCA2369"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Remark</w:t>
            </w:r>
          </w:p>
        </w:tc>
      </w:tr>
      <w:tr w:rsidR="00FC7D61" w:rsidRPr="00FC7D61" w14:paraId="038BDED1" w14:textId="77777777" w:rsidTr="00037D35">
        <w:trPr>
          <w:trHeight w:val="530"/>
        </w:trPr>
        <w:tc>
          <w:tcPr>
            <w:cnfStyle w:val="001000000000" w:firstRow="0" w:lastRow="0" w:firstColumn="1" w:lastColumn="0" w:oddVBand="0" w:evenVBand="0" w:oddHBand="0" w:evenHBand="0" w:firstRowFirstColumn="0" w:firstRowLastColumn="0" w:lastRowFirstColumn="0" w:lastRowLastColumn="0"/>
            <w:tcW w:w="1546" w:type="dxa"/>
            <w:tcBorders>
              <w:left w:val="nil"/>
              <w:right w:val="nil"/>
            </w:tcBorders>
            <w:shd w:val="clear" w:color="auto" w:fill="FFFFFF" w:themeFill="background1"/>
          </w:tcPr>
          <w:p w14:paraId="0D5F7DD7" w14:textId="77777777" w:rsidR="00FC7D61" w:rsidRPr="00FC7D61" w:rsidRDefault="00FC7D61" w:rsidP="00FC7D61">
            <w:pPr>
              <w:rPr>
                <w:rFonts w:ascii="Arial" w:hAnsi="Arial" w:cs="Arial"/>
                <w:b w:val="0"/>
                <w:bCs w:val="0"/>
              </w:rPr>
            </w:pPr>
            <w:r w:rsidRPr="00FC7D61">
              <w:rPr>
                <w:rFonts w:ascii="Arial" w:hAnsi="Arial" w:cs="Arial"/>
                <w:b w:val="0"/>
              </w:rPr>
              <w:t>Age (Years)</w:t>
            </w:r>
          </w:p>
        </w:tc>
        <w:tc>
          <w:tcPr>
            <w:tcW w:w="1610" w:type="dxa"/>
            <w:tcBorders>
              <w:right w:val="nil"/>
            </w:tcBorders>
            <w:shd w:val="clear" w:color="auto" w:fill="FFFFFF" w:themeFill="background1"/>
          </w:tcPr>
          <w:p w14:paraId="236B5688"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FC7D61">
              <w:rPr>
                <w:rFonts w:ascii="Arial" w:hAnsi="Arial" w:cs="Arial"/>
              </w:rPr>
              <w:t>57.33±2.89</w:t>
            </w:r>
            <w:r w:rsidRPr="00FC7D61">
              <w:rPr>
                <w:rFonts w:ascii="Arial" w:hAnsi="Arial" w:cs="Arial"/>
                <w:vertAlign w:val="superscript"/>
              </w:rPr>
              <w:t>a</w:t>
            </w:r>
          </w:p>
        </w:tc>
        <w:tc>
          <w:tcPr>
            <w:tcW w:w="1700" w:type="dxa"/>
            <w:tcBorders>
              <w:right w:val="nil"/>
            </w:tcBorders>
            <w:shd w:val="clear" w:color="auto" w:fill="FFFFFF" w:themeFill="background1"/>
          </w:tcPr>
          <w:p w14:paraId="67E3667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FC7D61">
              <w:rPr>
                <w:rFonts w:ascii="Arial" w:hAnsi="Arial" w:cs="Arial"/>
              </w:rPr>
              <w:t>51.33±10.07</w:t>
            </w:r>
            <w:r w:rsidRPr="00FC7D61">
              <w:rPr>
                <w:rFonts w:ascii="Arial" w:hAnsi="Arial" w:cs="Arial"/>
                <w:vertAlign w:val="superscript"/>
              </w:rPr>
              <w:t>a</w:t>
            </w:r>
          </w:p>
        </w:tc>
        <w:tc>
          <w:tcPr>
            <w:tcW w:w="1428" w:type="dxa"/>
            <w:tcBorders>
              <w:right w:val="nil"/>
            </w:tcBorders>
            <w:shd w:val="clear" w:color="auto" w:fill="FFFFFF" w:themeFill="background1"/>
          </w:tcPr>
          <w:p w14:paraId="19DDB806"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FC7D61">
              <w:rPr>
                <w:rFonts w:ascii="Arial" w:hAnsi="Arial" w:cs="Arial"/>
              </w:rPr>
              <w:t>46.85±4.76</w:t>
            </w:r>
            <w:r w:rsidRPr="00FC7D61">
              <w:rPr>
                <w:rFonts w:ascii="Arial" w:hAnsi="Arial" w:cs="Arial"/>
                <w:vertAlign w:val="superscript"/>
              </w:rPr>
              <w:t>b</w:t>
            </w:r>
          </w:p>
        </w:tc>
        <w:tc>
          <w:tcPr>
            <w:tcW w:w="1225" w:type="dxa"/>
            <w:tcBorders>
              <w:right w:val="nil"/>
            </w:tcBorders>
            <w:shd w:val="clear" w:color="auto" w:fill="FFFFFF" w:themeFill="background1"/>
          </w:tcPr>
          <w:p w14:paraId="69E96FC8"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3.532</w:t>
            </w:r>
          </w:p>
        </w:tc>
        <w:tc>
          <w:tcPr>
            <w:tcW w:w="1011" w:type="dxa"/>
            <w:tcBorders>
              <w:right w:val="nil"/>
            </w:tcBorders>
            <w:shd w:val="clear" w:color="auto" w:fill="FFFFFF" w:themeFill="background1"/>
          </w:tcPr>
          <w:p w14:paraId="3B722EF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0.0496</w:t>
            </w:r>
          </w:p>
        </w:tc>
        <w:tc>
          <w:tcPr>
            <w:tcW w:w="1056" w:type="dxa"/>
            <w:tcBorders>
              <w:right w:val="nil"/>
            </w:tcBorders>
            <w:shd w:val="clear" w:color="auto" w:fill="FFFFFF" w:themeFill="background1"/>
          </w:tcPr>
          <w:p w14:paraId="267F7A84"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S</w:t>
            </w:r>
          </w:p>
        </w:tc>
      </w:tr>
      <w:tr w:rsidR="00FC7D61" w:rsidRPr="00FC7D61" w14:paraId="4C49BB5A" w14:textId="77777777" w:rsidTr="00037D35">
        <w:tc>
          <w:tcPr>
            <w:cnfStyle w:val="001000000000" w:firstRow="0" w:lastRow="0" w:firstColumn="1" w:lastColumn="0" w:oddVBand="0" w:evenVBand="0" w:oddHBand="0" w:evenHBand="0" w:firstRowFirstColumn="0" w:firstRowLastColumn="0" w:lastRowFirstColumn="0" w:lastRowLastColumn="0"/>
            <w:tcW w:w="1546" w:type="dxa"/>
            <w:shd w:val="clear" w:color="auto" w:fill="FFFFFF" w:themeFill="background1"/>
          </w:tcPr>
          <w:p w14:paraId="27EFA8A2" w14:textId="77777777" w:rsidR="00FC7D61" w:rsidRPr="00FC7D61" w:rsidRDefault="00FC7D61" w:rsidP="00FC7D61">
            <w:pPr>
              <w:rPr>
                <w:rFonts w:ascii="Arial" w:hAnsi="Arial" w:cs="Arial"/>
                <w:b w:val="0"/>
                <w:bCs w:val="0"/>
              </w:rPr>
            </w:pPr>
            <w:r w:rsidRPr="00FC7D61">
              <w:rPr>
                <w:rFonts w:ascii="Arial" w:hAnsi="Arial" w:cs="Arial"/>
                <w:b w:val="0"/>
              </w:rPr>
              <w:t>Viral Load (cells/ml)</w:t>
            </w:r>
          </w:p>
        </w:tc>
        <w:tc>
          <w:tcPr>
            <w:tcW w:w="1610" w:type="dxa"/>
            <w:shd w:val="clear" w:color="auto" w:fill="FFFFFF" w:themeFill="background1"/>
          </w:tcPr>
          <w:p w14:paraId="302504E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19911±8182</w:t>
            </w:r>
          </w:p>
        </w:tc>
        <w:tc>
          <w:tcPr>
            <w:tcW w:w="1700" w:type="dxa"/>
            <w:shd w:val="clear" w:color="auto" w:fill="FFFFFF" w:themeFill="background1"/>
          </w:tcPr>
          <w:p w14:paraId="1738DDCB"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21024±6674</w:t>
            </w:r>
          </w:p>
        </w:tc>
        <w:tc>
          <w:tcPr>
            <w:tcW w:w="1428" w:type="dxa"/>
            <w:shd w:val="clear" w:color="auto" w:fill="FFFFFF" w:themeFill="background1"/>
          </w:tcPr>
          <w:p w14:paraId="7BA1751B"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21930±6532</w:t>
            </w:r>
          </w:p>
        </w:tc>
        <w:tc>
          <w:tcPr>
            <w:tcW w:w="1225" w:type="dxa"/>
            <w:shd w:val="clear" w:color="auto" w:fill="FFFFFF" w:themeFill="background1"/>
          </w:tcPr>
          <w:p w14:paraId="7C168E22"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0.1220</w:t>
            </w:r>
          </w:p>
        </w:tc>
        <w:tc>
          <w:tcPr>
            <w:tcW w:w="1011" w:type="dxa"/>
            <w:shd w:val="clear" w:color="auto" w:fill="FFFFFF" w:themeFill="background1"/>
          </w:tcPr>
          <w:p w14:paraId="08579BFA"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0.8858</w:t>
            </w:r>
          </w:p>
        </w:tc>
        <w:tc>
          <w:tcPr>
            <w:tcW w:w="1056" w:type="dxa"/>
            <w:shd w:val="clear" w:color="auto" w:fill="FFFFFF" w:themeFill="background1"/>
          </w:tcPr>
          <w:p w14:paraId="24076F68"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r w:rsidR="00FC7D61" w:rsidRPr="00FC7D61" w14:paraId="53B84008" w14:textId="77777777" w:rsidTr="00037D35">
        <w:tc>
          <w:tcPr>
            <w:cnfStyle w:val="001000000000" w:firstRow="0" w:lastRow="0" w:firstColumn="1" w:lastColumn="0" w:oddVBand="0" w:evenVBand="0" w:oddHBand="0" w:evenHBand="0" w:firstRowFirstColumn="0" w:firstRowLastColumn="0" w:lastRowFirstColumn="0" w:lastRowLastColumn="0"/>
            <w:tcW w:w="1546" w:type="dxa"/>
            <w:tcBorders>
              <w:left w:val="nil"/>
              <w:right w:val="nil"/>
            </w:tcBorders>
            <w:shd w:val="clear" w:color="auto" w:fill="FFFFFF" w:themeFill="background1"/>
          </w:tcPr>
          <w:p w14:paraId="43A54BFA" w14:textId="77777777" w:rsidR="00FC7D61" w:rsidRPr="00FC7D61" w:rsidRDefault="00FC7D61" w:rsidP="00FC7D61">
            <w:pPr>
              <w:rPr>
                <w:rFonts w:ascii="Arial" w:hAnsi="Arial" w:cs="Arial"/>
                <w:b w:val="0"/>
                <w:bCs w:val="0"/>
              </w:rPr>
            </w:pPr>
            <w:r w:rsidRPr="00FC7D61">
              <w:rPr>
                <w:rFonts w:ascii="Arial" w:hAnsi="Arial" w:cs="Arial"/>
                <w:b w:val="0"/>
              </w:rPr>
              <w:lastRenderedPageBreak/>
              <w:t>AST (U/L)</w:t>
            </w:r>
          </w:p>
        </w:tc>
        <w:tc>
          <w:tcPr>
            <w:tcW w:w="1610" w:type="dxa"/>
            <w:tcBorders>
              <w:right w:val="nil"/>
            </w:tcBorders>
            <w:shd w:val="clear" w:color="auto" w:fill="FFFFFF" w:themeFill="background1"/>
          </w:tcPr>
          <w:p w14:paraId="37609F52"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46.67±17.10</w:t>
            </w:r>
          </w:p>
        </w:tc>
        <w:tc>
          <w:tcPr>
            <w:tcW w:w="1700" w:type="dxa"/>
            <w:tcBorders>
              <w:right w:val="nil"/>
            </w:tcBorders>
            <w:shd w:val="clear" w:color="auto" w:fill="FFFFFF" w:themeFill="background1"/>
          </w:tcPr>
          <w:p w14:paraId="10CCDD0A"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46.00±11.12</w:t>
            </w:r>
          </w:p>
        </w:tc>
        <w:tc>
          <w:tcPr>
            <w:tcW w:w="1428" w:type="dxa"/>
            <w:tcBorders>
              <w:right w:val="nil"/>
            </w:tcBorders>
            <w:shd w:val="clear" w:color="auto" w:fill="FFFFFF" w:themeFill="background1"/>
          </w:tcPr>
          <w:p w14:paraId="1E4890B7"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50.46±17.69</w:t>
            </w:r>
          </w:p>
        </w:tc>
        <w:tc>
          <w:tcPr>
            <w:tcW w:w="1225" w:type="dxa"/>
            <w:tcBorders>
              <w:right w:val="nil"/>
            </w:tcBorders>
            <w:shd w:val="clear" w:color="auto" w:fill="FFFFFF" w:themeFill="background1"/>
          </w:tcPr>
          <w:p w14:paraId="60E48C47"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0.1848</w:t>
            </w:r>
          </w:p>
        </w:tc>
        <w:tc>
          <w:tcPr>
            <w:tcW w:w="1011" w:type="dxa"/>
            <w:tcBorders>
              <w:right w:val="nil"/>
            </w:tcBorders>
            <w:shd w:val="clear" w:color="auto" w:fill="FFFFFF" w:themeFill="background1"/>
          </w:tcPr>
          <w:p w14:paraId="3AE66ACB"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0.8327</w:t>
            </w:r>
          </w:p>
        </w:tc>
        <w:tc>
          <w:tcPr>
            <w:tcW w:w="1056" w:type="dxa"/>
            <w:tcBorders>
              <w:right w:val="nil"/>
            </w:tcBorders>
            <w:shd w:val="clear" w:color="auto" w:fill="FFFFFF" w:themeFill="background1"/>
          </w:tcPr>
          <w:p w14:paraId="349BAFE9"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r w:rsidR="00FC7D61" w:rsidRPr="00FC7D61" w14:paraId="435172B0" w14:textId="77777777" w:rsidTr="00037D35">
        <w:tc>
          <w:tcPr>
            <w:cnfStyle w:val="001000000000" w:firstRow="0" w:lastRow="0" w:firstColumn="1" w:lastColumn="0" w:oddVBand="0" w:evenVBand="0" w:oddHBand="0" w:evenHBand="0" w:firstRowFirstColumn="0" w:firstRowLastColumn="0" w:lastRowFirstColumn="0" w:lastRowLastColumn="0"/>
            <w:tcW w:w="1546" w:type="dxa"/>
            <w:shd w:val="clear" w:color="auto" w:fill="FFFFFF" w:themeFill="background1"/>
          </w:tcPr>
          <w:p w14:paraId="5E7D4A32" w14:textId="77777777" w:rsidR="00FC7D61" w:rsidRPr="00FC7D61" w:rsidRDefault="00FC7D61" w:rsidP="00FC7D61">
            <w:pPr>
              <w:rPr>
                <w:rFonts w:ascii="Arial" w:hAnsi="Arial" w:cs="Arial"/>
                <w:b w:val="0"/>
                <w:bCs w:val="0"/>
              </w:rPr>
            </w:pPr>
            <w:r w:rsidRPr="00FC7D61">
              <w:rPr>
                <w:rFonts w:ascii="Arial" w:hAnsi="Arial" w:cs="Arial"/>
                <w:b w:val="0"/>
              </w:rPr>
              <w:t>ALT (U/L)</w:t>
            </w:r>
          </w:p>
        </w:tc>
        <w:tc>
          <w:tcPr>
            <w:tcW w:w="1610" w:type="dxa"/>
            <w:shd w:val="clear" w:color="auto" w:fill="FFFFFF" w:themeFill="background1"/>
          </w:tcPr>
          <w:p w14:paraId="07945176"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68.00±3.00</w:t>
            </w:r>
          </w:p>
        </w:tc>
        <w:tc>
          <w:tcPr>
            <w:tcW w:w="1700" w:type="dxa"/>
            <w:shd w:val="clear" w:color="auto" w:fill="FFFFFF" w:themeFill="background1"/>
          </w:tcPr>
          <w:p w14:paraId="6005C18E"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79.33±58.79</w:t>
            </w:r>
          </w:p>
        </w:tc>
        <w:tc>
          <w:tcPr>
            <w:tcW w:w="1428" w:type="dxa"/>
            <w:shd w:val="clear" w:color="auto" w:fill="FFFFFF" w:themeFill="background1"/>
          </w:tcPr>
          <w:p w14:paraId="57DF4C6F"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49.08±17.56</w:t>
            </w:r>
          </w:p>
        </w:tc>
        <w:tc>
          <w:tcPr>
            <w:tcW w:w="1225" w:type="dxa"/>
            <w:shd w:val="clear" w:color="auto" w:fill="FFFFFF" w:themeFill="background1"/>
          </w:tcPr>
          <w:p w14:paraId="2C843516"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1.803</w:t>
            </w:r>
          </w:p>
        </w:tc>
        <w:tc>
          <w:tcPr>
            <w:tcW w:w="1011" w:type="dxa"/>
            <w:shd w:val="clear" w:color="auto" w:fill="FFFFFF" w:themeFill="background1"/>
          </w:tcPr>
          <w:p w14:paraId="66F56302"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0.1919</w:t>
            </w:r>
          </w:p>
        </w:tc>
        <w:tc>
          <w:tcPr>
            <w:tcW w:w="1056" w:type="dxa"/>
            <w:shd w:val="clear" w:color="auto" w:fill="FFFFFF" w:themeFill="background1"/>
          </w:tcPr>
          <w:p w14:paraId="6EE431A5"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r w:rsidR="00FC7D61" w:rsidRPr="00FC7D61" w14:paraId="204345CF" w14:textId="77777777" w:rsidTr="00037D35">
        <w:tc>
          <w:tcPr>
            <w:cnfStyle w:val="001000000000" w:firstRow="0" w:lastRow="0" w:firstColumn="1" w:lastColumn="0" w:oddVBand="0" w:evenVBand="0" w:oddHBand="0" w:evenHBand="0" w:firstRowFirstColumn="0" w:firstRowLastColumn="0" w:lastRowFirstColumn="0" w:lastRowLastColumn="0"/>
            <w:tcW w:w="1546" w:type="dxa"/>
            <w:tcBorders>
              <w:left w:val="nil"/>
              <w:right w:val="nil"/>
            </w:tcBorders>
            <w:shd w:val="clear" w:color="auto" w:fill="FFFFFF" w:themeFill="background1"/>
          </w:tcPr>
          <w:p w14:paraId="26A9AB92" w14:textId="77777777" w:rsidR="00FC7D61" w:rsidRPr="00FC7D61" w:rsidRDefault="00FC7D61" w:rsidP="00FC7D61">
            <w:pPr>
              <w:rPr>
                <w:rFonts w:ascii="Arial" w:hAnsi="Arial" w:cs="Arial"/>
                <w:b w:val="0"/>
                <w:bCs w:val="0"/>
              </w:rPr>
            </w:pPr>
            <w:r w:rsidRPr="00FC7D61">
              <w:rPr>
                <w:rFonts w:ascii="Arial" w:hAnsi="Arial" w:cs="Arial"/>
                <w:b w:val="0"/>
              </w:rPr>
              <w:t>ALP (U/L)</w:t>
            </w:r>
          </w:p>
        </w:tc>
        <w:tc>
          <w:tcPr>
            <w:tcW w:w="1610" w:type="dxa"/>
            <w:tcBorders>
              <w:right w:val="nil"/>
            </w:tcBorders>
            <w:shd w:val="clear" w:color="auto" w:fill="FFFFFF" w:themeFill="background1"/>
          </w:tcPr>
          <w:p w14:paraId="5627CD84"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273.7±69.14</w:t>
            </w:r>
          </w:p>
        </w:tc>
        <w:tc>
          <w:tcPr>
            <w:tcW w:w="1700" w:type="dxa"/>
            <w:tcBorders>
              <w:right w:val="nil"/>
            </w:tcBorders>
            <w:shd w:val="clear" w:color="auto" w:fill="FFFFFF" w:themeFill="background1"/>
          </w:tcPr>
          <w:p w14:paraId="500413C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291.2±118.0</w:t>
            </w:r>
          </w:p>
        </w:tc>
        <w:tc>
          <w:tcPr>
            <w:tcW w:w="1428" w:type="dxa"/>
            <w:tcBorders>
              <w:right w:val="nil"/>
            </w:tcBorders>
            <w:shd w:val="clear" w:color="auto" w:fill="FFFFFF" w:themeFill="background1"/>
          </w:tcPr>
          <w:p w14:paraId="47767B93"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244.6±63.61</w:t>
            </w:r>
          </w:p>
        </w:tc>
        <w:tc>
          <w:tcPr>
            <w:tcW w:w="1225" w:type="dxa"/>
            <w:tcBorders>
              <w:right w:val="nil"/>
            </w:tcBorders>
            <w:shd w:val="clear" w:color="auto" w:fill="FFFFFF" w:themeFill="background1"/>
          </w:tcPr>
          <w:p w14:paraId="276F938A"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0.7011</w:t>
            </w:r>
          </w:p>
        </w:tc>
        <w:tc>
          <w:tcPr>
            <w:tcW w:w="1011" w:type="dxa"/>
            <w:tcBorders>
              <w:right w:val="nil"/>
            </w:tcBorders>
            <w:shd w:val="clear" w:color="auto" w:fill="FFFFFF" w:themeFill="background1"/>
          </w:tcPr>
          <w:p w14:paraId="7E7BE68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0.5084</w:t>
            </w:r>
          </w:p>
        </w:tc>
        <w:tc>
          <w:tcPr>
            <w:tcW w:w="1056" w:type="dxa"/>
            <w:tcBorders>
              <w:right w:val="nil"/>
            </w:tcBorders>
            <w:shd w:val="clear" w:color="auto" w:fill="FFFFFF" w:themeFill="background1"/>
          </w:tcPr>
          <w:p w14:paraId="7246C6BD"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r w:rsidR="00FC7D61" w:rsidRPr="00FC7D61" w14:paraId="6242D88A" w14:textId="77777777" w:rsidTr="00037D35">
        <w:tc>
          <w:tcPr>
            <w:cnfStyle w:val="001000000000" w:firstRow="0" w:lastRow="0" w:firstColumn="1" w:lastColumn="0" w:oddVBand="0" w:evenVBand="0" w:oddHBand="0" w:evenHBand="0" w:firstRowFirstColumn="0" w:firstRowLastColumn="0" w:lastRowFirstColumn="0" w:lastRowLastColumn="0"/>
            <w:tcW w:w="1546" w:type="dxa"/>
            <w:shd w:val="clear" w:color="auto" w:fill="FFFFFF" w:themeFill="background1"/>
          </w:tcPr>
          <w:p w14:paraId="4FD9E77F" w14:textId="77777777" w:rsidR="00FC7D61" w:rsidRPr="00FC7D61" w:rsidRDefault="00FC7D61" w:rsidP="00FC7D61">
            <w:pPr>
              <w:rPr>
                <w:rFonts w:ascii="Arial" w:hAnsi="Arial" w:cs="Arial"/>
                <w:b w:val="0"/>
                <w:bCs w:val="0"/>
              </w:rPr>
            </w:pPr>
            <w:r w:rsidRPr="00FC7D61">
              <w:rPr>
                <w:rFonts w:ascii="Arial" w:hAnsi="Arial" w:cs="Arial"/>
                <w:b w:val="0"/>
              </w:rPr>
              <w:t>GGT (U/L)</w:t>
            </w:r>
          </w:p>
        </w:tc>
        <w:tc>
          <w:tcPr>
            <w:tcW w:w="1610" w:type="dxa"/>
            <w:shd w:val="clear" w:color="auto" w:fill="FFFFFF" w:themeFill="background1"/>
          </w:tcPr>
          <w:p w14:paraId="7592D00B"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92.14±14.30</w:t>
            </w:r>
          </w:p>
        </w:tc>
        <w:tc>
          <w:tcPr>
            <w:tcW w:w="1700" w:type="dxa"/>
            <w:shd w:val="clear" w:color="auto" w:fill="FFFFFF" w:themeFill="background1"/>
          </w:tcPr>
          <w:p w14:paraId="1C443F31"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103.2±36.61</w:t>
            </w:r>
          </w:p>
        </w:tc>
        <w:tc>
          <w:tcPr>
            <w:tcW w:w="1428" w:type="dxa"/>
            <w:shd w:val="clear" w:color="auto" w:fill="FFFFFF" w:themeFill="background1"/>
          </w:tcPr>
          <w:p w14:paraId="013904C2"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90.06±35.13</w:t>
            </w:r>
          </w:p>
        </w:tc>
        <w:tc>
          <w:tcPr>
            <w:tcW w:w="1225" w:type="dxa"/>
            <w:shd w:val="clear" w:color="auto" w:fill="FFFFFF" w:themeFill="background1"/>
          </w:tcPr>
          <w:p w14:paraId="037844AC"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0.3127</w:t>
            </w:r>
          </w:p>
        </w:tc>
        <w:tc>
          <w:tcPr>
            <w:tcW w:w="1011" w:type="dxa"/>
            <w:shd w:val="clear" w:color="auto" w:fill="FFFFFF" w:themeFill="background1"/>
          </w:tcPr>
          <w:p w14:paraId="37EF24D2"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0.7351</w:t>
            </w:r>
          </w:p>
        </w:tc>
        <w:tc>
          <w:tcPr>
            <w:tcW w:w="1056" w:type="dxa"/>
            <w:shd w:val="clear" w:color="auto" w:fill="FFFFFF" w:themeFill="background1"/>
          </w:tcPr>
          <w:p w14:paraId="6C64635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r w:rsidR="00FC7D61" w:rsidRPr="00FC7D61" w14:paraId="74AF4EEA" w14:textId="77777777" w:rsidTr="00037D35">
        <w:tc>
          <w:tcPr>
            <w:cnfStyle w:val="001000000000" w:firstRow="0" w:lastRow="0" w:firstColumn="1" w:lastColumn="0" w:oddVBand="0" w:evenVBand="0" w:oddHBand="0" w:evenHBand="0" w:firstRowFirstColumn="0" w:firstRowLastColumn="0" w:lastRowFirstColumn="0" w:lastRowLastColumn="0"/>
            <w:tcW w:w="1546" w:type="dxa"/>
            <w:tcBorders>
              <w:left w:val="nil"/>
              <w:right w:val="nil"/>
            </w:tcBorders>
            <w:shd w:val="clear" w:color="auto" w:fill="FFFFFF" w:themeFill="background1"/>
          </w:tcPr>
          <w:p w14:paraId="397A164D" w14:textId="77777777" w:rsidR="00FC7D61" w:rsidRPr="00FC7D61" w:rsidRDefault="00FC7D61" w:rsidP="00FC7D61">
            <w:pPr>
              <w:rPr>
                <w:rFonts w:ascii="Arial" w:hAnsi="Arial" w:cs="Arial"/>
                <w:b w:val="0"/>
                <w:bCs w:val="0"/>
              </w:rPr>
            </w:pPr>
            <w:r w:rsidRPr="00FC7D61">
              <w:rPr>
                <w:rFonts w:ascii="Arial" w:hAnsi="Arial" w:cs="Arial"/>
                <w:b w:val="0"/>
              </w:rPr>
              <w:t>CRP (ng/ml)</w:t>
            </w:r>
          </w:p>
        </w:tc>
        <w:tc>
          <w:tcPr>
            <w:tcW w:w="1610" w:type="dxa"/>
            <w:tcBorders>
              <w:right w:val="nil"/>
            </w:tcBorders>
            <w:shd w:val="clear" w:color="auto" w:fill="FFFFFF" w:themeFill="background1"/>
          </w:tcPr>
          <w:p w14:paraId="1BB65E98"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6.533±1.234</w:t>
            </w:r>
          </w:p>
        </w:tc>
        <w:tc>
          <w:tcPr>
            <w:tcW w:w="1700" w:type="dxa"/>
            <w:tcBorders>
              <w:right w:val="nil"/>
            </w:tcBorders>
            <w:shd w:val="clear" w:color="auto" w:fill="FFFFFF" w:themeFill="background1"/>
          </w:tcPr>
          <w:p w14:paraId="3E579FCC"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5.080±1.877</w:t>
            </w:r>
          </w:p>
        </w:tc>
        <w:tc>
          <w:tcPr>
            <w:tcW w:w="1428" w:type="dxa"/>
            <w:tcBorders>
              <w:right w:val="nil"/>
            </w:tcBorders>
            <w:shd w:val="clear" w:color="auto" w:fill="FFFFFF" w:themeFill="background1"/>
          </w:tcPr>
          <w:p w14:paraId="429A1FE3"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5.762±1.384</w:t>
            </w:r>
          </w:p>
        </w:tc>
        <w:tc>
          <w:tcPr>
            <w:tcW w:w="1225" w:type="dxa"/>
            <w:tcBorders>
              <w:right w:val="nil"/>
            </w:tcBorders>
            <w:shd w:val="clear" w:color="auto" w:fill="FFFFFF" w:themeFill="background1"/>
          </w:tcPr>
          <w:p w14:paraId="2DC62BF2"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0.9647</w:t>
            </w:r>
          </w:p>
        </w:tc>
        <w:tc>
          <w:tcPr>
            <w:tcW w:w="1011" w:type="dxa"/>
            <w:tcBorders>
              <w:right w:val="nil"/>
            </w:tcBorders>
            <w:shd w:val="clear" w:color="auto" w:fill="FFFFFF" w:themeFill="background1"/>
          </w:tcPr>
          <w:p w14:paraId="2690ACA5"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0.3990</w:t>
            </w:r>
          </w:p>
        </w:tc>
        <w:tc>
          <w:tcPr>
            <w:tcW w:w="1056" w:type="dxa"/>
            <w:tcBorders>
              <w:right w:val="nil"/>
            </w:tcBorders>
            <w:shd w:val="clear" w:color="auto" w:fill="FFFFFF" w:themeFill="background1"/>
          </w:tcPr>
          <w:p w14:paraId="173C0598"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r w:rsidR="00FC7D61" w:rsidRPr="00FC7D61" w14:paraId="06489C7D" w14:textId="77777777" w:rsidTr="00037D35">
        <w:tc>
          <w:tcPr>
            <w:cnfStyle w:val="001000000000" w:firstRow="0" w:lastRow="0" w:firstColumn="1" w:lastColumn="0" w:oddVBand="0" w:evenVBand="0" w:oddHBand="0" w:evenHBand="0" w:firstRowFirstColumn="0" w:firstRowLastColumn="0" w:lastRowFirstColumn="0" w:lastRowLastColumn="0"/>
            <w:tcW w:w="1546" w:type="dxa"/>
            <w:shd w:val="clear" w:color="auto" w:fill="FFFFFF" w:themeFill="background1"/>
          </w:tcPr>
          <w:p w14:paraId="047357C7" w14:textId="77777777" w:rsidR="00FC7D61" w:rsidRPr="00FC7D61" w:rsidRDefault="00FC7D61" w:rsidP="00FC7D61">
            <w:pPr>
              <w:rPr>
                <w:rFonts w:ascii="Arial" w:hAnsi="Arial" w:cs="Arial"/>
                <w:b w:val="0"/>
                <w:bCs w:val="0"/>
              </w:rPr>
            </w:pPr>
            <w:r w:rsidRPr="00FC7D61">
              <w:rPr>
                <w:rFonts w:ascii="Arial" w:hAnsi="Arial" w:cs="Arial"/>
                <w:b w:val="0"/>
              </w:rPr>
              <w:t>LDH (U/L)</w:t>
            </w:r>
          </w:p>
        </w:tc>
        <w:tc>
          <w:tcPr>
            <w:tcW w:w="1610" w:type="dxa"/>
            <w:shd w:val="clear" w:color="auto" w:fill="FFFFFF" w:themeFill="background1"/>
          </w:tcPr>
          <w:p w14:paraId="57FB2F01"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192.0±82.29</w:t>
            </w:r>
          </w:p>
        </w:tc>
        <w:tc>
          <w:tcPr>
            <w:tcW w:w="1700" w:type="dxa"/>
            <w:shd w:val="clear" w:color="auto" w:fill="FFFFFF" w:themeFill="background1"/>
          </w:tcPr>
          <w:p w14:paraId="5A471EAA"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208.8±60.74</w:t>
            </w:r>
          </w:p>
        </w:tc>
        <w:tc>
          <w:tcPr>
            <w:tcW w:w="1428" w:type="dxa"/>
            <w:shd w:val="clear" w:color="auto" w:fill="FFFFFF" w:themeFill="background1"/>
          </w:tcPr>
          <w:p w14:paraId="75704FC6"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191.2±78.36</w:t>
            </w:r>
          </w:p>
        </w:tc>
        <w:tc>
          <w:tcPr>
            <w:tcW w:w="1225" w:type="dxa"/>
            <w:shd w:val="clear" w:color="auto" w:fill="FFFFFF" w:themeFill="background1"/>
          </w:tcPr>
          <w:p w14:paraId="70B14DF9"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0.1197</w:t>
            </w:r>
          </w:p>
        </w:tc>
        <w:tc>
          <w:tcPr>
            <w:tcW w:w="1011" w:type="dxa"/>
            <w:shd w:val="clear" w:color="auto" w:fill="FFFFFF" w:themeFill="background1"/>
          </w:tcPr>
          <w:p w14:paraId="5D092ACA"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0.8879</w:t>
            </w:r>
          </w:p>
        </w:tc>
        <w:tc>
          <w:tcPr>
            <w:tcW w:w="1056" w:type="dxa"/>
            <w:shd w:val="clear" w:color="auto" w:fill="FFFFFF" w:themeFill="background1"/>
          </w:tcPr>
          <w:p w14:paraId="43BB5F6C"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r w:rsidR="00FC7D61" w:rsidRPr="00FC7D61" w14:paraId="5D37C3EF" w14:textId="77777777" w:rsidTr="00037D35">
        <w:tc>
          <w:tcPr>
            <w:cnfStyle w:val="001000000000" w:firstRow="0" w:lastRow="0" w:firstColumn="1" w:lastColumn="0" w:oddVBand="0" w:evenVBand="0" w:oddHBand="0" w:evenHBand="0" w:firstRowFirstColumn="0" w:firstRowLastColumn="0" w:lastRowFirstColumn="0" w:lastRowLastColumn="0"/>
            <w:tcW w:w="1546" w:type="dxa"/>
            <w:tcBorders>
              <w:left w:val="nil"/>
              <w:right w:val="nil"/>
            </w:tcBorders>
            <w:shd w:val="clear" w:color="auto" w:fill="FFFFFF" w:themeFill="background1"/>
          </w:tcPr>
          <w:p w14:paraId="2AA80A41" w14:textId="77777777" w:rsidR="00FC7D61" w:rsidRPr="00FC7D61" w:rsidRDefault="00FC7D61" w:rsidP="00FC7D61">
            <w:pPr>
              <w:rPr>
                <w:rFonts w:ascii="Arial" w:hAnsi="Arial" w:cs="Arial"/>
                <w:b w:val="0"/>
                <w:bCs w:val="0"/>
              </w:rPr>
            </w:pPr>
            <w:r w:rsidRPr="00FC7D61">
              <w:rPr>
                <w:rFonts w:ascii="Arial" w:hAnsi="Arial" w:cs="Arial"/>
                <w:b w:val="0"/>
              </w:rPr>
              <w:t>AFP (ng/ml)</w:t>
            </w:r>
          </w:p>
        </w:tc>
        <w:tc>
          <w:tcPr>
            <w:tcW w:w="1610" w:type="dxa"/>
            <w:tcBorders>
              <w:right w:val="nil"/>
            </w:tcBorders>
            <w:shd w:val="clear" w:color="auto" w:fill="FFFFFF" w:themeFill="background1"/>
          </w:tcPr>
          <w:p w14:paraId="0B9E24DA"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141.7±42.10</w:t>
            </w:r>
          </w:p>
        </w:tc>
        <w:tc>
          <w:tcPr>
            <w:tcW w:w="1700" w:type="dxa"/>
            <w:tcBorders>
              <w:right w:val="nil"/>
            </w:tcBorders>
            <w:shd w:val="clear" w:color="auto" w:fill="FFFFFF" w:themeFill="background1"/>
          </w:tcPr>
          <w:p w14:paraId="4CF86C6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167.7±29.23</w:t>
            </w:r>
          </w:p>
        </w:tc>
        <w:tc>
          <w:tcPr>
            <w:tcW w:w="1428" w:type="dxa"/>
            <w:tcBorders>
              <w:right w:val="nil"/>
            </w:tcBorders>
            <w:shd w:val="clear" w:color="auto" w:fill="FFFFFF" w:themeFill="background1"/>
          </w:tcPr>
          <w:p w14:paraId="71628D04"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187.8±54.72</w:t>
            </w:r>
          </w:p>
        </w:tc>
        <w:tc>
          <w:tcPr>
            <w:tcW w:w="1225" w:type="dxa"/>
            <w:tcBorders>
              <w:right w:val="nil"/>
            </w:tcBorders>
            <w:shd w:val="clear" w:color="auto" w:fill="FFFFFF" w:themeFill="background1"/>
          </w:tcPr>
          <w:p w14:paraId="6CC8D31A"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1.249</w:t>
            </w:r>
          </w:p>
        </w:tc>
        <w:tc>
          <w:tcPr>
            <w:tcW w:w="1011" w:type="dxa"/>
            <w:tcBorders>
              <w:right w:val="nil"/>
            </w:tcBorders>
            <w:shd w:val="clear" w:color="auto" w:fill="FFFFFF" w:themeFill="background1"/>
          </w:tcPr>
          <w:p w14:paraId="6F57880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0.3092</w:t>
            </w:r>
          </w:p>
        </w:tc>
        <w:tc>
          <w:tcPr>
            <w:tcW w:w="1056" w:type="dxa"/>
            <w:tcBorders>
              <w:right w:val="nil"/>
            </w:tcBorders>
            <w:shd w:val="clear" w:color="auto" w:fill="FFFFFF" w:themeFill="background1"/>
          </w:tcPr>
          <w:p w14:paraId="0C095613"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bl>
    <w:p w14:paraId="3F648808" w14:textId="17D5E57C" w:rsidR="00FC7D61" w:rsidRDefault="00FC7D61" w:rsidP="00FC7D61">
      <w:pPr>
        <w:jc w:val="both"/>
        <w:rPr>
          <w:rFonts w:ascii="Times New Roman" w:hAnsi="Times New Roman"/>
        </w:rPr>
      </w:pPr>
      <w:r>
        <w:rPr>
          <w:rFonts w:ascii="Times New Roman" w:hAnsi="Times New Roman"/>
          <w:b/>
        </w:rPr>
        <w:t>PostHoc:</w:t>
      </w:r>
      <w:r>
        <w:rPr>
          <w:rFonts w:ascii="Times New Roman" w:hAnsi="Times New Roman"/>
        </w:rPr>
        <w:t xml:space="preserve"> Values in the same row with different superscripts differ significantly at p&lt;0.05.</w:t>
      </w:r>
    </w:p>
    <w:p w14:paraId="0EC37D71" w14:textId="77777777" w:rsidR="00FC7D61" w:rsidRDefault="00FC7D61" w:rsidP="00FC7D61">
      <w:pPr>
        <w:jc w:val="both"/>
        <w:rPr>
          <w:rFonts w:ascii="Times New Roman" w:hAnsi="Times New Roman"/>
        </w:rPr>
      </w:pPr>
      <w:r>
        <w:rPr>
          <w:rFonts w:ascii="Times New Roman" w:hAnsi="Times New Roman"/>
        </w:rPr>
        <w:t>KEYS: AST= Aspartate aminotransferase, ALT=Alanine aminotransferase, ALP=Alkaline Phosphatase, GGT=Glutamyl Transferase, CRP=C-Reactive Protein, LDH=Lactate Dehydrogenase, AFP= α-Feto Protein</w:t>
      </w:r>
      <w:r>
        <w:rPr>
          <w:rFonts w:ascii="Times New Roman" w:hAnsi="Times New Roman"/>
          <w:b/>
        </w:rPr>
        <w:t xml:space="preserve">, </w:t>
      </w:r>
      <w:r>
        <w:rPr>
          <w:rFonts w:ascii="Times New Roman" w:hAnsi="Times New Roman"/>
        </w:rPr>
        <w:t>S=Significant, NS=Not Significant at p&lt;0.05.</w:t>
      </w:r>
    </w:p>
    <w:p w14:paraId="7429F4B2" w14:textId="77777777" w:rsidR="00C0344C" w:rsidRDefault="00C0344C" w:rsidP="00C0344C">
      <w:pPr>
        <w:rPr>
          <w:rFonts w:ascii="Arial" w:hAnsi="Arial" w:cs="Arial"/>
        </w:rPr>
      </w:pPr>
    </w:p>
    <w:p w14:paraId="1FDB0B6E" w14:textId="77777777" w:rsidR="00FC7D61" w:rsidRPr="00181540" w:rsidRDefault="00FC7D61" w:rsidP="00C0344C">
      <w:pPr>
        <w:rPr>
          <w:rFonts w:ascii="Arial" w:hAnsi="Arial" w:cs="Arial"/>
        </w:rPr>
      </w:pPr>
    </w:p>
    <w:p w14:paraId="38962CB9" w14:textId="7512C562" w:rsidR="00A458B7" w:rsidRPr="00A458B7" w:rsidRDefault="00A458B7" w:rsidP="00A458B7">
      <w:pPr>
        <w:pStyle w:val="Body"/>
        <w:rPr>
          <w:rFonts w:ascii="Arial" w:hAnsi="Arial" w:cs="Arial"/>
        </w:rPr>
      </w:pPr>
      <w:r w:rsidRPr="00A458B7">
        <w:rPr>
          <w:rFonts w:ascii="Arial" w:hAnsi="Arial" w:cs="Arial"/>
        </w:rPr>
        <w:t xml:space="preserve">The study showed significant increase (P&lt;0.05) in activities of AST, ALT, ALP, GGT CRP and AFP in HBV positive subjects compared with their respective controls. </w:t>
      </w:r>
      <w:r w:rsidRPr="009651A1">
        <w:rPr>
          <w:rFonts w:ascii="Arial" w:hAnsi="Arial" w:cs="Arial"/>
          <w:color w:val="000000" w:themeColor="text1"/>
        </w:rPr>
        <w:t>This study</w:t>
      </w:r>
      <w:r w:rsidR="009651A1" w:rsidRPr="009651A1">
        <w:rPr>
          <w:rFonts w:ascii="Arial" w:hAnsi="Arial" w:cs="Arial"/>
          <w:color w:val="000000" w:themeColor="text1"/>
        </w:rPr>
        <w:t xml:space="preserve"> is</w:t>
      </w:r>
      <w:r w:rsidR="00A56B75" w:rsidRPr="009651A1">
        <w:rPr>
          <w:rFonts w:ascii="Arial" w:hAnsi="Arial" w:cs="Arial"/>
          <w:color w:val="000000" w:themeColor="text1"/>
        </w:rPr>
        <w:t xml:space="preserve"> in consonance with the report of </w:t>
      </w:r>
      <w:r w:rsidRPr="009651A1">
        <w:rPr>
          <w:rFonts w:ascii="Arial" w:hAnsi="Arial" w:cs="Arial"/>
          <w:color w:val="000000" w:themeColor="text1"/>
        </w:rPr>
        <w:t>Ran</w:t>
      </w:r>
      <w:r w:rsidRPr="00A458B7">
        <w:rPr>
          <w:rFonts w:ascii="Arial" w:hAnsi="Arial" w:cs="Arial"/>
        </w:rPr>
        <w:t xml:space="preserve">a et al. </w:t>
      </w:r>
      <w:r w:rsidR="005D2656" w:rsidRPr="005F5067">
        <w:rPr>
          <w:rFonts w:ascii="Arial" w:eastAsia="Calibri" w:hAnsi="Arial" w:cs="Arial"/>
          <w:szCs w:val="22"/>
        </w:rPr>
        <w:t>[1</w:t>
      </w:r>
      <w:r w:rsidR="00AA2EFB">
        <w:rPr>
          <w:rFonts w:ascii="Arial" w:eastAsia="Calibri" w:hAnsi="Arial" w:cs="Arial"/>
          <w:szCs w:val="22"/>
        </w:rPr>
        <w:t>8</w:t>
      </w:r>
      <w:r w:rsidR="005D2656" w:rsidRPr="005F5067">
        <w:rPr>
          <w:rFonts w:ascii="Arial" w:eastAsia="Calibri" w:hAnsi="Arial" w:cs="Arial"/>
          <w:szCs w:val="22"/>
        </w:rPr>
        <w:t>]</w:t>
      </w:r>
      <w:r w:rsidRPr="00A458B7">
        <w:rPr>
          <w:rFonts w:ascii="Arial" w:hAnsi="Arial" w:cs="Arial"/>
        </w:rPr>
        <w:t xml:space="preserve"> and Domfeh et al. </w:t>
      </w:r>
      <w:r w:rsidR="005D2656" w:rsidRPr="005F5067">
        <w:rPr>
          <w:rFonts w:ascii="Arial" w:eastAsia="Calibri" w:hAnsi="Arial" w:cs="Arial"/>
          <w:szCs w:val="22"/>
        </w:rPr>
        <w:t>[1</w:t>
      </w:r>
      <w:r w:rsidR="00AA2EFB">
        <w:rPr>
          <w:rFonts w:ascii="Arial" w:eastAsia="Calibri" w:hAnsi="Arial" w:cs="Arial"/>
          <w:szCs w:val="22"/>
        </w:rPr>
        <w:t>9</w:t>
      </w:r>
      <w:r w:rsidR="005D2656" w:rsidRPr="005F5067">
        <w:rPr>
          <w:rFonts w:ascii="Arial" w:eastAsia="Calibri" w:hAnsi="Arial" w:cs="Arial"/>
          <w:szCs w:val="22"/>
        </w:rPr>
        <w:t>]</w:t>
      </w:r>
      <w:r w:rsidRPr="00A458B7">
        <w:rPr>
          <w:rFonts w:ascii="Arial" w:hAnsi="Arial" w:cs="Arial"/>
        </w:rPr>
        <w:t xml:space="preserve"> which reported that the serum levels of liver injury markers (ALT and AST) and serum levels of ALP and GGT were significantly higher among the chronic HBV-infected patients compared to the healthy controls. Rana et al.</w:t>
      </w:r>
      <w:r w:rsidR="005D2656" w:rsidRPr="005D2656">
        <w:rPr>
          <w:rFonts w:ascii="Arial" w:eastAsia="Calibri" w:hAnsi="Arial" w:cs="Arial"/>
          <w:szCs w:val="22"/>
        </w:rPr>
        <w:t xml:space="preserve"> </w:t>
      </w:r>
      <w:r w:rsidR="005D2656" w:rsidRPr="005F5067">
        <w:rPr>
          <w:rFonts w:ascii="Arial" w:eastAsia="Calibri" w:hAnsi="Arial" w:cs="Arial"/>
          <w:szCs w:val="22"/>
        </w:rPr>
        <w:t>[</w:t>
      </w:r>
      <w:r w:rsidR="00AA2EFB">
        <w:rPr>
          <w:rFonts w:ascii="Arial" w:eastAsia="Calibri" w:hAnsi="Arial" w:cs="Arial"/>
          <w:szCs w:val="22"/>
        </w:rPr>
        <w:t>20</w:t>
      </w:r>
      <w:r w:rsidR="005D2656" w:rsidRPr="005F5067">
        <w:rPr>
          <w:rFonts w:ascii="Arial" w:eastAsia="Calibri" w:hAnsi="Arial" w:cs="Arial"/>
          <w:szCs w:val="22"/>
        </w:rPr>
        <w:t>]</w:t>
      </w:r>
      <w:r w:rsidRPr="00A458B7">
        <w:rPr>
          <w:rFonts w:ascii="Arial" w:hAnsi="Arial" w:cs="Arial"/>
        </w:rPr>
        <w:t xml:space="preserve"> observed </w:t>
      </w:r>
      <w:r w:rsidR="00B960B5">
        <w:rPr>
          <w:rFonts w:ascii="Arial" w:hAnsi="Arial" w:cs="Arial"/>
        </w:rPr>
        <w:t>“</w:t>
      </w:r>
      <w:r w:rsidRPr="00A458B7">
        <w:rPr>
          <w:rFonts w:ascii="Arial" w:hAnsi="Arial" w:cs="Arial"/>
        </w:rPr>
        <w:t>significant increase in AST, ALT, ALP activities in HBV subjects compared with healthy controls ALT activity is consistently higher than aspartate aminotransferase (AST) with all causes of chronic hepatic injury except for alcoholic hepatitis</w:t>
      </w:r>
      <w:r w:rsidR="00B960B5">
        <w:rPr>
          <w:rFonts w:ascii="Arial" w:hAnsi="Arial" w:cs="Arial"/>
        </w:rPr>
        <w:t>”</w:t>
      </w:r>
      <w:r w:rsidRPr="00A458B7">
        <w:rPr>
          <w:rFonts w:ascii="Arial" w:hAnsi="Arial" w:cs="Arial"/>
        </w:rPr>
        <w:t xml:space="preserve"> </w:t>
      </w:r>
      <w:r w:rsidR="005D2656" w:rsidRPr="005F5067">
        <w:rPr>
          <w:rFonts w:ascii="Arial" w:eastAsia="Calibri" w:hAnsi="Arial" w:cs="Arial"/>
          <w:szCs w:val="22"/>
        </w:rPr>
        <w:t>[</w:t>
      </w:r>
      <w:r w:rsidR="00AA2EFB">
        <w:rPr>
          <w:rFonts w:ascii="Arial" w:eastAsia="Calibri" w:hAnsi="Arial" w:cs="Arial"/>
          <w:szCs w:val="22"/>
        </w:rPr>
        <w:t>2</w:t>
      </w:r>
      <w:r w:rsidR="005D2656" w:rsidRPr="005F5067">
        <w:rPr>
          <w:rFonts w:ascii="Arial" w:eastAsia="Calibri" w:hAnsi="Arial" w:cs="Arial"/>
          <w:szCs w:val="22"/>
        </w:rPr>
        <w:t>1</w:t>
      </w:r>
      <w:r w:rsidR="00AA2EFB" w:rsidRPr="005F5067">
        <w:rPr>
          <w:rFonts w:ascii="Arial" w:eastAsia="Calibri" w:hAnsi="Arial" w:cs="Arial"/>
          <w:szCs w:val="22"/>
        </w:rPr>
        <w:t>]</w:t>
      </w:r>
      <w:r w:rsidR="00AA2EFB" w:rsidRPr="00A458B7">
        <w:rPr>
          <w:rFonts w:ascii="Arial" w:hAnsi="Arial" w:cs="Arial"/>
        </w:rPr>
        <w:t xml:space="preserve">. </w:t>
      </w:r>
      <w:r w:rsidR="00B960B5">
        <w:rPr>
          <w:rFonts w:ascii="Arial" w:hAnsi="Arial" w:cs="Arial"/>
        </w:rPr>
        <w:t>“</w:t>
      </w:r>
      <w:r w:rsidR="00AA2EFB" w:rsidRPr="00A458B7">
        <w:rPr>
          <w:rFonts w:ascii="Arial" w:hAnsi="Arial" w:cs="Arial"/>
        </w:rPr>
        <w:t>These</w:t>
      </w:r>
      <w:r w:rsidRPr="00A458B7">
        <w:rPr>
          <w:rFonts w:ascii="Arial" w:hAnsi="Arial" w:cs="Arial"/>
        </w:rPr>
        <w:t xml:space="preserve"> enzymes are associated with the liver parenchymal cells and are useful biomarkers of liver </w:t>
      </w:r>
      <w:r w:rsidR="00AA2EFB" w:rsidRPr="00A458B7">
        <w:rPr>
          <w:rFonts w:ascii="Arial" w:hAnsi="Arial" w:cs="Arial"/>
        </w:rPr>
        <w:t>injury</w:t>
      </w:r>
      <w:r w:rsidR="00B960B5">
        <w:rPr>
          <w:rFonts w:ascii="Arial" w:hAnsi="Arial" w:cs="Arial"/>
        </w:rPr>
        <w:t>”</w:t>
      </w:r>
      <w:r w:rsidR="00AA2EFB" w:rsidRPr="00A458B7">
        <w:rPr>
          <w:rFonts w:ascii="Arial" w:hAnsi="Arial" w:cs="Arial"/>
        </w:rPr>
        <w:t xml:space="preserve"> </w:t>
      </w:r>
      <w:r w:rsidR="00AA2EFB" w:rsidRPr="005D2656">
        <w:rPr>
          <w:rFonts w:ascii="Arial" w:eastAsia="Calibri" w:hAnsi="Arial" w:cs="Arial"/>
          <w:szCs w:val="22"/>
        </w:rPr>
        <w:t>[</w:t>
      </w:r>
      <w:r w:rsidR="00AA2EFB">
        <w:rPr>
          <w:rFonts w:ascii="Arial" w:eastAsia="Calibri" w:hAnsi="Arial" w:cs="Arial"/>
          <w:szCs w:val="22"/>
        </w:rPr>
        <w:t>22</w:t>
      </w:r>
      <w:r w:rsidR="005D2656" w:rsidRPr="005F5067">
        <w:rPr>
          <w:rFonts w:ascii="Arial" w:eastAsia="Calibri" w:hAnsi="Arial" w:cs="Arial"/>
          <w:szCs w:val="22"/>
        </w:rPr>
        <w:t>]</w:t>
      </w:r>
      <w:r w:rsidRPr="00A458B7">
        <w:rPr>
          <w:rFonts w:ascii="Arial" w:hAnsi="Arial" w:cs="Arial"/>
        </w:rPr>
        <w:t>.</w:t>
      </w:r>
      <w:r w:rsidR="005D2656">
        <w:rPr>
          <w:rFonts w:ascii="Arial" w:hAnsi="Arial" w:cs="Arial"/>
        </w:rPr>
        <w:t xml:space="preserve"> </w:t>
      </w:r>
      <w:r w:rsidR="00B960B5">
        <w:rPr>
          <w:rFonts w:ascii="Arial" w:hAnsi="Arial" w:cs="Arial"/>
        </w:rPr>
        <w:t>“</w:t>
      </w:r>
      <w:r w:rsidRPr="00A458B7">
        <w:rPr>
          <w:rFonts w:ascii="Arial" w:hAnsi="Arial" w:cs="Arial"/>
        </w:rPr>
        <w:t>AST</w:t>
      </w:r>
      <w:r w:rsidR="005D2656">
        <w:rPr>
          <w:rFonts w:ascii="Arial" w:hAnsi="Arial" w:cs="Arial"/>
        </w:rPr>
        <w:t xml:space="preserve"> </w:t>
      </w:r>
      <w:r w:rsidRPr="00A458B7">
        <w:rPr>
          <w:rFonts w:ascii="Arial" w:hAnsi="Arial" w:cs="Arial"/>
        </w:rPr>
        <w:t xml:space="preserve">and ALT are often released into the blood stream once there is hepatocellular damage, so ALT serum level elevation </w:t>
      </w:r>
      <w:r w:rsidR="005D2656" w:rsidRPr="00A458B7">
        <w:rPr>
          <w:rFonts w:ascii="Arial" w:hAnsi="Arial" w:cs="Arial"/>
        </w:rPr>
        <w:t>correlates</w:t>
      </w:r>
      <w:r w:rsidRPr="00A458B7">
        <w:rPr>
          <w:rFonts w:ascii="Arial" w:hAnsi="Arial" w:cs="Arial"/>
        </w:rPr>
        <w:t xml:space="preserve"> more with hepatic injury. Sometimes the ratio of ALT to AST can also help deﬁne the patterns of a disease</w:t>
      </w:r>
      <w:r w:rsidR="00B960B5">
        <w:rPr>
          <w:rFonts w:ascii="Arial" w:hAnsi="Arial" w:cs="Arial"/>
        </w:rPr>
        <w:t>”</w:t>
      </w:r>
      <w:r w:rsidRPr="00A458B7">
        <w:rPr>
          <w:rFonts w:ascii="Arial" w:hAnsi="Arial" w:cs="Arial"/>
        </w:rPr>
        <w:t xml:space="preserve"> </w:t>
      </w:r>
      <w:r w:rsidR="005D2656" w:rsidRPr="005F5067">
        <w:rPr>
          <w:rFonts w:ascii="Arial" w:eastAsia="Calibri" w:hAnsi="Arial" w:cs="Arial"/>
          <w:szCs w:val="22"/>
        </w:rPr>
        <w:t>[</w:t>
      </w:r>
      <w:r w:rsidR="00AA2EFB">
        <w:rPr>
          <w:rFonts w:ascii="Arial" w:eastAsia="Calibri" w:hAnsi="Arial" w:cs="Arial"/>
          <w:szCs w:val="22"/>
        </w:rPr>
        <w:t>23</w:t>
      </w:r>
      <w:r w:rsidR="005D2656" w:rsidRPr="005F5067">
        <w:rPr>
          <w:rFonts w:ascii="Arial" w:eastAsia="Calibri" w:hAnsi="Arial" w:cs="Arial"/>
          <w:szCs w:val="22"/>
        </w:rPr>
        <w:t>]</w:t>
      </w:r>
      <w:r w:rsidRPr="00A458B7">
        <w:rPr>
          <w:rFonts w:ascii="Arial" w:hAnsi="Arial" w:cs="Arial"/>
        </w:rPr>
        <w:t>. Abulude et al.</w:t>
      </w:r>
      <w:r w:rsidR="005D2656" w:rsidRPr="005D2656">
        <w:rPr>
          <w:rFonts w:ascii="Arial" w:eastAsia="Calibri" w:hAnsi="Arial" w:cs="Arial"/>
          <w:szCs w:val="22"/>
        </w:rPr>
        <w:t xml:space="preserve"> </w:t>
      </w:r>
      <w:r w:rsidR="005D2656" w:rsidRPr="005F5067">
        <w:rPr>
          <w:rFonts w:ascii="Arial" w:eastAsia="Calibri" w:hAnsi="Arial" w:cs="Arial"/>
          <w:szCs w:val="22"/>
        </w:rPr>
        <w:t>[</w:t>
      </w:r>
      <w:r w:rsidR="00AA2EFB">
        <w:rPr>
          <w:rFonts w:ascii="Arial" w:eastAsia="Calibri" w:hAnsi="Arial" w:cs="Arial"/>
          <w:szCs w:val="22"/>
        </w:rPr>
        <w:t>24</w:t>
      </w:r>
      <w:r w:rsidR="005D2656" w:rsidRPr="005F5067">
        <w:rPr>
          <w:rFonts w:ascii="Arial" w:eastAsia="Calibri" w:hAnsi="Arial" w:cs="Arial"/>
          <w:szCs w:val="22"/>
        </w:rPr>
        <w:t>]</w:t>
      </w:r>
      <w:r w:rsidRPr="00A458B7">
        <w:rPr>
          <w:rFonts w:ascii="Arial" w:hAnsi="Arial" w:cs="Arial"/>
        </w:rPr>
        <w:t xml:space="preserve"> in their study reported that HBsAg seropositivity was signiﬁcantly associated with an abnormal </w:t>
      </w:r>
      <w:r w:rsidR="005D2656" w:rsidRPr="00A458B7">
        <w:rPr>
          <w:rFonts w:ascii="Arial" w:hAnsi="Arial" w:cs="Arial"/>
        </w:rPr>
        <w:t>ALP. The</w:t>
      </w:r>
      <w:r w:rsidRPr="00A458B7">
        <w:rPr>
          <w:rFonts w:ascii="Arial" w:hAnsi="Arial" w:cs="Arial"/>
        </w:rPr>
        <w:t xml:space="preserve"> hepatitis B virus mainly affects the functions of the liver by multiplying in the liver cells leading to inflammation of the hepatocytes </w:t>
      </w:r>
      <w:r w:rsidR="005D2656" w:rsidRPr="005F5067">
        <w:rPr>
          <w:rFonts w:ascii="Arial" w:eastAsia="Calibri" w:hAnsi="Arial" w:cs="Arial"/>
          <w:szCs w:val="22"/>
        </w:rPr>
        <w:t>[</w:t>
      </w:r>
      <w:r w:rsidR="00CC7C42">
        <w:rPr>
          <w:rFonts w:ascii="Arial" w:eastAsia="Calibri" w:hAnsi="Arial" w:cs="Arial"/>
          <w:szCs w:val="22"/>
        </w:rPr>
        <w:t>25</w:t>
      </w:r>
      <w:r w:rsidR="005D2656" w:rsidRPr="005F5067">
        <w:rPr>
          <w:rFonts w:ascii="Arial" w:eastAsia="Calibri" w:hAnsi="Arial" w:cs="Arial"/>
          <w:szCs w:val="22"/>
        </w:rPr>
        <w:t>]</w:t>
      </w:r>
      <w:r w:rsidRPr="00A458B7">
        <w:rPr>
          <w:rFonts w:ascii="Arial" w:hAnsi="Arial" w:cs="Arial"/>
        </w:rPr>
        <w:t xml:space="preserve">. These inflammatory processes comprise tissue breakdown and repair mechanisms; therefore, the high tissue turnover in chronic active viral hepatitis B often leads to scarring and hepatocyte damage </w:t>
      </w:r>
      <w:r w:rsidR="005D2656" w:rsidRPr="005F5067">
        <w:rPr>
          <w:rFonts w:ascii="Arial" w:eastAsia="Calibri" w:hAnsi="Arial" w:cs="Arial"/>
          <w:szCs w:val="22"/>
        </w:rPr>
        <w:t>[</w:t>
      </w:r>
      <w:r w:rsidR="00CC7C42">
        <w:rPr>
          <w:rFonts w:ascii="Arial" w:eastAsia="Calibri" w:hAnsi="Arial" w:cs="Arial"/>
          <w:szCs w:val="22"/>
        </w:rPr>
        <w:t>25</w:t>
      </w:r>
      <w:r w:rsidR="005D2656" w:rsidRPr="005F5067">
        <w:rPr>
          <w:rFonts w:ascii="Arial" w:eastAsia="Calibri" w:hAnsi="Arial" w:cs="Arial"/>
          <w:szCs w:val="22"/>
        </w:rPr>
        <w:t>]</w:t>
      </w:r>
      <w:r w:rsidRPr="00A458B7">
        <w:rPr>
          <w:rFonts w:ascii="Arial" w:hAnsi="Arial" w:cs="Arial"/>
        </w:rPr>
        <w:t xml:space="preserve">. Subsequently, serum levels of aspartate and alanine transaminases are raised. These enzymes are associated with the liver parenchymal cells and are useful biomarkers of liver injury </w:t>
      </w:r>
      <w:r w:rsidR="005D2656" w:rsidRPr="005F5067">
        <w:rPr>
          <w:rFonts w:ascii="Arial" w:eastAsia="Calibri" w:hAnsi="Arial" w:cs="Arial"/>
          <w:szCs w:val="22"/>
        </w:rPr>
        <w:t>[</w:t>
      </w:r>
      <w:r w:rsidR="00CC7C42">
        <w:rPr>
          <w:rFonts w:ascii="Arial" w:eastAsia="Calibri" w:hAnsi="Arial" w:cs="Arial"/>
          <w:szCs w:val="22"/>
        </w:rPr>
        <w:t>26</w:t>
      </w:r>
      <w:r w:rsidR="005D2656" w:rsidRPr="005F5067">
        <w:rPr>
          <w:rFonts w:ascii="Arial" w:eastAsia="Calibri" w:hAnsi="Arial" w:cs="Arial"/>
          <w:szCs w:val="22"/>
        </w:rPr>
        <w:t>]</w:t>
      </w:r>
      <w:r w:rsidRPr="00A458B7">
        <w:rPr>
          <w:rFonts w:ascii="Arial" w:hAnsi="Arial" w:cs="Arial"/>
        </w:rPr>
        <w:t xml:space="preserve">. In addition, the hepatocytes also produce C-reactive protein (CRP), an acute phase protein </w:t>
      </w:r>
      <w:r w:rsidR="005D2656" w:rsidRPr="005F5067">
        <w:rPr>
          <w:rFonts w:ascii="Arial" w:eastAsia="Calibri" w:hAnsi="Arial" w:cs="Arial"/>
          <w:szCs w:val="22"/>
        </w:rPr>
        <w:t>[</w:t>
      </w:r>
      <w:r w:rsidR="00CC7C42">
        <w:rPr>
          <w:rFonts w:ascii="Arial" w:eastAsia="Calibri" w:hAnsi="Arial" w:cs="Arial"/>
          <w:szCs w:val="22"/>
        </w:rPr>
        <w:t>27</w:t>
      </w:r>
      <w:r w:rsidR="005D2656" w:rsidRPr="005F5067">
        <w:rPr>
          <w:rFonts w:ascii="Arial" w:eastAsia="Calibri" w:hAnsi="Arial" w:cs="Arial"/>
          <w:szCs w:val="22"/>
        </w:rPr>
        <w:t>]</w:t>
      </w:r>
      <w:r w:rsidRPr="00A458B7">
        <w:rPr>
          <w:rFonts w:ascii="Arial" w:hAnsi="Arial" w:cs="Arial"/>
        </w:rPr>
        <w:t xml:space="preserve">, </w:t>
      </w:r>
      <w:r w:rsidR="00B960B5">
        <w:rPr>
          <w:rFonts w:ascii="Arial" w:hAnsi="Arial" w:cs="Arial"/>
        </w:rPr>
        <w:t>“</w:t>
      </w:r>
      <w:r w:rsidRPr="00A458B7">
        <w:rPr>
          <w:rFonts w:ascii="Arial" w:hAnsi="Arial" w:cs="Arial"/>
        </w:rPr>
        <w:t>which causes the release of pro-inflammatory cytokines, specifically interleukin-6 (IL-6), from macrophages and T cells; hence, C-reactive proteins and IL-6 are used to assess the degree of inflammation</w:t>
      </w:r>
      <w:r w:rsidR="00B960B5">
        <w:rPr>
          <w:rFonts w:ascii="Arial" w:hAnsi="Arial" w:cs="Arial"/>
        </w:rPr>
        <w:t>”</w:t>
      </w:r>
      <w:r w:rsidRPr="00A458B7">
        <w:rPr>
          <w:rFonts w:ascii="Arial" w:hAnsi="Arial" w:cs="Arial"/>
        </w:rPr>
        <w:t xml:space="preserve"> </w:t>
      </w:r>
      <w:r w:rsidR="005D2656" w:rsidRPr="005F5067">
        <w:rPr>
          <w:rFonts w:ascii="Arial" w:eastAsia="Calibri" w:hAnsi="Arial" w:cs="Arial"/>
          <w:szCs w:val="22"/>
        </w:rPr>
        <w:t>[</w:t>
      </w:r>
      <w:r w:rsidR="00CC7C42">
        <w:rPr>
          <w:rFonts w:ascii="Arial" w:eastAsia="Calibri" w:hAnsi="Arial" w:cs="Arial"/>
          <w:szCs w:val="22"/>
        </w:rPr>
        <w:t>28</w:t>
      </w:r>
      <w:r w:rsidR="005D2656" w:rsidRPr="005F5067">
        <w:rPr>
          <w:rFonts w:ascii="Arial" w:eastAsia="Calibri" w:hAnsi="Arial" w:cs="Arial"/>
          <w:szCs w:val="22"/>
        </w:rPr>
        <w:t>]</w:t>
      </w:r>
      <w:r w:rsidRPr="00A458B7">
        <w:rPr>
          <w:rFonts w:ascii="Arial" w:hAnsi="Arial" w:cs="Arial"/>
        </w:rPr>
        <w:t>.  Domfeh et al.</w:t>
      </w:r>
      <w:r w:rsidR="005D2656" w:rsidRPr="005D2656">
        <w:rPr>
          <w:rFonts w:ascii="Arial" w:eastAsia="Calibri" w:hAnsi="Arial" w:cs="Arial"/>
          <w:szCs w:val="22"/>
        </w:rPr>
        <w:t xml:space="preserve"> </w:t>
      </w:r>
      <w:r w:rsidR="005D2656" w:rsidRPr="005F5067">
        <w:rPr>
          <w:rFonts w:ascii="Arial" w:eastAsia="Calibri" w:hAnsi="Arial" w:cs="Arial"/>
          <w:szCs w:val="22"/>
        </w:rPr>
        <w:t>[1</w:t>
      </w:r>
      <w:r w:rsidR="00CC7C42">
        <w:rPr>
          <w:rFonts w:ascii="Arial" w:eastAsia="Calibri" w:hAnsi="Arial" w:cs="Arial"/>
          <w:szCs w:val="22"/>
        </w:rPr>
        <w:t>9</w:t>
      </w:r>
      <w:r w:rsidR="005D2656" w:rsidRPr="005F5067">
        <w:rPr>
          <w:rFonts w:ascii="Arial" w:eastAsia="Calibri" w:hAnsi="Arial" w:cs="Arial"/>
          <w:szCs w:val="22"/>
        </w:rPr>
        <w:t>]</w:t>
      </w:r>
      <w:r w:rsidRPr="00A458B7">
        <w:rPr>
          <w:rFonts w:ascii="Arial" w:hAnsi="Arial" w:cs="Arial"/>
        </w:rPr>
        <w:t xml:space="preserve"> reported significant increase in the biomarkers of inflammation, C-reactive protein (CRP) and interleukin 6, </w:t>
      </w:r>
      <w:r w:rsidR="00CC7C42" w:rsidRPr="00A458B7">
        <w:rPr>
          <w:rFonts w:ascii="Arial" w:hAnsi="Arial" w:cs="Arial"/>
        </w:rPr>
        <w:t>and liver</w:t>
      </w:r>
      <w:r w:rsidRPr="00A458B7">
        <w:rPr>
          <w:rFonts w:ascii="Arial" w:hAnsi="Arial" w:cs="Arial"/>
        </w:rPr>
        <w:t xml:space="preserve"> injury (liver transaminases, FIB-4 index, and APRI) among the drug-naive chronic HBV-infected patients.</w:t>
      </w:r>
    </w:p>
    <w:p w14:paraId="209D9E8A" w14:textId="6407B950" w:rsidR="00A458B7" w:rsidRPr="00A458B7" w:rsidRDefault="00A458B7" w:rsidP="00A458B7">
      <w:pPr>
        <w:pStyle w:val="Body"/>
        <w:rPr>
          <w:rFonts w:ascii="Arial" w:hAnsi="Arial" w:cs="Arial"/>
        </w:rPr>
      </w:pPr>
      <w:r w:rsidRPr="00A458B7">
        <w:rPr>
          <w:rFonts w:ascii="Arial" w:hAnsi="Arial" w:cs="Arial"/>
        </w:rPr>
        <w:t xml:space="preserve">In addition, the hepatocytes also produce C-reactive protein (CRP), an acute phase protein </w:t>
      </w:r>
      <w:r w:rsidR="005D2656" w:rsidRPr="005F5067">
        <w:rPr>
          <w:rFonts w:ascii="Arial" w:eastAsia="Calibri" w:hAnsi="Arial" w:cs="Arial"/>
          <w:szCs w:val="22"/>
        </w:rPr>
        <w:t>[</w:t>
      </w:r>
      <w:r w:rsidR="00CC7C42">
        <w:rPr>
          <w:rFonts w:ascii="Arial" w:eastAsia="Calibri" w:hAnsi="Arial" w:cs="Arial"/>
          <w:szCs w:val="22"/>
        </w:rPr>
        <w:t>27</w:t>
      </w:r>
      <w:r w:rsidR="005D2656" w:rsidRPr="005F5067">
        <w:rPr>
          <w:rFonts w:ascii="Arial" w:eastAsia="Calibri" w:hAnsi="Arial" w:cs="Arial"/>
          <w:szCs w:val="22"/>
        </w:rPr>
        <w:t>]</w:t>
      </w:r>
      <w:r w:rsidRPr="00A458B7">
        <w:rPr>
          <w:rFonts w:ascii="Arial" w:hAnsi="Arial" w:cs="Arial"/>
        </w:rPr>
        <w:t xml:space="preserve">, which causes the release of pro-inflammatory cytokines, specifically interleukin-6 (IL-6), from macrophages and T cells; hence, C-reactive proteins and IL-6 are used to assess the degree of inflammation </w:t>
      </w:r>
      <w:r w:rsidR="005D2656" w:rsidRPr="005F5067">
        <w:rPr>
          <w:rFonts w:ascii="Arial" w:eastAsia="Calibri" w:hAnsi="Arial" w:cs="Arial"/>
          <w:szCs w:val="22"/>
        </w:rPr>
        <w:t>[</w:t>
      </w:r>
      <w:r w:rsidR="00CC7C42">
        <w:rPr>
          <w:rFonts w:ascii="Arial" w:eastAsia="Calibri" w:hAnsi="Arial" w:cs="Arial"/>
          <w:szCs w:val="22"/>
        </w:rPr>
        <w:t>28</w:t>
      </w:r>
      <w:r w:rsidR="005D2656" w:rsidRPr="005F5067">
        <w:rPr>
          <w:rFonts w:ascii="Arial" w:eastAsia="Calibri" w:hAnsi="Arial" w:cs="Arial"/>
          <w:szCs w:val="22"/>
        </w:rPr>
        <w:t>]</w:t>
      </w:r>
      <w:r w:rsidRPr="00A458B7">
        <w:rPr>
          <w:rFonts w:ascii="Arial" w:hAnsi="Arial" w:cs="Arial"/>
        </w:rPr>
        <w:t>. The C</w:t>
      </w:r>
      <w:r w:rsidR="005D2656">
        <w:rPr>
          <w:rFonts w:ascii="Arial" w:hAnsi="Arial" w:cs="Arial"/>
        </w:rPr>
        <w:t xml:space="preserve"> </w:t>
      </w:r>
      <w:r w:rsidRPr="00A458B7">
        <w:rPr>
          <w:rFonts w:ascii="Arial" w:hAnsi="Arial" w:cs="Arial"/>
        </w:rPr>
        <w:t>reactive protein (CRP) is an inflammatory marker that is synthesized by the liver.  Shiyong et al.</w:t>
      </w:r>
      <w:r w:rsidR="005D2656" w:rsidRPr="005D2656">
        <w:rPr>
          <w:rFonts w:ascii="Arial" w:eastAsia="Calibri" w:hAnsi="Arial" w:cs="Arial"/>
          <w:szCs w:val="22"/>
        </w:rPr>
        <w:t xml:space="preserve"> </w:t>
      </w:r>
      <w:r w:rsidR="005D2656" w:rsidRPr="005F5067">
        <w:rPr>
          <w:rFonts w:ascii="Arial" w:eastAsia="Calibri" w:hAnsi="Arial" w:cs="Arial"/>
          <w:szCs w:val="22"/>
        </w:rPr>
        <w:t>[</w:t>
      </w:r>
      <w:r w:rsidR="00CC7C42">
        <w:rPr>
          <w:rFonts w:ascii="Arial" w:eastAsia="Calibri" w:hAnsi="Arial" w:cs="Arial"/>
          <w:szCs w:val="22"/>
        </w:rPr>
        <w:t>29</w:t>
      </w:r>
      <w:r w:rsidR="005D2656" w:rsidRPr="005F5067">
        <w:rPr>
          <w:rFonts w:ascii="Arial" w:eastAsia="Calibri" w:hAnsi="Arial" w:cs="Arial"/>
          <w:szCs w:val="22"/>
        </w:rPr>
        <w:t>]</w:t>
      </w:r>
      <w:r w:rsidRPr="00A458B7">
        <w:rPr>
          <w:rFonts w:ascii="Arial" w:hAnsi="Arial" w:cs="Arial"/>
        </w:rPr>
        <w:t xml:space="preserve"> also found that the serum CRP level was markedly increased in patients with HBV infections compared to the healthy control group. These results were consistent with the results of the cell-based experiments, demonstrating that HBV upregulates the synthesis and secretion of CRP at the protein level. In addition, to explore the relationship between the CRP level and disease progression, we compared the difference in the CRP serum levels between various groups of patients with HBV infections. The results showed that as the disease became aggravated, the CRP content gradually increased. This finding indicates that the CRP level may reflect disease progression to a certain extent. CRP is an evolutionarily highly conserved host defense molecule. It can bind to phosphocholine </w:t>
      </w:r>
      <w:r w:rsidRPr="00A458B7">
        <w:rPr>
          <w:rFonts w:ascii="Arial" w:hAnsi="Arial" w:cs="Arial"/>
        </w:rPr>
        <w:lastRenderedPageBreak/>
        <w:t xml:space="preserve">ligands and further activate the complement system, thereby exerting opsonic and anti-inflammatory effects </w:t>
      </w:r>
      <w:r w:rsidR="005D2656" w:rsidRPr="005F5067">
        <w:rPr>
          <w:rFonts w:ascii="Arial" w:eastAsia="Calibri" w:hAnsi="Arial" w:cs="Arial"/>
          <w:szCs w:val="22"/>
        </w:rPr>
        <w:t>[</w:t>
      </w:r>
      <w:r w:rsidR="00CC7C42">
        <w:rPr>
          <w:rFonts w:ascii="Arial" w:eastAsia="Calibri" w:hAnsi="Arial" w:cs="Arial"/>
          <w:szCs w:val="22"/>
        </w:rPr>
        <w:t>29</w:t>
      </w:r>
      <w:r w:rsidR="005D2656" w:rsidRPr="005F5067">
        <w:rPr>
          <w:rFonts w:ascii="Arial" w:eastAsia="Calibri" w:hAnsi="Arial" w:cs="Arial"/>
          <w:szCs w:val="22"/>
        </w:rPr>
        <w:t>]</w:t>
      </w:r>
      <w:r w:rsidRPr="00A458B7">
        <w:rPr>
          <w:rFonts w:ascii="Arial" w:hAnsi="Arial" w:cs="Arial"/>
        </w:rPr>
        <w:t>. The result of this study showed significant increase (P&lt;0.05</w:t>
      </w:r>
      <w:r w:rsidR="00CC7C42" w:rsidRPr="00A458B7">
        <w:rPr>
          <w:rFonts w:ascii="Arial" w:hAnsi="Arial" w:cs="Arial"/>
        </w:rPr>
        <w:t>) in</w:t>
      </w:r>
      <w:r w:rsidRPr="00A458B7">
        <w:rPr>
          <w:rFonts w:ascii="Arial" w:hAnsi="Arial" w:cs="Arial"/>
        </w:rPr>
        <w:t xml:space="preserve"> CRP of hepatitis B subjects which is similar to report of Shiyong et al</w:t>
      </w:r>
      <w:r w:rsidR="00CC7C42">
        <w:rPr>
          <w:rFonts w:ascii="Arial" w:hAnsi="Arial" w:cs="Arial"/>
        </w:rPr>
        <w:t>.</w:t>
      </w:r>
      <w:r w:rsidR="005D2656" w:rsidRPr="005D2656">
        <w:rPr>
          <w:rFonts w:ascii="Arial" w:eastAsia="Calibri" w:hAnsi="Arial" w:cs="Arial"/>
          <w:szCs w:val="22"/>
        </w:rPr>
        <w:t xml:space="preserve"> </w:t>
      </w:r>
      <w:r w:rsidR="005D2656" w:rsidRPr="005F5067">
        <w:rPr>
          <w:rFonts w:ascii="Arial" w:eastAsia="Calibri" w:hAnsi="Arial" w:cs="Arial"/>
          <w:szCs w:val="22"/>
        </w:rPr>
        <w:t>[</w:t>
      </w:r>
      <w:r w:rsidR="00CC7C42">
        <w:rPr>
          <w:rFonts w:ascii="Arial" w:eastAsia="Calibri" w:hAnsi="Arial" w:cs="Arial"/>
          <w:szCs w:val="22"/>
        </w:rPr>
        <w:t>29</w:t>
      </w:r>
      <w:r w:rsidR="005D2656" w:rsidRPr="005F5067">
        <w:rPr>
          <w:rFonts w:ascii="Arial" w:eastAsia="Calibri" w:hAnsi="Arial" w:cs="Arial"/>
          <w:szCs w:val="22"/>
        </w:rPr>
        <w:t>]</w:t>
      </w:r>
      <w:r w:rsidRPr="00A458B7">
        <w:rPr>
          <w:rFonts w:ascii="Arial" w:hAnsi="Arial" w:cs="Arial"/>
        </w:rPr>
        <w:t xml:space="preserve"> and </w:t>
      </w:r>
      <w:r w:rsidR="00CC7C42" w:rsidRPr="00A458B7">
        <w:rPr>
          <w:rFonts w:ascii="Arial" w:hAnsi="Arial" w:cs="Arial"/>
        </w:rPr>
        <w:t>Domfeh et al.</w:t>
      </w:r>
      <w:r w:rsidRPr="00A458B7">
        <w:rPr>
          <w:rFonts w:ascii="Arial" w:hAnsi="Arial" w:cs="Arial"/>
        </w:rPr>
        <w:t xml:space="preserve"> </w:t>
      </w:r>
      <w:r w:rsidR="005D2656" w:rsidRPr="005F5067">
        <w:rPr>
          <w:rFonts w:ascii="Arial" w:eastAsia="Calibri" w:hAnsi="Arial" w:cs="Arial"/>
          <w:szCs w:val="22"/>
        </w:rPr>
        <w:t>[1</w:t>
      </w:r>
      <w:r w:rsidR="00CC7C42">
        <w:rPr>
          <w:rFonts w:ascii="Arial" w:eastAsia="Calibri" w:hAnsi="Arial" w:cs="Arial"/>
          <w:szCs w:val="22"/>
        </w:rPr>
        <w:t>9</w:t>
      </w:r>
      <w:r w:rsidR="005D2656" w:rsidRPr="005F5067">
        <w:rPr>
          <w:rFonts w:ascii="Arial" w:eastAsia="Calibri" w:hAnsi="Arial" w:cs="Arial"/>
          <w:szCs w:val="22"/>
        </w:rPr>
        <w:t>]</w:t>
      </w:r>
      <w:r w:rsidRPr="00A458B7">
        <w:rPr>
          <w:rFonts w:ascii="Arial" w:hAnsi="Arial" w:cs="Arial"/>
        </w:rPr>
        <w:t xml:space="preserve">. Elevated on- treatment AFP is a specific tumour marker for Hepatocellular carcinoma in patients with Chronic Hepatitis B Virus receiving </w:t>
      </w:r>
      <w:r w:rsidR="00DF10E2" w:rsidRPr="00A458B7">
        <w:rPr>
          <w:rFonts w:ascii="Arial" w:hAnsi="Arial" w:cs="Arial"/>
        </w:rPr>
        <w:t xml:space="preserve">entecavir </w:t>
      </w:r>
      <w:r w:rsidR="00DF10E2" w:rsidRPr="005D2656">
        <w:rPr>
          <w:rFonts w:ascii="Arial" w:eastAsia="Calibri" w:hAnsi="Arial" w:cs="Arial"/>
          <w:szCs w:val="22"/>
        </w:rPr>
        <w:t>[</w:t>
      </w:r>
      <w:r w:rsidR="00CC7C42">
        <w:rPr>
          <w:rFonts w:ascii="Arial" w:eastAsia="Calibri" w:hAnsi="Arial" w:cs="Arial"/>
          <w:szCs w:val="22"/>
        </w:rPr>
        <w:t>30</w:t>
      </w:r>
      <w:r w:rsidR="005D2656" w:rsidRPr="005F5067">
        <w:rPr>
          <w:rFonts w:ascii="Arial" w:eastAsia="Calibri" w:hAnsi="Arial" w:cs="Arial"/>
          <w:szCs w:val="22"/>
        </w:rPr>
        <w:t>]</w:t>
      </w:r>
      <w:r w:rsidRPr="00A458B7">
        <w:rPr>
          <w:rFonts w:ascii="Arial" w:hAnsi="Arial" w:cs="Arial"/>
        </w:rPr>
        <w:t>. There is little debate that AFP should not be used alone in HCC surveillance, but it has been debated whether AFP should be included in HCC surveillance due to its suboptimal sensitivity (39–65%) and specificity (76–97%)</w:t>
      </w:r>
      <w:r w:rsidR="005D2656">
        <w:rPr>
          <w:rFonts w:ascii="Arial" w:hAnsi="Arial" w:cs="Arial"/>
        </w:rPr>
        <w:t xml:space="preserve"> </w:t>
      </w:r>
      <w:r w:rsidR="005D2656" w:rsidRPr="005F5067">
        <w:rPr>
          <w:rFonts w:ascii="Arial" w:eastAsia="Calibri" w:hAnsi="Arial" w:cs="Arial"/>
          <w:szCs w:val="22"/>
        </w:rPr>
        <w:t>[</w:t>
      </w:r>
      <w:r w:rsidR="00DF10E2">
        <w:rPr>
          <w:rFonts w:ascii="Arial" w:eastAsia="Calibri" w:hAnsi="Arial" w:cs="Arial"/>
          <w:szCs w:val="22"/>
        </w:rPr>
        <w:t>30</w:t>
      </w:r>
      <w:r w:rsidR="005D2656" w:rsidRPr="005F5067">
        <w:rPr>
          <w:rFonts w:ascii="Arial" w:eastAsia="Calibri" w:hAnsi="Arial" w:cs="Arial"/>
          <w:szCs w:val="22"/>
        </w:rPr>
        <w:t>]</w:t>
      </w:r>
      <w:r w:rsidRPr="00A458B7">
        <w:rPr>
          <w:rFonts w:ascii="Arial" w:hAnsi="Arial" w:cs="Arial"/>
        </w:rPr>
        <w:t>.</w:t>
      </w:r>
    </w:p>
    <w:p w14:paraId="49AF13B3" w14:textId="062A40F4" w:rsidR="00A458B7" w:rsidRPr="00A458B7" w:rsidRDefault="00B960B5" w:rsidP="00A458B7">
      <w:pPr>
        <w:pStyle w:val="Body"/>
        <w:rPr>
          <w:rFonts w:ascii="Arial" w:hAnsi="Arial" w:cs="Arial"/>
        </w:rPr>
      </w:pPr>
      <w:r>
        <w:rPr>
          <w:rFonts w:ascii="Arial" w:hAnsi="Arial" w:cs="Arial"/>
        </w:rPr>
        <w:t>“</w:t>
      </w:r>
      <w:r w:rsidR="00A458B7" w:rsidRPr="00A458B7">
        <w:rPr>
          <w:rFonts w:ascii="Arial" w:hAnsi="Arial" w:cs="Arial"/>
        </w:rPr>
        <w:t>AFP is the best characterized and most widely used serum biomarker for HCC surveillance. However, its effectiveness is limited as not all HCCs secrete AFP. In addition, AFP serum levels can be elevated in patients with chronic hepatitis or cirrhosis. However, with the advent of highly effective NUCs for the treatment of CHB, elevated on- treatment AFP levels were shown in a large retrospective- prospective study to be a specific marker for HCC because falsely elevated AFP levels in 1,531 patients receiving entecavir were minimized compared to 424 patients that received no treatment, suggesting that, in this group of patients, a lower AFP cut off value could be used</w:t>
      </w:r>
      <w:r>
        <w:rPr>
          <w:rFonts w:ascii="Arial" w:hAnsi="Arial" w:cs="Arial"/>
        </w:rPr>
        <w:t>”</w:t>
      </w:r>
      <w:r w:rsidR="00A458B7" w:rsidRPr="00A458B7">
        <w:rPr>
          <w:rFonts w:ascii="Arial" w:hAnsi="Arial" w:cs="Arial"/>
        </w:rPr>
        <w:t xml:space="preserve"> </w:t>
      </w:r>
      <w:r w:rsidR="005D2656" w:rsidRPr="005F5067">
        <w:rPr>
          <w:rFonts w:ascii="Arial" w:eastAsia="Calibri" w:hAnsi="Arial" w:cs="Arial"/>
          <w:szCs w:val="22"/>
        </w:rPr>
        <w:t>[</w:t>
      </w:r>
      <w:r w:rsidR="00DF10E2">
        <w:rPr>
          <w:rFonts w:ascii="Arial" w:eastAsia="Calibri" w:hAnsi="Arial" w:cs="Arial"/>
          <w:szCs w:val="22"/>
        </w:rPr>
        <w:t>30</w:t>
      </w:r>
      <w:r w:rsidR="005D2656" w:rsidRPr="005F5067">
        <w:rPr>
          <w:rFonts w:ascii="Arial" w:eastAsia="Calibri" w:hAnsi="Arial" w:cs="Arial"/>
          <w:szCs w:val="22"/>
        </w:rPr>
        <w:t>]</w:t>
      </w:r>
      <w:r w:rsidR="00A458B7" w:rsidRPr="00A458B7">
        <w:rPr>
          <w:rFonts w:ascii="Arial" w:hAnsi="Arial" w:cs="Arial"/>
        </w:rPr>
        <w:t xml:space="preserve">. </w:t>
      </w:r>
    </w:p>
    <w:p w14:paraId="26E6E2F1" w14:textId="1196E409" w:rsidR="00A458B7" w:rsidRPr="00AE53E9" w:rsidRDefault="00A458B7" w:rsidP="00A458B7">
      <w:pPr>
        <w:pStyle w:val="Body"/>
        <w:rPr>
          <w:rFonts w:ascii="Arial" w:hAnsi="Arial" w:cs="Arial"/>
          <w:color w:val="EE0000"/>
        </w:rPr>
      </w:pPr>
      <w:r w:rsidRPr="00A458B7">
        <w:rPr>
          <w:rFonts w:ascii="Arial" w:hAnsi="Arial" w:cs="Arial"/>
        </w:rPr>
        <w:t>The study showed no significant changes(P&gt;0.05) in viral load, AST,</w:t>
      </w:r>
      <w:r w:rsidR="00AE53E9">
        <w:rPr>
          <w:rFonts w:ascii="Arial" w:hAnsi="Arial" w:cs="Arial"/>
        </w:rPr>
        <w:t xml:space="preserve"> </w:t>
      </w:r>
      <w:r w:rsidRPr="00A458B7">
        <w:rPr>
          <w:rFonts w:ascii="Arial" w:hAnsi="Arial" w:cs="Arial"/>
        </w:rPr>
        <w:t>ALT,</w:t>
      </w:r>
      <w:r w:rsidR="00AE53E9">
        <w:rPr>
          <w:rFonts w:ascii="Arial" w:hAnsi="Arial" w:cs="Arial"/>
        </w:rPr>
        <w:t xml:space="preserve"> </w:t>
      </w:r>
      <w:r w:rsidRPr="00A458B7">
        <w:rPr>
          <w:rFonts w:ascii="Arial" w:hAnsi="Arial" w:cs="Arial"/>
        </w:rPr>
        <w:t>ALP,</w:t>
      </w:r>
      <w:r w:rsidR="00AE53E9">
        <w:rPr>
          <w:rFonts w:ascii="Arial" w:hAnsi="Arial" w:cs="Arial"/>
        </w:rPr>
        <w:t xml:space="preserve"> </w:t>
      </w:r>
      <w:r w:rsidRPr="00A458B7">
        <w:rPr>
          <w:rFonts w:ascii="Arial" w:hAnsi="Arial" w:cs="Arial"/>
        </w:rPr>
        <w:t>CRP,</w:t>
      </w:r>
      <w:r w:rsidR="00AE53E9">
        <w:rPr>
          <w:rFonts w:ascii="Arial" w:hAnsi="Arial" w:cs="Arial"/>
        </w:rPr>
        <w:t xml:space="preserve"> </w:t>
      </w:r>
      <w:r w:rsidRPr="00A458B7">
        <w:rPr>
          <w:rFonts w:ascii="Arial" w:hAnsi="Arial" w:cs="Arial"/>
        </w:rPr>
        <w:t xml:space="preserve">GGT and AFP of Males with A202C, T184G and A181T genes while there was significance difference (P&lt;0.05) in the LDH activity of the studied population. The study further showed no significant changes (P&gt;0.05) in viral load, AST, ALT, ALP, CRP, GGT, LDH and AFP of females with A202C, T184G and A181T genes. This is suggestive that the genes detected did not have any effect on the </w:t>
      </w:r>
      <w:r w:rsidR="00326330" w:rsidRPr="00A458B7">
        <w:rPr>
          <w:rFonts w:ascii="Arial" w:hAnsi="Arial" w:cs="Arial"/>
        </w:rPr>
        <w:t>parameters. This</w:t>
      </w:r>
      <w:r w:rsidRPr="00A458B7">
        <w:rPr>
          <w:rFonts w:ascii="Arial" w:hAnsi="Arial" w:cs="Arial"/>
        </w:rPr>
        <w:t xml:space="preserve"> </w:t>
      </w:r>
      <w:r w:rsidR="00AE53E9">
        <w:rPr>
          <w:rFonts w:ascii="Arial" w:hAnsi="Arial" w:cs="Arial"/>
        </w:rPr>
        <w:t xml:space="preserve">corroborates the work of </w:t>
      </w:r>
      <w:r w:rsidRPr="00A458B7">
        <w:rPr>
          <w:rFonts w:ascii="Arial" w:hAnsi="Arial" w:cs="Arial"/>
        </w:rPr>
        <w:t>Kim et al.</w:t>
      </w:r>
      <w:r w:rsidR="005D2656" w:rsidRPr="005D2656">
        <w:rPr>
          <w:rFonts w:ascii="Arial" w:eastAsia="Calibri" w:hAnsi="Arial" w:cs="Arial"/>
          <w:szCs w:val="22"/>
        </w:rPr>
        <w:t xml:space="preserve"> </w:t>
      </w:r>
      <w:r w:rsidR="005D2656" w:rsidRPr="005F5067">
        <w:rPr>
          <w:rFonts w:ascii="Arial" w:eastAsia="Calibri" w:hAnsi="Arial" w:cs="Arial"/>
          <w:szCs w:val="22"/>
        </w:rPr>
        <w:t>[</w:t>
      </w:r>
      <w:r w:rsidR="00DF10E2">
        <w:rPr>
          <w:rFonts w:ascii="Arial" w:eastAsia="Calibri" w:hAnsi="Arial" w:cs="Arial"/>
          <w:szCs w:val="22"/>
        </w:rPr>
        <w:t>3</w:t>
      </w:r>
      <w:r w:rsidR="005D2656" w:rsidRPr="005F5067">
        <w:rPr>
          <w:rFonts w:ascii="Arial" w:eastAsia="Calibri" w:hAnsi="Arial" w:cs="Arial"/>
          <w:szCs w:val="22"/>
        </w:rPr>
        <w:t>1]</w:t>
      </w:r>
      <w:r w:rsidRPr="00A458B7">
        <w:rPr>
          <w:rFonts w:ascii="Arial" w:hAnsi="Arial" w:cs="Arial"/>
        </w:rPr>
        <w:t>.  Kim</w:t>
      </w:r>
      <w:r w:rsidR="00DF10E2">
        <w:rPr>
          <w:rFonts w:ascii="Arial" w:hAnsi="Arial" w:cs="Arial"/>
        </w:rPr>
        <w:t xml:space="preserve"> </w:t>
      </w:r>
      <w:r w:rsidRPr="00A458B7">
        <w:rPr>
          <w:rFonts w:ascii="Arial" w:hAnsi="Arial" w:cs="Arial"/>
        </w:rPr>
        <w:t xml:space="preserve">et al. </w:t>
      </w:r>
      <w:r w:rsidR="005D2656" w:rsidRPr="005F5067">
        <w:rPr>
          <w:rFonts w:ascii="Arial" w:eastAsia="Calibri" w:hAnsi="Arial" w:cs="Arial"/>
          <w:szCs w:val="22"/>
        </w:rPr>
        <w:t>[</w:t>
      </w:r>
      <w:r w:rsidR="00DF10E2">
        <w:rPr>
          <w:rFonts w:ascii="Arial" w:eastAsia="Calibri" w:hAnsi="Arial" w:cs="Arial"/>
          <w:szCs w:val="22"/>
        </w:rPr>
        <w:t>3</w:t>
      </w:r>
      <w:r w:rsidR="005D2656" w:rsidRPr="005F5067">
        <w:rPr>
          <w:rFonts w:ascii="Arial" w:eastAsia="Calibri" w:hAnsi="Arial" w:cs="Arial"/>
          <w:szCs w:val="22"/>
        </w:rPr>
        <w:t>1]</w:t>
      </w:r>
      <w:r w:rsidRPr="00A458B7">
        <w:rPr>
          <w:rFonts w:ascii="Arial" w:hAnsi="Arial" w:cs="Arial"/>
        </w:rPr>
        <w:t xml:space="preserve"> in their study in Patients with Adefovir Resistant Chronic Hepatitis B with A181T/V Polymerase </w:t>
      </w:r>
      <w:r w:rsidR="00FC7D61" w:rsidRPr="00A458B7">
        <w:rPr>
          <w:rFonts w:ascii="Arial" w:hAnsi="Arial" w:cs="Arial"/>
        </w:rPr>
        <w:t>Mutations reported that</w:t>
      </w:r>
      <w:r w:rsidRPr="00A458B7">
        <w:rPr>
          <w:rFonts w:ascii="Arial" w:hAnsi="Arial" w:cs="Arial"/>
        </w:rPr>
        <w:t xml:space="preserve"> only the </w:t>
      </w:r>
      <w:r w:rsidR="00927C9F" w:rsidRPr="00A458B7">
        <w:rPr>
          <w:rFonts w:ascii="Arial" w:hAnsi="Arial" w:cs="Arial"/>
        </w:rPr>
        <w:t>ALT level</w:t>
      </w:r>
      <w:r w:rsidRPr="00A458B7">
        <w:rPr>
          <w:rFonts w:ascii="Arial" w:hAnsi="Arial" w:cs="Arial"/>
        </w:rPr>
        <w:t xml:space="preserve"> was significantly lower in patients with the sA184V mutation (P=0.012</w:t>
      </w:r>
      <w:r w:rsidR="00FC7D61" w:rsidRPr="00A458B7">
        <w:rPr>
          <w:rFonts w:ascii="Arial" w:hAnsi="Arial" w:cs="Arial"/>
        </w:rPr>
        <w:t>) while</w:t>
      </w:r>
      <w:r w:rsidRPr="00A458B7">
        <w:rPr>
          <w:rFonts w:ascii="Arial" w:hAnsi="Arial" w:cs="Arial"/>
        </w:rPr>
        <w:t xml:space="preserve"> in this study it was only LDH that showed significant change. Primary </w:t>
      </w:r>
      <w:r w:rsidR="00FC7D61" w:rsidRPr="00A458B7">
        <w:rPr>
          <w:rFonts w:ascii="Arial" w:hAnsi="Arial" w:cs="Arial"/>
        </w:rPr>
        <w:t>drug-resistant</w:t>
      </w:r>
      <w:r w:rsidRPr="00A458B7">
        <w:rPr>
          <w:rFonts w:ascii="Arial" w:hAnsi="Arial" w:cs="Arial"/>
        </w:rPr>
        <w:t xml:space="preserve"> mutations cause an amino acid substitution that result in reduced susceptibility to an antiviral agent while secondary compensatory mutations cause amino acid substitutions that restore functional defects in viral polymerase activity (i.e., replication ﬁtness) associated with primary drug resistance </w:t>
      </w:r>
      <w:r w:rsidR="005D2656" w:rsidRPr="005F5067">
        <w:rPr>
          <w:rFonts w:ascii="Arial" w:eastAsia="Calibri" w:hAnsi="Arial" w:cs="Arial"/>
          <w:szCs w:val="22"/>
        </w:rPr>
        <w:t>[</w:t>
      </w:r>
      <w:r w:rsidR="00DF10E2">
        <w:rPr>
          <w:rFonts w:ascii="Arial" w:eastAsia="Calibri" w:hAnsi="Arial" w:cs="Arial"/>
          <w:szCs w:val="22"/>
        </w:rPr>
        <w:t>32</w:t>
      </w:r>
      <w:r w:rsidR="005D2656" w:rsidRPr="005F5067">
        <w:rPr>
          <w:rFonts w:ascii="Arial" w:eastAsia="Calibri" w:hAnsi="Arial" w:cs="Arial"/>
          <w:szCs w:val="22"/>
        </w:rPr>
        <w:t>]</w:t>
      </w:r>
      <w:r w:rsidRPr="00A458B7">
        <w:rPr>
          <w:rFonts w:ascii="Arial" w:hAnsi="Arial" w:cs="Arial"/>
        </w:rPr>
        <w:t>. Mokaya et al.</w:t>
      </w:r>
      <w:r w:rsidR="00DF10E2">
        <w:rPr>
          <w:rFonts w:ascii="Arial" w:hAnsi="Arial" w:cs="Arial"/>
        </w:rPr>
        <w:t xml:space="preserve"> </w:t>
      </w:r>
      <w:r w:rsidR="005D2656" w:rsidRPr="005F5067">
        <w:rPr>
          <w:rFonts w:ascii="Arial" w:eastAsia="Calibri" w:hAnsi="Arial" w:cs="Arial"/>
          <w:szCs w:val="22"/>
        </w:rPr>
        <w:t>[</w:t>
      </w:r>
      <w:r w:rsidR="00DF10E2">
        <w:rPr>
          <w:rFonts w:ascii="Arial" w:eastAsia="Calibri" w:hAnsi="Arial" w:cs="Arial"/>
          <w:szCs w:val="22"/>
        </w:rPr>
        <w:t>33</w:t>
      </w:r>
      <w:r w:rsidR="005D2656" w:rsidRPr="005F5067">
        <w:rPr>
          <w:rFonts w:ascii="Arial" w:eastAsia="Calibri" w:hAnsi="Arial" w:cs="Arial"/>
          <w:szCs w:val="22"/>
        </w:rPr>
        <w:t>]</w:t>
      </w:r>
      <w:r w:rsidRPr="00A458B7">
        <w:rPr>
          <w:rFonts w:ascii="Arial" w:hAnsi="Arial" w:cs="Arial"/>
        </w:rPr>
        <w:t xml:space="preserve"> suggested that other explanations for incomplete suppression of HBV viraemia on therapy </w:t>
      </w:r>
      <w:r w:rsidR="004F3A3B" w:rsidRPr="00A458B7">
        <w:rPr>
          <w:rFonts w:ascii="Arial" w:hAnsi="Arial" w:cs="Arial"/>
        </w:rPr>
        <w:t>include</w:t>
      </w:r>
      <w:r w:rsidRPr="00A458B7">
        <w:rPr>
          <w:rFonts w:ascii="Arial" w:hAnsi="Arial" w:cs="Arial"/>
        </w:rPr>
        <w:t xml:space="preserve"> a higher baseline HBV DNA level, positive baseline </w:t>
      </w:r>
      <w:r w:rsidR="004F3A3B" w:rsidRPr="00A458B7">
        <w:rPr>
          <w:rFonts w:ascii="Arial" w:hAnsi="Arial" w:cs="Arial"/>
        </w:rPr>
        <w:t>HBeAg status</w:t>
      </w:r>
      <w:r w:rsidRPr="00A458B7">
        <w:rPr>
          <w:rFonts w:ascii="Arial" w:hAnsi="Arial" w:cs="Arial"/>
        </w:rPr>
        <w:t>, history of 3TC exposure, a lower nadir CD4+ T cell count in the context of HIV coinfection, and high serum HBV RNA levels. Given that HBV DNA is inhibited in a dose dependent manner, it is also possible that insufficient drug delivery to the infected hepatocyte could be the cause of persistent viraemia even in the absence of specific RAMs</w:t>
      </w:r>
      <w:r w:rsidR="00AB5CD2">
        <w:rPr>
          <w:rFonts w:ascii="Arial" w:hAnsi="Arial" w:cs="Arial"/>
        </w:rPr>
        <w:t xml:space="preserve">. </w:t>
      </w:r>
      <w:r w:rsidR="00AB5CD2" w:rsidRPr="00E67258">
        <w:rPr>
          <w:rFonts w:ascii="Arial" w:hAnsi="Arial" w:cs="Arial"/>
        </w:rPr>
        <w:t>The study showed resistance gene A202C with 7, T184G with 10, and A181T with 27 in the subjects studied. Also, the study reported resistance gene A202C with males 4(19%) and females as 3(13%), T184G had 4(19%) males and 6(26%) females while A181T genes of 13 (62%) males and 14 (61%) females. This is suggestive of high level of resistance genes in the population studied with A181T genes as the most detected in the hepatitis B positive subjects studied.</w:t>
      </w:r>
      <w:r w:rsidR="00AB5CD2">
        <w:rPr>
          <w:rFonts w:ascii="Arial" w:hAnsi="Arial" w:cs="Arial"/>
        </w:rPr>
        <w:t xml:space="preserve"> </w:t>
      </w:r>
      <w:r w:rsidR="00AB5CD2" w:rsidRPr="00E67258">
        <w:rPr>
          <w:rFonts w:ascii="Arial" w:hAnsi="Arial" w:cs="Arial"/>
        </w:rPr>
        <w:t xml:space="preserve">Zhou et al. </w:t>
      </w:r>
      <w:r w:rsidR="00AB5CD2" w:rsidRPr="005F5067">
        <w:rPr>
          <w:rFonts w:ascii="Arial" w:eastAsia="Calibri" w:hAnsi="Arial" w:cs="Arial"/>
          <w:szCs w:val="22"/>
        </w:rPr>
        <w:t>[1</w:t>
      </w:r>
      <w:r w:rsidR="00AB5CD2">
        <w:rPr>
          <w:rFonts w:ascii="Arial" w:eastAsia="Calibri" w:hAnsi="Arial" w:cs="Arial"/>
          <w:szCs w:val="22"/>
        </w:rPr>
        <w:t>9</w:t>
      </w:r>
      <w:r w:rsidR="00AB5CD2" w:rsidRPr="005F5067">
        <w:rPr>
          <w:rFonts w:ascii="Arial" w:eastAsia="Calibri" w:hAnsi="Arial" w:cs="Arial"/>
          <w:szCs w:val="22"/>
        </w:rPr>
        <w:t>]</w:t>
      </w:r>
      <w:r w:rsidR="00AB5CD2" w:rsidRPr="00E67258">
        <w:rPr>
          <w:rFonts w:ascii="Arial" w:hAnsi="Arial" w:cs="Arial"/>
        </w:rPr>
        <w:t xml:space="preserve"> in their study in northern Henan Province of China, using 148 cases of HBV patients showed that drug resistance mutation sites of ETV were I169T (1 case, 0.95%), T184I (2 cases, 1.90%), S202G (2 cases, 1.90%) and T184I (1 case, 0.95%), and no mutation sites of T184A, T184F and T184G were found; the drug resistance mutation sites of ADV were A181T (8 cases, 7.6%). Previous study has reported two primary adefovir resistant mutations, the rtA181T and rtN236T substitutions in the viral polymerase </w:t>
      </w:r>
      <w:r w:rsidR="00AB5CD2" w:rsidRPr="005F5067">
        <w:rPr>
          <w:rFonts w:ascii="Arial" w:eastAsia="Calibri" w:hAnsi="Arial" w:cs="Arial"/>
          <w:szCs w:val="22"/>
        </w:rPr>
        <w:t>[</w:t>
      </w:r>
      <w:r w:rsidR="00687306">
        <w:rPr>
          <w:rFonts w:ascii="Arial" w:eastAsia="Calibri" w:hAnsi="Arial" w:cs="Arial"/>
          <w:szCs w:val="22"/>
        </w:rPr>
        <w:t>34</w:t>
      </w:r>
      <w:r w:rsidR="00AB5CD2" w:rsidRPr="005F5067">
        <w:rPr>
          <w:rFonts w:ascii="Arial" w:eastAsia="Calibri" w:hAnsi="Arial" w:cs="Arial"/>
          <w:szCs w:val="22"/>
        </w:rPr>
        <w:t>]</w:t>
      </w:r>
      <w:r w:rsidR="00AB5CD2" w:rsidRPr="00E67258">
        <w:rPr>
          <w:rFonts w:ascii="Arial" w:hAnsi="Arial" w:cs="Arial"/>
        </w:rPr>
        <w:t>.</w:t>
      </w:r>
      <w:r w:rsidR="00AB5CD2">
        <w:rPr>
          <w:rFonts w:ascii="Arial" w:hAnsi="Arial" w:cs="Arial"/>
        </w:rPr>
        <w:t xml:space="preserve"> </w:t>
      </w:r>
      <w:r w:rsidR="00AB5CD2" w:rsidRPr="00E67258">
        <w:rPr>
          <w:rFonts w:ascii="Arial" w:hAnsi="Arial" w:cs="Arial"/>
        </w:rPr>
        <w:t xml:space="preserve">TFV resistance has been linked to the rtA194T substitution, but only in association with changes that cause LMV resistance and typically in the setting of coinfection with HIV-1 </w:t>
      </w:r>
      <w:r w:rsidR="00AB5CD2" w:rsidRPr="005F5067">
        <w:rPr>
          <w:rFonts w:ascii="Arial" w:eastAsia="Calibri" w:hAnsi="Arial" w:cs="Arial"/>
          <w:szCs w:val="22"/>
        </w:rPr>
        <w:t>[</w:t>
      </w:r>
      <w:r w:rsidR="00687306">
        <w:rPr>
          <w:rFonts w:ascii="Arial" w:eastAsia="Calibri" w:hAnsi="Arial" w:cs="Arial"/>
          <w:szCs w:val="22"/>
        </w:rPr>
        <w:t>35</w:t>
      </w:r>
      <w:r w:rsidR="00AB5CD2" w:rsidRPr="005F5067">
        <w:rPr>
          <w:rFonts w:ascii="Arial" w:eastAsia="Calibri" w:hAnsi="Arial" w:cs="Arial"/>
          <w:szCs w:val="22"/>
        </w:rPr>
        <w:t>]</w:t>
      </w:r>
      <w:r w:rsidR="00AB5CD2" w:rsidRPr="00E67258">
        <w:rPr>
          <w:rFonts w:ascii="Arial" w:hAnsi="Arial" w:cs="Arial"/>
        </w:rPr>
        <w:t>.</w:t>
      </w:r>
      <w:r w:rsidR="00AB5CD2">
        <w:rPr>
          <w:rFonts w:ascii="Arial" w:hAnsi="Arial" w:cs="Arial"/>
        </w:rPr>
        <w:t xml:space="preserve"> </w:t>
      </w:r>
      <w:r w:rsidR="00AB5CD2" w:rsidRPr="00E67258">
        <w:rPr>
          <w:rFonts w:ascii="Arial" w:hAnsi="Arial" w:cs="Arial"/>
        </w:rPr>
        <w:t xml:space="preserve">It is known that TDF resistance mutation </w:t>
      </w:r>
      <w:r w:rsidR="00AB5CD2" w:rsidRPr="00460CAC">
        <w:rPr>
          <w:rFonts w:ascii="Arial" w:hAnsi="Arial" w:cs="Arial"/>
        </w:rPr>
        <w:t xml:space="preserve">site is A194T in RT gene region </w:t>
      </w:r>
      <w:r w:rsidR="00AB5CD2" w:rsidRPr="00460CAC">
        <w:rPr>
          <w:rFonts w:ascii="Arial" w:eastAsia="Calibri" w:hAnsi="Arial" w:cs="Arial"/>
          <w:szCs w:val="22"/>
        </w:rPr>
        <w:t>[</w:t>
      </w:r>
      <w:r w:rsidR="00687306">
        <w:rPr>
          <w:rFonts w:ascii="Arial" w:eastAsia="Calibri" w:hAnsi="Arial" w:cs="Arial"/>
          <w:szCs w:val="22"/>
        </w:rPr>
        <w:t>36</w:t>
      </w:r>
      <w:r w:rsidR="00AB5CD2" w:rsidRPr="00460CAC">
        <w:rPr>
          <w:rFonts w:ascii="Arial" w:eastAsia="Calibri" w:hAnsi="Arial" w:cs="Arial"/>
          <w:szCs w:val="22"/>
        </w:rPr>
        <w:t>]</w:t>
      </w:r>
      <w:r w:rsidR="00AB5CD2" w:rsidRPr="00460CAC">
        <w:rPr>
          <w:rFonts w:ascii="Arial" w:hAnsi="Arial" w:cs="Arial"/>
        </w:rPr>
        <w:t>.</w:t>
      </w:r>
    </w:p>
    <w:p w14:paraId="0C294C14" w14:textId="0BB0E665"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2C5F5B5" w14:textId="4BC5492D" w:rsidR="00B01FCD" w:rsidRDefault="00B855C6" w:rsidP="00441B6F">
      <w:pPr>
        <w:pStyle w:val="Body"/>
        <w:spacing w:after="0"/>
        <w:rPr>
          <w:rFonts w:ascii="Arial" w:hAnsi="Arial" w:cs="Arial"/>
        </w:rPr>
      </w:pPr>
      <w:r w:rsidRPr="00B855C6">
        <w:rPr>
          <w:rFonts w:ascii="Arial" w:hAnsi="Arial" w:cs="Arial"/>
        </w:rPr>
        <w:t xml:space="preserve">The study has shown the presence of </w:t>
      </w:r>
      <w:r>
        <w:rPr>
          <w:rFonts w:ascii="Arial" w:hAnsi="Arial" w:cs="Arial"/>
        </w:rPr>
        <w:t xml:space="preserve">some resistant </w:t>
      </w:r>
      <w:r w:rsidRPr="00B855C6">
        <w:rPr>
          <w:rFonts w:ascii="Arial" w:hAnsi="Arial" w:cs="Arial"/>
        </w:rPr>
        <w:t>genes in Hepatitis B positive subjects on acyclic phosphonate drug</w:t>
      </w:r>
      <w:r>
        <w:rPr>
          <w:rFonts w:ascii="Arial" w:hAnsi="Arial" w:cs="Arial"/>
        </w:rPr>
        <w:t>, with</w:t>
      </w:r>
      <w:r w:rsidRPr="00B855C6">
        <w:rPr>
          <w:rFonts w:ascii="Arial" w:hAnsi="Arial" w:cs="Arial"/>
        </w:rPr>
        <w:t xml:space="preserve"> elevated liver injury markers (ALT and AST), serum levels of ALP, GGT and inflammatory markers CRP and AFP among the studied population. This suggested that the Hepatitis B virus causes liver damage and inflammation of the liver.</w:t>
      </w:r>
    </w:p>
    <w:p w14:paraId="7F6FCEC2" w14:textId="77777777" w:rsidR="00790ADA" w:rsidRPr="00FB3A86" w:rsidRDefault="00790ADA" w:rsidP="00441B6F">
      <w:pPr>
        <w:pStyle w:val="Body"/>
        <w:spacing w:after="0"/>
        <w:rPr>
          <w:rFonts w:ascii="Arial" w:hAnsi="Arial" w:cs="Arial"/>
        </w:rPr>
      </w:pPr>
    </w:p>
    <w:p w14:paraId="2CEB78A4" w14:textId="6210D48B"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357C0E75" w14:textId="2E2B8342" w:rsidR="001A29D8" w:rsidRPr="00AD3135" w:rsidRDefault="001A29D8" w:rsidP="00441B6F">
      <w:pPr>
        <w:pStyle w:val="ReferHead"/>
        <w:spacing w:after="0"/>
        <w:jc w:val="both"/>
        <w:rPr>
          <w:rFonts w:ascii="Arial" w:hAnsi="Arial" w:cs="Arial"/>
          <w:b w:val="0"/>
          <w:caps w:val="0"/>
          <w:sz w:val="20"/>
        </w:rPr>
      </w:pPr>
      <w:r w:rsidRPr="00AD3135">
        <w:rPr>
          <w:rFonts w:ascii="Arial" w:hAnsi="Arial" w:cs="Arial"/>
          <w:b w:val="0"/>
          <w:caps w:val="0"/>
          <w:sz w:val="20"/>
        </w:rPr>
        <w:t xml:space="preserve">All authors declare that written informed consent was obtained from the patient (or other approved parties) for publication of this case report and accompanying images. </w:t>
      </w:r>
    </w:p>
    <w:p w14:paraId="73437BC9" w14:textId="77777777" w:rsidR="001A29D8" w:rsidRDefault="001A29D8" w:rsidP="00441B6F">
      <w:pPr>
        <w:pStyle w:val="ReferHead"/>
        <w:spacing w:after="0"/>
        <w:jc w:val="both"/>
        <w:rPr>
          <w:rFonts w:ascii="Arial" w:hAnsi="Arial" w:cs="Arial"/>
          <w:b w:val="0"/>
          <w:caps w:val="0"/>
          <w:sz w:val="20"/>
        </w:rPr>
      </w:pPr>
    </w:p>
    <w:p w14:paraId="77F608EF" w14:textId="7735D44D"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0D9CE406" w14:textId="0A00AAE1" w:rsidR="00860000" w:rsidRDefault="00A95D03" w:rsidP="00441B6F">
      <w:pPr>
        <w:pStyle w:val="ReferHead"/>
        <w:spacing w:after="0"/>
        <w:jc w:val="both"/>
        <w:rPr>
          <w:rFonts w:ascii="Arial" w:hAnsi="Arial" w:cs="Arial"/>
        </w:rPr>
      </w:pPr>
      <w:bookmarkStart w:id="0" w:name="_Hlk203806671"/>
      <w:r w:rsidRPr="00A95D03">
        <w:rPr>
          <w:rFonts w:ascii="Arial" w:hAnsi="Arial" w:cs="Arial"/>
          <w:b w:val="0"/>
          <w:caps w:val="0"/>
          <w:sz w:val="20"/>
        </w:rPr>
        <w:t>Ethical approved for the research was obtained from Rivers State Hospitals Management Board (RSHMB/RAHREC/2023/055).</w:t>
      </w:r>
    </w:p>
    <w:bookmarkEnd w:id="0"/>
    <w:p w14:paraId="03DFA661" w14:textId="77777777" w:rsidR="00F12A30" w:rsidRPr="00740879" w:rsidRDefault="00F12A30" w:rsidP="00F12A30">
      <w:pPr>
        <w:rPr>
          <w:highlight w:val="yellow"/>
        </w:rPr>
      </w:pPr>
      <w:r w:rsidRPr="00740879">
        <w:rPr>
          <w:highlight w:val="yellow"/>
        </w:rPr>
        <w:t>Disclaimer (Artificial intelligence)</w:t>
      </w:r>
    </w:p>
    <w:p w14:paraId="35FE78E2" w14:textId="77777777" w:rsidR="00F12A30" w:rsidRPr="00740879" w:rsidRDefault="00F12A30" w:rsidP="00F12A30">
      <w:pPr>
        <w:rPr>
          <w:highlight w:val="yellow"/>
        </w:rPr>
      </w:pPr>
      <w:r w:rsidRPr="00740879">
        <w:rPr>
          <w:highlight w:val="yellow"/>
        </w:rPr>
        <w:t xml:space="preserve">Option 1: </w:t>
      </w:r>
    </w:p>
    <w:p w14:paraId="7E703EEE" w14:textId="77777777" w:rsidR="00F12A30" w:rsidRPr="00740879" w:rsidRDefault="00F12A30" w:rsidP="00F12A30">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332B1F95" w14:textId="77777777" w:rsidR="00F12A30" w:rsidRPr="00740879" w:rsidRDefault="00F12A30" w:rsidP="00F12A30">
      <w:pPr>
        <w:rPr>
          <w:highlight w:val="yellow"/>
        </w:rPr>
      </w:pPr>
      <w:r w:rsidRPr="00740879">
        <w:rPr>
          <w:highlight w:val="yellow"/>
        </w:rPr>
        <w:t xml:space="preserve">Option 2: </w:t>
      </w:r>
    </w:p>
    <w:p w14:paraId="186758FE" w14:textId="77777777" w:rsidR="00F12A30" w:rsidRPr="00740879" w:rsidRDefault="00F12A30" w:rsidP="00F12A30">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CDD526" w14:textId="77777777" w:rsidR="00F12A30" w:rsidRPr="00740879" w:rsidRDefault="00F12A30" w:rsidP="00F12A30">
      <w:pPr>
        <w:rPr>
          <w:highlight w:val="yellow"/>
        </w:rPr>
      </w:pPr>
      <w:r w:rsidRPr="00740879">
        <w:rPr>
          <w:highlight w:val="yellow"/>
        </w:rPr>
        <w:t>Details of the AI usage are given below:</w:t>
      </w:r>
    </w:p>
    <w:p w14:paraId="2676FA95" w14:textId="77777777" w:rsidR="00F12A30" w:rsidRPr="00740879" w:rsidRDefault="00F12A30" w:rsidP="00F12A30">
      <w:pPr>
        <w:rPr>
          <w:highlight w:val="yellow"/>
        </w:rPr>
      </w:pPr>
      <w:r w:rsidRPr="00740879">
        <w:rPr>
          <w:highlight w:val="yellow"/>
        </w:rPr>
        <w:t>1.</w:t>
      </w:r>
    </w:p>
    <w:p w14:paraId="3D77EF8F" w14:textId="77777777" w:rsidR="00F12A30" w:rsidRPr="00740879" w:rsidRDefault="00F12A30" w:rsidP="00F12A30">
      <w:pPr>
        <w:rPr>
          <w:highlight w:val="yellow"/>
        </w:rPr>
      </w:pPr>
      <w:r w:rsidRPr="00740879">
        <w:rPr>
          <w:highlight w:val="yellow"/>
        </w:rPr>
        <w:t>2.</w:t>
      </w:r>
    </w:p>
    <w:p w14:paraId="3D2E1B17" w14:textId="77777777" w:rsidR="00F12A30" w:rsidRPr="00D047BB" w:rsidRDefault="00F12A30" w:rsidP="00F12A30">
      <w:r w:rsidRPr="00740879">
        <w:rPr>
          <w:highlight w:val="yellow"/>
        </w:rPr>
        <w:t>3.</w:t>
      </w:r>
    </w:p>
    <w:p w14:paraId="40CF2917" w14:textId="77777777" w:rsidR="00A95D03" w:rsidRDefault="00A95D03" w:rsidP="00441B6F">
      <w:pPr>
        <w:pStyle w:val="ReferHead"/>
        <w:spacing w:after="0"/>
        <w:jc w:val="both"/>
        <w:rPr>
          <w:rFonts w:ascii="Arial" w:hAnsi="Arial" w:cs="Arial"/>
        </w:rPr>
      </w:pPr>
    </w:p>
    <w:p w14:paraId="56E46676" w14:textId="1618645E" w:rsidR="00B01FCD" w:rsidRDefault="00B01FCD" w:rsidP="00441B6F">
      <w:pPr>
        <w:pStyle w:val="ReferHead"/>
        <w:spacing w:after="0"/>
        <w:jc w:val="both"/>
        <w:rPr>
          <w:rFonts w:ascii="Arial" w:hAnsi="Arial" w:cs="Arial"/>
        </w:rPr>
      </w:pPr>
      <w:r w:rsidRPr="00FB3A86">
        <w:rPr>
          <w:rFonts w:ascii="Arial" w:hAnsi="Arial" w:cs="Arial"/>
        </w:rPr>
        <w:t>References</w:t>
      </w:r>
    </w:p>
    <w:p w14:paraId="50319DF9" w14:textId="77777777" w:rsidR="006E3429" w:rsidRPr="0059599A" w:rsidRDefault="006E3429" w:rsidP="006E3429">
      <w:pPr>
        <w:ind w:left="142" w:hanging="142"/>
        <w:jc w:val="both"/>
        <w:rPr>
          <w:rFonts w:ascii="Arial" w:hAnsi="Arial" w:cs="Arial"/>
        </w:rPr>
      </w:pPr>
      <w:r w:rsidRPr="0059599A">
        <w:rPr>
          <w:rFonts w:ascii="Arial" w:hAnsi="Arial" w:cs="Arial"/>
        </w:rPr>
        <w:t>1. Lago, B. V., Portilho, M. M., Mello, V. M., Desousa, P. S. F., Angelice, G. P. Genetic Variability of Hepatitis B Virus in Acute and in Different Phases of Chronic Infection in Brazil. Scientific Report, 2024; 14: 10742. https://doi.org/10.1038/s41598-024-60900-2.</w:t>
      </w:r>
    </w:p>
    <w:p w14:paraId="1A862FED" w14:textId="77777777" w:rsidR="006E3429" w:rsidRPr="0059599A" w:rsidRDefault="006E3429" w:rsidP="006E3429">
      <w:pPr>
        <w:ind w:left="142" w:hanging="142"/>
        <w:jc w:val="both"/>
        <w:rPr>
          <w:rFonts w:ascii="Arial" w:hAnsi="Arial" w:cs="Arial"/>
        </w:rPr>
      </w:pPr>
      <w:r w:rsidRPr="0059599A">
        <w:rPr>
          <w:rFonts w:ascii="Arial" w:hAnsi="Arial" w:cs="Arial"/>
        </w:rPr>
        <w:t xml:space="preserve">2. Farshadpour, F., Taherkhani, R. and Sabori, F. Molecular Evaluation of Hepatitis B Virus Infection and Predominant Mutations of Pre-core, Basal Core Promoter and S Regions in an Iranian Population with Type 2 Diabetes Mellitus: A case control study. BMC Infectious Diseases 2022; 22: 553. </w:t>
      </w:r>
      <w:hyperlink r:id="rId18" w:history="1">
        <w:r w:rsidRPr="0059599A">
          <w:rPr>
            <w:rStyle w:val="Hyperlink"/>
            <w:rFonts w:ascii="Arial" w:hAnsi="Arial" w:cs="Arial"/>
          </w:rPr>
          <w:t>https://doi.org/10.1186/s12879-022-07528</w:t>
        </w:r>
      </w:hyperlink>
      <w:r w:rsidRPr="0059599A">
        <w:rPr>
          <w:rFonts w:ascii="Arial" w:hAnsi="Arial" w:cs="Arial"/>
        </w:rPr>
        <w:t>.</w:t>
      </w:r>
    </w:p>
    <w:p w14:paraId="28E9621A" w14:textId="77777777" w:rsidR="006E3429" w:rsidRPr="0059599A" w:rsidRDefault="006E3429" w:rsidP="006E3429">
      <w:pPr>
        <w:ind w:left="142" w:hanging="142"/>
        <w:jc w:val="both"/>
        <w:rPr>
          <w:rFonts w:ascii="Arial" w:hAnsi="Arial" w:cs="Arial"/>
        </w:rPr>
      </w:pPr>
      <w:r w:rsidRPr="0059599A">
        <w:rPr>
          <w:rFonts w:ascii="Arial" w:hAnsi="Arial" w:cs="Arial"/>
        </w:rPr>
        <w:t xml:space="preserve">3. Khudyakov, Y. Coevolution and HBV Drug Resistance’, </w:t>
      </w:r>
      <w:r w:rsidRPr="0059599A">
        <w:rPr>
          <w:rFonts w:ascii="Arial" w:hAnsi="Arial" w:cs="Arial"/>
          <w:i/>
        </w:rPr>
        <w:t>AntiviralTherapy</w:t>
      </w:r>
      <w:r w:rsidRPr="0059599A">
        <w:rPr>
          <w:rFonts w:ascii="Arial" w:hAnsi="Arial" w:cs="Arial"/>
        </w:rPr>
        <w:t>, 2010; 15: 505–15.</w:t>
      </w:r>
    </w:p>
    <w:p w14:paraId="1C655278" w14:textId="77777777" w:rsidR="006E3429" w:rsidRPr="0059599A" w:rsidRDefault="006E3429" w:rsidP="006E3429">
      <w:pPr>
        <w:ind w:left="142" w:hanging="142"/>
        <w:jc w:val="both"/>
        <w:rPr>
          <w:rFonts w:ascii="Arial" w:hAnsi="Arial" w:cs="Arial"/>
        </w:rPr>
      </w:pPr>
      <w:r w:rsidRPr="0059599A">
        <w:rPr>
          <w:rFonts w:ascii="Arial" w:hAnsi="Arial" w:cs="Arial"/>
        </w:rPr>
        <w:t xml:space="preserve">4. Bang, K. B., and Kim, H. J. Management of Antiviral Drug Resistance in Chronic Hepatitis B’, </w:t>
      </w:r>
      <w:r w:rsidRPr="0059599A">
        <w:rPr>
          <w:rFonts w:ascii="Arial" w:hAnsi="Arial" w:cs="Arial"/>
          <w:i/>
        </w:rPr>
        <w:t>World Journal of Gastroenterology</w:t>
      </w:r>
      <w:r w:rsidRPr="0059599A">
        <w:rPr>
          <w:rFonts w:ascii="Arial" w:hAnsi="Arial" w:cs="Arial"/>
        </w:rPr>
        <w:t xml:space="preserve">, 2014; 20: 11641–9. </w:t>
      </w:r>
    </w:p>
    <w:p w14:paraId="761982F5" w14:textId="77777777" w:rsidR="006E3429" w:rsidRPr="0059599A" w:rsidRDefault="006E3429" w:rsidP="006E3429">
      <w:pPr>
        <w:ind w:left="142" w:hanging="142"/>
        <w:jc w:val="both"/>
        <w:rPr>
          <w:rFonts w:ascii="Arial" w:hAnsi="Arial" w:cs="Arial"/>
        </w:rPr>
      </w:pPr>
      <w:r w:rsidRPr="0059599A">
        <w:rPr>
          <w:rFonts w:ascii="Arial" w:hAnsi="Arial" w:cs="Arial"/>
        </w:rPr>
        <w:t xml:space="preserve">5.  Özlük, S., Bayram, Y., Ozkagmaz, A., Parlak, M., Ozdemir, A. Antiviral Drug Resistance Rates among Patients with Chronic Hepatitis B Infection </w:t>
      </w:r>
      <w:r w:rsidRPr="0059599A">
        <w:rPr>
          <w:rFonts w:ascii="Arial" w:hAnsi="Arial" w:cs="Arial"/>
          <w:i/>
          <w:iCs/>
        </w:rPr>
        <w:t xml:space="preserve">European Journal of Clinical and Experimental Medicine, </w:t>
      </w:r>
      <w:r w:rsidRPr="0059599A">
        <w:rPr>
          <w:rFonts w:ascii="Arial" w:hAnsi="Arial" w:cs="Arial"/>
        </w:rPr>
        <w:t>2023;</w:t>
      </w:r>
      <w:r w:rsidRPr="0059599A">
        <w:rPr>
          <w:rFonts w:ascii="Arial" w:hAnsi="Arial" w:cs="Arial"/>
          <w:i/>
          <w:iCs/>
        </w:rPr>
        <w:t xml:space="preserve"> </w:t>
      </w:r>
      <w:r w:rsidRPr="0059599A">
        <w:rPr>
          <w:rFonts w:ascii="Arial" w:hAnsi="Arial" w:cs="Arial"/>
        </w:rPr>
        <w:t xml:space="preserve">21(2): 283-8. https/doi.org/10.15584/ejcem.2023.2.23 </w:t>
      </w:r>
    </w:p>
    <w:p w14:paraId="4BC1E824" w14:textId="77777777" w:rsidR="006E3429" w:rsidRPr="0059599A" w:rsidRDefault="006E3429" w:rsidP="006E3429">
      <w:pPr>
        <w:ind w:left="142" w:hanging="142"/>
        <w:jc w:val="both"/>
        <w:rPr>
          <w:rFonts w:ascii="Arial" w:hAnsi="Arial" w:cs="Arial"/>
        </w:rPr>
      </w:pPr>
      <w:r w:rsidRPr="0059599A">
        <w:rPr>
          <w:rFonts w:ascii="Arial" w:hAnsi="Arial" w:cs="Arial"/>
        </w:rPr>
        <w:t xml:space="preserve">6. Locarnini S, Hatzakis A, Heathcote J, Keeffe EB, Liang TJ, Mutimer D, Pawlotsky JM, Zoulim F. Management of antiviral resistance in patients with chronic hepatitis B. </w:t>
      </w:r>
      <w:r w:rsidRPr="0059599A">
        <w:rPr>
          <w:rFonts w:ascii="Arial" w:hAnsi="Arial" w:cs="Arial"/>
          <w:i/>
        </w:rPr>
        <w:t>Antivir Ther</w:t>
      </w:r>
      <w:r w:rsidRPr="0059599A">
        <w:rPr>
          <w:rFonts w:ascii="Arial" w:hAnsi="Arial" w:cs="Arial"/>
        </w:rPr>
        <w:t xml:space="preserve">., 2004; 9: 679– 93. </w:t>
      </w:r>
    </w:p>
    <w:p w14:paraId="68F37FB9" w14:textId="77777777" w:rsidR="006E3429" w:rsidRPr="0059599A" w:rsidRDefault="006E3429" w:rsidP="006E3429">
      <w:pPr>
        <w:ind w:left="142" w:hanging="142"/>
        <w:jc w:val="both"/>
        <w:rPr>
          <w:rFonts w:ascii="Arial" w:hAnsi="Arial" w:cs="Arial"/>
        </w:rPr>
      </w:pPr>
      <w:r w:rsidRPr="0059599A">
        <w:rPr>
          <w:rFonts w:ascii="Arial" w:hAnsi="Arial" w:cs="Arial"/>
        </w:rPr>
        <w:t xml:space="preserve">7. Shaw, T. </w:t>
      </w:r>
      <w:r w:rsidRPr="0059599A">
        <w:rPr>
          <w:rFonts w:ascii="Arial" w:hAnsi="Arial" w:cs="Arial"/>
          <w:i/>
        </w:rPr>
        <w:t>et al</w:t>
      </w:r>
      <w:r w:rsidRPr="0059599A">
        <w:rPr>
          <w:rFonts w:ascii="Arial" w:hAnsi="Arial" w:cs="Arial"/>
        </w:rPr>
        <w:t xml:space="preserve">. ‘HBV Drug Resistance: Mechanisms, Detection and Interpretation. </w:t>
      </w:r>
      <w:r w:rsidRPr="0059599A">
        <w:rPr>
          <w:rFonts w:ascii="Arial" w:hAnsi="Arial" w:cs="Arial"/>
          <w:i/>
        </w:rPr>
        <w:t>Journal of Hepatology</w:t>
      </w:r>
      <w:r w:rsidRPr="0059599A">
        <w:rPr>
          <w:rFonts w:ascii="Arial" w:hAnsi="Arial" w:cs="Arial"/>
        </w:rPr>
        <w:t>, 2006; 44:593–606</w:t>
      </w:r>
    </w:p>
    <w:p w14:paraId="6077C375" w14:textId="77777777" w:rsidR="006E3429" w:rsidRPr="0059599A" w:rsidRDefault="006E3429" w:rsidP="006E3429">
      <w:pPr>
        <w:ind w:left="142" w:hanging="142"/>
        <w:jc w:val="both"/>
        <w:rPr>
          <w:rFonts w:ascii="Arial" w:hAnsi="Arial" w:cs="Arial"/>
        </w:rPr>
      </w:pPr>
      <w:r w:rsidRPr="0059599A">
        <w:rPr>
          <w:rFonts w:ascii="Arial" w:hAnsi="Arial" w:cs="Arial"/>
        </w:rPr>
        <w:t xml:space="preserve">8. Kayaaslan, B. and Guner, R. Adverse Effects of Oral Antiviral Therapy in Chronic Hepatitis B. </w:t>
      </w:r>
      <w:r w:rsidRPr="0059599A">
        <w:rPr>
          <w:rFonts w:ascii="Arial" w:hAnsi="Arial" w:cs="Arial"/>
          <w:i/>
          <w:iCs/>
        </w:rPr>
        <w:t xml:space="preserve">World Journal of Hepatology, </w:t>
      </w:r>
      <w:r w:rsidRPr="0059599A">
        <w:rPr>
          <w:rFonts w:ascii="Arial" w:hAnsi="Arial" w:cs="Arial"/>
        </w:rPr>
        <w:t>2017; 9(5): 227-41.</w:t>
      </w:r>
    </w:p>
    <w:p w14:paraId="6D9244E1" w14:textId="77777777" w:rsidR="006E3429" w:rsidRPr="0059599A" w:rsidRDefault="006E3429" w:rsidP="006E3429">
      <w:pPr>
        <w:ind w:left="142" w:hanging="142"/>
        <w:jc w:val="both"/>
        <w:rPr>
          <w:rFonts w:ascii="Arial" w:hAnsi="Arial" w:cs="Arial"/>
        </w:rPr>
      </w:pPr>
      <w:r w:rsidRPr="0059599A">
        <w:rPr>
          <w:rFonts w:ascii="Arial" w:hAnsi="Arial" w:cs="Arial"/>
        </w:rPr>
        <w:t xml:space="preserve">9. Sun, J., Yu, X., Weng, Z., Jin, L., Yang, J., Zhang, H., Gu, J. and Yang, J. The Impact of Hepatotoxic Drugs on the Outcome of Patients with Acute Deterioration of Hepatitis B virus </w:t>
      </w:r>
      <w:r w:rsidRPr="0059599A">
        <w:rPr>
          <w:rFonts w:ascii="Arial" w:hAnsi="Arial" w:cs="Arial"/>
        </w:rPr>
        <w:lastRenderedPageBreak/>
        <w:t xml:space="preserve">Related Chronic Disease. </w:t>
      </w:r>
      <w:r w:rsidRPr="0059599A">
        <w:rPr>
          <w:rFonts w:ascii="Arial" w:hAnsi="Arial" w:cs="Arial"/>
          <w:i/>
          <w:iCs/>
        </w:rPr>
        <w:t xml:space="preserve">European Journal of Gastroenterology and Hepatology, </w:t>
      </w:r>
      <w:r w:rsidRPr="0059599A">
        <w:rPr>
          <w:rFonts w:ascii="Arial" w:hAnsi="Arial" w:cs="Arial"/>
        </w:rPr>
        <w:t>2022;</w:t>
      </w:r>
      <w:r w:rsidRPr="0059599A">
        <w:rPr>
          <w:rFonts w:ascii="Arial" w:hAnsi="Arial" w:cs="Arial"/>
          <w:i/>
          <w:iCs/>
        </w:rPr>
        <w:t xml:space="preserve"> </w:t>
      </w:r>
      <w:r w:rsidRPr="0059599A">
        <w:rPr>
          <w:rFonts w:ascii="Arial" w:hAnsi="Arial" w:cs="Arial"/>
        </w:rPr>
        <w:t>34: 782-90.</w:t>
      </w:r>
    </w:p>
    <w:p w14:paraId="1F6962BA" w14:textId="77777777" w:rsidR="006E3429" w:rsidRPr="0059599A" w:rsidRDefault="006E3429" w:rsidP="006E3429">
      <w:pPr>
        <w:ind w:left="142" w:hanging="142"/>
        <w:jc w:val="both"/>
        <w:rPr>
          <w:rFonts w:ascii="Arial" w:hAnsi="Arial" w:cs="Arial"/>
        </w:rPr>
      </w:pPr>
      <w:r w:rsidRPr="0059599A">
        <w:rPr>
          <w:rFonts w:ascii="Arial" w:hAnsi="Arial" w:cs="Arial"/>
        </w:rPr>
        <w:t xml:space="preserve">10. Thakur, S., Kumar, V., Das, R., Sharma, V. and Mehta, D. K. Biomarkers of Hepatic Toxicity: An Overview. </w:t>
      </w:r>
      <w:r w:rsidRPr="0059599A">
        <w:rPr>
          <w:rFonts w:ascii="Arial" w:hAnsi="Arial" w:cs="Arial"/>
          <w:i/>
          <w:iCs/>
        </w:rPr>
        <w:t xml:space="preserve">Current Therapeutic Research, </w:t>
      </w:r>
      <w:r w:rsidRPr="0059599A">
        <w:rPr>
          <w:rFonts w:ascii="Arial" w:hAnsi="Arial" w:cs="Arial"/>
        </w:rPr>
        <w:t>2024; 100: 100737.https://doi/10.1016/j.curtheres.2024.100737.</w:t>
      </w:r>
    </w:p>
    <w:p w14:paraId="28FD3E22" w14:textId="77777777" w:rsidR="006E3429" w:rsidRPr="0059599A" w:rsidRDefault="006E3429" w:rsidP="006E3429">
      <w:pPr>
        <w:ind w:left="142" w:hanging="142"/>
        <w:jc w:val="both"/>
        <w:rPr>
          <w:rFonts w:ascii="Arial" w:hAnsi="Arial" w:cs="Arial"/>
        </w:rPr>
      </w:pPr>
      <w:r w:rsidRPr="0059599A">
        <w:rPr>
          <w:rFonts w:ascii="Arial" w:hAnsi="Arial" w:cs="Arial"/>
        </w:rPr>
        <w:t xml:space="preserve">11. Wekere, F.CC, Iwoh-Amah, R.S.,Kwosah, J.N., Bademosi, A. and Amadi, S.C. A Five-year review on Caesarean section at the Rivers State University Teaching Hospital, South-South, Nigeria. </w:t>
      </w:r>
      <w:r w:rsidRPr="0059599A">
        <w:rPr>
          <w:rFonts w:ascii="Arial" w:hAnsi="Arial" w:cs="Arial"/>
          <w:i/>
        </w:rPr>
        <w:t>Journal of Advances in Medicines &amp; Medical research</w:t>
      </w:r>
      <w:r w:rsidRPr="0059599A">
        <w:rPr>
          <w:rFonts w:ascii="Arial" w:hAnsi="Arial" w:cs="Arial"/>
        </w:rPr>
        <w:t xml:space="preserve">, 2021; 33923: 159-67. </w:t>
      </w:r>
    </w:p>
    <w:p w14:paraId="1645598C" w14:textId="77777777" w:rsidR="006E3429" w:rsidRPr="0059599A" w:rsidRDefault="006E3429" w:rsidP="006E3429">
      <w:pPr>
        <w:ind w:left="142" w:hanging="142"/>
        <w:jc w:val="both"/>
        <w:rPr>
          <w:rFonts w:ascii="Arial" w:hAnsi="Arial" w:cs="Arial"/>
        </w:rPr>
      </w:pPr>
      <w:r w:rsidRPr="0059599A">
        <w:rPr>
          <w:rFonts w:ascii="Arial" w:hAnsi="Arial" w:cs="Arial"/>
        </w:rPr>
        <w:t xml:space="preserve">12. Cochran W.G. Sampling Techniques </w:t>
      </w:r>
      <w:r w:rsidRPr="0059599A">
        <w:rPr>
          <w:rFonts w:ascii="Arial" w:hAnsi="Arial" w:cs="Arial"/>
          <w:i/>
        </w:rPr>
        <w:t>3</w:t>
      </w:r>
      <w:r w:rsidRPr="0059599A">
        <w:rPr>
          <w:rFonts w:ascii="Arial" w:hAnsi="Arial" w:cs="Arial"/>
          <w:i/>
          <w:vertAlign w:val="superscript"/>
        </w:rPr>
        <w:t>rd</w:t>
      </w:r>
      <w:r w:rsidRPr="0059599A">
        <w:rPr>
          <w:rFonts w:ascii="Arial" w:hAnsi="Arial" w:cs="Arial"/>
          <w:i/>
        </w:rPr>
        <w:t xml:space="preserve"> Edition</w:t>
      </w:r>
      <w:r w:rsidRPr="0059599A">
        <w:rPr>
          <w:rFonts w:ascii="Arial" w:hAnsi="Arial" w:cs="Arial"/>
        </w:rPr>
        <w:t>. John Wiley &amp; Sons New York, 1977.</w:t>
      </w:r>
    </w:p>
    <w:p w14:paraId="7D89165D" w14:textId="77777777" w:rsidR="006E3429" w:rsidRPr="0059599A" w:rsidRDefault="006E3429" w:rsidP="006E3429">
      <w:pPr>
        <w:ind w:left="142" w:hanging="142"/>
        <w:jc w:val="both"/>
        <w:rPr>
          <w:rFonts w:ascii="Arial" w:hAnsi="Arial" w:cs="Arial"/>
        </w:rPr>
      </w:pPr>
      <w:r w:rsidRPr="0059599A">
        <w:rPr>
          <w:rFonts w:ascii="Arial" w:hAnsi="Arial" w:cs="Arial"/>
        </w:rPr>
        <w:t xml:space="preserve">13  Thefeld W. </w:t>
      </w:r>
      <w:r w:rsidRPr="0059599A">
        <w:rPr>
          <w:rFonts w:ascii="Arial" w:hAnsi="Arial" w:cs="Arial"/>
          <w:i/>
        </w:rPr>
        <w:t>et al.,</w:t>
      </w:r>
      <w:r w:rsidRPr="0059599A">
        <w:rPr>
          <w:rFonts w:ascii="Arial" w:hAnsi="Arial" w:cs="Arial"/>
        </w:rPr>
        <w:t xml:space="preserve"> Dtsch.medwschr. 99, 343. (1974).</w:t>
      </w:r>
    </w:p>
    <w:p w14:paraId="0F2BEB12" w14:textId="77777777" w:rsidR="006E3429" w:rsidRPr="0059599A" w:rsidRDefault="006E3429" w:rsidP="006E3429">
      <w:pPr>
        <w:ind w:left="142" w:hanging="142"/>
        <w:jc w:val="both"/>
        <w:rPr>
          <w:rFonts w:ascii="Arial" w:hAnsi="Arial" w:cs="Arial"/>
        </w:rPr>
      </w:pPr>
      <w:r w:rsidRPr="0059599A">
        <w:rPr>
          <w:rFonts w:ascii="Arial" w:hAnsi="Arial" w:cs="Arial"/>
        </w:rPr>
        <w:t xml:space="preserve">14. Sclebusch, H, </w:t>
      </w:r>
      <w:r w:rsidRPr="0059599A">
        <w:rPr>
          <w:rFonts w:ascii="Arial" w:hAnsi="Arial" w:cs="Arial"/>
          <w:i/>
        </w:rPr>
        <w:t>et al.,</w:t>
      </w:r>
      <w:r w:rsidRPr="0059599A">
        <w:rPr>
          <w:rFonts w:ascii="Arial" w:hAnsi="Arial" w:cs="Arial"/>
        </w:rPr>
        <w:t xml:space="preserve"> Determination of Alkaline Phosphatase. Dtsch. Med.wschr. 99, 765. (1974).</w:t>
      </w:r>
    </w:p>
    <w:p w14:paraId="22E5B9A1" w14:textId="77777777" w:rsidR="006E3429" w:rsidRPr="0059599A" w:rsidRDefault="006E3429" w:rsidP="006E3429">
      <w:pPr>
        <w:ind w:left="142" w:hanging="142"/>
        <w:jc w:val="both"/>
        <w:rPr>
          <w:rFonts w:ascii="Arial" w:hAnsi="Arial" w:cs="Arial"/>
        </w:rPr>
      </w:pPr>
      <w:r w:rsidRPr="0059599A">
        <w:rPr>
          <w:rFonts w:ascii="Arial" w:hAnsi="Arial" w:cs="Arial"/>
        </w:rPr>
        <w:t xml:space="preserve">15. Szasz, G. Determination of Gamma-Glutamyltranspeptidase (GGT) </w:t>
      </w:r>
      <w:r w:rsidRPr="0059599A">
        <w:rPr>
          <w:rFonts w:ascii="Arial" w:hAnsi="Arial" w:cs="Arial"/>
          <w:i/>
        </w:rPr>
        <w:t>Clin. Chem</w:t>
      </w:r>
      <w:r w:rsidRPr="0059599A">
        <w:rPr>
          <w:rFonts w:ascii="Arial" w:hAnsi="Arial" w:cs="Arial"/>
        </w:rPr>
        <w:t>, 22, 1976; 7: 2051.</w:t>
      </w:r>
    </w:p>
    <w:p w14:paraId="620F0FC8" w14:textId="77777777" w:rsidR="006E3429" w:rsidRPr="0059599A" w:rsidRDefault="006E3429" w:rsidP="006E3429">
      <w:pPr>
        <w:ind w:left="142" w:hanging="142"/>
        <w:jc w:val="both"/>
        <w:rPr>
          <w:rFonts w:ascii="Arial" w:hAnsi="Arial" w:cs="Arial"/>
        </w:rPr>
      </w:pPr>
      <w:r w:rsidRPr="0059599A">
        <w:rPr>
          <w:rFonts w:ascii="Arial" w:hAnsi="Arial" w:cs="Arial"/>
        </w:rPr>
        <w:t xml:space="preserve">16. Zeigenhagen G, Drahovshy D, Klinische-Bedeutungdes. C-reactive protein. </w:t>
      </w:r>
      <w:r w:rsidRPr="0059599A">
        <w:rPr>
          <w:rFonts w:ascii="Arial" w:hAnsi="Arial" w:cs="Arial"/>
          <w:i/>
        </w:rPr>
        <w:t xml:space="preserve">Medklin </w:t>
      </w:r>
      <w:r w:rsidRPr="0059599A">
        <w:rPr>
          <w:rFonts w:ascii="Arial" w:hAnsi="Arial" w:cs="Arial"/>
        </w:rPr>
        <w:t>1983;</w:t>
      </w:r>
      <w:r w:rsidRPr="0059599A">
        <w:rPr>
          <w:rFonts w:ascii="Arial" w:hAnsi="Arial" w:cs="Arial"/>
          <w:i/>
        </w:rPr>
        <w:t xml:space="preserve"> </w:t>
      </w:r>
      <w:r w:rsidRPr="0059599A">
        <w:rPr>
          <w:rFonts w:ascii="Arial" w:hAnsi="Arial" w:cs="Arial"/>
        </w:rPr>
        <w:t>78: 45-50.</w:t>
      </w:r>
    </w:p>
    <w:p w14:paraId="76DD51A1" w14:textId="77777777" w:rsidR="006E3429" w:rsidRPr="0059599A" w:rsidRDefault="006E3429" w:rsidP="006E3429">
      <w:pPr>
        <w:ind w:left="142" w:hanging="142"/>
        <w:jc w:val="both"/>
        <w:rPr>
          <w:rFonts w:ascii="Arial" w:hAnsi="Arial" w:cs="Arial"/>
        </w:rPr>
      </w:pPr>
      <w:r w:rsidRPr="0059599A">
        <w:rPr>
          <w:rFonts w:ascii="Arial" w:hAnsi="Arial" w:cs="Arial"/>
        </w:rPr>
        <w:t xml:space="preserve">17. Engvall E.&amp; Perlmann P. Enzyme-linked Immunonosorbant Assay. (ELISA). Quantitative assay of immunoglobin G. Iimmunochemistry, 1971; 8: 871-4. </w:t>
      </w:r>
      <w:hyperlink r:id="rId19" w:history="1">
        <w:r w:rsidRPr="0059599A">
          <w:rPr>
            <w:rStyle w:val="Hyperlink"/>
            <w:rFonts w:ascii="Arial" w:hAnsi="Arial" w:cs="Arial"/>
            <w:color w:val="auto"/>
          </w:rPr>
          <w:t>http://dx</w:t>
        </w:r>
      </w:hyperlink>
      <w:r w:rsidRPr="0059599A">
        <w:rPr>
          <w:rFonts w:ascii="Arial" w:hAnsi="Arial" w:cs="Arial"/>
        </w:rPr>
        <w:t>. doi.org/10.1016/0019-2791(71)9045-X</w:t>
      </w:r>
    </w:p>
    <w:p w14:paraId="239195DC" w14:textId="77777777" w:rsidR="006E3429" w:rsidRPr="0059599A" w:rsidRDefault="006E3429" w:rsidP="006E3429">
      <w:pPr>
        <w:ind w:left="142" w:hanging="142"/>
        <w:jc w:val="both"/>
        <w:rPr>
          <w:rFonts w:ascii="Arial" w:hAnsi="Arial" w:cs="Arial"/>
        </w:rPr>
      </w:pPr>
      <w:r w:rsidRPr="0059599A">
        <w:rPr>
          <w:rFonts w:ascii="Arial" w:hAnsi="Arial" w:cs="Arial"/>
        </w:rPr>
        <w:t xml:space="preserve">18 Rana M.T., Estabraq W.G., Raghad H.A., and Ali H.A. Correlation of chronic viral </w:t>
      </w:r>
      <w:r w:rsidRPr="0059599A">
        <w:rPr>
          <w:rFonts w:ascii="Arial" w:hAnsi="Arial" w:cs="Arial"/>
        </w:rPr>
        <w:tab/>
        <w:t xml:space="preserve">hepatitis B and liver function tests. </w:t>
      </w:r>
      <w:r w:rsidRPr="0059599A">
        <w:rPr>
          <w:rFonts w:ascii="Arial" w:hAnsi="Arial" w:cs="Arial"/>
          <w:i/>
        </w:rPr>
        <w:t xml:space="preserve">Journal of University of Anbar for Pure Science, </w:t>
      </w:r>
      <w:r w:rsidRPr="0059599A">
        <w:rPr>
          <w:rFonts w:ascii="Arial" w:hAnsi="Arial" w:cs="Arial"/>
        </w:rPr>
        <w:t>2022;</w:t>
      </w:r>
      <w:r w:rsidRPr="0059599A">
        <w:rPr>
          <w:rFonts w:ascii="Arial" w:hAnsi="Arial" w:cs="Arial"/>
        </w:rPr>
        <w:tab/>
        <w:t>16(1): 9-12</w:t>
      </w:r>
    </w:p>
    <w:p w14:paraId="232EE2E1" w14:textId="77777777" w:rsidR="006E3429" w:rsidRPr="0059599A" w:rsidRDefault="006E3429" w:rsidP="006E3429">
      <w:pPr>
        <w:ind w:left="142" w:hanging="142"/>
        <w:jc w:val="both"/>
        <w:rPr>
          <w:rFonts w:ascii="Arial" w:hAnsi="Arial" w:cs="Arial"/>
        </w:rPr>
      </w:pPr>
      <w:r w:rsidRPr="0059599A">
        <w:rPr>
          <w:rFonts w:ascii="Arial" w:hAnsi="Arial" w:cs="Arial"/>
        </w:rPr>
        <w:t xml:space="preserve">19. Domfeh, S.A., Sakyi, S.A., Anto E.O., Narkwa, P.W., Mutocheluh, M. &amp; Frempong M.T. Evaluation of inflammatory and liver injury biomarkers among drug-naive viral hepatitis </w:t>
      </w:r>
      <w:r w:rsidRPr="0059599A">
        <w:rPr>
          <w:rFonts w:ascii="Arial" w:hAnsi="Arial" w:cs="Arial"/>
        </w:rPr>
        <w:tab/>
        <w:t xml:space="preserve">B patients: A study in a referral laboratory, Ghana. </w:t>
      </w:r>
      <w:r w:rsidRPr="0059599A">
        <w:rPr>
          <w:rFonts w:ascii="Arial" w:hAnsi="Arial" w:cs="Arial"/>
          <w:i/>
        </w:rPr>
        <w:t xml:space="preserve">African Journal of Gastroenterology </w:t>
      </w:r>
      <w:r w:rsidRPr="0059599A">
        <w:rPr>
          <w:rFonts w:ascii="Arial" w:hAnsi="Arial" w:cs="Arial"/>
          <w:i/>
        </w:rPr>
        <w:tab/>
        <w:t>and Hepatology</w:t>
      </w:r>
      <w:r w:rsidRPr="0059599A">
        <w:rPr>
          <w:rFonts w:ascii="Arial" w:hAnsi="Arial" w:cs="Arial"/>
        </w:rPr>
        <w:t>, 2023; 43: 64-73.</w:t>
      </w:r>
    </w:p>
    <w:p w14:paraId="58C28FED" w14:textId="77777777" w:rsidR="006E3429" w:rsidRPr="0059599A" w:rsidRDefault="006E3429" w:rsidP="006E3429">
      <w:pPr>
        <w:ind w:left="142" w:hanging="142"/>
        <w:jc w:val="both"/>
        <w:rPr>
          <w:rFonts w:ascii="Arial" w:hAnsi="Arial" w:cs="Arial"/>
        </w:rPr>
      </w:pPr>
      <w:r w:rsidRPr="0059599A">
        <w:rPr>
          <w:rFonts w:ascii="Arial" w:hAnsi="Arial" w:cs="Arial"/>
        </w:rPr>
        <w:t xml:space="preserve">20. Mokaya J, McNaughton AL, Bester PA Goedhals D., Barnes E.J.,Marsden B.D.,Matthews P.C.Hepatitis B virus resistance to tenofovir: fact or fiction? A systematic literature review and structural analysis of drug resistance mechanisms. </w:t>
      </w:r>
      <w:r w:rsidRPr="0059599A">
        <w:rPr>
          <w:rFonts w:ascii="Arial" w:hAnsi="Arial" w:cs="Arial"/>
          <w:i/>
        </w:rPr>
        <w:t>Wellcome Open Research</w:t>
      </w:r>
      <w:r w:rsidRPr="0059599A">
        <w:rPr>
          <w:rFonts w:ascii="Arial" w:hAnsi="Arial" w:cs="Arial"/>
        </w:rPr>
        <w:t>, 2020; 5: 151-7.</w:t>
      </w:r>
    </w:p>
    <w:p w14:paraId="3B186E29" w14:textId="77777777" w:rsidR="006E3429" w:rsidRPr="0059599A" w:rsidRDefault="006E3429" w:rsidP="006E3429">
      <w:pPr>
        <w:ind w:left="142" w:hanging="142"/>
        <w:jc w:val="both"/>
        <w:rPr>
          <w:rFonts w:ascii="Arial" w:hAnsi="Arial" w:cs="Arial"/>
        </w:rPr>
      </w:pPr>
      <w:r w:rsidRPr="0059599A">
        <w:rPr>
          <w:rFonts w:ascii="Arial" w:hAnsi="Arial" w:cs="Arial"/>
        </w:rPr>
        <w:t xml:space="preserve">21. Chang C, Ko Y, Liu H. Serum alanine aminotransferase levels in relation to hepatitis B </w:t>
      </w:r>
      <w:r w:rsidRPr="0059599A">
        <w:rPr>
          <w:rFonts w:ascii="Arial" w:hAnsi="Arial" w:cs="Arial"/>
        </w:rPr>
        <w:tab/>
        <w:t xml:space="preserve">and C viruss infections among drug abusers in an area hyperendemic  for hepatitis B. </w:t>
      </w:r>
      <w:r w:rsidRPr="0059599A">
        <w:rPr>
          <w:rFonts w:ascii="Arial" w:hAnsi="Arial" w:cs="Arial"/>
          <w:i/>
        </w:rPr>
        <w:t>Dig</w:t>
      </w:r>
      <w:r w:rsidRPr="0059599A">
        <w:rPr>
          <w:rFonts w:ascii="Arial" w:hAnsi="Arial" w:cs="Arial"/>
          <w:i/>
        </w:rPr>
        <w:tab/>
        <w:t xml:space="preserve">Dis Sci </w:t>
      </w:r>
      <w:r w:rsidRPr="0059599A">
        <w:rPr>
          <w:rFonts w:ascii="Arial" w:hAnsi="Arial" w:cs="Arial"/>
        </w:rPr>
        <w:t xml:space="preserve">2000; 45:1949-52. </w:t>
      </w:r>
    </w:p>
    <w:p w14:paraId="3346E66C" w14:textId="77777777" w:rsidR="006E3429" w:rsidRPr="0059599A" w:rsidRDefault="006E3429" w:rsidP="006E3429">
      <w:pPr>
        <w:ind w:left="142" w:hanging="142"/>
        <w:jc w:val="both"/>
        <w:rPr>
          <w:rFonts w:ascii="Arial" w:hAnsi="Arial" w:cs="Arial"/>
        </w:rPr>
      </w:pPr>
      <w:r w:rsidRPr="0059599A">
        <w:rPr>
          <w:rFonts w:ascii="Arial" w:hAnsi="Arial" w:cs="Arial"/>
        </w:rPr>
        <w:t xml:space="preserve">22. Nyblom H, Björnsson E, Simrén M, Aldenborg F, Almer S, &amp; Olsson R. The AST/ALT </w:t>
      </w:r>
      <w:r w:rsidRPr="0059599A">
        <w:rPr>
          <w:rFonts w:ascii="Arial" w:hAnsi="Arial" w:cs="Arial"/>
        </w:rPr>
        <w:tab/>
        <w:t xml:space="preserve">ratio as an indicator of cirrhosis in patients with PBC. </w:t>
      </w:r>
      <w:r w:rsidRPr="0059599A">
        <w:rPr>
          <w:rFonts w:ascii="Arial" w:hAnsi="Arial" w:cs="Arial"/>
          <w:i/>
        </w:rPr>
        <w:t xml:space="preserve">Liver International, </w:t>
      </w:r>
      <w:r w:rsidRPr="0059599A">
        <w:rPr>
          <w:rFonts w:ascii="Arial" w:hAnsi="Arial" w:cs="Arial"/>
        </w:rPr>
        <w:t xml:space="preserve">2006; </w:t>
      </w:r>
      <w:r w:rsidRPr="0059599A">
        <w:rPr>
          <w:rFonts w:ascii="Arial" w:hAnsi="Arial" w:cs="Arial"/>
          <w:bCs/>
        </w:rPr>
        <w:t>26</w:t>
      </w:r>
      <w:r w:rsidRPr="0059599A">
        <w:rPr>
          <w:rFonts w:ascii="Arial" w:hAnsi="Arial" w:cs="Arial"/>
        </w:rPr>
        <w:t xml:space="preserve">(7): 840-5. </w:t>
      </w:r>
    </w:p>
    <w:p w14:paraId="42029AAC" w14:textId="77777777" w:rsidR="006E3429" w:rsidRPr="0059599A" w:rsidRDefault="006E3429" w:rsidP="006E3429">
      <w:pPr>
        <w:ind w:left="142" w:hanging="142"/>
        <w:jc w:val="both"/>
        <w:rPr>
          <w:rFonts w:ascii="Arial" w:hAnsi="Arial" w:cs="Arial"/>
        </w:rPr>
      </w:pPr>
      <w:r w:rsidRPr="0059599A">
        <w:rPr>
          <w:rFonts w:ascii="Arial" w:hAnsi="Arial" w:cs="Arial"/>
        </w:rPr>
        <w:t xml:space="preserve">23. Oh,R.C.;Hustead,T.R. Causes and Evaluation of Mildly Elevated Liver Transaminase </w:t>
      </w:r>
      <w:r w:rsidRPr="0059599A">
        <w:rPr>
          <w:rFonts w:ascii="Arial" w:hAnsi="Arial" w:cs="Arial"/>
        </w:rPr>
        <w:tab/>
        <w:t xml:space="preserve">Levels. </w:t>
      </w:r>
      <w:r w:rsidRPr="0059599A">
        <w:rPr>
          <w:rFonts w:ascii="Arial" w:hAnsi="Arial" w:cs="Arial"/>
          <w:i/>
        </w:rPr>
        <w:t xml:space="preserve">Am. Fam. Physicians, </w:t>
      </w:r>
      <w:r w:rsidRPr="0059599A">
        <w:rPr>
          <w:rFonts w:ascii="Arial" w:hAnsi="Arial" w:cs="Arial"/>
        </w:rPr>
        <w:t>2011; 84: 1003–8.</w:t>
      </w:r>
    </w:p>
    <w:p w14:paraId="78F47F5D" w14:textId="77777777" w:rsidR="006E3429" w:rsidRPr="0059599A" w:rsidRDefault="006E3429" w:rsidP="006E3429">
      <w:pPr>
        <w:ind w:left="142" w:hanging="142"/>
        <w:jc w:val="both"/>
        <w:rPr>
          <w:rFonts w:ascii="Arial" w:hAnsi="Arial" w:cs="Arial"/>
        </w:rPr>
      </w:pPr>
      <w:r w:rsidRPr="0059599A">
        <w:rPr>
          <w:rFonts w:ascii="Arial" w:hAnsi="Arial" w:cs="Arial"/>
        </w:rPr>
        <w:t xml:space="preserve">24. Abulude, O.A., Ahmed, I. and Sadis, F.U. Assessment of Hepatitis B Viral Infection as </w:t>
      </w:r>
      <w:r w:rsidRPr="0059599A">
        <w:rPr>
          <w:rFonts w:ascii="Arial" w:hAnsi="Arial" w:cs="Arial"/>
        </w:rPr>
        <w:tab/>
        <w:t xml:space="preserve">a Predictor of Hepatic Enzymes and Compounds Alteration among Antenatal </w:t>
      </w:r>
      <w:r w:rsidRPr="0059599A">
        <w:rPr>
          <w:rFonts w:ascii="Arial" w:hAnsi="Arial" w:cs="Arial"/>
        </w:rPr>
        <w:tab/>
      </w:r>
      <w:r w:rsidRPr="0059599A">
        <w:rPr>
          <w:rFonts w:ascii="Arial" w:hAnsi="Arial" w:cs="Arial"/>
        </w:rPr>
        <w:tab/>
        <w:t xml:space="preserve">Patients. </w:t>
      </w:r>
      <w:r w:rsidRPr="0059599A">
        <w:rPr>
          <w:rFonts w:ascii="Arial" w:hAnsi="Arial" w:cs="Arial"/>
          <w:i/>
        </w:rPr>
        <w:t>Medical Science</w:t>
      </w:r>
      <w:r w:rsidRPr="0059599A">
        <w:rPr>
          <w:rFonts w:ascii="Arial" w:hAnsi="Arial" w:cs="Arial"/>
        </w:rPr>
        <w:t>, 2017; 5: 24-9.</w:t>
      </w:r>
    </w:p>
    <w:p w14:paraId="56C70C8B" w14:textId="77777777" w:rsidR="006E3429" w:rsidRPr="0059599A" w:rsidRDefault="006E3429" w:rsidP="006E3429">
      <w:pPr>
        <w:ind w:left="142" w:hanging="142"/>
        <w:jc w:val="both"/>
        <w:rPr>
          <w:rFonts w:ascii="Arial" w:hAnsi="Arial" w:cs="Arial"/>
        </w:rPr>
      </w:pPr>
      <w:r w:rsidRPr="0059599A">
        <w:rPr>
          <w:rFonts w:ascii="Arial" w:hAnsi="Arial" w:cs="Arial"/>
        </w:rPr>
        <w:t xml:space="preserve">25. Glebe D, &amp; Urban S. Viral and cellular determinants involved in the hepadnaviral entry. </w:t>
      </w:r>
      <w:r w:rsidRPr="0059599A">
        <w:rPr>
          <w:rFonts w:ascii="Arial" w:hAnsi="Arial" w:cs="Arial"/>
        </w:rPr>
        <w:tab/>
      </w:r>
      <w:r w:rsidRPr="0059599A">
        <w:rPr>
          <w:rFonts w:ascii="Arial" w:hAnsi="Arial" w:cs="Arial"/>
          <w:i/>
        </w:rPr>
        <w:t>World Journal of Gastroenterology</w:t>
      </w:r>
      <w:r w:rsidRPr="0059599A">
        <w:rPr>
          <w:rFonts w:ascii="Arial" w:hAnsi="Arial" w:cs="Arial"/>
        </w:rPr>
        <w:t xml:space="preserve">., 2007; </w:t>
      </w:r>
      <w:r w:rsidRPr="0059599A">
        <w:rPr>
          <w:rFonts w:ascii="Arial" w:hAnsi="Arial" w:cs="Arial"/>
          <w:bCs/>
        </w:rPr>
        <w:t>3</w:t>
      </w:r>
      <w:r w:rsidRPr="0059599A">
        <w:rPr>
          <w:rFonts w:ascii="Arial" w:hAnsi="Arial" w:cs="Arial"/>
        </w:rPr>
        <w:t xml:space="preserve">(1): 22-38. </w:t>
      </w:r>
    </w:p>
    <w:p w14:paraId="2D3910C8" w14:textId="77777777" w:rsidR="006E3429" w:rsidRPr="0059599A" w:rsidRDefault="006E3429" w:rsidP="006E3429">
      <w:pPr>
        <w:ind w:left="142" w:hanging="142"/>
        <w:jc w:val="both"/>
        <w:rPr>
          <w:rFonts w:ascii="Arial" w:hAnsi="Arial" w:cs="Arial"/>
        </w:rPr>
      </w:pPr>
      <w:r w:rsidRPr="0059599A">
        <w:rPr>
          <w:rFonts w:ascii="Arial" w:hAnsi="Arial" w:cs="Arial"/>
        </w:rPr>
        <w:t xml:space="preserve">26. Karatayli E, Karayalcin S, Karaaslan H, </w:t>
      </w:r>
      <w:r w:rsidRPr="0059599A">
        <w:rPr>
          <w:rFonts w:ascii="Arial" w:hAnsi="Arial" w:cs="Arial"/>
          <w:i/>
        </w:rPr>
        <w:t>et al</w:t>
      </w:r>
      <w:r w:rsidRPr="0059599A">
        <w:rPr>
          <w:rFonts w:ascii="Arial" w:hAnsi="Arial" w:cs="Arial"/>
        </w:rPr>
        <w:t>. A novel mutation pattern emerging duringlamivudine treatment shows cross-resistance to adefovir dipivoxil treatment. Antivir Ther, 2007;</w:t>
      </w:r>
      <w:r w:rsidRPr="0059599A">
        <w:rPr>
          <w:rFonts w:ascii="Arial" w:hAnsi="Arial" w:cs="Arial"/>
        </w:rPr>
        <w:tab/>
        <w:t>12: 761–8.</w:t>
      </w:r>
    </w:p>
    <w:p w14:paraId="01458BCC" w14:textId="77777777" w:rsidR="006E3429" w:rsidRPr="0059599A" w:rsidRDefault="006E3429" w:rsidP="006E3429">
      <w:pPr>
        <w:ind w:left="142" w:hanging="142"/>
        <w:jc w:val="both"/>
        <w:rPr>
          <w:rFonts w:ascii="Arial" w:hAnsi="Arial" w:cs="Arial"/>
        </w:rPr>
      </w:pPr>
      <w:r w:rsidRPr="0059599A">
        <w:rPr>
          <w:rFonts w:ascii="Arial" w:hAnsi="Arial" w:cs="Arial"/>
        </w:rPr>
        <w:t xml:space="preserve">27. Thompson D, Pepys M.B., &amp; Wood S.P. The physiological structure of human C-reactive </w:t>
      </w:r>
      <w:r w:rsidRPr="0059599A">
        <w:rPr>
          <w:rFonts w:ascii="Arial" w:hAnsi="Arial" w:cs="Arial"/>
        </w:rPr>
        <w:tab/>
        <w:t xml:space="preserve">protein and its complex with phosphocholine. </w:t>
      </w:r>
      <w:r w:rsidRPr="0059599A">
        <w:rPr>
          <w:rFonts w:ascii="Arial" w:hAnsi="Arial" w:cs="Arial"/>
          <w:i/>
        </w:rPr>
        <w:t xml:space="preserve">Structure, </w:t>
      </w:r>
      <w:r w:rsidRPr="0059599A">
        <w:rPr>
          <w:rFonts w:ascii="Arial" w:hAnsi="Arial" w:cs="Arial"/>
        </w:rPr>
        <w:t xml:space="preserve">1999; </w:t>
      </w:r>
      <w:r w:rsidRPr="0059599A">
        <w:rPr>
          <w:rFonts w:ascii="Arial" w:hAnsi="Arial" w:cs="Arial"/>
          <w:bCs/>
        </w:rPr>
        <w:t>7</w:t>
      </w:r>
      <w:r w:rsidRPr="0059599A">
        <w:rPr>
          <w:rFonts w:ascii="Arial" w:hAnsi="Arial" w:cs="Arial"/>
        </w:rPr>
        <w:t xml:space="preserve">(2): 169-77. </w:t>
      </w:r>
    </w:p>
    <w:p w14:paraId="6410BAFE" w14:textId="77777777" w:rsidR="006E3429" w:rsidRPr="0059599A" w:rsidRDefault="006E3429" w:rsidP="006E3429">
      <w:pPr>
        <w:ind w:left="142" w:hanging="142"/>
        <w:jc w:val="both"/>
        <w:rPr>
          <w:rFonts w:ascii="Arial" w:hAnsi="Arial" w:cs="Arial"/>
        </w:rPr>
      </w:pPr>
      <w:r w:rsidRPr="0059599A">
        <w:rPr>
          <w:rFonts w:ascii="Arial" w:hAnsi="Arial" w:cs="Arial"/>
        </w:rPr>
        <w:t xml:space="preserve">28. Sproston N.R., &amp; Ashworth J.J. Role of C-reactive protein at sites of inflammation and </w:t>
      </w:r>
      <w:r w:rsidRPr="0059599A">
        <w:rPr>
          <w:rFonts w:ascii="Arial" w:hAnsi="Arial" w:cs="Arial"/>
        </w:rPr>
        <w:tab/>
        <w:t xml:space="preserve">infection. </w:t>
      </w:r>
      <w:r w:rsidRPr="0059599A">
        <w:rPr>
          <w:rFonts w:ascii="Arial" w:hAnsi="Arial" w:cs="Arial"/>
          <w:i/>
        </w:rPr>
        <w:t xml:space="preserve">Frontiers in Immunology, </w:t>
      </w:r>
      <w:r w:rsidRPr="0059599A">
        <w:rPr>
          <w:rFonts w:ascii="Arial" w:hAnsi="Arial" w:cs="Arial"/>
        </w:rPr>
        <w:t xml:space="preserve">2018; </w:t>
      </w:r>
      <w:r w:rsidRPr="0059599A">
        <w:rPr>
          <w:rFonts w:ascii="Arial" w:hAnsi="Arial" w:cs="Arial"/>
          <w:bCs/>
        </w:rPr>
        <w:t>9</w:t>
      </w:r>
      <w:r w:rsidRPr="0059599A">
        <w:rPr>
          <w:rFonts w:ascii="Arial" w:hAnsi="Arial" w:cs="Arial"/>
        </w:rPr>
        <w:t>: 754-8.</w:t>
      </w:r>
    </w:p>
    <w:p w14:paraId="70E290B7" w14:textId="77777777" w:rsidR="006E3429" w:rsidRPr="0059599A" w:rsidRDefault="006E3429" w:rsidP="006E3429">
      <w:pPr>
        <w:ind w:left="142" w:hanging="142"/>
        <w:jc w:val="both"/>
        <w:rPr>
          <w:rFonts w:ascii="Arial" w:hAnsi="Arial" w:cs="Arial"/>
        </w:rPr>
      </w:pPr>
      <w:r w:rsidRPr="0059599A">
        <w:rPr>
          <w:rFonts w:ascii="Arial" w:hAnsi="Arial" w:cs="Arial"/>
        </w:rPr>
        <w:t xml:space="preserve">29. Shiyong H.,,Yan W.,Guosheng G.,and Zhishan L. Hepatitis B Virus Upregulates the </w:t>
      </w:r>
      <w:r w:rsidRPr="0059599A">
        <w:rPr>
          <w:rFonts w:ascii="Arial" w:hAnsi="Arial" w:cs="Arial"/>
        </w:rPr>
        <w:tab/>
        <w:t xml:space="preserve">Expression of C-reactive Protein Both in vivo and in vitro. </w:t>
      </w:r>
      <w:r w:rsidRPr="0059599A">
        <w:rPr>
          <w:rFonts w:ascii="Arial" w:hAnsi="Arial" w:cs="Arial"/>
          <w:i/>
        </w:rPr>
        <w:t>Annals of Clinical &amp;</w:t>
      </w:r>
      <w:r w:rsidRPr="0059599A">
        <w:rPr>
          <w:rFonts w:ascii="Arial" w:hAnsi="Arial" w:cs="Arial"/>
          <w:i/>
        </w:rPr>
        <w:tab/>
        <w:t xml:space="preserve">Laboratory </w:t>
      </w:r>
      <w:r w:rsidRPr="0059599A">
        <w:rPr>
          <w:rFonts w:ascii="Arial" w:hAnsi="Arial" w:cs="Arial"/>
          <w:i/>
        </w:rPr>
        <w:tab/>
        <w:t>Science</w:t>
      </w:r>
      <w:r w:rsidRPr="0059599A">
        <w:rPr>
          <w:rFonts w:ascii="Arial" w:hAnsi="Arial" w:cs="Arial"/>
        </w:rPr>
        <w:t>, 2017; 47(4): 432-5.</w:t>
      </w:r>
    </w:p>
    <w:p w14:paraId="3ED6BE1B" w14:textId="77777777" w:rsidR="006E3429" w:rsidRPr="0059599A" w:rsidRDefault="006E3429" w:rsidP="006E3429">
      <w:pPr>
        <w:ind w:left="142" w:hanging="142"/>
        <w:jc w:val="both"/>
        <w:rPr>
          <w:rFonts w:ascii="Arial" w:hAnsi="Arial" w:cs="Arial"/>
        </w:rPr>
      </w:pPr>
      <w:r w:rsidRPr="0059599A">
        <w:rPr>
          <w:rFonts w:ascii="Arial" w:hAnsi="Arial" w:cs="Arial"/>
        </w:rPr>
        <w:lastRenderedPageBreak/>
        <w:t xml:space="preserve">30. Kramvis A., Chang K-M., Dandri M., Farci P.,Glebe  D,, Hu J., Janssen H.L.A., Lau D.T.Y., </w:t>
      </w:r>
      <w:r w:rsidRPr="0059599A">
        <w:rPr>
          <w:rFonts w:ascii="Arial" w:hAnsi="Arial" w:cs="Arial"/>
        </w:rPr>
        <w:tab/>
        <w:t xml:space="preserve">Penicaud  C., Pollicino  T., Testoni  B,, Van Bömmel F., AndrisaniQ., Beumont- Mauviel </w:t>
      </w:r>
      <w:r w:rsidRPr="0059599A">
        <w:rPr>
          <w:rFonts w:ascii="Arial" w:hAnsi="Arial" w:cs="Arial"/>
        </w:rPr>
        <w:tab/>
        <w:t xml:space="preserve">M., Block T.M., Chan H.L.Y., Cloherty G.A., Delaney W.E., Geretti A.M., Gehring  </w:t>
      </w:r>
      <w:r w:rsidRPr="0059599A">
        <w:rPr>
          <w:rFonts w:ascii="Arial" w:hAnsi="Arial" w:cs="Arial"/>
        </w:rPr>
        <w:tab/>
        <w:t xml:space="preserve">A., Jackson K., Lenz O., Maini  M.K., Miller V., Protzer  U., Yang J.C., Yuen M- F., Zoulim  </w:t>
      </w:r>
      <w:r w:rsidRPr="0059599A">
        <w:rPr>
          <w:rFonts w:ascii="Arial" w:hAnsi="Arial" w:cs="Arial"/>
        </w:rPr>
        <w:tab/>
        <w:t xml:space="preserve">F. and Revill P.A. A roadmap for serum biomarkers for hepatitis B virus: </w:t>
      </w:r>
      <w:r w:rsidRPr="0059599A">
        <w:rPr>
          <w:rFonts w:ascii="Arial" w:hAnsi="Arial" w:cs="Arial"/>
        </w:rPr>
        <w:tab/>
        <w:t xml:space="preserve">current status and future outlook. </w:t>
      </w:r>
      <w:r w:rsidRPr="0059599A">
        <w:rPr>
          <w:rFonts w:ascii="Arial" w:hAnsi="Arial" w:cs="Arial"/>
          <w:i/>
        </w:rPr>
        <w:t xml:space="preserve">Nature Reviews Gastroenterology &amp; Hepatology, </w:t>
      </w:r>
      <w:r w:rsidRPr="0059599A">
        <w:rPr>
          <w:rFonts w:ascii="Arial" w:hAnsi="Arial" w:cs="Arial"/>
        </w:rPr>
        <w:t>2022;</w:t>
      </w:r>
      <w:r w:rsidRPr="0059599A">
        <w:rPr>
          <w:rFonts w:ascii="Arial" w:hAnsi="Arial" w:cs="Arial"/>
        </w:rPr>
        <w:tab/>
        <w:t>19: 727-46.</w:t>
      </w:r>
    </w:p>
    <w:p w14:paraId="4F47F4F0" w14:textId="77777777" w:rsidR="006E3429" w:rsidRPr="0059599A" w:rsidRDefault="006E3429" w:rsidP="006E3429">
      <w:pPr>
        <w:ind w:left="142" w:hanging="142"/>
        <w:jc w:val="both"/>
        <w:rPr>
          <w:rFonts w:ascii="Arial" w:hAnsi="Arial" w:cs="Arial"/>
        </w:rPr>
      </w:pPr>
      <w:r w:rsidRPr="0059599A">
        <w:rPr>
          <w:rFonts w:ascii="Arial" w:hAnsi="Arial" w:cs="Arial"/>
        </w:rPr>
        <w:t xml:space="preserve">31. Kim, J.H.  Jung, Y.K.  Joo, M.K.  Kim, J.H., Yim, H.J., Park, J-J., Kim,J.S. Bak, Y-T., Yeon,  J.   </w:t>
      </w:r>
      <w:r w:rsidRPr="0059599A">
        <w:rPr>
          <w:rFonts w:ascii="Arial" w:hAnsi="Arial" w:cs="Arial"/>
        </w:rPr>
        <w:tab/>
        <w:t xml:space="preserve">E &amp; Byun K.S. Hepatitis B Viral Surface Mutations in Patients with Adefovir </w:t>
      </w:r>
      <w:r w:rsidRPr="0059599A">
        <w:rPr>
          <w:rFonts w:ascii="Arial" w:hAnsi="Arial" w:cs="Arial"/>
        </w:rPr>
        <w:tab/>
        <w:t>Resistant Chronic Hepatitis B with A181T/V Polymerase Mutations.J Korean Med Sci, 2010; 25: 257-64.</w:t>
      </w:r>
    </w:p>
    <w:p w14:paraId="168C80F1" w14:textId="77777777" w:rsidR="006E3429" w:rsidRPr="0059599A" w:rsidRDefault="006E3429" w:rsidP="006E3429">
      <w:pPr>
        <w:ind w:left="142" w:hanging="142"/>
        <w:jc w:val="both"/>
        <w:rPr>
          <w:rFonts w:ascii="Arial" w:hAnsi="Arial" w:cs="Arial"/>
        </w:rPr>
      </w:pPr>
      <w:r w:rsidRPr="0059599A">
        <w:rPr>
          <w:rFonts w:ascii="Arial" w:hAnsi="Arial" w:cs="Arial"/>
        </w:rPr>
        <w:t>32. Lok, A. S., Zoulim, F., Locarnini, S., Bartholomeusz, A., Ghany, M. G., Jean-Michel P., Yun-Fan L., Mizokami, M., Kuiken, C., and the Hepatitis B Virus Drug Resistance Working Group. Antiviral Drug-Resistant HBV: Standardization of Nomenclature and Assays and Recommendations for Management</w:t>
      </w:r>
      <w:r w:rsidRPr="0059599A">
        <w:rPr>
          <w:rFonts w:ascii="Arial" w:hAnsi="Arial" w:cs="Arial"/>
          <w:i/>
        </w:rPr>
        <w:t>. Hepatology</w:t>
      </w:r>
      <w:r w:rsidRPr="0059599A">
        <w:rPr>
          <w:rFonts w:ascii="Arial" w:hAnsi="Arial" w:cs="Arial"/>
        </w:rPr>
        <w:t xml:space="preserve">, 2007; </w:t>
      </w:r>
      <w:r w:rsidRPr="0059599A">
        <w:rPr>
          <w:rFonts w:ascii="Arial" w:hAnsi="Arial" w:cs="Arial"/>
          <w:bCs/>
        </w:rPr>
        <w:t>46</w:t>
      </w:r>
      <w:r w:rsidRPr="0059599A">
        <w:rPr>
          <w:rFonts w:ascii="Arial" w:hAnsi="Arial" w:cs="Arial"/>
        </w:rPr>
        <w:t>(1): 254-65.</w:t>
      </w:r>
    </w:p>
    <w:p w14:paraId="273B6AA7" w14:textId="77777777" w:rsidR="006E3429" w:rsidRDefault="006E3429" w:rsidP="006E3429">
      <w:pPr>
        <w:ind w:left="142" w:hanging="142"/>
        <w:jc w:val="both"/>
        <w:rPr>
          <w:rFonts w:ascii="Arial" w:hAnsi="Arial" w:cs="Arial"/>
        </w:rPr>
      </w:pPr>
      <w:r w:rsidRPr="0059599A">
        <w:rPr>
          <w:rFonts w:ascii="Arial" w:hAnsi="Arial" w:cs="Arial"/>
        </w:rPr>
        <w:t xml:space="preserve">33. Mokaya J, McNaughton AL, Bester PA Goedhals D., Barnes E.J.,Marsden B.D.,Matthews P.C.Hepatitis B virus resistance to tenofovir: fact or fiction? A systematic literature review and structural analysis of drug resistance mechanisms. </w:t>
      </w:r>
      <w:r w:rsidRPr="0059599A">
        <w:rPr>
          <w:rFonts w:ascii="Arial" w:hAnsi="Arial" w:cs="Arial"/>
          <w:i/>
        </w:rPr>
        <w:t>Wellcome Open Research</w:t>
      </w:r>
      <w:r w:rsidRPr="0059599A">
        <w:rPr>
          <w:rFonts w:ascii="Arial" w:hAnsi="Arial" w:cs="Arial"/>
        </w:rPr>
        <w:t>, 2020; 5: 151-7.</w:t>
      </w:r>
    </w:p>
    <w:p w14:paraId="4060846D" w14:textId="6D7010E8" w:rsidR="00AB5CD2" w:rsidRPr="009F6D26" w:rsidRDefault="00AB5CD2" w:rsidP="009F6D26">
      <w:pPr>
        <w:pStyle w:val="ListParagraph"/>
        <w:numPr>
          <w:ilvl w:val="0"/>
          <w:numId w:val="32"/>
        </w:numPr>
        <w:ind w:left="284" w:hanging="284"/>
        <w:jc w:val="both"/>
        <w:rPr>
          <w:rFonts w:ascii="Arial" w:hAnsi="Arial" w:cs="Arial"/>
          <w:sz w:val="20"/>
          <w:szCs w:val="20"/>
        </w:rPr>
      </w:pPr>
      <w:r w:rsidRPr="009F6D26">
        <w:rPr>
          <w:rFonts w:ascii="Arial" w:hAnsi="Arial" w:cs="Arial"/>
          <w:sz w:val="20"/>
          <w:szCs w:val="20"/>
        </w:rPr>
        <w:t xml:space="preserve">Zhou, Z., Chen, M., Li, P., &amp; Yang J. Multilocus drug resistance mutation analysis in 148 </w:t>
      </w:r>
      <w:r w:rsidRPr="009F6D26">
        <w:rPr>
          <w:rFonts w:ascii="Arial" w:hAnsi="Arial" w:cs="Arial"/>
          <w:sz w:val="20"/>
          <w:szCs w:val="20"/>
        </w:rPr>
        <w:tab/>
        <w:t xml:space="preserve">HBV patients in northern Henan Province of China. </w:t>
      </w:r>
      <w:r w:rsidRPr="009F6D26">
        <w:rPr>
          <w:rFonts w:ascii="Arial" w:hAnsi="Arial" w:cs="Arial"/>
          <w:i/>
          <w:sz w:val="20"/>
          <w:szCs w:val="20"/>
        </w:rPr>
        <w:t>Med Rxiv</w:t>
      </w:r>
      <w:r w:rsidRPr="009F6D26">
        <w:rPr>
          <w:rFonts w:ascii="Arial" w:hAnsi="Arial" w:cs="Arial"/>
          <w:sz w:val="20"/>
          <w:szCs w:val="20"/>
        </w:rPr>
        <w:t>. 2021; https://doi.org/10.1101/2021.05.14.21257253.</w:t>
      </w:r>
    </w:p>
    <w:p w14:paraId="51C51247" w14:textId="15CFDBC4" w:rsidR="00AB5CD2" w:rsidRPr="009F6D26" w:rsidRDefault="00AB5CD2" w:rsidP="009F6D26">
      <w:pPr>
        <w:pStyle w:val="ListParagraph"/>
        <w:numPr>
          <w:ilvl w:val="0"/>
          <w:numId w:val="32"/>
        </w:numPr>
        <w:ind w:left="284" w:hanging="284"/>
        <w:jc w:val="both"/>
        <w:rPr>
          <w:rFonts w:ascii="Arial" w:hAnsi="Arial" w:cs="Arial"/>
          <w:sz w:val="20"/>
          <w:szCs w:val="20"/>
        </w:rPr>
      </w:pPr>
      <w:r w:rsidRPr="009F6D26">
        <w:rPr>
          <w:rFonts w:ascii="Arial" w:hAnsi="Arial" w:cs="Arial"/>
          <w:sz w:val="20"/>
          <w:szCs w:val="20"/>
        </w:rPr>
        <w:t xml:space="preserve">Angus P., Vaughan R., Xiong S., Yang H., Delaney W., Gibbs C., Brosgart C., Colledge D., Edwards R., Ayres A, Bartholomeusz A, Locarnini S. Resistance to adefovir dipivoxil therapy associated with the selection of a novel mutation in the HBV polymerase. </w:t>
      </w:r>
      <w:r w:rsidRPr="009F6D26">
        <w:rPr>
          <w:rFonts w:ascii="Arial" w:hAnsi="Arial" w:cs="Arial"/>
          <w:i/>
          <w:sz w:val="20"/>
          <w:szCs w:val="20"/>
        </w:rPr>
        <w:t xml:space="preserve">Gastroenterology, </w:t>
      </w:r>
      <w:r w:rsidRPr="009F6D26">
        <w:rPr>
          <w:rFonts w:ascii="Arial" w:hAnsi="Arial" w:cs="Arial"/>
          <w:sz w:val="20"/>
          <w:szCs w:val="20"/>
        </w:rPr>
        <w:t xml:space="preserve">2003; 125: 292–7. </w:t>
      </w:r>
    </w:p>
    <w:p w14:paraId="105B0EFA" w14:textId="77777777" w:rsidR="00AB5CD2" w:rsidRDefault="00AB5CD2" w:rsidP="009F6D26">
      <w:pPr>
        <w:pStyle w:val="ListParagraph"/>
        <w:numPr>
          <w:ilvl w:val="0"/>
          <w:numId w:val="32"/>
        </w:numPr>
        <w:spacing w:after="0" w:line="240" w:lineRule="auto"/>
        <w:ind w:left="284" w:hanging="284"/>
        <w:jc w:val="both"/>
        <w:rPr>
          <w:rFonts w:ascii="Arial" w:hAnsi="Arial" w:cs="Arial"/>
          <w:sz w:val="20"/>
          <w:szCs w:val="20"/>
        </w:rPr>
      </w:pPr>
      <w:r w:rsidRPr="009F6D26">
        <w:rPr>
          <w:rFonts w:ascii="Arial" w:hAnsi="Arial" w:cs="Arial"/>
          <w:sz w:val="20"/>
          <w:szCs w:val="20"/>
        </w:rPr>
        <w:t xml:space="preserve">Sheldon J, Camino N, Rodes B, Bartholomeusz A, Kuiper M, Tacke F, et al. Selection of hepatitis B virus polymerase mutations in HIV-coinfected patients treated with tenofovir. </w:t>
      </w:r>
      <w:r w:rsidRPr="009F6D26">
        <w:rPr>
          <w:rFonts w:ascii="Arial" w:hAnsi="Arial" w:cs="Arial"/>
          <w:i/>
          <w:sz w:val="20"/>
          <w:szCs w:val="20"/>
        </w:rPr>
        <w:t>Antiviral Therapy</w:t>
      </w:r>
      <w:r w:rsidRPr="009F6D26">
        <w:rPr>
          <w:rFonts w:ascii="Arial" w:hAnsi="Arial" w:cs="Arial"/>
          <w:sz w:val="20"/>
          <w:szCs w:val="20"/>
        </w:rPr>
        <w:t xml:space="preserve">, 2005; </w:t>
      </w:r>
      <w:r w:rsidRPr="009F6D26">
        <w:rPr>
          <w:rFonts w:ascii="Arial" w:hAnsi="Arial" w:cs="Arial"/>
          <w:bCs/>
          <w:sz w:val="20"/>
          <w:szCs w:val="20"/>
        </w:rPr>
        <w:t>10</w:t>
      </w:r>
      <w:r w:rsidRPr="009F6D26">
        <w:rPr>
          <w:rFonts w:ascii="Arial" w:hAnsi="Arial" w:cs="Arial"/>
          <w:sz w:val="20"/>
          <w:szCs w:val="20"/>
        </w:rPr>
        <w:t xml:space="preserve">: 727-34. </w:t>
      </w:r>
    </w:p>
    <w:p w14:paraId="445315C3" w14:textId="2E502168" w:rsidR="00844A2E" w:rsidRDefault="00844A2E" w:rsidP="009F6D26">
      <w:pPr>
        <w:pStyle w:val="ListParagraph"/>
        <w:numPr>
          <w:ilvl w:val="0"/>
          <w:numId w:val="32"/>
        </w:numPr>
        <w:spacing w:after="0" w:line="240" w:lineRule="auto"/>
        <w:ind w:left="284" w:hanging="284"/>
        <w:jc w:val="both"/>
        <w:rPr>
          <w:rFonts w:ascii="Arial" w:hAnsi="Arial" w:cs="Arial"/>
          <w:sz w:val="20"/>
          <w:szCs w:val="20"/>
          <w:highlight w:val="yellow"/>
        </w:rPr>
      </w:pPr>
      <w:r w:rsidRPr="00844A2E">
        <w:rPr>
          <w:rFonts w:ascii="Arial" w:hAnsi="Arial" w:cs="Arial"/>
          <w:sz w:val="20"/>
          <w:szCs w:val="20"/>
          <w:highlight w:val="yellow"/>
        </w:rPr>
        <w:t xml:space="preserve">Anthony, R., Brenyah, R. C., Darkwah, K. O., Egbule, B. C., Ninnoni, J. P. K., Okantey, C., &amp; Ephraim, R. K. D. Hepatitis B Infection in People Living with HIV/AIDS; A Retrospective Study of the Effia Nkwanta Regional Hospital. Journal of Advances in Medicine and Medical Research, 2019; 29(8), 1–9. </w:t>
      </w:r>
      <w:hyperlink r:id="rId20" w:history="1">
        <w:r w:rsidR="00527E0E" w:rsidRPr="00696D50">
          <w:rPr>
            <w:rStyle w:val="Hyperlink"/>
            <w:rFonts w:ascii="Arial" w:hAnsi="Arial" w:cs="Arial"/>
            <w:sz w:val="20"/>
            <w:szCs w:val="20"/>
            <w:highlight w:val="yellow"/>
          </w:rPr>
          <w:t>https://doi.org/10.9734/jammr/2019/v29i830108</w:t>
        </w:r>
      </w:hyperlink>
      <w:r w:rsidR="00527E0E">
        <w:rPr>
          <w:rFonts w:ascii="Arial" w:hAnsi="Arial" w:cs="Arial"/>
          <w:sz w:val="20"/>
          <w:szCs w:val="20"/>
          <w:highlight w:val="yellow"/>
        </w:rPr>
        <w:t>.</w:t>
      </w:r>
    </w:p>
    <w:p w14:paraId="33BE0F9A" w14:textId="008F2B4D" w:rsidR="00527E0E" w:rsidRDefault="00527E0E" w:rsidP="009F6D26">
      <w:pPr>
        <w:pStyle w:val="ListParagraph"/>
        <w:numPr>
          <w:ilvl w:val="0"/>
          <w:numId w:val="32"/>
        </w:numPr>
        <w:spacing w:after="0" w:line="240" w:lineRule="auto"/>
        <w:ind w:left="284" w:hanging="284"/>
        <w:jc w:val="both"/>
        <w:rPr>
          <w:rFonts w:ascii="Arial" w:hAnsi="Arial" w:cs="Arial"/>
          <w:sz w:val="20"/>
          <w:szCs w:val="20"/>
          <w:highlight w:val="yellow"/>
        </w:rPr>
      </w:pPr>
      <w:r w:rsidRPr="005E0864">
        <w:rPr>
          <w:rFonts w:ascii="Arial" w:hAnsi="Arial" w:cs="Arial"/>
          <w:sz w:val="20"/>
          <w:szCs w:val="20"/>
          <w:highlight w:val="yellow"/>
        </w:rPr>
        <w:t xml:space="preserve">Inglesby TV, Rai R, Astemborski J, et al. A prospective community-based evaluation of </w:t>
      </w:r>
      <w:r w:rsidRPr="005E0864">
        <w:rPr>
          <w:rFonts w:ascii="Arial" w:hAnsi="Arial" w:cs="Arial"/>
          <w:sz w:val="20"/>
          <w:szCs w:val="20"/>
          <w:highlight w:val="yellow"/>
        </w:rPr>
        <w:tab/>
        <w:t xml:space="preserve">liver </w:t>
      </w:r>
      <w:r w:rsidRPr="005E0864">
        <w:rPr>
          <w:rFonts w:ascii="Arial" w:hAnsi="Arial" w:cs="Arial"/>
          <w:sz w:val="20"/>
          <w:szCs w:val="20"/>
          <w:highlight w:val="yellow"/>
        </w:rPr>
        <w:tab/>
        <w:t xml:space="preserve">enzymes in individuals with hepatitis C after drug use. Hepatology, </w:t>
      </w:r>
      <w:r w:rsidR="00170957">
        <w:rPr>
          <w:rFonts w:ascii="Arial" w:hAnsi="Arial" w:cs="Arial"/>
          <w:sz w:val="20"/>
          <w:szCs w:val="20"/>
          <w:highlight w:val="yellow"/>
        </w:rPr>
        <w:t>201</w:t>
      </w:r>
      <w:r w:rsidRPr="005E0864">
        <w:rPr>
          <w:rFonts w:ascii="Arial" w:hAnsi="Arial" w:cs="Arial"/>
          <w:sz w:val="20"/>
          <w:szCs w:val="20"/>
          <w:highlight w:val="yellow"/>
        </w:rPr>
        <w:t>9; 29: 590–6.</w:t>
      </w:r>
    </w:p>
    <w:p w14:paraId="2D073165" w14:textId="10455041" w:rsidR="0067181D" w:rsidRPr="00ED3C0A" w:rsidRDefault="0067181D" w:rsidP="009F6D26">
      <w:pPr>
        <w:pStyle w:val="ListParagraph"/>
        <w:numPr>
          <w:ilvl w:val="0"/>
          <w:numId w:val="32"/>
        </w:numPr>
        <w:spacing w:after="0" w:line="240" w:lineRule="auto"/>
        <w:ind w:left="284" w:hanging="284"/>
        <w:jc w:val="both"/>
        <w:rPr>
          <w:rFonts w:ascii="Arial" w:hAnsi="Arial" w:cs="Arial"/>
          <w:sz w:val="20"/>
          <w:szCs w:val="20"/>
          <w:highlight w:val="yellow"/>
        </w:rPr>
      </w:pPr>
      <w:r w:rsidRPr="00ED3C0A">
        <w:rPr>
          <w:rFonts w:ascii="Arial" w:hAnsi="Arial" w:cs="Arial"/>
          <w:sz w:val="20"/>
          <w:szCs w:val="20"/>
          <w:highlight w:val="yellow"/>
        </w:rPr>
        <w:t xml:space="preserve">Mathurin P, Moussalli J, Cadranel J-F, </w:t>
      </w:r>
      <w:r w:rsidR="00ED3C0A" w:rsidRPr="00ED3C0A">
        <w:rPr>
          <w:rFonts w:ascii="Arial" w:hAnsi="Arial" w:cs="Arial"/>
          <w:sz w:val="20"/>
          <w:szCs w:val="20"/>
          <w:highlight w:val="yellow"/>
        </w:rPr>
        <w:t xml:space="preserve">et al. </w:t>
      </w:r>
      <w:r w:rsidRPr="00ED3C0A">
        <w:rPr>
          <w:rFonts w:ascii="Arial" w:hAnsi="Arial" w:cs="Arial"/>
          <w:sz w:val="20"/>
          <w:szCs w:val="20"/>
          <w:highlight w:val="yellow"/>
        </w:rPr>
        <w:t xml:space="preserve">Slow progression rate of fibrosis in </w:t>
      </w:r>
      <w:r w:rsidRPr="00ED3C0A">
        <w:rPr>
          <w:rFonts w:ascii="Arial" w:hAnsi="Arial" w:cs="Arial"/>
          <w:sz w:val="20"/>
          <w:szCs w:val="20"/>
          <w:highlight w:val="yellow"/>
        </w:rPr>
        <w:tab/>
        <w:t xml:space="preserve">hepatitis </w:t>
      </w:r>
      <w:r w:rsidRPr="00ED3C0A">
        <w:rPr>
          <w:rFonts w:ascii="Arial" w:hAnsi="Arial" w:cs="Arial"/>
          <w:sz w:val="20"/>
          <w:szCs w:val="20"/>
          <w:highlight w:val="yellow"/>
        </w:rPr>
        <w:tab/>
        <w:t xml:space="preserve">C patients </w:t>
      </w:r>
      <w:r w:rsidRPr="00ED3C0A">
        <w:rPr>
          <w:rFonts w:ascii="Arial" w:hAnsi="Arial" w:cs="Arial"/>
          <w:sz w:val="20"/>
          <w:szCs w:val="20"/>
          <w:highlight w:val="yellow"/>
        </w:rPr>
        <w:tab/>
        <w:t xml:space="preserve">with persistently normal alanine aminotransferase activity. </w:t>
      </w:r>
      <w:r w:rsidRPr="00ED3C0A">
        <w:rPr>
          <w:rFonts w:ascii="Arial" w:hAnsi="Arial" w:cs="Arial"/>
          <w:sz w:val="20"/>
          <w:szCs w:val="20"/>
          <w:highlight w:val="yellow"/>
        </w:rPr>
        <w:tab/>
      </w:r>
      <w:r w:rsidRPr="00ED3C0A">
        <w:rPr>
          <w:rFonts w:ascii="Arial" w:hAnsi="Arial" w:cs="Arial"/>
          <w:sz w:val="20"/>
          <w:szCs w:val="20"/>
          <w:highlight w:val="yellow"/>
        </w:rPr>
        <w:tab/>
        <w:t>Hepatology</w:t>
      </w:r>
      <w:r w:rsidR="00ED3C0A" w:rsidRPr="00ED3C0A">
        <w:rPr>
          <w:rFonts w:ascii="Arial" w:hAnsi="Arial" w:cs="Arial"/>
          <w:sz w:val="20"/>
          <w:szCs w:val="20"/>
          <w:highlight w:val="yellow"/>
        </w:rPr>
        <w:t xml:space="preserve">, </w:t>
      </w:r>
      <w:r w:rsidR="00170957">
        <w:rPr>
          <w:rFonts w:ascii="Arial" w:hAnsi="Arial" w:cs="Arial"/>
          <w:sz w:val="20"/>
          <w:szCs w:val="20"/>
          <w:highlight w:val="yellow"/>
        </w:rPr>
        <w:t>201</w:t>
      </w:r>
      <w:r w:rsidR="00ED3C0A" w:rsidRPr="00ED3C0A">
        <w:rPr>
          <w:rFonts w:ascii="Arial" w:hAnsi="Arial" w:cs="Arial"/>
          <w:sz w:val="20"/>
          <w:szCs w:val="20"/>
          <w:highlight w:val="yellow"/>
        </w:rPr>
        <w:t>8</w:t>
      </w:r>
      <w:r w:rsidRPr="00ED3C0A">
        <w:rPr>
          <w:rFonts w:ascii="Arial" w:hAnsi="Arial" w:cs="Arial"/>
          <w:sz w:val="20"/>
          <w:szCs w:val="20"/>
          <w:highlight w:val="yellow"/>
        </w:rPr>
        <w:t>;</w:t>
      </w:r>
      <w:r w:rsidR="00ED3C0A" w:rsidRPr="00ED3C0A">
        <w:rPr>
          <w:rFonts w:ascii="Arial" w:hAnsi="Arial" w:cs="Arial"/>
          <w:sz w:val="20"/>
          <w:szCs w:val="20"/>
          <w:highlight w:val="yellow"/>
        </w:rPr>
        <w:t xml:space="preserve"> </w:t>
      </w:r>
      <w:r w:rsidRPr="00ED3C0A">
        <w:rPr>
          <w:rFonts w:ascii="Arial" w:hAnsi="Arial" w:cs="Arial"/>
          <w:sz w:val="20"/>
          <w:szCs w:val="20"/>
          <w:highlight w:val="yellow"/>
        </w:rPr>
        <w:t>27:</w:t>
      </w:r>
      <w:r w:rsidR="00ED3C0A" w:rsidRPr="00ED3C0A">
        <w:rPr>
          <w:rFonts w:ascii="Arial" w:hAnsi="Arial" w:cs="Arial"/>
          <w:sz w:val="20"/>
          <w:szCs w:val="20"/>
          <w:highlight w:val="yellow"/>
        </w:rPr>
        <w:t xml:space="preserve"> </w:t>
      </w:r>
      <w:r w:rsidRPr="00ED3C0A">
        <w:rPr>
          <w:rFonts w:ascii="Arial" w:hAnsi="Arial" w:cs="Arial"/>
          <w:sz w:val="20"/>
          <w:szCs w:val="20"/>
          <w:highlight w:val="yellow"/>
        </w:rPr>
        <w:t>568–72.</w:t>
      </w:r>
    </w:p>
    <w:p w14:paraId="5105BE05" w14:textId="77777777" w:rsidR="00AB5CD2" w:rsidRPr="009F6D26" w:rsidRDefault="00AB5CD2" w:rsidP="009F6D26">
      <w:pPr>
        <w:ind w:left="284" w:hanging="284"/>
        <w:jc w:val="both"/>
        <w:rPr>
          <w:rFonts w:ascii="Arial" w:hAnsi="Arial" w:cs="Arial"/>
        </w:rPr>
      </w:pPr>
    </w:p>
    <w:p w14:paraId="0C09CBF1" w14:textId="77777777" w:rsidR="00AB5CD2" w:rsidRPr="0059599A" w:rsidRDefault="00AB5CD2" w:rsidP="006E3429">
      <w:pPr>
        <w:ind w:left="142" w:hanging="142"/>
        <w:jc w:val="both"/>
        <w:rPr>
          <w:rFonts w:ascii="Arial" w:hAnsi="Arial" w:cs="Arial"/>
        </w:rPr>
      </w:pPr>
    </w:p>
    <w:p w14:paraId="2D775EFD" w14:textId="77777777" w:rsidR="006E3429" w:rsidRPr="0059599A" w:rsidRDefault="006E3429" w:rsidP="006E3429">
      <w:pPr>
        <w:ind w:left="142" w:hanging="142"/>
        <w:jc w:val="both"/>
        <w:rPr>
          <w:rFonts w:ascii="Arial" w:hAnsi="Arial" w:cs="Arial"/>
        </w:rPr>
      </w:pPr>
    </w:p>
    <w:p w14:paraId="6F14A7D8" w14:textId="29420A08" w:rsidR="004D4277" w:rsidRPr="00FB3A86" w:rsidRDefault="004D4277" w:rsidP="00441B6F">
      <w:pPr>
        <w:pStyle w:val="Appendix"/>
        <w:spacing w:after="0"/>
        <w:jc w:val="both"/>
        <w:rPr>
          <w:rFonts w:ascii="Arial" w:hAnsi="Arial" w:cs="Arial"/>
          <w:b w:val="0"/>
        </w:rPr>
        <w:sectPr w:rsidR="004D4277" w:rsidRPr="00FB3A86" w:rsidSect="00E56D3A">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0677FFDC" w14:textId="77777777" w:rsidR="00B01FCD" w:rsidRPr="00FB3A86" w:rsidRDefault="00B01FCD" w:rsidP="00441B6F">
      <w:pPr>
        <w:pStyle w:val="Appendix"/>
        <w:spacing w:after="0"/>
        <w:jc w:val="both"/>
        <w:rPr>
          <w:rFonts w:ascii="Arial" w:hAnsi="Arial" w:cs="Arial"/>
          <w:b w:val="0"/>
        </w:rPr>
      </w:pPr>
    </w:p>
    <w:sectPr w:rsidR="00B01FCD" w:rsidRPr="00FB3A86" w:rsidSect="00E56D3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336A" w14:textId="77777777" w:rsidR="001B716E" w:rsidRDefault="001B716E" w:rsidP="00C37E61">
      <w:r>
        <w:separator/>
      </w:r>
    </w:p>
  </w:endnote>
  <w:endnote w:type="continuationSeparator" w:id="0">
    <w:p w14:paraId="5D910DE4" w14:textId="77777777" w:rsidR="001B716E" w:rsidRDefault="001B716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83FB" w14:textId="77777777" w:rsidR="009A263F" w:rsidRDefault="009A2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A821A" w14:textId="77777777" w:rsidR="009A263F" w:rsidRDefault="009A2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55C2" w14:textId="77777777" w:rsidR="009E048A" w:rsidRDefault="009E048A">
    <w:pPr>
      <w:pStyle w:val="Footer"/>
      <w:rPr>
        <w:rFonts w:ascii="Arial" w:hAnsi="Arial" w:cs="Arial"/>
        <w:sz w:val="16"/>
      </w:rPr>
    </w:pPr>
  </w:p>
  <w:p w14:paraId="6C3CB92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09830E2" w14:textId="77777777" w:rsidR="009E048A" w:rsidRDefault="009E048A">
    <w:pPr>
      <w:pStyle w:val="Footer"/>
      <w:rPr>
        <w:rFonts w:ascii="Arial" w:hAnsi="Arial" w:cs="Arial"/>
        <w:sz w:val="16"/>
      </w:rPr>
    </w:pPr>
  </w:p>
  <w:p w14:paraId="199849F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220423"/>
    </w:sdtPr>
    <w:sdtContent>
      <w:p w14:paraId="089D5704" w14:textId="76AF57C0" w:rsidR="00C0344C" w:rsidRDefault="00C0344C">
        <w:pPr>
          <w:pStyle w:val="Footer"/>
          <w:jc w:val="center"/>
        </w:pPr>
        <w:r>
          <w:fldChar w:fldCharType="begin"/>
        </w:r>
        <w:r>
          <w:instrText xml:space="preserve"> PAGE   \* MERGEFORMAT </w:instrText>
        </w:r>
        <w:r>
          <w:fldChar w:fldCharType="separate"/>
        </w:r>
        <w:r w:rsidR="00D93577">
          <w:rPr>
            <w:noProof/>
          </w:rPr>
          <w:t>5</w:t>
        </w:r>
        <w:r>
          <w:rPr>
            <w:noProof/>
          </w:rPr>
          <w:fldChar w:fldCharType="end"/>
        </w:r>
      </w:p>
    </w:sdtContent>
  </w:sdt>
  <w:p w14:paraId="171FDBCB" w14:textId="77777777" w:rsidR="00C0344C" w:rsidRDefault="00C034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05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6D22" w14:textId="77777777" w:rsidR="001B716E" w:rsidRDefault="001B716E" w:rsidP="00C37E61">
      <w:r>
        <w:separator/>
      </w:r>
    </w:p>
  </w:footnote>
  <w:footnote w:type="continuationSeparator" w:id="0">
    <w:p w14:paraId="2D158215" w14:textId="77777777" w:rsidR="001B716E" w:rsidRDefault="001B716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8DE5" w14:textId="078EA951" w:rsidR="009A263F" w:rsidRDefault="00000000">
    <w:pPr>
      <w:pStyle w:val="Header"/>
    </w:pPr>
    <w:r>
      <w:rPr>
        <w:noProof/>
      </w:rPr>
      <w:pict w14:anchorId="37711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38A4B" w14:textId="14B43FFF" w:rsidR="009A263F" w:rsidRDefault="00000000">
    <w:pPr>
      <w:pStyle w:val="Header"/>
    </w:pPr>
    <w:r>
      <w:rPr>
        <w:noProof/>
      </w:rPr>
      <w:pict w14:anchorId="3BDC7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5E9C" w14:textId="2E690D8B" w:rsidR="00296529" w:rsidRPr="00296529" w:rsidRDefault="00000000" w:rsidP="00296529">
    <w:pPr>
      <w:ind w:left="2160"/>
      <w:jc w:val="center"/>
      <w:rPr>
        <w:rFonts w:ascii="Times New Roman" w:eastAsia="Calibri" w:hAnsi="Times New Roman"/>
        <w:i/>
        <w:sz w:val="18"/>
        <w:szCs w:val="22"/>
      </w:rPr>
    </w:pPr>
    <w:r>
      <w:rPr>
        <w:noProof/>
      </w:rPr>
      <w:pict w14:anchorId="48D4F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0"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903F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EB2BC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FB48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198D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82A6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5F4C2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61EE2" w14:textId="381EA5C6" w:rsidR="009A263F" w:rsidRDefault="00000000">
    <w:pPr>
      <w:pStyle w:val="Header"/>
    </w:pPr>
    <w:r>
      <w:rPr>
        <w:noProof/>
      </w:rPr>
      <w:pict w14:anchorId="7E1CF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4"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B2A8" w14:textId="7028AE43" w:rsidR="009A263F" w:rsidRDefault="00000000">
    <w:pPr>
      <w:pStyle w:val="Header"/>
    </w:pPr>
    <w:r>
      <w:rPr>
        <w:noProof/>
      </w:rPr>
      <w:pict w14:anchorId="18578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5"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6935" w14:textId="73C0BB97" w:rsidR="009A263F" w:rsidRDefault="00000000">
    <w:pPr>
      <w:pStyle w:val="Header"/>
    </w:pPr>
    <w:r>
      <w:rPr>
        <w:noProof/>
      </w:rPr>
      <w:pict w14:anchorId="3002B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3"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D7C77" w14:textId="0384CEF6" w:rsidR="009A263F" w:rsidRDefault="00000000">
    <w:pPr>
      <w:pStyle w:val="Header"/>
    </w:pPr>
    <w:r>
      <w:rPr>
        <w:noProof/>
      </w:rPr>
      <w:pict w14:anchorId="32DDD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7" o:spid="_x0000_s1032" type="#_x0000_t136" style="position:absolute;margin-left:0;margin-top:0;width:593.85pt;height:65.9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B5801" w14:textId="122B76F5" w:rsidR="009A263F" w:rsidRDefault="00000000">
    <w:pPr>
      <w:pStyle w:val="Header"/>
    </w:pPr>
    <w:r>
      <w:rPr>
        <w:noProof/>
      </w:rPr>
      <w:pict w14:anchorId="411D0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8" o:spid="_x0000_s1033" type="#_x0000_t136" style="position:absolute;margin-left:0;margin-top:0;width:593.85pt;height:65.9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7EB0" w14:textId="7EC1F8FC" w:rsidR="009A263F" w:rsidRDefault="00000000">
    <w:pPr>
      <w:pStyle w:val="Header"/>
    </w:pPr>
    <w:r>
      <w:rPr>
        <w:noProof/>
      </w:rPr>
      <w:pict w14:anchorId="0719A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6" o:spid="_x0000_s1031" type="#_x0000_t136" style="position:absolute;margin-left:0;margin-top:0;width:593.85pt;height:65.9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D1107B0"/>
    <w:multiLevelType w:val="hybridMultilevel"/>
    <w:tmpl w:val="F0CAF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2B57D30"/>
    <w:multiLevelType w:val="hybridMultilevel"/>
    <w:tmpl w:val="F5AC6D0A"/>
    <w:lvl w:ilvl="0" w:tplc="0809000F">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302820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37758275">
    <w:abstractNumId w:val="16"/>
  </w:num>
  <w:num w:numId="3" w16cid:durableId="919414055">
    <w:abstractNumId w:val="25"/>
  </w:num>
  <w:num w:numId="4" w16cid:durableId="149240529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89265075">
    <w:abstractNumId w:val="7"/>
  </w:num>
  <w:num w:numId="6" w16cid:durableId="1835954674">
    <w:abstractNumId w:val="6"/>
  </w:num>
  <w:num w:numId="7" w16cid:durableId="1613055291">
    <w:abstractNumId w:val="1"/>
  </w:num>
  <w:num w:numId="8" w16cid:durableId="1843931292">
    <w:abstractNumId w:val="12"/>
  </w:num>
  <w:num w:numId="9" w16cid:durableId="485627998">
    <w:abstractNumId w:val="27"/>
  </w:num>
  <w:num w:numId="10" w16cid:durableId="596325016">
    <w:abstractNumId w:val="2"/>
  </w:num>
  <w:num w:numId="11" w16cid:durableId="695740732">
    <w:abstractNumId w:val="20"/>
  </w:num>
  <w:num w:numId="12" w16cid:durableId="1985966594">
    <w:abstractNumId w:val="3"/>
  </w:num>
  <w:num w:numId="13" w16cid:durableId="278074527">
    <w:abstractNumId w:val="18"/>
  </w:num>
  <w:num w:numId="14" w16cid:durableId="310641542">
    <w:abstractNumId w:val="8"/>
  </w:num>
  <w:num w:numId="15" w16cid:durableId="899511847">
    <w:abstractNumId w:val="23"/>
  </w:num>
  <w:num w:numId="16" w16cid:durableId="1628925137">
    <w:abstractNumId w:val="5"/>
  </w:num>
  <w:num w:numId="17" w16cid:durableId="692802639">
    <w:abstractNumId w:val="24"/>
  </w:num>
  <w:num w:numId="18" w16cid:durableId="1023479393">
    <w:abstractNumId w:val="14"/>
  </w:num>
  <w:num w:numId="19" w16cid:durableId="1386370314">
    <w:abstractNumId w:val="30"/>
  </w:num>
  <w:num w:numId="20" w16cid:durableId="1933079402">
    <w:abstractNumId w:val="11"/>
  </w:num>
  <w:num w:numId="21" w16cid:durableId="1057053214">
    <w:abstractNumId w:val="9"/>
  </w:num>
  <w:num w:numId="22" w16cid:durableId="2054385038">
    <w:abstractNumId w:val="13"/>
  </w:num>
  <w:num w:numId="23" w16cid:durableId="1089699269">
    <w:abstractNumId w:val="21"/>
  </w:num>
  <w:num w:numId="24" w16cid:durableId="1625691111">
    <w:abstractNumId w:val="28"/>
  </w:num>
  <w:num w:numId="25" w16cid:durableId="1336348013">
    <w:abstractNumId w:val="4"/>
  </w:num>
  <w:num w:numId="26" w16cid:durableId="2015180313">
    <w:abstractNumId w:val="17"/>
  </w:num>
  <w:num w:numId="27" w16cid:durableId="984509783">
    <w:abstractNumId w:val="22"/>
  </w:num>
  <w:num w:numId="28" w16cid:durableId="1788700288">
    <w:abstractNumId w:val="29"/>
  </w:num>
  <w:num w:numId="29" w16cid:durableId="1738747279">
    <w:abstractNumId w:val="26"/>
  </w:num>
  <w:num w:numId="30" w16cid:durableId="1434740402">
    <w:abstractNumId w:val="10"/>
  </w:num>
  <w:num w:numId="31" w16cid:durableId="360712854">
    <w:abstractNumId w:val="15"/>
  </w:num>
  <w:num w:numId="32" w16cid:durableId="948345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1A3C"/>
    <w:rsid w:val="00026EE6"/>
    <w:rsid w:val="00030174"/>
    <w:rsid w:val="0004579C"/>
    <w:rsid w:val="000717A2"/>
    <w:rsid w:val="000A1D01"/>
    <w:rsid w:val="000A47FA"/>
    <w:rsid w:val="000A65D3"/>
    <w:rsid w:val="000B1E33"/>
    <w:rsid w:val="000D689F"/>
    <w:rsid w:val="000E7B7B"/>
    <w:rsid w:val="000E7D62"/>
    <w:rsid w:val="00103357"/>
    <w:rsid w:val="00123C9F"/>
    <w:rsid w:val="00126190"/>
    <w:rsid w:val="00130F17"/>
    <w:rsid w:val="001320BF"/>
    <w:rsid w:val="00162CBA"/>
    <w:rsid w:val="00163BC4"/>
    <w:rsid w:val="00170957"/>
    <w:rsid w:val="00175078"/>
    <w:rsid w:val="00190571"/>
    <w:rsid w:val="00191062"/>
    <w:rsid w:val="00192B72"/>
    <w:rsid w:val="001A29D8"/>
    <w:rsid w:val="001A2BD3"/>
    <w:rsid w:val="001A5CAA"/>
    <w:rsid w:val="001B0427"/>
    <w:rsid w:val="001B716E"/>
    <w:rsid w:val="001D3A51"/>
    <w:rsid w:val="001D72FB"/>
    <w:rsid w:val="001D7C54"/>
    <w:rsid w:val="001E10D2"/>
    <w:rsid w:val="001E1F73"/>
    <w:rsid w:val="001E25B4"/>
    <w:rsid w:val="001E44FE"/>
    <w:rsid w:val="001F0407"/>
    <w:rsid w:val="00200595"/>
    <w:rsid w:val="00202261"/>
    <w:rsid w:val="00204835"/>
    <w:rsid w:val="0021360A"/>
    <w:rsid w:val="00231920"/>
    <w:rsid w:val="0023195C"/>
    <w:rsid w:val="0024282C"/>
    <w:rsid w:val="002460DC"/>
    <w:rsid w:val="00250985"/>
    <w:rsid w:val="002556F6"/>
    <w:rsid w:val="0025713E"/>
    <w:rsid w:val="00283105"/>
    <w:rsid w:val="00284C4C"/>
    <w:rsid w:val="00296529"/>
    <w:rsid w:val="002A1CF6"/>
    <w:rsid w:val="002B27FB"/>
    <w:rsid w:val="002B685A"/>
    <w:rsid w:val="002C57D2"/>
    <w:rsid w:val="002D2997"/>
    <w:rsid w:val="002D4E07"/>
    <w:rsid w:val="002E0D56"/>
    <w:rsid w:val="00315186"/>
    <w:rsid w:val="00326330"/>
    <w:rsid w:val="0033343E"/>
    <w:rsid w:val="003512C2"/>
    <w:rsid w:val="00371FB6"/>
    <w:rsid w:val="003763C1"/>
    <w:rsid w:val="00376BBE"/>
    <w:rsid w:val="003826A2"/>
    <w:rsid w:val="003842DE"/>
    <w:rsid w:val="0039224F"/>
    <w:rsid w:val="00392429"/>
    <w:rsid w:val="00395507"/>
    <w:rsid w:val="003A3E85"/>
    <w:rsid w:val="003A43A4"/>
    <w:rsid w:val="003A7E18"/>
    <w:rsid w:val="003B08EF"/>
    <w:rsid w:val="003C4C86"/>
    <w:rsid w:val="003C6258"/>
    <w:rsid w:val="003E2904"/>
    <w:rsid w:val="003F7D05"/>
    <w:rsid w:val="00401927"/>
    <w:rsid w:val="00401964"/>
    <w:rsid w:val="0041027F"/>
    <w:rsid w:val="00412475"/>
    <w:rsid w:val="004132CB"/>
    <w:rsid w:val="00416978"/>
    <w:rsid w:val="00423789"/>
    <w:rsid w:val="00440F43"/>
    <w:rsid w:val="00441B6F"/>
    <w:rsid w:val="00444966"/>
    <w:rsid w:val="00446221"/>
    <w:rsid w:val="0045009E"/>
    <w:rsid w:val="00450A09"/>
    <w:rsid w:val="00450E62"/>
    <w:rsid w:val="004539DB"/>
    <w:rsid w:val="00471A80"/>
    <w:rsid w:val="00483372"/>
    <w:rsid w:val="004A609A"/>
    <w:rsid w:val="004D0904"/>
    <w:rsid w:val="004D305E"/>
    <w:rsid w:val="004D4277"/>
    <w:rsid w:val="004D58A3"/>
    <w:rsid w:val="004E135B"/>
    <w:rsid w:val="004F3A3B"/>
    <w:rsid w:val="00502516"/>
    <w:rsid w:val="00505F06"/>
    <w:rsid w:val="00506828"/>
    <w:rsid w:val="00514145"/>
    <w:rsid w:val="00527E0E"/>
    <w:rsid w:val="0053056E"/>
    <w:rsid w:val="00554FDA"/>
    <w:rsid w:val="00574925"/>
    <w:rsid w:val="005936A5"/>
    <w:rsid w:val="00597704"/>
    <w:rsid w:val="005A0FBC"/>
    <w:rsid w:val="005C784C"/>
    <w:rsid w:val="005D17F6"/>
    <w:rsid w:val="005D2656"/>
    <w:rsid w:val="005E0864"/>
    <w:rsid w:val="005E5539"/>
    <w:rsid w:val="00602BF5"/>
    <w:rsid w:val="00617FDD"/>
    <w:rsid w:val="006214A8"/>
    <w:rsid w:val="00633614"/>
    <w:rsid w:val="00633F68"/>
    <w:rsid w:val="00636A48"/>
    <w:rsid w:val="00636EB2"/>
    <w:rsid w:val="006375B8"/>
    <w:rsid w:val="0066510A"/>
    <w:rsid w:val="0067181D"/>
    <w:rsid w:val="00673F9F"/>
    <w:rsid w:val="00686953"/>
    <w:rsid w:val="00687306"/>
    <w:rsid w:val="00687DEA"/>
    <w:rsid w:val="00687E67"/>
    <w:rsid w:val="006967F7"/>
    <w:rsid w:val="006A250C"/>
    <w:rsid w:val="006B21D3"/>
    <w:rsid w:val="006B57D0"/>
    <w:rsid w:val="006D30FF"/>
    <w:rsid w:val="006D6940"/>
    <w:rsid w:val="006E0FDE"/>
    <w:rsid w:val="006E3429"/>
    <w:rsid w:val="006F11EC"/>
    <w:rsid w:val="0070082C"/>
    <w:rsid w:val="00700BAB"/>
    <w:rsid w:val="007238EA"/>
    <w:rsid w:val="007369E6"/>
    <w:rsid w:val="00746E59"/>
    <w:rsid w:val="00750CF2"/>
    <w:rsid w:val="00754C9A"/>
    <w:rsid w:val="0075599A"/>
    <w:rsid w:val="00761D52"/>
    <w:rsid w:val="0077749E"/>
    <w:rsid w:val="00790ADA"/>
    <w:rsid w:val="007A4940"/>
    <w:rsid w:val="007D2288"/>
    <w:rsid w:val="007E088F"/>
    <w:rsid w:val="007F7B32"/>
    <w:rsid w:val="00804BC2"/>
    <w:rsid w:val="0081431A"/>
    <w:rsid w:val="008178FF"/>
    <w:rsid w:val="00823530"/>
    <w:rsid w:val="008245EF"/>
    <w:rsid w:val="0083216F"/>
    <w:rsid w:val="00844A2E"/>
    <w:rsid w:val="00860000"/>
    <w:rsid w:val="00863BD3"/>
    <w:rsid w:val="008648E6"/>
    <w:rsid w:val="00866340"/>
    <w:rsid w:val="00866D66"/>
    <w:rsid w:val="00866F95"/>
    <w:rsid w:val="008671C6"/>
    <w:rsid w:val="00875803"/>
    <w:rsid w:val="0089050B"/>
    <w:rsid w:val="008920F9"/>
    <w:rsid w:val="008924A7"/>
    <w:rsid w:val="008B459E"/>
    <w:rsid w:val="008C37B4"/>
    <w:rsid w:val="008D1E92"/>
    <w:rsid w:val="008D6124"/>
    <w:rsid w:val="008E13AE"/>
    <w:rsid w:val="008E1506"/>
    <w:rsid w:val="008E5837"/>
    <w:rsid w:val="008E710C"/>
    <w:rsid w:val="008F69D6"/>
    <w:rsid w:val="00902823"/>
    <w:rsid w:val="00903C4F"/>
    <w:rsid w:val="00915CA6"/>
    <w:rsid w:val="00927834"/>
    <w:rsid w:val="00927C9F"/>
    <w:rsid w:val="0093427A"/>
    <w:rsid w:val="009435DB"/>
    <w:rsid w:val="009500A6"/>
    <w:rsid w:val="00957C18"/>
    <w:rsid w:val="009651A1"/>
    <w:rsid w:val="009659BA"/>
    <w:rsid w:val="00975E5A"/>
    <w:rsid w:val="00983040"/>
    <w:rsid w:val="009A263F"/>
    <w:rsid w:val="009A6EF9"/>
    <w:rsid w:val="009B3FB9"/>
    <w:rsid w:val="009B6A5B"/>
    <w:rsid w:val="009C0ABA"/>
    <w:rsid w:val="009C0F84"/>
    <w:rsid w:val="009C2465"/>
    <w:rsid w:val="009D35A0"/>
    <w:rsid w:val="009D7EB7"/>
    <w:rsid w:val="009E048A"/>
    <w:rsid w:val="009E08E9"/>
    <w:rsid w:val="009E3DB9"/>
    <w:rsid w:val="009E465E"/>
    <w:rsid w:val="009E6E35"/>
    <w:rsid w:val="009F0EDA"/>
    <w:rsid w:val="009F6D26"/>
    <w:rsid w:val="00A03B96"/>
    <w:rsid w:val="00A05B19"/>
    <w:rsid w:val="00A1134E"/>
    <w:rsid w:val="00A12C32"/>
    <w:rsid w:val="00A24E7E"/>
    <w:rsid w:val="00A258C3"/>
    <w:rsid w:val="00A258DC"/>
    <w:rsid w:val="00A27A8B"/>
    <w:rsid w:val="00A347C0"/>
    <w:rsid w:val="00A35EA8"/>
    <w:rsid w:val="00A458B7"/>
    <w:rsid w:val="00A51431"/>
    <w:rsid w:val="00A539AD"/>
    <w:rsid w:val="00A56B75"/>
    <w:rsid w:val="00A60AA0"/>
    <w:rsid w:val="00A80B95"/>
    <w:rsid w:val="00A94022"/>
    <w:rsid w:val="00A94063"/>
    <w:rsid w:val="00A95D03"/>
    <w:rsid w:val="00AA2EFB"/>
    <w:rsid w:val="00AA6219"/>
    <w:rsid w:val="00AA74E0"/>
    <w:rsid w:val="00AB5CD2"/>
    <w:rsid w:val="00AB703F"/>
    <w:rsid w:val="00AC6BB8"/>
    <w:rsid w:val="00AD3135"/>
    <w:rsid w:val="00AD7A21"/>
    <w:rsid w:val="00AE008F"/>
    <w:rsid w:val="00AE4D79"/>
    <w:rsid w:val="00AE53E9"/>
    <w:rsid w:val="00B01FCD"/>
    <w:rsid w:val="00B109AF"/>
    <w:rsid w:val="00B16C04"/>
    <w:rsid w:val="00B1776C"/>
    <w:rsid w:val="00B23DEE"/>
    <w:rsid w:val="00B42CC6"/>
    <w:rsid w:val="00B46955"/>
    <w:rsid w:val="00B52896"/>
    <w:rsid w:val="00B65871"/>
    <w:rsid w:val="00B71485"/>
    <w:rsid w:val="00B83779"/>
    <w:rsid w:val="00B855C6"/>
    <w:rsid w:val="00B911A2"/>
    <w:rsid w:val="00B95236"/>
    <w:rsid w:val="00B960B5"/>
    <w:rsid w:val="00B96BD9"/>
    <w:rsid w:val="00BA1B01"/>
    <w:rsid w:val="00BA2641"/>
    <w:rsid w:val="00BB37AA"/>
    <w:rsid w:val="00BC17D5"/>
    <w:rsid w:val="00BC53A0"/>
    <w:rsid w:val="00BD28FB"/>
    <w:rsid w:val="00BE300A"/>
    <w:rsid w:val="00BE62AD"/>
    <w:rsid w:val="00BF121F"/>
    <w:rsid w:val="00BF1F80"/>
    <w:rsid w:val="00BF77A6"/>
    <w:rsid w:val="00C0344C"/>
    <w:rsid w:val="00C166EF"/>
    <w:rsid w:val="00C17531"/>
    <w:rsid w:val="00C17EB0"/>
    <w:rsid w:val="00C27F5F"/>
    <w:rsid w:val="00C30A0F"/>
    <w:rsid w:val="00C33A98"/>
    <w:rsid w:val="00C37E61"/>
    <w:rsid w:val="00C63EE8"/>
    <w:rsid w:val="00C70F1B"/>
    <w:rsid w:val="00C71A47"/>
    <w:rsid w:val="00C7464C"/>
    <w:rsid w:val="00C85588"/>
    <w:rsid w:val="00C91A9F"/>
    <w:rsid w:val="00CC7C42"/>
    <w:rsid w:val="00CD6755"/>
    <w:rsid w:val="00CD6856"/>
    <w:rsid w:val="00CD6BFA"/>
    <w:rsid w:val="00CE0089"/>
    <w:rsid w:val="00CE4902"/>
    <w:rsid w:val="00CE793C"/>
    <w:rsid w:val="00D06515"/>
    <w:rsid w:val="00D173F1"/>
    <w:rsid w:val="00D56D16"/>
    <w:rsid w:val="00D66371"/>
    <w:rsid w:val="00D8295D"/>
    <w:rsid w:val="00D93577"/>
    <w:rsid w:val="00DC2A65"/>
    <w:rsid w:val="00DE15F0"/>
    <w:rsid w:val="00DE5663"/>
    <w:rsid w:val="00DE78AA"/>
    <w:rsid w:val="00DF10E2"/>
    <w:rsid w:val="00E053D0"/>
    <w:rsid w:val="00E15994"/>
    <w:rsid w:val="00E3114E"/>
    <w:rsid w:val="00E31A70"/>
    <w:rsid w:val="00E33B15"/>
    <w:rsid w:val="00E35B02"/>
    <w:rsid w:val="00E56D3A"/>
    <w:rsid w:val="00E66496"/>
    <w:rsid w:val="00E66B35"/>
    <w:rsid w:val="00E66E10"/>
    <w:rsid w:val="00E769F6"/>
    <w:rsid w:val="00E8407C"/>
    <w:rsid w:val="00E84F3C"/>
    <w:rsid w:val="00E932CB"/>
    <w:rsid w:val="00E96BF3"/>
    <w:rsid w:val="00EA012C"/>
    <w:rsid w:val="00EC6A6C"/>
    <w:rsid w:val="00EC7DB7"/>
    <w:rsid w:val="00ED0288"/>
    <w:rsid w:val="00ED3C0A"/>
    <w:rsid w:val="00EE52CB"/>
    <w:rsid w:val="00EF105E"/>
    <w:rsid w:val="00EF581D"/>
    <w:rsid w:val="00EF5982"/>
    <w:rsid w:val="00EF7FD8"/>
    <w:rsid w:val="00F06816"/>
    <w:rsid w:val="00F06F59"/>
    <w:rsid w:val="00F12A30"/>
    <w:rsid w:val="00F17988"/>
    <w:rsid w:val="00F23927"/>
    <w:rsid w:val="00F469F0"/>
    <w:rsid w:val="00F53273"/>
    <w:rsid w:val="00F73926"/>
    <w:rsid w:val="00F755E4"/>
    <w:rsid w:val="00F77D02"/>
    <w:rsid w:val="00F97673"/>
    <w:rsid w:val="00FB3A86"/>
    <w:rsid w:val="00FC7D61"/>
    <w:rsid w:val="00FD36C8"/>
    <w:rsid w:val="00FE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BC43E"/>
  <w15:docId w15:val="{F71FF34A-2883-C544-A802-F6109A71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qFormat/>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FooterChar">
    <w:name w:val="Footer Char"/>
    <w:basedOn w:val="DefaultParagraphFont"/>
    <w:link w:val="Footer"/>
    <w:uiPriority w:val="99"/>
    <w:qFormat/>
    <w:rsid w:val="00C0344C"/>
    <w:rPr>
      <w:rFonts w:ascii="Helvetica" w:hAnsi="Helvetica"/>
    </w:rPr>
  </w:style>
  <w:style w:type="table" w:customStyle="1" w:styleId="LightShading1">
    <w:name w:val="Light Shading1"/>
    <w:basedOn w:val="TableNormal"/>
    <w:uiPriority w:val="60"/>
    <w:qFormat/>
    <w:rsid w:val="00C0344C"/>
    <w:rPr>
      <w:rFonts w:asciiTheme="minorHAnsi" w:eastAsiaTheme="minorHAnsi" w:hAnsiTheme="minorHAnsi" w:cstheme="minorBidi"/>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semiHidden/>
    <w:unhideWhenUsed/>
    <w:rsid w:val="009C0ABA"/>
    <w:rPr>
      <w:rFonts w:ascii="Helvetica" w:hAnsi="Helvetica"/>
      <w:b/>
      <w:bCs/>
      <w:lang w:val="en-US" w:eastAsia="en-US"/>
    </w:rPr>
  </w:style>
  <w:style w:type="character" w:customStyle="1" w:styleId="CommentSubjectChar">
    <w:name w:val="Comment Subject Char"/>
    <w:basedOn w:val="CommentTextChar"/>
    <w:link w:val="CommentSubject"/>
    <w:semiHidden/>
    <w:rsid w:val="009C0ABA"/>
    <w:rPr>
      <w:rFonts w:ascii="Helvetica" w:hAnsi="Helvetica"/>
      <w:b/>
      <w:bCs/>
      <w:lang w:val="nb-NO" w:eastAsia="nb-NO"/>
    </w:rPr>
  </w:style>
  <w:style w:type="paragraph" w:styleId="ListParagraph">
    <w:name w:val="List Paragraph"/>
    <w:basedOn w:val="Normal"/>
    <w:uiPriority w:val="34"/>
    <w:qFormat/>
    <w:rsid w:val="00AB5CD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527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86/s12879-022-0752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9734/jammr/2019/v29i8301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d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BFB8-61C4-4ADF-B0BC-E78BEA52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TotalTime>
  <Pages>11</Pages>
  <Words>4937</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33018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20</cp:revision>
  <cp:lastPrinted>1999-07-06T11:00:00Z</cp:lastPrinted>
  <dcterms:created xsi:type="dcterms:W3CDTF">2025-08-02T08:18:00Z</dcterms:created>
  <dcterms:modified xsi:type="dcterms:W3CDTF">2025-08-04T07:10:00Z</dcterms:modified>
</cp:coreProperties>
</file>