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49D4A" w14:textId="77777777" w:rsidR="00A47EC6" w:rsidRDefault="00A47EC6" w:rsidP="00A47EC6">
      <w:pPr>
        <w:pStyle w:val="Titre"/>
        <w:spacing w:after="0"/>
        <w:jc w:val="both"/>
        <w:rPr>
          <w:rFonts w:ascii="Arial" w:hAnsi="Arial" w:cs="Arial"/>
        </w:rPr>
      </w:pPr>
    </w:p>
    <w:p w14:paraId="390313F3" w14:textId="15EF8EC7" w:rsidR="00A47EC6" w:rsidRPr="00C16261" w:rsidRDefault="00EF5759" w:rsidP="00A47EC6">
      <w:pPr>
        <w:pStyle w:val="Author"/>
        <w:spacing w:line="240" w:lineRule="auto"/>
        <w:jc w:val="both"/>
        <w:rPr>
          <w:bCs/>
          <w:spacing w:val="-2"/>
        </w:rPr>
      </w:pPr>
      <w:r w:rsidRPr="00C16261">
        <w:rPr>
          <w:bCs/>
        </w:rPr>
        <w:t>Profile</w:t>
      </w:r>
      <w:r w:rsidRPr="00C16261">
        <w:rPr>
          <w:bCs/>
          <w:spacing w:val="59"/>
        </w:rPr>
        <w:t xml:space="preserve"> </w:t>
      </w:r>
      <w:r w:rsidRPr="00C16261">
        <w:rPr>
          <w:bCs/>
        </w:rPr>
        <w:t>of</w:t>
      </w:r>
      <w:r w:rsidRPr="00C16261">
        <w:rPr>
          <w:bCs/>
          <w:spacing w:val="59"/>
        </w:rPr>
        <w:t xml:space="preserve"> </w:t>
      </w:r>
      <w:r w:rsidRPr="00C16261">
        <w:rPr>
          <w:bCs/>
          <w:i/>
        </w:rPr>
        <w:t>pfcrt,</w:t>
      </w:r>
      <w:r w:rsidRPr="00C16261">
        <w:rPr>
          <w:bCs/>
          <w:i/>
          <w:spacing w:val="60"/>
        </w:rPr>
        <w:t xml:space="preserve"> </w:t>
      </w:r>
      <w:r w:rsidRPr="00C16261">
        <w:rPr>
          <w:bCs/>
          <w:i/>
        </w:rPr>
        <w:t>pfmdr-1</w:t>
      </w:r>
      <w:r w:rsidRPr="00C16261">
        <w:rPr>
          <w:bCs/>
          <w:i/>
          <w:spacing w:val="59"/>
        </w:rPr>
        <w:t xml:space="preserve"> </w:t>
      </w:r>
      <w:r w:rsidRPr="00C16261">
        <w:rPr>
          <w:bCs/>
          <w:i/>
        </w:rPr>
        <w:t>and</w:t>
      </w:r>
      <w:r w:rsidRPr="00C16261">
        <w:rPr>
          <w:bCs/>
          <w:i/>
          <w:spacing w:val="59"/>
        </w:rPr>
        <w:t xml:space="preserve"> </w:t>
      </w:r>
      <w:r w:rsidRPr="00C16261">
        <w:rPr>
          <w:bCs/>
          <w:i/>
        </w:rPr>
        <w:t>K13</w:t>
      </w:r>
      <w:r w:rsidRPr="00C16261">
        <w:rPr>
          <w:bCs/>
          <w:i/>
          <w:spacing w:val="59"/>
        </w:rPr>
        <w:t xml:space="preserve"> </w:t>
      </w:r>
      <w:r w:rsidRPr="00C16261">
        <w:rPr>
          <w:bCs/>
          <w:i/>
        </w:rPr>
        <w:t>Propeller</w:t>
      </w:r>
      <w:r w:rsidRPr="00C16261">
        <w:rPr>
          <w:bCs/>
          <w:i/>
          <w:spacing w:val="60"/>
        </w:rPr>
        <w:t xml:space="preserve"> </w:t>
      </w:r>
      <w:r w:rsidRPr="00C16261">
        <w:rPr>
          <w:bCs/>
        </w:rPr>
        <w:t>genes</w:t>
      </w:r>
      <w:r w:rsidRPr="00C16261">
        <w:rPr>
          <w:bCs/>
          <w:spacing w:val="59"/>
        </w:rPr>
        <w:t xml:space="preserve"> </w:t>
      </w:r>
      <w:r w:rsidR="00584A1B">
        <w:rPr>
          <w:bCs/>
        </w:rPr>
        <w:t>of</w:t>
      </w:r>
      <w:r w:rsidRPr="00C16261">
        <w:rPr>
          <w:bCs/>
          <w:spacing w:val="59"/>
        </w:rPr>
        <w:t xml:space="preserve"> </w:t>
      </w:r>
      <w:r w:rsidRPr="00C16261">
        <w:rPr>
          <w:bCs/>
          <w:i/>
        </w:rPr>
        <w:t>Plasmodium</w:t>
      </w:r>
      <w:r w:rsidRPr="00C16261">
        <w:rPr>
          <w:bCs/>
          <w:i/>
          <w:spacing w:val="61"/>
        </w:rPr>
        <w:t xml:space="preserve"> </w:t>
      </w:r>
      <w:r w:rsidRPr="00C16261">
        <w:rPr>
          <w:bCs/>
          <w:i/>
          <w:spacing w:val="-2"/>
        </w:rPr>
        <w:t xml:space="preserve">falciparum </w:t>
      </w:r>
      <w:r w:rsidRPr="00C16261">
        <w:rPr>
          <w:bCs/>
        </w:rPr>
        <w:t>isolates</w:t>
      </w:r>
      <w:r w:rsidRPr="00C16261">
        <w:rPr>
          <w:bCs/>
          <w:spacing w:val="-6"/>
        </w:rPr>
        <w:t xml:space="preserve"> </w:t>
      </w:r>
      <w:r w:rsidRPr="00C16261">
        <w:rPr>
          <w:bCs/>
        </w:rPr>
        <w:t>from</w:t>
      </w:r>
      <w:r w:rsidRPr="00C16261">
        <w:rPr>
          <w:bCs/>
          <w:spacing w:val="-3"/>
        </w:rPr>
        <w:t xml:space="preserve"> </w:t>
      </w:r>
      <w:r w:rsidRPr="00C16261">
        <w:rPr>
          <w:bCs/>
        </w:rPr>
        <w:t>Bouaflé,</w:t>
      </w:r>
      <w:r w:rsidRPr="00C16261">
        <w:rPr>
          <w:bCs/>
          <w:spacing w:val="-2"/>
        </w:rPr>
        <w:t xml:space="preserve"> </w:t>
      </w:r>
      <w:r w:rsidRPr="00C16261">
        <w:rPr>
          <w:bCs/>
        </w:rPr>
        <w:t>Bondoukou</w:t>
      </w:r>
      <w:r w:rsidRPr="00C16261">
        <w:rPr>
          <w:bCs/>
          <w:spacing w:val="-4"/>
        </w:rPr>
        <w:t xml:space="preserve"> </w:t>
      </w:r>
      <w:r w:rsidRPr="00C16261">
        <w:rPr>
          <w:bCs/>
        </w:rPr>
        <w:t>and</w:t>
      </w:r>
      <w:r w:rsidRPr="00C16261">
        <w:rPr>
          <w:bCs/>
          <w:spacing w:val="-2"/>
        </w:rPr>
        <w:t xml:space="preserve"> </w:t>
      </w:r>
      <w:r w:rsidRPr="00C16261">
        <w:rPr>
          <w:bCs/>
        </w:rPr>
        <w:t>Séguéla,</w:t>
      </w:r>
      <w:r w:rsidRPr="00C16261">
        <w:rPr>
          <w:bCs/>
          <w:spacing w:val="-3"/>
        </w:rPr>
        <w:t xml:space="preserve"> </w:t>
      </w:r>
      <w:r w:rsidRPr="00C16261">
        <w:rPr>
          <w:bCs/>
        </w:rPr>
        <w:t>Côte</w:t>
      </w:r>
      <w:r w:rsidRPr="00C16261">
        <w:rPr>
          <w:bCs/>
          <w:spacing w:val="-3"/>
        </w:rPr>
        <w:t xml:space="preserve"> </w:t>
      </w:r>
      <w:r w:rsidRPr="00C16261">
        <w:rPr>
          <w:bCs/>
          <w:spacing w:val="-2"/>
        </w:rPr>
        <w:t>d'Ivoire</w:t>
      </w:r>
    </w:p>
    <w:p w14:paraId="462112B1" w14:textId="77777777" w:rsidR="00EF5759" w:rsidRPr="00790ADA" w:rsidRDefault="00EF5759" w:rsidP="00A47EC6">
      <w:pPr>
        <w:pStyle w:val="Author"/>
        <w:spacing w:line="240" w:lineRule="auto"/>
        <w:jc w:val="both"/>
        <w:rPr>
          <w:rFonts w:ascii="Arial" w:hAnsi="Arial" w:cs="Arial"/>
          <w:sz w:val="36"/>
        </w:rPr>
      </w:pPr>
    </w:p>
    <w:p w14:paraId="2C06D3EE" w14:textId="77777777" w:rsidR="009008D3" w:rsidRPr="009008D3" w:rsidRDefault="009008D3" w:rsidP="009008D3">
      <w:pPr>
        <w:pStyle w:val="AbstHead"/>
        <w:spacing w:after="0"/>
        <w:ind w:left="4956" w:firstLine="708"/>
        <w:jc w:val="both"/>
        <w:rPr>
          <w:rFonts w:ascii="Arial" w:hAnsi="Arial" w:cs="Arial"/>
          <w:sz w:val="16"/>
          <w:szCs w:val="14"/>
        </w:rPr>
      </w:pPr>
    </w:p>
    <w:p w14:paraId="42000BB5" w14:textId="35E4FAD6" w:rsidR="004A457A" w:rsidRPr="00FB3A86" w:rsidRDefault="009008D3" w:rsidP="00A47EC6">
      <w:pPr>
        <w:pStyle w:val="AbstHead"/>
        <w:spacing w:after="0"/>
        <w:jc w:val="both"/>
        <w:rPr>
          <w:rFonts w:ascii="Arial" w:hAnsi="Arial" w:cs="Arial"/>
        </w:rPr>
      </w:pPr>
      <w:r>
        <w:rPr>
          <w:rFonts w:ascii="Arial" w:hAnsi="Arial" w:cs="Arial"/>
        </w:rPr>
        <w:t>abstract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7"/>
      </w:tblGrid>
      <w:tr w:rsidR="00A47EC6" w:rsidRPr="001E44FE" w14:paraId="788C2A53" w14:textId="77777777" w:rsidTr="009008D3">
        <w:tc>
          <w:tcPr>
            <w:tcW w:w="9067" w:type="dxa"/>
            <w:shd w:val="clear" w:color="auto" w:fill="F2F2F2"/>
          </w:tcPr>
          <w:p w14:paraId="07A7C911" w14:textId="77777777" w:rsidR="00A47EC6" w:rsidRPr="00EF5759" w:rsidRDefault="00A47EC6" w:rsidP="0066634B">
            <w:pPr>
              <w:pStyle w:val="Body"/>
              <w:spacing w:after="0"/>
              <w:rPr>
                <w:rFonts w:ascii="Arial" w:eastAsia="Calibri" w:hAnsi="Arial" w:cs="Arial"/>
                <w:b/>
                <w:sz w:val="22"/>
                <w:szCs w:val="22"/>
              </w:rPr>
            </w:pPr>
          </w:p>
          <w:p w14:paraId="4AD9410E" w14:textId="77777777" w:rsidR="00EF5759" w:rsidRPr="00EF5759" w:rsidRDefault="00EF5759" w:rsidP="00EF5759">
            <w:pPr>
              <w:spacing w:before="112" w:line="360" w:lineRule="auto"/>
              <w:ind w:right="1266"/>
              <w:jc w:val="both"/>
              <w:rPr>
                <w:rFonts w:ascii="Arial" w:hAnsi="Arial" w:cs="Arial"/>
                <w:sz w:val="22"/>
                <w:szCs w:val="22"/>
              </w:rPr>
            </w:pPr>
            <w:r w:rsidRPr="00EF5759">
              <w:rPr>
                <w:rFonts w:ascii="Arial" w:hAnsi="Arial" w:cs="Arial"/>
                <w:b/>
                <w:sz w:val="22"/>
                <w:szCs w:val="22"/>
              </w:rPr>
              <w:t>Background</w:t>
            </w:r>
            <w:r w:rsidRPr="00EF5759">
              <w:rPr>
                <w:rFonts w:ascii="Arial" w:hAnsi="Arial" w:cs="Arial"/>
                <w:sz w:val="22"/>
                <w:szCs w:val="22"/>
              </w:rPr>
              <w:t xml:space="preserve">: With the aim of eliminating malaria, it is necessary to therapeutic efficacy and genetic markers of antimalarial drug resistance in order to ensure treatment efficacy. In this context, this study analyzed the polymorphism variability of the </w:t>
            </w:r>
            <w:r w:rsidRPr="00EF5759">
              <w:rPr>
                <w:rFonts w:ascii="Arial" w:hAnsi="Arial" w:cs="Arial"/>
                <w:i/>
                <w:sz w:val="22"/>
                <w:szCs w:val="22"/>
              </w:rPr>
              <w:t>pfcrt</w:t>
            </w:r>
            <w:r w:rsidRPr="00EF5759">
              <w:rPr>
                <w:rFonts w:ascii="Arial" w:hAnsi="Arial" w:cs="Arial"/>
                <w:sz w:val="22"/>
                <w:szCs w:val="22"/>
              </w:rPr>
              <w:t xml:space="preserve">, </w:t>
            </w:r>
            <w:r w:rsidRPr="00EF5759">
              <w:rPr>
                <w:rFonts w:ascii="Arial" w:hAnsi="Arial" w:cs="Arial"/>
                <w:i/>
                <w:sz w:val="22"/>
                <w:szCs w:val="22"/>
              </w:rPr>
              <w:t xml:space="preserve">pfmdr-1 </w:t>
            </w:r>
            <w:r w:rsidRPr="00EF5759">
              <w:rPr>
                <w:rFonts w:ascii="Arial" w:hAnsi="Arial" w:cs="Arial"/>
                <w:sz w:val="22"/>
                <w:szCs w:val="22"/>
              </w:rPr>
              <w:t xml:space="preserve">and K13 </w:t>
            </w:r>
            <w:r w:rsidRPr="00EF5759">
              <w:rPr>
                <w:rFonts w:ascii="Arial" w:hAnsi="Arial" w:cs="Arial"/>
                <w:i/>
                <w:sz w:val="22"/>
                <w:szCs w:val="22"/>
              </w:rPr>
              <w:t xml:space="preserve">propeller </w:t>
            </w:r>
            <w:r w:rsidRPr="00EF5759">
              <w:rPr>
                <w:rFonts w:ascii="Arial" w:hAnsi="Arial" w:cs="Arial"/>
                <w:sz w:val="22"/>
                <w:szCs w:val="22"/>
              </w:rPr>
              <w:t>genes in three health regions, Bouaflé, Bondoukou and Séguéla.</w:t>
            </w:r>
          </w:p>
          <w:p w14:paraId="0BA1928D" w14:textId="77777777" w:rsidR="00EF5759" w:rsidRPr="00EF5759" w:rsidRDefault="00EF5759" w:rsidP="00EF5759">
            <w:pPr>
              <w:spacing w:line="360" w:lineRule="auto"/>
              <w:ind w:right="1264"/>
              <w:jc w:val="both"/>
              <w:rPr>
                <w:rFonts w:ascii="Arial" w:hAnsi="Arial" w:cs="Arial"/>
                <w:sz w:val="22"/>
                <w:szCs w:val="22"/>
              </w:rPr>
            </w:pPr>
            <w:r w:rsidRPr="00EF5759">
              <w:rPr>
                <w:rFonts w:ascii="Arial" w:hAnsi="Arial" w:cs="Arial"/>
                <w:b/>
                <w:sz w:val="22"/>
                <w:szCs w:val="22"/>
              </w:rPr>
              <w:t>Method</w:t>
            </w:r>
            <w:r w:rsidRPr="00EF5759">
              <w:rPr>
                <w:rFonts w:ascii="Arial" w:hAnsi="Arial" w:cs="Arial"/>
                <w:sz w:val="22"/>
                <w:szCs w:val="22"/>
              </w:rPr>
              <w:t xml:space="preserve">: A total of 292 </w:t>
            </w:r>
            <w:proofErr w:type="gramStart"/>
            <w:r w:rsidRPr="00EF5759">
              <w:rPr>
                <w:rFonts w:ascii="Arial" w:hAnsi="Arial" w:cs="Arial"/>
                <w:i/>
                <w:sz w:val="22"/>
                <w:szCs w:val="22"/>
              </w:rPr>
              <w:t>P.falciparum</w:t>
            </w:r>
            <w:proofErr w:type="gramEnd"/>
            <w:r w:rsidRPr="00EF5759">
              <w:rPr>
                <w:rFonts w:ascii="Arial" w:hAnsi="Arial" w:cs="Arial"/>
                <w:i/>
                <w:sz w:val="22"/>
                <w:szCs w:val="22"/>
              </w:rPr>
              <w:t xml:space="preserve">-infected </w:t>
            </w:r>
            <w:r w:rsidRPr="00EF5759">
              <w:rPr>
                <w:rFonts w:ascii="Arial" w:hAnsi="Arial" w:cs="Arial"/>
                <w:sz w:val="22"/>
                <w:szCs w:val="22"/>
              </w:rPr>
              <w:t xml:space="preserve">blood samples were collected from patients coming for consultation during the period May - November 2019. Demographic information and blood samples were collected. </w:t>
            </w:r>
            <w:proofErr w:type="gramStart"/>
            <w:r w:rsidRPr="00EF5759">
              <w:rPr>
                <w:rFonts w:ascii="Arial" w:hAnsi="Arial" w:cs="Arial"/>
                <w:i/>
                <w:sz w:val="22"/>
                <w:szCs w:val="22"/>
              </w:rPr>
              <w:t>P.falciparum</w:t>
            </w:r>
            <w:proofErr w:type="gramEnd"/>
            <w:r w:rsidRPr="00EF5759">
              <w:rPr>
                <w:rFonts w:ascii="Arial" w:hAnsi="Arial" w:cs="Arial"/>
                <w:i/>
                <w:sz w:val="22"/>
                <w:szCs w:val="22"/>
              </w:rPr>
              <w:t xml:space="preserve"> </w:t>
            </w:r>
            <w:r w:rsidRPr="00EF5759">
              <w:rPr>
                <w:rFonts w:ascii="Arial" w:hAnsi="Arial" w:cs="Arial"/>
                <w:sz w:val="22"/>
                <w:szCs w:val="22"/>
              </w:rPr>
              <w:t xml:space="preserve">genomic DNA was extracted from blood samples and polymorphisms of </w:t>
            </w:r>
            <w:r w:rsidRPr="00EF5759">
              <w:rPr>
                <w:rFonts w:ascii="Arial" w:hAnsi="Arial" w:cs="Arial"/>
                <w:i/>
                <w:sz w:val="22"/>
                <w:szCs w:val="22"/>
              </w:rPr>
              <w:t>pfcrt</w:t>
            </w:r>
            <w:r w:rsidRPr="00EF5759">
              <w:rPr>
                <w:rFonts w:ascii="Arial" w:hAnsi="Arial" w:cs="Arial"/>
                <w:sz w:val="22"/>
                <w:szCs w:val="22"/>
              </w:rPr>
              <w:t xml:space="preserve">, </w:t>
            </w:r>
            <w:r w:rsidRPr="00EF5759">
              <w:rPr>
                <w:rFonts w:ascii="Arial" w:hAnsi="Arial" w:cs="Arial"/>
                <w:i/>
                <w:sz w:val="22"/>
                <w:szCs w:val="22"/>
              </w:rPr>
              <w:t>pfmdr-1</w:t>
            </w:r>
            <w:r w:rsidRPr="00EF5759">
              <w:rPr>
                <w:rFonts w:ascii="Arial" w:hAnsi="Arial" w:cs="Arial"/>
                <w:sz w:val="22"/>
                <w:szCs w:val="22"/>
              </w:rPr>
              <w:t xml:space="preserve">, and </w:t>
            </w:r>
            <w:r w:rsidRPr="00EF5759">
              <w:rPr>
                <w:rFonts w:ascii="Arial" w:hAnsi="Arial" w:cs="Arial"/>
                <w:i/>
                <w:sz w:val="22"/>
                <w:szCs w:val="22"/>
              </w:rPr>
              <w:t xml:space="preserve">K13-propeller </w:t>
            </w:r>
            <w:r w:rsidRPr="00EF5759">
              <w:rPr>
                <w:rFonts w:ascii="Arial" w:hAnsi="Arial" w:cs="Arial"/>
                <w:sz w:val="22"/>
                <w:szCs w:val="22"/>
              </w:rPr>
              <w:t>were amplified by nested PCR followed by sequencing. Data were analyzed using Word</w:t>
            </w:r>
            <w:r w:rsidRPr="00EF5759">
              <w:rPr>
                <w:rFonts w:ascii="Arial" w:hAnsi="Arial" w:cs="Arial"/>
                <w:spacing w:val="40"/>
                <w:sz w:val="22"/>
                <w:szCs w:val="22"/>
              </w:rPr>
              <w:t xml:space="preserve"> </w:t>
            </w:r>
            <w:r w:rsidRPr="00EF5759">
              <w:rPr>
                <w:rFonts w:ascii="Arial" w:hAnsi="Arial" w:cs="Arial"/>
                <w:sz w:val="22"/>
                <w:szCs w:val="22"/>
              </w:rPr>
              <w:t xml:space="preserve">Excel version 2016 and </w:t>
            </w:r>
            <w:proofErr w:type="spellStart"/>
            <w:r w:rsidRPr="00EF5759">
              <w:rPr>
                <w:rFonts w:ascii="Arial" w:hAnsi="Arial" w:cs="Arial"/>
                <w:sz w:val="22"/>
                <w:szCs w:val="22"/>
              </w:rPr>
              <w:t>BioEdit</w:t>
            </w:r>
            <w:proofErr w:type="spellEnd"/>
            <w:r w:rsidRPr="00EF5759">
              <w:rPr>
                <w:rFonts w:ascii="Arial" w:hAnsi="Arial" w:cs="Arial"/>
                <w:sz w:val="22"/>
                <w:szCs w:val="22"/>
              </w:rPr>
              <w:t xml:space="preserve"> version 2012 software.</w:t>
            </w:r>
          </w:p>
          <w:p w14:paraId="507FE43E" w14:textId="77777777" w:rsidR="00EF5759" w:rsidRPr="00EF5759" w:rsidRDefault="00EF5759" w:rsidP="00EF5759">
            <w:pPr>
              <w:spacing w:before="1" w:line="360" w:lineRule="auto"/>
              <w:ind w:right="1260"/>
              <w:jc w:val="both"/>
              <w:rPr>
                <w:rFonts w:ascii="Arial" w:hAnsi="Arial" w:cs="Arial"/>
                <w:sz w:val="22"/>
                <w:szCs w:val="22"/>
              </w:rPr>
            </w:pPr>
            <w:r w:rsidRPr="00EF5759">
              <w:rPr>
                <w:rFonts w:ascii="Arial" w:hAnsi="Arial" w:cs="Arial"/>
                <w:b/>
                <w:sz w:val="22"/>
                <w:szCs w:val="22"/>
              </w:rPr>
              <w:t>Results</w:t>
            </w:r>
            <w:r w:rsidRPr="00EF5759">
              <w:rPr>
                <w:rFonts w:ascii="Arial" w:hAnsi="Arial" w:cs="Arial"/>
                <w:sz w:val="22"/>
                <w:szCs w:val="22"/>
              </w:rPr>
              <w:t xml:space="preserve">: Analysis of the </w:t>
            </w:r>
            <w:r w:rsidRPr="00EF5759">
              <w:rPr>
                <w:rFonts w:ascii="Arial" w:hAnsi="Arial" w:cs="Arial"/>
                <w:i/>
                <w:sz w:val="22"/>
                <w:szCs w:val="22"/>
              </w:rPr>
              <w:t xml:space="preserve">pfcrt </w:t>
            </w:r>
            <w:r w:rsidRPr="00EF5759">
              <w:rPr>
                <w:rFonts w:ascii="Arial" w:hAnsi="Arial" w:cs="Arial"/>
                <w:sz w:val="22"/>
                <w:szCs w:val="22"/>
              </w:rPr>
              <w:t xml:space="preserve">gene in Bouaflé showed a prevalence of 66.66% for the wild-type CVMNK haplotype, compared with 33.33% for the CVIET, CVMET, CVMDT, CVMEK and CVMDK mutants. These results were statistically identical to those obtained in Bondoukou and Séguéla (p&gt;0.05). Analysis of the pfmdr-1 </w:t>
            </w:r>
            <w:r w:rsidRPr="00EF5759">
              <w:rPr>
                <w:rFonts w:ascii="Arial" w:hAnsi="Arial" w:cs="Arial"/>
                <w:position w:val="-1"/>
                <w:sz w:val="22"/>
                <w:szCs w:val="22"/>
              </w:rPr>
              <w:t xml:space="preserve">gene yielded </w:t>
            </w:r>
            <w:r w:rsidRPr="00EF5759">
              <w:rPr>
                <w:rFonts w:ascii="Arial" w:hAnsi="Arial" w:cs="Arial"/>
                <w:sz w:val="22"/>
                <w:szCs w:val="22"/>
              </w:rPr>
              <w:t xml:space="preserve">the wild-type haplotype </w:t>
            </w:r>
            <w:r w:rsidRPr="00EF5759">
              <w:rPr>
                <w:rFonts w:ascii="Arial" w:hAnsi="Arial" w:cs="Arial"/>
                <w:sz w:val="22"/>
                <w:szCs w:val="22"/>
                <w:vertAlign w:val="subscript"/>
              </w:rPr>
              <w:t>N86Y184</w:t>
            </w:r>
            <w:r w:rsidRPr="00EF5759">
              <w:rPr>
                <w:rFonts w:ascii="Arial" w:hAnsi="Arial" w:cs="Arial"/>
                <w:sz w:val="22"/>
                <w:szCs w:val="22"/>
              </w:rPr>
              <w:t xml:space="preserve"> with frequencies of 45.45%, 48.15% and 27.78% in Bouaflé, </w:t>
            </w:r>
            <w:r w:rsidRPr="00EF5759">
              <w:rPr>
                <w:rFonts w:ascii="Arial" w:hAnsi="Arial" w:cs="Arial"/>
                <w:position w:val="2"/>
                <w:sz w:val="22"/>
                <w:szCs w:val="22"/>
              </w:rPr>
              <w:t xml:space="preserve">Bondoukou and Séguéla </w:t>
            </w:r>
            <w:r w:rsidRPr="00EF5759">
              <w:rPr>
                <w:rFonts w:ascii="Arial" w:hAnsi="Arial" w:cs="Arial"/>
                <w:sz w:val="22"/>
                <w:szCs w:val="22"/>
              </w:rPr>
              <w:t xml:space="preserve">respectively. The N86F184 mutant genotype was described in proportions of 27.27% in Bouaflé, 48.15% in Bondoukou and 58.33% in Séguéla. Y86F184 was observed at a prevalence of 9.1% in Bouaflé (n=1), compared with 3.70% in Bondoukou (n=1) and 11.11% in Séguéla (n=4). Concerning the K13 </w:t>
            </w:r>
            <w:r w:rsidRPr="00EF5759">
              <w:rPr>
                <w:rFonts w:ascii="Arial" w:hAnsi="Arial" w:cs="Arial"/>
                <w:i/>
                <w:sz w:val="22"/>
                <w:szCs w:val="22"/>
              </w:rPr>
              <w:t xml:space="preserve">propeller </w:t>
            </w:r>
            <w:r w:rsidRPr="00EF5759">
              <w:rPr>
                <w:rFonts w:ascii="Arial" w:hAnsi="Arial" w:cs="Arial"/>
                <w:sz w:val="22"/>
                <w:szCs w:val="22"/>
              </w:rPr>
              <w:t>gene, non-synonymous SNPs of type G674Y and S681F in Bouaflé and P443S and T685P in Bondoukou were reported.</w:t>
            </w:r>
          </w:p>
          <w:p w14:paraId="55640121" w14:textId="77777777" w:rsidR="00A47EC6" w:rsidRPr="00EF5759" w:rsidRDefault="00EF5759" w:rsidP="00EF5759">
            <w:pPr>
              <w:spacing w:line="360" w:lineRule="auto"/>
              <w:ind w:right="1263"/>
              <w:jc w:val="both"/>
            </w:pPr>
            <w:r w:rsidRPr="00EF5759">
              <w:rPr>
                <w:rFonts w:ascii="Arial" w:hAnsi="Arial" w:cs="Arial"/>
                <w:b/>
                <w:sz w:val="22"/>
                <w:szCs w:val="22"/>
              </w:rPr>
              <w:t>Conclusion</w:t>
            </w:r>
            <w:r w:rsidRPr="00EF5759">
              <w:rPr>
                <w:rFonts w:ascii="Arial" w:hAnsi="Arial" w:cs="Arial"/>
                <w:sz w:val="22"/>
                <w:szCs w:val="22"/>
              </w:rPr>
              <w:t xml:space="preserve">: This study revealed great genetic variability in antimalarial resistance markers from one site to another, and highlighted major haplotypes such as CVIET for </w:t>
            </w:r>
            <w:r w:rsidRPr="00EF5759">
              <w:rPr>
                <w:rFonts w:ascii="Arial" w:hAnsi="Arial" w:cs="Arial"/>
                <w:i/>
                <w:sz w:val="22"/>
                <w:szCs w:val="22"/>
              </w:rPr>
              <w:t xml:space="preserve">pfcrt, </w:t>
            </w:r>
            <w:r w:rsidRPr="00EF5759">
              <w:rPr>
                <w:rFonts w:ascii="Arial" w:hAnsi="Arial" w:cs="Arial"/>
                <w:sz w:val="22"/>
                <w:szCs w:val="22"/>
              </w:rPr>
              <w:t>N86F184 and Y86F184 for pfmdr-1, and non-synonymous</w:t>
            </w:r>
            <w:r w:rsidRPr="00EF5759">
              <w:rPr>
                <w:rFonts w:ascii="Arial" w:hAnsi="Arial" w:cs="Arial"/>
                <w:spacing w:val="-4"/>
                <w:sz w:val="22"/>
                <w:szCs w:val="22"/>
              </w:rPr>
              <w:t xml:space="preserve"> </w:t>
            </w:r>
            <w:r w:rsidRPr="00EF5759">
              <w:rPr>
                <w:rFonts w:ascii="Arial" w:hAnsi="Arial" w:cs="Arial"/>
                <w:sz w:val="22"/>
                <w:szCs w:val="22"/>
              </w:rPr>
              <w:t>candidate</w:t>
            </w:r>
            <w:r w:rsidRPr="00EF5759">
              <w:rPr>
                <w:rFonts w:ascii="Arial" w:hAnsi="Arial" w:cs="Arial"/>
                <w:spacing w:val="-4"/>
                <w:sz w:val="22"/>
                <w:szCs w:val="22"/>
              </w:rPr>
              <w:t xml:space="preserve"> </w:t>
            </w:r>
            <w:r w:rsidRPr="00EF5759">
              <w:rPr>
                <w:rFonts w:ascii="Arial" w:hAnsi="Arial" w:cs="Arial"/>
                <w:sz w:val="22"/>
                <w:szCs w:val="22"/>
              </w:rPr>
              <w:t>mutations</w:t>
            </w:r>
            <w:r w:rsidRPr="00EF5759">
              <w:rPr>
                <w:rFonts w:ascii="Arial" w:hAnsi="Arial" w:cs="Arial"/>
                <w:spacing w:val="-4"/>
                <w:sz w:val="22"/>
                <w:szCs w:val="22"/>
              </w:rPr>
              <w:t xml:space="preserve"> </w:t>
            </w:r>
            <w:r w:rsidRPr="00EF5759">
              <w:rPr>
                <w:rFonts w:ascii="Arial" w:hAnsi="Arial" w:cs="Arial"/>
                <w:sz w:val="22"/>
                <w:szCs w:val="22"/>
              </w:rPr>
              <w:t>for</w:t>
            </w:r>
            <w:r w:rsidRPr="00EF5759">
              <w:rPr>
                <w:rFonts w:ascii="Arial" w:hAnsi="Arial" w:cs="Arial"/>
                <w:spacing w:val="-4"/>
                <w:sz w:val="22"/>
                <w:szCs w:val="22"/>
              </w:rPr>
              <w:t xml:space="preserve"> </w:t>
            </w:r>
            <w:r w:rsidRPr="00EF5759">
              <w:rPr>
                <w:rFonts w:ascii="Arial" w:hAnsi="Arial" w:cs="Arial"/>
                <w:sz w:val="22"/>
                <w:szCs w:val="22"/>
              </w:rPr>
              <w:t>resistance</w:t>
            </w:r>
            <w:r w:rsidRPr="00EF5759">
              <w:rPr>
                <w:rFonts w:ascii="Arial" w:hAnsi="Arial" w:cs="Arial"/>
                <w:spacing w:val="-4"/>
                <w:sz w:val="22"/>
                <w:szCs w:val="22"/>
              </w:rPr>
              <w:t xml:space="preserve"> </w:t>
            </w:r>
            <w:r w:rsidRPr="00EF5759">
              <w:rPr>
                <w:rFonts w:ascii="Arial" w:hAnsi="Arial" w:cs="Arial"/>
                <w:sz w:val="22"/>
                <w:szCs w:val="22"/>
              </w:rPr>
              <w:t>such</w:t>
            </w:r>
            <w:r w:rsidRPr="00EF5759">
              <w:rPr>
                <w:rFonts w:ascii="Arial" w:hAnsi="Arial" w:cs="Arial"/>
                <w:spacing w:val="-4"/>
                <w:sz w:val="22"/>
                <w:szCs w:val="22"/>
              </w:rPr>
              <w:t xml:space="preserve"> </w:t>
            </w:r>
            <w:r w:rsidRPr="00EF5759">
              <w:rPr>
                <w:rFonts w:ascii="Arial" w:hAnsi="Arial" w:cs="Arial"/>
                <w:sz w:val="22"/>
                <w:szCs w:val="22"/>
              </w:rPr>
              <w:t>as</w:t>
            </w:r>
            <w:r w:rsidRPr="00EF5759">
              <w:rPr>
                <w:rFonts w:ascii="Arial" w:hAnsi="Arial" w:cs="Arial"/>
                <w:spacing w:val="-4"/>
                <w:sz w:val="22"/>
                <w:szCs w:val="22"/>
              </w:rPr>
              <w:t xml:space="preserve"> </w:t>
            </w:r>
            <w:r w:rsidRPr="00EF5759">
              <w:rPr>
                <w:rFonts w:ascii="Arial" w:hAnsi="Arial" w:cs="Arial"/>
                <w:sz w:val="22"/>
                <w:szCs w:val="22"/>
              </w:rPr>
              <w:t>A675D</w:t>
            </w:r>
            <w:r w:rsidRPr="00EF5759">
              <w:rPr>
                <w:rFonts w:ascii="Arial" w:hAnsi="Arial" w:cs="Arial"/>
                <w:spacing w:val="-4"/>
                <w:sz w:val="22"/>
                <w:szCs w:val="22"/>
              </w:rPr>
              <w:t xml:space="preserve"> </w:t>
            </w:r>
            <w:r w:rsidRPr="00EF5759">
              <w:rPr>
                <w:rFonts w:ascii="Arial" w:hAnsi="Arial" w:cs="Arial"/>
                <w:sz w:val="22"/>
                <w:szCs w:val="22"/>
              </w:rPr>
              <w:t>for</w:t>
            </w:r>
            <w:r w:rsidRPr="00EF5759">
              <w:rPr>
                <w:rFonts w:ascii="Arial" w:hAnsi="Arial" w:cs="Arial"/>
                <w:spacing w:val="-4"/>
                <w:sz w:val="22"/>
                <w:szCs w:val="22"/>
              </w:rPr>
              <w:t xml:space="preserve"> </w:t>
            </w:r>
            <w:r w:rsidRPr="00EF5759">
              <w:rPr>
                <w:rFonts w:ascii="Arial" w:hAnsi="Arial" w:cs="Arial"/>
                <w:sz w:val="22"/>
                <w:szCs w:val="22"/>
              </w:rPr>
              <w:t>K13</w:t>
            </w:r>
            <w:r w:rsidRPr="00EF5759">
              <w:rPr>
                <w:rFonts w:ascii="Arial" w:hAnsi="Arial" w:cs="Arial"/>
                <w:spacing w:val="-4"/>
                <w:sz w:val="22"/>
                <w:szCs w:val="22"/>
              </w:rPr>
              <w:t xml:space="preserve"> </w:t>
            </w:r>
            <w:r w:rsidRPr="00EF5759">
              <w:rPr>
                <w:rFonts w:ascii="Arial" w:hAnsi="Arial" w:cs="Arial"/>
                <w:i/>
                <w:sz w:val="22"/>
                <w:szCs w:val="22"/>
              </w:rPr>
              <w:t>propeller</w:t>
            </w:r>
            <w:r w:rsidRPr="00EF5759">
              <w:rPr>
                <w:rFonts w:ascii="Arial" w:hAnsi="Arial" w:cs="Arial"/>
                <w:sz w:val="22"/>
                <w:szCs w:val="22"/>
              </w:rPr>
              <w:t>.</w:t>
            </w:r>
            <w:r w:rsidRPr="00EF5759">
              <w:rPr>
                <w:rFonts w:ascii="Arial" w:hAnsi="Arial" w:cs="Arial"/>
                <w:spacing w:val="-4"/>
                <w:sz w:val="22"/>
                <w:szCs w:val="22"/>
              </w:rPr>
              <w:t xml:space="preserve"> </w:t>
            </w:r>
            <w:r w:rsidRPr="00EF5759">
              <w:rPr>
                <w:rFonts w:ascii="Arial" w:hAnsi="Arial" w:cs="Arial"/>
                <w:sz w:val="22"/>
                <w:szCs w:val="22"/>
              </w:rPr>
              <w:t>Consequently,</w:t>
            </w:r>
            <w:r w:rsidRPr="00EF5759">
              <w:rPr>
                <w:rFonts w:ascii="Arial" w:hAnsi="Arial" w:cs="Arial"/>
                <w:spacing w:val="-4"/>
                <w:sz w:val="22"/>
                <w:szCs w:val="22"/>
              </w:rPr>
              <w:t xml:space="preserve"> </w:t>
            </w:r>
            <w:r w:rsidRPr="00EF5759">
              <w:rPr>
                <w:rFonts w:ascii="Arial" w:hAnsi="Arial" w:cs="Arial"/>
                <w:sz w:val="22"/>
                <w:szCs w:val="22"/>
              </w:rPr>
              <w:t>monitoring of these markers must be stepped up to ensure the effectiveness of antimalarial treatments.</w:t>
            </w:r>
          </w:p>
        </w:tc>
      </w:tr>
    </w:tbl>
    <w:p w14:paraId="34409C1A" w14:textId="77777777" w:rsidR="00390295" w:rsidRDefault="00390295" w:rsidP="00390295">
      <w:pPr>
        <w:pStyle w:val="Body"/>
        <w:rPr>
          <w:rFonts w:ascii="Arial" w:hAnsi="Arial" w:cs="Arial"/>
          <w:bCs/>
        </w:rPr>
      </w:pPr>
    </w:p>
    <w:p w14:paraId="2DB1654B" w14:textId="629190A1" w:rsidR="00390295" w:rsidRPr="00390295" w:rsidRDefault="00390295" w:rsidP="00390295">
      <w:pPr>
        <w:pStyle w:val="Body"/>
        <w:rPr>
          <w:rFonts w:ascii="Arial" w:hAnsi="Arial" w:cs="Arial"/>
          <w:bCs/>
          <w:i/>
        </w:rPr>
      </w:pPr>
      <w:r w:rsidRPr="00390295">
        <w:rPr>
          <w:rFonts w:ascii="Arial" w:hAnsi="Arial" w:cs="Arial"/>
          <w:bCs/>
          <w:i/>
        </w:rPr>
        <w:lastRenderedPageBreak/>
        <w:t xml:space="preserve">keywords: </w:t>
      </w:r>
      <w:bookmarkStart w:id="0" w:name="_Hlk204265622"/>
      <w:r w:rsidRPr="00390295">
        <w:rPr>
          <w:rFonts w:ascii="Arial" w:hAnsi="Arial" w:cs="Arial"/>
          <w:bCs/>
          <w:i/>
        </w:rPr>
        <w:t>Malaria, pfcrt, pfmdr-1 and K13 Propeller</w:t>
      </w:r>
      <w:r w:rsidR="009008D3">
        <w:rPr>
          <w:rFonts w:ascii="Arial" w:hAnsi="Arial" w:cs="Arial"/>
          <w:bCs/>
          <w:i/>
        </w:rPr>
        <w:t>,</w:t>
      </w:r>
      <w:r w:rsidRPr="00390295">
        <w:rPr>
          <w:rFonts w:ascii="Arial" w:hAnsi="Arial" w:cs="Arial"/>
          <w:bCs/>
          <w:i/>
        </w:rPr>
        <w:t xml:space="preserve"> Plasmodium falciparum, Côte d'Ivoire</w:t>
      </w:r>
      <w:bookmarkEnd w:id="0"/>
      <w:r w:rsidR="009008D3">
        <w:rPr>
          <w:rFonts w:ascii="Arial" w:hAnsi="Arial" w:cs="Arial"/>
          <w:bCs/>
          <w:i/>
        </w:rPr>
        <w:t>.</w:t>
      </w:r>
    </w:p>
    <w:p w14:paraId="0987AB8B" w14:textId="77777777" w:rsidR="00390295" w:rsidRPr="00390295" w:rsidRDefault="00390295" w:rsidP="00390295">
      <w:pPr>
        <w:pStyle w:val="Body"/>
        <w:rPr>
          <w:rFonts w:ascii="Arial" w:hAnsi="Arial" w:cs="Arial"/>
          <w:bCs/>
          <w:i/>
        </w:rPr>
      </w:pPr>
    </w:p>
    <w:p w14:paraId="34CC96F0" w14:textId="77777777" w:rsidR="00390295" w:rsidRPr="00390295" w:rsidRDefault="00390295" w:rsidP="00390295">
      <w:pPr>
        <w:pStyle w:val="Body"/>
        <w:rPr>
          <w:rFonts w:ascii="Arial" w:hAnsi="Arial" w:cs="Arial"/>
          <w:bCs/>
          <w:i/>
        </w:rPr>
      </w:pPr>
    </w:p>
    <w:p w14:paraId="23B3F6C7" w14:textId="50E64809" w:rsidR="00390295" w:rsidRPr="00C12DA9" w:rsidRDefault="00390295" w:rsidP="00390295">
      <w:pPr>
        <w:pStyle w:val="Body"/>
        <w:rPr>
          <w:rFonts w:ascii="Arial" w:hAnsi="Arial" w:cs="Arial"/>
          <w:b/>
          <w:bCs/>
          <w:sz w:val="22"/>
          <w:szCs w:val="22"/>
        </w:rPr>
      </w:pPr>
      <w:r w:rsidRPr="00C12DA9">
        <w:rPr>
          <w:rFonts w:ascii="Arial" w:hAnsi="Arial" w:cs="Arial"/>
          <w:b/>
          <w:bCs/>
          <w:sz w:val="22"/>
          <w:szCs w:val="22"/>
        </w:rPr>
        <w:t>1. INTRODUCTION</w:t>
      </w:r>
    </w:p>
    <w:p w14:paraId="3BC2C605" w14:textId="53ACE3D8" w:rsidR="00390295" w:rsidRPr="00390295" w:rsidRDefault="00390295" w:rsidP="00C12DA9">
      <w:pPr>
        <w:pStyle w:val="Body"/>
        <w:rPr>
          <w:rFonts w:ascii="Arial" w:hAnsi="Arial" w:cs="Arial"/>
          <w:bCs/>
        </w:rPr>
      </w:pPr>
      <w:r w:rsidRPr="00390295">
        <w:rPr>
          <w:rFonts w:ascii="Arial" w:hAnsi="Arial" w:cs="Arial"/>
          <w:bCs/>
        </w:rPr>
        <w:t xml:space="preserve">Malaria is an </w:t>
      </w:r>
      <w:proofErr w:type="spellStart"/>
      <w:r w:rsidRPr="00390295">
        <w:rPr>
          <w:rFonts w:ascii="Arial" w:hAnsi="Arial" w:cs="Arial"/>
          <w:bCs/>
        </w:rPr>
        <w:t>erythrocytopathy</w:t>
      </w:r>
      <w:proofErr w:type="spellEnd"/>
      <w:r w:rsidRPr="00390295">
        <w:rPr>
          <w:rFonts w:ascii="Arial" w:hAnsi="Arial" w:cs="Arial"/>
          <w:bCs/>
        </w:rPr>
        <w:t xml:space="preserve"> caused by a parasite of the genus Plasmodium, and is transmitted to humans by the bite of a female Anopheles mosquito. The epidemiology and clinical manifestations of this disease are highly variable. It remains a major public health problem in tropical and subtropical countries, particularly in sub-Saharan Africa. It has been estimated that there were 249 million clinical cases of malaria and 608,000 deaths in 2022, of which almost 95% (580,000 deaths) occurred in Africa, according to data from the World Health Organization </w:t>
      </w:r>
      <w:r w:rsidRPr="0065139E">
        <w:rPr>
          <w:rFonts w:ascii="Arial" w:hAnsi="Arial" w:cs="Arial"/>
          <w:bCs/>
        </w:rPr>
        <w:t>(WHO 2023).</w:t>
      </w:r>
      <w:r w:rsidR="00C12DA9">
        <w:rPr>
          <w:rFonts w:ascii="Arial" w:hAnsi="Arial" w:cs="Arial"/>
          <w:bCs/>
        </w:rPr>
        <w:t xml:space="preserve"> I</w:t>
      </w:r>
      <w:r w:rsidRPr="00390295">
        <w:rPr>
          <w:rFonts w:ascii="Arial" w:hAnsi="Arial" w:cs="Arial"/>
          <w:bCs/>
        </w:rPr>
        <w:t>n Côte d'Ivoire, this condition remains the leading cause of morbidity (40%) and mortality (10%) in the population, with around 7.02 million and 14232 deaths in 2021 (WHO, 2021). Among these deaths, children under 5 are the most affected, and the majority are due to Plasmodium falciparum. Despite efforts to control it, malaria remains the primary reason for outpatient consultations (33%) and hospitalizations (62%) (MSLS, 2015).</w:t>
      </w:r>
    </w:p>
    <w:p w14:paraId="65710713" w14:textId="77777777" w:rsidR="00C12DA9" w:rsidRDefault="00390295" w:rsidP="00C12DA9">
      <w:pPr>
        <w:pStyle w:val="Body"/>
        <w:ind w:firstLine="708"/>
        <w:rPr>
          <w:rFonts w:ascii="Arial" w:hAnsi="Arial" w:cs="Arial"/>
          <w:bCs/>
        </w:rPr>
      </w:pPr>
      <w:r w:rsidRPr="00390295">
        <w:rPr>
          <w:rFonts w:ascii="Arial" w:hAnsi="Arial" w:cs="Arial"/>
          <w:bCs/>
        </w:rPr>
        <w:t>In terms of treatment, chloroquine (CQ) was one of the first drugs used against malaria in the 1940s after the Second World War. Since then, it has been considered the drug of choice for the treatment of uncomplicated malaria and for chemoprophylaxis (Sow, 2010). Its advantages in terms of rapid efficacy, tolerability, availability in public health and affordability made it more accessible to modest-income families. Thus, its intensive use for almost 12 years led to the development of resistance in P. falciparum in the late 1950s (</w:t>
      </w:r>
      <w:proofErr w:type="spellStart"/>
      <w:r w:rsidRPr="00390295">
        <w:rPr>
          <w:rFonts w:ascii="Arial" w:hAnsi="Arial" w:cs="Arial"/>
          <w:bCs/>
        </w:rPr>
        <w:t>Wongsrichanalai</w:t>
      </w:r>
      <w:proofErr w:type="spellEnd"/>
      <w:r w:rsidRPr="00390295">
        <w:rPr>
          <w:rFonts w:ascii="Arial" w:hAnsi="Arial" w:cs="Arial"/>
          <w:bCs/>
        </w:rPr>
        <w:t xml:space="preserve"> et al., 2002). In Côte d'Ivoire, the first cases of chloroquine resistance were reported in the </w:t>
      </w:r>
      <w:proofErr w:type="spellStart"/>
      <w:r w:rsidRPr="00390295">
        <w:rPr>
          <w:rFonts w:ascii="Arial" w:hAnsi="Arial" w:cs="Arial"/>
          <w:bCs/>
        </w:rPr>
        <w:t>Buyo</w:t>
      </w:r>
      <w:proofErr w:type="spellEnd"/>
      <w:r w:rsidRPr="00390295">
        <w:rPr>
          <w:rFonts w:ascii="Arial" w:hAnsi="Arial" w:cs="Arial"/>
          <w:bCs/>
        </w:rPr>
        <w:t xml:space="preserve"> and </w:t>
      </w:r>
      <w:proofErr w:type="spellStart"/>
      <w:r w:rsidRPr="00390295">
        <w:rPr>
          <w:rFonts w:ascii="Arial" w:hAnsi="Arial" w:cs="Arial"/>
          <w:bCs/>
        </w:rPr>
        <w:t>Adzopé</w:t>
      </w:r>
      <w:proofErr w:type="spellEnd"/>
      <w:r w:rsidRPr="00390295">
        <w:rPr>
          <w:rFonts w:ascii="Arial" w:hAnsi="Arial" w:cs="Arial"/>
          <w:bCs/>
        </w:rPr>
        <w:t xml:space="preserve"> regions in the 1980s (</w:t>
      </w:r>
      <w:proofErr w:type="spellStart"/>
      <w:r w:rsidRPr="00390295">
        <w:rPr>
          <w:rFonts w:ascii="Arial" w:hAnsi="Arial" w:cs="Arial"/>
          <w:bCs/>
        </w:rPr>
        <w:t>Douchet</w:t>
      </w:r>
      <w:proofErr w:type="spellEnd"/>
      <w:r w:rsidRPr="00390295">
        <w:rPr>
          <w:rFonts w:ascii="Arial" w:hAnsi="Arial" w:cs="Arial"/>
          <w:bCs/>
        </w:rPr>
        <w:t xml:space="preserve"> et al., 1984; </w:t>
      </w:r>
      <w:proofErr w:type="spellStart"/>
      <w:r w:rsidRPr="00390295">
        <w:rPr>
          <w:rFonts w:ascii="Arial" w:hAnsi="Arial" w:cs="Arial"/>
          <w:bCs/>
        </w:rPr>
        <w:t>Nicoulet</w:t>
      </w:r>
      <w:proofErr w:type="spellEnd"/>
      <w:r w:rsidRPr="00390295">
        <w:rPr>
          <w:rFonts w:ascii="Arial" w:hAnsi="Arial" w:cs="Arial"/>
          <w:bCs/>
        </w:rPr>
        <w:t xml:space="preserve"> et al., 1987). Since then, the spread of chloroquine resistance has been reported in </w:t>
      </w:r>
      <w:proofErr w:type="spellStart"/>
      <w:r w:rsidRPr="00390295">
        <w:rPr>
          <w:rFonts w:ascii="Arial" w:hAnsi="Arial" w:cs="Arial"/>
          <w:bCs/>
        </w:rPr>
        <w:t>Bouaké</w:t>
      </w:r>
      <w:proofErr w:type="spellEnd"/>
      <w:r w:rsidRPr="00390295">
        <w:rPr>
          <w:rFonts w:ascii="Arial" w:hAnsi="Arial" w:cs="Arial"/>
          <w:bCs/>
        </w:rPr>
        <w:t xml:space="preserve">, </w:t>
      </w:r>
      <w:proofErr w:type="spellStart"/>
      <w:r w:rsidRPr="00390295">
        <w:rPr>
          <w:rFonts w:ascii="Arial" w:hAnsi="Arial" w:cs="Arial"/>
          <w:bCs/>
        </w:rPr>
        <w:t>Korhogo</w:t>
      </w:r>
      <w:proofErr w:type="spellEnd"/>
      <w:r w:rsidRPr="00390295">
        <w:rPr>
          <w:rFonts w:ascii="Arial" w:hAnsi="Arial" w:cs="Arial"/>
          <w:bCs/>
        </w:rPr>
        <w:t>, Man and Abidjan, with rates sometimes exceeding 50% (</w:t>
      </w:r>
      <w:proofErr w:type="spellStart"/>
      <w:r w:rsidRPr="00390295">
        <w:rPr>
          <w:rFonts w:ascii="Arial" w:hAnsi="Arial" w:cs="Arial"/>
          <w:bCs/>
        </w:rPr>
        <w:t>Menan</w:t>
      </w:r>
      <w:proofErr w:type="spellEnd"/>
      <w:r w:rsidRPr="00390295">
        <w:rPr>
          <w:rFonts w:ascii="Arial" w:hAnsi="Arial" w:cs="Arial"/>
          <w:bCs/>
        </w:rPr>
        <w:t xml:space="preserve"> et al., 2007). This situation led to the withdrawal of CQ and its replacement by amodiaquine and the </w:t>
      </w:r>
      <w:proofErr w:type="spellStart"/>
      <w:r w:rsidRPr="00390295">
        <w:rPr>
          <w:rFonts w:ascii="Arial" w:hAnsi="Arial" w:cs="Arial"/>
          <w:bCs/>
        </w:rPr>
        <w:t>sulfadoxine</w:t>
      </w:r>
      <w:proofErr w:type="spellEnd"/>
      <w:r w:rsidRPr="00390295">
        <w:rPr>
          <w:rFonts w:ascii="Arial" w:hAnsi="Arial" w:cs="Arial"/>
          <w:bCs/>
        </w:rPr>
        <w:t>-pyrimethamine (SP) combination. Unfortunately, therapeutic failures were also noted and led to their replacement by artemisinin derivative-based combination therapies (ACTs) with artesunate-amodiaquine (ASAQ) and artemether-lumefantrine (AL) combinations, recommended as first- and second-line treatment (</w:t>
      </w:r>
      <w:proofErr w:type="spellStart"/>
      <w:r w:rsidRPr="00390295">
        <w:rPr>
          <w:rFonts w:ascii="Arial" w:hAnsi="Arial" w:cs="Arial"/>
          <w:bCs/>
        </w:rPr>
        <w:t>Ako</w:t>
      </w:r>
      <w:proofErr w:type="spellEnd"/>
      <w:r w:rsidRPr="00390295">
        <w:rPr>
          <w:rFonts w:ascii="Arial" w:hAnsi="Arial" w:cs="Arial"/>
          <w:bCs/>
        </w:rPr>
        <w:t xml:space="preserve"> et al., 2012). These drugs have proved effective, reducing malaria morbidity and mortality in many endemic areas of Africa.</w:t>
      </w:r>
      <w:r>
        <w:rPr>
          <w:rFonts w:ascii="Arial" w:hAnsi="Arial" w:cs="Arial"/>
          <w:bCs/>
        </w:rPr>
        <w:t xml:space="preserve"> </w:t>
      </w:r>
      <w:r w:rsidRPr="00390295">
        <w:rPr>
          <w:rFonts w:ascii="Arial" w:hAnsi="Arial" w:cs="Arial"/>
          <w:bCs/>
        </w:rPr>
        <w:t>(</w:t>
      </w:r>
      <w:proofErr w:type="spellStart"/>
      <w:r w:rsidRPr="00390295">
        <w:rPr>
          <w:rFonts w:ascii="Arial" w:hAnsi="Arial" w:cs="Arial"/>
          <w:bCs/>
        </w:rPr>
        <w:t>Nyarango</w:t>
      </w:r>
      <w:proofErr w:type="spellEnd"/>
      <w:r w:rsidRPr="00390295">
        <w:rPr>
          <w:rFonts w:ascii="Arial" w:hAnsi="Arial" w:cs="Arial"/>
          <w:bCs/>
        </w:rPr>
        <w:t xml:space="preserve"> et al., 2006; WHO, 2008). However, cases of resistance to CTAs have been reported in some Southeast Asian countries (Ashley et al., 2014).</w:t>
      </w:r>
    </w:p>
    <w:p w14:paraId="637E0582" w14:textId="41EE138E" w:rsidR="00390295" w:rsidRPr="00390295" w:rsidRDefault="00390295" w:rsidP="00C12DA9">
      <w:pPr>
        <w:pStyle w:val="Body"/>
        <w:ind w:firstLine="708"/>
        <w:rPr>
          <w:rFonts w:ascii="Arial" w:hAnsi="Arial" w:cs="Arial"/>
          <w:bCs/>
        </w:rPr>
      </w:pPr>
      <w:r w:rsidRPr="00390295">
        <w:rPr>
          <w:rFonts w:ascii="Arial" w:hAnsi="Arial" w:cs="Arial"/>
          <w:bCs/>
        </w:rPr>
        <w:t>Due to absence of an effective vaccine, malaria is currently re-infectious, and its management therefore depends solely on antimalarial drugs (WHO, 1984). Indeed, effective antimalarial drugs are essential to malaria control, and monitoring of their efficacy is necessary to inform treatment policies in malaria-endemic countries, and to ensure early detection of drug resistance. In Côte d'Ivoire, however, drug resistance monitoring takes place mainly at sentinel sites of the National Malaria Control Program (PNLP). This means that areas outside sentinel sites are not regularly monitored. However, improved knowledge of malaria in these high-transmission areas, coupled with data from the sentinel sites, could help guide interventions more objectively. With this in mind, we need to map resistance in order to obtain up-to-date data on the prevalence of molecular markers across the country, so that we can better assess resistance to antimalarial drugs. The aim of this work is to study the polymorphism of the pfcrt, pfmdr-1 and K13 genes, in order to address the issue of strengthening the surveillance of resistance to the usual antimalarial drugs in Côte d'Ivoire.</w:t>
      </w:r>
    </w:p>
    <w:p w14:paraId="74A62949" w14:textId="77777777" w:rsidR="00A47EC6" w:rsidRPr="00FB3A86" w:rsidRDefault="00A47EC6" w:rsidP="00A47EC6">
      <w:pPr>
        <w:pStyle w:val="Body"/>
        <w:spacing w:after="0"/>
        <w:rPr>
          <w:rFonts w:ascii="Arial" w:hAnsi="Arial" w:cs="Arial"/>
        </w:rPr>
      </w:pPr>
    </w:p>
    <w:p w14:paraId="258AC64A" w14:textId="77777777" w:rsidR="00A47EC6" w:rsidRPr="00390295" w:rsidRDefault="00A47EC6" w:rsidP="00390295">
      <w:pPr>
        <w:pStyle w:val="AbstHead"/>
        <w:jc w:val="both"/>
        <w:rPr>
          <w:rFonts w:ascii="Arial" w:hAnsi="Arial" w:cs="Arial"/>
          <w:bCs/>
        </w:rPr>
      </w:pPr>
      <w:r>
        <w:rPr>
          <w:rFonts w:ascii="Arial" w:hAnsi="Arial" w:cs="Arial"/>
        </w:rPr>
        <w:t xml:space="preserve">2. </w:t>
      </w:r>
      <w:r w:rsidR="00390295" w:rsidRPr="00390295">
        <w:rPr>
          <w:rFonts w:ascii="Arial" w:hAnsi="Arial" w:cs="Arial"/>
          <w:bCs/>
        </w:rPr>
        <w:t xml:space="preserve">Materialand methods </w:t>
      </w:r>
    </w:p>
    <w:p w14:paraId="57E5C698" w14:textId="77777777" w:rsidR="00390295" w:rsidRPr="00390295" w:rsidRDefault="00390295" w:rsidP="00390295">
      <w:pPr>
        <w:pStyle w:val="Body"/>
        <w:rPr>
          <w:rFonts w:ascii="Arial" w:hAnsi="Arial" w:cs="Arial"/>
          <w:b/>
          <w:bCs/>
        </w:rPr>
      </w:pPr>
      <w:r>
        <w:rPr>
          <w:rFonts w:ascii="Arial" w:hAnsi="Arial" w:cs="Arial"/>
          <w:b/>
          <w:bCs/>
        </w:rPr>
        <w:t xml:space="preserve">    </w:t>
      </w:r>
      <w:r w:rsidR="00381E5E">
        <w:rPr>
          <w:rFonts w:ascii="Arial" w:hAnsi="Arial" w:cs="Arial"/>
          <w:b/>
          <w:bCs/>
        </w:rPr>
        <w:t xml:space="preserve">2. </w:t>
      </w:r>
      <w:r>
        <w:rPr>
          <w:rFonts w:ascii="Arial" w:hAnsi="Arial" w:cs="Arial"/>
          <w:b/>
          <w:bCs/>
        </w:rPr>
        <w:t>1</w:t>
      </w:r>
      <w:r w:rsidRPr="00C12DA9">
        <w:rPr>
          <w:rFonts w:ascii="Arial" w:hAnsi="Arial" w:cs="Arial"/>
          <w:b/>
          <w:bCs/>
          <w:sz w:val="22"/>
          <w:szCs w:val="22"/>
        </w:rPr>
        <w:t>. Study sites</w:t>
      </w:r>
    </w:p>
    <w:p w14:paraId="25009A86" w14:textId="77777777" w:rsidR="00390295" w:rsidRDefault="00390295" w:rsidP="00390295">
      <w:pPr>
        <w:pStyle w:val="Body"/>
        <w:rPr>
          <w:rFonts w:ascii="Arial" w:hAnsi="Arial" w:cs="Arial"/>
        </w:rPr>
      </w:pPr>
      <w:r w:rsidRPr="00390295">
        <w:rPr>
          <w:rFonts w:ascii="Arial" w:hAnsi="Arial" w:cs="Arial"/>
        </w:rPr>
        <w:t xml:space="preserve">The study was carried out in three health districts of Côte d'Ivoire with different epidemiological facies: Bouaflé (pre-forest zone), Bondoukou (Sahelian zone) and Séguéla (savannah zone dotted with forest galleries). It was carried out in the regional health (CHR) of the various towns selected. All sites are characterized by four seasons: two rainy seasons (April to July and October to November) and two dry seasons (December to March and October to November). In Bouaflé, samples were taken from August to September 2019. Like other localities in central Côte d'Ivoire, this town has no data on the molecular resistance of </w:t>
      </w:r>
      <w:r w:rsidRPr="00390295">
        <w:rPr>
          <w:rFonts w:ascii="Arial" w:hAnsi="Arial" w:cs="Arial"/>
          <w:i/>
        </w:rPr>
        <w:t xml:space="preserve">P. falciparum </w:t>
      </w:r>
      <w:r w:rsidRPr="00390295">
        <w:rPr>
          <w:rFonts w:ascii="Arial" w:hAnsi="Arial" w:cs="Arial"/>
        </w:rPr>
        <w:t xml:space="preserve">malaria to antimalarial molecules. In Bondoukou, the study took place from October to November 2019. The town of Séguéla was chosen for its equatorial-type epidemiological facies, hydrography and vegetation conducive to high anopheline density. In this locality, our survey took place from May to November </w:t>
      </w:r>
      <w:r w:rsidRPr="0065139E">
        <w:rPr>
          <w:rFonts w:ascii="Arial" w:hAnsi="Arial" w:cs="Arial"/>
        </w:rPr>
        <w:t>2019 (</w:t>
      </w:r>
      <w:proofErr w:type="spellStart"/>
      <w:r w:rsidRPr="0065139E">
        <w:rPr>
          <w:rFonts w:ascii="Arial" w:hAnsi="Arial" w:cs="Arial"/>
        </w:rPr>
        <w:t>Kouakou</w:t>
      </w:r>
      <w:proofErr w:type="spellEnd"/>
      <w:r w:rsidRPr="0065139E">
        <w:rPr>
          <w:rFonts w:ascii="Arial" w:hAnsi="Arial" w:cs="Arial"/>
        </w:rPr>
        <w:t xml:space="preserve"> </w:t>
      </w:r>
      <w:r w:rsidRPr="0065139E">
        <w:rPr>
          <w:rFonts w:ascii="Arial" w:hAnsi="Arial" w:cs="Arial"/>
          <w:i/>
        </w:rPr>
        <w:t>et al</w:t>
      </w:r>
      <w:r w:rsidRPr="0065139E">
        <w:rPr>
          <w:rFonts w:ascii="Arial" w:hAnsi="Arial" w:cs="Arial"/>
        </w:rPr>
        <w:t>., 2022). Figure 1 shows</w:t>
      </w:r>
      <w:r w:rsidRPr="00390295">
        <w:rPr>
          <w:rFonts w:ascii="Arial" w:hAnsi="Arial" w:cs="Arial"/>
        </w:rPr>
        <w:t xml:space="preserve"> the different study sites.</w:t>
      </w:r>
    </w:p>
    <w:p w14:paraId="2334D056" w14:textId="77777777" w:rsidR="00390295" w:rsidRDefault="00390295" w:rsidP="00390295">
      <w:pPr>
        <w:pStyle w:val="Body"/>
        <w:rPr>
          <w:rFonts w:ascii="Arial" w:hAnsi="Arial" w:cs="Arial"/>
        </w:rPr>
      </w:pPr>
      <w:r w:rsidRPr="00390295">
        <w:rPr>
          <w:rFonts w:ascii="Times New Roman" w:hAnsi="Times New Roman"/>
          <w:noProof/>
          <w:szCs w:val="22"/>
        </w:rPr>
        <w:lastRenderedPageBreak/>
        <w:drawing>
          <wp:inline distT="0" distB="0" distL="0" distR="0" wp14:anchorId="2CB79580" wp14:editId="19EF08E6">
            <wp:extent cx="5030416" cy="497814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5030416" cy="4978146"/>
                    </a:xfrm>
                    <a:prstGeom prst="rect">
                      <a:avLst/>
                    </a:prstGeom>
                  </pic:spPr>
                </pic:pic>
              </a:graphicData>
            </a:graphic>
          </wp:inline>
        </w:drawing>
      </w:r>
    </w:p>
    <w:p w14:paraId="3C293BEC" w14:textId="77777777" w:rsidR="00390295" w:rsidRPr="00390295" w:rsidRDefault="00390295" w:rsidP="00390295">
      <w:pPr>
        <w:pStyle w:val="Body"/>
        <w:rPr>
          <w:rFonts w:ascii="Arial" w:hAnsi="Arial" w:cs="Arial"/>
        </w:rPr>
      </w:pPr>
      <w:r w:rsidRPr="00390295">
        <w:rPr>
          <w:rFonts w:ascii="Arial" w:hAnsi="Arial" w:cs="Arial"/>
          <w:b/>
        </w:rPr>
        <w:t>Figure 1</w:t>
      </w:r>
      <w:r w:rsidRPr="00390295">
        <w:rPr>
          <w:rFonts w:ascii="Arial" w:hAnsi="Arial" w:cs="Arial"/>
        </w:rPr>
        <w:t>: Map of Côte d'Ivoire with study sites (Spatial data source (CNTIC, 2012)</w:t>
      </w:r>
      <w:r w:rsidRPr="00390295">
        <w:rPr>
          <w:rFonts w:ascii="Arial" w:hAnsi="Arial" w:cs="Arial"/>
          <w:b/>
        </w:rPr>
        <w:t>)</w:t>
      </w:r>
    </w:p>
    <w:p w14:paraId="14ECADEB" w14:textId="77777777" w:rsidR="00390295" w:rsidRPr="00390295" w:rsidRDefault="00390295" w:rsidP="00390295">
      <w:pPr>
        <w:pStyle w:val="Body"/>
        <w:rPr>
          <w:rFonts w:ascii="Arial" w:hAnsi="Arial" w:cs="Arial"/>
        </w:rPr>
      </w:pPr>
    </w:p>
    <w:p w14:paraId="56D8DA66" w14:textId="77777777" w:rsidR="00390295" w:rsidRDefault="00390295" w:rsidP="00390295">
      <w:pPr>
        <w:pStyle w:val="Body"/>
        <w:rPr>
          <w:rFonts w:ascii="Arial" w:hAnsi="Arial" w:cs="Arial"/>
          <w:b/>
        </w:rPr>
      </w:pPr>
      <w:r>
        <w:rPr>
          <w:rFonts w:ascii="Arial" w:hAnsi="Arial" w:cs="Arial"/>
          <w:b/>
        </w:rPr>
        <w:t xml:space="preserve">     </w:t>
      </w:r>
      <w:r w:rsidR="00381E5E">
        <w:rPr>
          <w:rFonts w:ascii="Arial" w:hAnsi="Arial" w:cs="Arial"/>
          <w:b/>
        </w:rPr>
        <w:t>2.2</w:t>
      </w:r>
      <w:r>
        <w:rPr>
          <w:rFonts w:ascii="Arial" w:hAnsi="Arial" w:cs="Arial"/>
          <w:b/>
        </w:rPr>
        <w:t xml:space="preserve"> </w:t>
      </w:r>
      <w:r w:rsidRPr="00390295">
        <w:rPr>
          <w:rFonts w:ascii="Arial" w:hAnsi="Arial" w:cs="Arial"/>
          <w:b/>
        </w:rPr>
        <w:t xml:space="preserve">Type, period and study population </w:t>
      </w:r>
    </w:p>
    <w:p w14:paraId="583F6693" w14:textId="77777777" w:rsidR="00390295" w:rsidRPr="00390295" w:rsidRDefault="00381E5E" w:rsidP="00390295">
      <w:pPr>
        <w:pStyle w:val="Body"/>
        <w:ind w:firstLine="708"/>
        <w:rPr>
          <w:rFonts w:ascii="Arial" w:hAnsi="Arial" w:cs="Arial"/>
          <w:b/>
        </w:rPr>
      </w:pPr>
      <w:r>
        <w:rPr>
          <w:rFonts w:ascii="Arial" w:hAnsi="Arial" w:cs="Arial"/>
          <w:b/>
        </w:rPr>
        <w:t xml:space="preserve">2.2.1 </w:t>
      </w:r>
      <w:r w:rsidR="00390295" w:rsidRPr="00390295">
        <w:rPr>
          <w:rFonts w:ascii="Arial" w:hAnsi="Arial" w:cs="Arial"/>
          <w:b/>
        </w:rPr>
        <w:t>Type and period of study</w:t>
      </w:r>
    </w:p>
    <w:p w14:paraId="59FFE3DF" w14:textId="2AD2BDC5" w:rsidR="008B67EA" w:rsidRPr="00390295" w:rsidRDefault="00390295" w:rsidP="00390295">
      <w:pPr>
        <w:pStyle w:val="Body"/>
        <w:rPr>
          <w:rFonts w:ascii="Arial" w:hAnsi="Arial" w:cs="Arial"/>
        </w:rPr>
      </w:pPr>
      <w:r w:rsidRPr="00390295">
        <w:rPr>
          <w:rFonts w:ascii="Arial" w:hAnsi="Arial" w:cs="Arial"/>
        </w:rPr>
        <w:t xml:space="preserve">This was a prospective descriptive study that took place in three different health regions of Côte d'Ivoire from May to November 2019. It took place in the Regional Hospital Centers (CHR) of Bondoukou, Séguéla and Bouaflé. Molecular analysis took place from July 2020 to February 2021 at </w:t>
      </w:r>
      <w:r w:rsidR="009008D3">
        <w:rPr>
          <w:rFonts w:ascii="Arial" w:hAnsi="Arial" w:cs="Arial"/>
        </w:rPr>
        <w:t xml:space="preserve">the Malaria Research and Control Center of National Institute of Public Health </w:t>
      </w:r>
    </w:p>
    <w:p w14:paraId="48D5BBED" w14:textId="77777777" w:rsidR="008B67EA" w:rsidRDefault="008B67EA" w:rsidP="008B67EA">
      <w:pPr>
        <w:pStyle w:val="Body"/>
        <w:ind w:firstLine="708"/>
        <w:rPr>
          <w:rFonts w:ascii="Arial" w:hAnsi="Arial" w:cs="Arial"/>
          <w:b/>
          <w:bCs/>
        </w:rPr>
      </w:pPr>
      <w:r>
        <w:rPr>
          <w:rFonts w:ascii="Arial" w:hAnsi="Arial" w:cs="Arial"/>
          <w:b/>
          <w:bCs/>
        </w:rPr>
        <w:t xml:space="preserve">2.2.2 </w:t>
      </w:r>
      <w:r w:rsidRPr="008B67EA">
        <w:rPr>
          <w:rFonts w:ascii="Arial" w:hAnsi="Arial" w:cs="Arial"/>
          <w:b/>
          <w:bCs/>
        </w:rPr>
        <w:t>Study population</w:t>
      </w:r>
    </w:p>
    <w:p w14:paraId="4A974BBD" w14:textId="77777777" w:rsidR="008B67EA" w:rsidRPr="008B67EA" w:rsidRDefault="008B67EA" w:rsidP="008B67EA">
      <w:pPr>
        <w:pStyle w:val="Body"/>
        <w:ind w:firstLine="708"/>
        <w:rPr>
          <w:rFonts w:ascii="Arial" w:hAnsi="Arial" w:cs="Arial"/>
          <w:b/>
          <w:bCs/>
        </w:rPr>
      </w:pPr>
      <w:r w:rsidRPr="008B67EA">
        <w:rPr>
          <w:rFonts w:ascii="Arial" w:hAnsi="Arial" w:cs="Arial"/>
        </w:rPr>
        <w:t xml:space="preserve">Purposive sampling was used to select the study population. It consisted of patients presenting for consultation with clinical signs of uncomplicated malaria in the health facilities selected for the study. Patients meeting the following criteria were included in the study: microscopically confirmed monospecific </w:t>
      </w:r>
      <w:r w:rsidRPr="008B67EA">
        <w:rPr>
          <w:rFonts w:ascii="Arial" w:hAnsi="Arial" w:cs="Arial"/>
          <w:i/>
        </w:rPr>
        <w:t xml:space="preserve">Plasmodium falciparum </w:t>
      </w:r>
      <w:r w:rsidRPr="008B67EA">
        <w:rPr>
          <w:rFonts w:ascii="Arial" w:hAnsi="Arial" w:cs="Arial"/>
        </w:rPr>
        <w:t>infestation; absence of signs of severe malaria; informed consent from the patient or parent in the case of children. Patients who refused to give consent were not enrolled in the present study.</w:t>
      </w:r>
    </w:p>
    <w:p w14:paraId="294166EE" w14:textId="77777777" w:rsidR="00A47EC6" w:rsidRPr="00502516" w:rsidRDefault="00A47EC6" w:rsidP="00A47EC6">
      <w:pPr>
        <w:pStyle w:val="Body"/>
        <w:spacing w:after="0"/>
        <w:rPr>
          <w:rFonts w:ascii="Arial" w:hAnsi="Arial" w:cs="Arial"/>
        </w:rPr>
      </w:pPr>
    </w:p>
    <w:p w14:paraId="48AE8E29" w14:textId="198F75DF" w:rsidR="00AB5F08" w:rsidRPr="00AB5F08" w:rsidRDefault="00AB5F08" w:rsidP="00AB5F08">
      <w:pPr>
        <w:pStyle w:val="Body"/>
        <w:ind w:left="708"/>
        <w:rPr>
          <w:rFonts w:ascii="Arial" w:hAnsi="Arial" w:cs="Arial"/>
          <w:b/>
          <w:bCs/>
        </w:rPr>
      </w:pPr>
      <w:r>
        <w:rPr>
          <w:rFonts w:ascii="Arial" w:hAnsi="Arial" w:cs="Arial"/>
          <w:b/>
          <w:bCs/>
        </w:rPr>
        <w:t xml:space="preserve">2.2.3 </w:t>
      </w:r>
      <w:r w:rsidRPr="00AB5F08">
        <w:rPr>
          <w:rFonts w:ascii="Arial" w:hAnsi="Arial" w:cs="Arial"/>
          <w:b/>
          <w:bCs/>
        </w:rPr>
        <w:t>Data collection and blood sampling</w:t>
      </w:r>
    </w:p>
    <w:p w14:paraId="6B908BE4" w14:textId="1EEE7F3B" w:rsidR="00AB5F08" w:rsidRDefault="00AB5F08" w:rsidP="00AB5F08">
      <w:pPr>
        <w:pStyle w:val="Body"/>
        <w:rPr>
          <w:rFonts w:ascii="Arial" w:hAnsi="Arial" w:cs="Arial"/>
        </w:rPr>
      </w:pPr>
      <w:r w:rsidRPr="00AB5F08">
        <w:rPr>
          <w:rFonts w:ascii="Arial" w:hAnsi="Arial" w:cs="Arial"/>
        </w:rPr>
        <w:lastRenderedPageBreak/>
        <w:t xml:space="preserve">Once consent had been obtained, patients were asked to complete a questionnaire to gather socio-demographic data. At the end of the questionnaire, 2 to 5 mL of venous blood were collected in a violet-capped tube containing EDTA (Ethylene Diamine </w:t>
      </w:r>
      <w:r w:rsidR="0065139E" w:rsidRPr="00AB5F08">
        <w:rPr>
          <w:rFonts w:ascii="Arial" w:hAnsi="Arial" w:cs="Arial"/>
        </w:rPr>
        <w:t>Tetra Acetic</w:t>
      </w:r>
      <w:r w:rsidRPr="00AB5F08">
        <w:rPr>
          <w:rFonts w:ascii="Arial" w:hAnsi="Arial" w:cs="Arial"/>
        </w:rPr>
        <w:t xml:space="preserve">). To confirm cases of malaria and determine </w:t>
      </w:r>
      <w:r w:rsidR="0065139E" w:rsidRPr="00AB5F08">
        <w:rPr>
          <w:rFonts w:ascii="Arial" w:hAnsi="Arial" w:cs="Arial"/>
        </w:rPr>
        <w:t>parasitemia</w:t>
      </w:r>
      <w:r w:rsidRPr="00AB5F08">
        <w:rPr>
          <w:rFonts w:ascii="Arial" w:hAnsi="Arial" w:cs="Arial"/>
        </w:rPr>
        <w:t xml:space="preserve">, thick drop (GE) and blood smear (FS) tests were performed. Next, three (3) 75 µL spots of blood were placed on Whatman 3 MM filter paper, then dried at laboratory temperature and protected contamination for 24 hours. The samples were then transported to </w:t>
      </w:r>
      <w:r w:rsidR="009008D3">
        <w:rPr>
          <w:rFonts w:ascii="Arial" w:hAnsi="Arial" w:cs="Arial"/>
        </w:rPr>
        <w:t xml:space="preserve">the Malaria Research and Control Center of National Institute of Public Health </w:t>
      </w:r>
      <w:r w:rsidRPr="00AB5F08">
        <w:rPr>
          <w:rFonts w:ascii="Arial" w:hAnsi="Arial" w:cs="Arial"/>
        </w:rPr>
        <w:t>for molecular analysis.</w:t>
      </w:r>
    </w:p>
    <w:p w14:paraId="5A7EF265" w14:textId="1C39101E" w:rsidR="00821DD3" w:rsidRPr="00821DD3" w:rsidRDefault="00604CAA" w:rsidP="00821DD3">
      <w:pPr>
        <w:pStyle w:val="Body"/>
        <w:rPr>
          <w:rFonts w:ascii="Arial" w:hAnsi="Arial" w:cs="Arial"/>
          <w:b/>
          <w:bCs/>
        </w:rPr>
      </w:pPr>
      <w:r>
        <w:rPr>
          <w:rFonts w:ascii="Arial" w:hAnsi="Arial" w:cs="Arial"/>
          <w:b/>
          <w:bCs/>
        </w:rPr>
        <w:t xml:space="preserve">   2.</w:t>
      </w:r>
      <w:r w:rsidR="00821DD3">
        <w:rPr>
          <w:rFonts w:ascii="Arial" w:hAnsi="Arial" w:cs="Arial"/>
          <w:b/>
          <w:bCs/>
        </w:rPr>
        <w:t xml:space="preserve">3. </w:t>
      </w:r>
      <w:r w:rsidR="00821DD3" w:rsidRPr="00821DD3">
        <w:rPr>
          <w:rFonts w:ascii="Arial" w:hAnsi="Arial" w:cs="Arial"/>
          <w:b/>
          <w:bCs/>
        </w:rPr>
        <w:t>Molecular testing</w:t>
      </w:r>
    </w:p>
    <w:p w14:paraId="5325DFF0" w14:textId="5156E564" w:rsidR="00821DD3" w:rsidRPr="0065139E" w:rsidRDefault="00821DD3" w:rsidP="006D2B48">
      <w:pPr>
        <w:pStyle w:val="Body"/>
        <w:numPr>
          <w:ilvl w:val="2"/>
          <w:numId w:val="7"/>
        </w:numPr>
        <w:rPr>
          <w:rFonts w:ascii="Arial" w:hAnsi="Arial" w:cs="Arial"/>
          <w:bCs/>
        </w:rPr>
      </w:pPr>
      <w:r w:rsidRPr="00821DD3">
        <w:rPr>
          <w:rFonts w:ascii="Arial" w:hAnsi="Arial" w:cs="Arial"/>
          <w:b/>
          <w:bCs/>
        </w:rPr>
        <w:t>Extraction of plasmodial DNA</w:t>
      </w:r>
    </w:p>
    <w:p w14:paraId="502C7014" w14:textId="77777777" w:rsidR="00604CAA" w:rsidRDefault="00821DD3" w:rsidP="00604CAA">
      <w:pPr>
        <w:pStyle w:val="Body"/>
        <w:rPr>
          <w:rFonts w:ascii="Arial" w:hAnsi="Arial" w:cs="Arial"/>
        </w:rPr>
      </w:pPr>
      <w:r w:rsidRPr="0065139E">
        <w:rPr>
          <w:rFonts w:ascii="Arial" w:hAnsi="Arial" w:cs="Arial"/>
          <w:bCs/>
          <w:i/>
        </w:rPr>
        <w:t xml:space="preserve">P. falciparum </w:t>
      </w:r>
      <w:r w:rsidRPr="0065139E">
        <w:rPr>
          <w:rFonts w:ascii="Arial" w:hAnsi="Arial" w:cs="Arial"/>
          <w:bCs/>
        </w:rPr>
        <w:t xml:space="preserve">DNA extraction was performed using the Tianlong® kit (Xi'an </w:t>
      </w:r>
      <w:proofErr w:type="spellStart"/>
      <w:r w:rsidRPr="0065139E">
        <w:rPr>
          <w:rFonts w:ascii="Arial" w:hAnsi="Arial" w:cs="Arial"/>
          <w:bCs/>
        </w:rPr>
        <w:t>TianLong</w:t>
      </w:r>
      <w:proofErr w:type="spellEnd"/>
      <w:r w:rsidRPr="0065139E">
        <w:rPr>
          <w:rFonts w:ascii="Arial" w:hAnsi="Arial" w:cs="Arial"/>
          <w:bCs/>
        </w:rPr>
        <w:t xml:space="preserve"> Science and Technology Co., Ltd)</w:t>
      </w:r>
      <w:r w:rsidRPr="00821DD3">
        <w:rPr>
          <w:rFonts w:ascii="Arial" w:hAnsi="Arial" w:cs="Arial"/>
          <w:b/>
        </w:rPr>
        <w:t xml:space="preserve"> </w:t>
      </w:r>
      <w:r w:rsidRPr="00821DD3">
        <w:rPr>
          <w:rFonts w:ascii="Arial" w:hAnsi="Arial" w:cs="Arial"/>
        </w:rPr>
        <w:t>following the manufacturer's recommendations.</w:t>
      </w:r>
    </w:p>
    <w:p w14:paraId="590C8F47" w14:textId="56EE6BBB" w:rsidR="00821DD3" w:rsidRPr="00821DD3" w:rsidRDefault="006D2B48" w:rsidP="006D2B48">
      <w:pPr>
        <w:pStyle w:val="Body"/>
        <w:ind w:left="708"/>
        <w:rPr>
          <w:rFonts w:ascii="Arial" w:hAnsi="Arial" w:cs="Arial"/>
        </w:rPr>
      </w:pPr>
      <w:r>
        <w:rPr>
          <w:rFonts w:ascii="Arial" w:hAnsi="Arial" w:cs="Arial"/>
          <w:b/>
          <w:bCs/>
        </w:rPr>
        <w:t xml:space="preserve">   2.3.2   </w:t>
      </w:r>
      <w:r w:rsidR="00821DD3" w:rsidRPr="00821DD3">
        <w:rPr>
          <w:rFonts w:ascii="Arial" w:hAnsi="Arial" w:cs="Arial"/>
          <w:b/>
          <w:bCs/>
        </w:rPr>
        <w:t>Nested PCR amplification</w:t>
      </w:r>
    </w:p>
    <w:p w14:paraId="1BCB1155" w14:textId="5470FB0C" w:rsidR="003E2A97" w:rsidRDefault="00821DD3" w:rsidP="00821DD3">
      <w:pPr>
        <w:pStyle w:val="Body"/>
        <w:rPr>
          <w:rFonts w:ascii="Arial" w:hAnsi="Arial" w:cs="Arial"/>
        </w:rPr>
      </w:pPr>
      <w:r w:rsidRPr="00821DD3">
        <w:rPr>
          <w:rFonts w:ascii="Arial" w:hAnsi="Arial" w:cs="Arial"/>
        </w:rPr>
        <w:t xml:space="preserve">The nested PCR technique was used to amplify the DNA fragments of the genes studied. For each of the </w:t>
      </w:r>
      <w:r w:rsidRPr="00821DD3">
        <w:rPr>
          <w:rFonts w:ascii="Arial" w:hAnsi="Arial" w:cs="Arial"/>
          <w:i/>
        </w:rPr>
        <w:t xml:space="preserve">pfcrt, pfmdr1 and </w:t>
      </w:r>
      <w:r w:rsidRPr="00821DD3">
        <w:rPr>
          <w:rFonts w:ascii="Arial" w:hAnsi="Arial" w:cs="Arial"/>
        </w:rPr>
        <w:t xml:space="preserve">K13 </w:t>
      </w:r>
      <w:r w:rsidRPr="00821DD3">
        <w:rPr>
          <w:rFonts w:ascii="Arial" w:hAnsi="Arial" w:cs="Arial"/>
          <w:i/>
        </w:rPr>
        <w:t xml:space="preserve">propeller </w:t>
      </w:r>
      <w:r w:rsidRPr="00821DD3">
        <w:rPr>
          <w:rFonts w:ascii="Arial" w:hAnsi="Arial" w:cs="Arial"/>
        </w:rPr>
        <w:t xml:space="preserve">genes, amplification of the first PCR was carried out in a final volume of 25 </w:t>
      </w:r>
      <w:proofErr w:type="spellStart"/>
      <w:r w:rsidRPr="00821DD3">
        <w:rPr>
          <w:rFonts w:ascii="Arial" w:hAnsi="Arial" w:cs="Arial"/>
        </w:rPr>
        <w:t>μL</w:t>
      </w:r>
      <w:proofErr w:type="spellEnd"/>
      <w:r w:rsidRPr="00821DD3">
        <w:rPr>
          <w:rFonts w:ascii="Arial" w:hAnsi="Arial" w:cs="Arial"/>
        </w:rPr>
        <w:t xml:space="preserve"> versus 50 </w:t>
      </w:r>
      <w:proofErr w:type="spellStart"/>
      <w:r w:rsidRPr="00821DD3">
        <w:rPr>
          <w:rFonts w:ascii="Arial" w:hAnsi="Arial" w:cs="Arial"/>
        </w:rPr>
        <w:t>μL</w:t>
      </w:r>
      <w:proofErr w:type="spellEnd"/>
      <w:r w:rsidRPr="00821DD3">
        <w:rPr>
          <w:rFonts w:ascii="Arial" w:hAnsi="Arial" w:cs="Arial"/>
        </w:rPr>
        <w:t xml:space="preserve"> for the second PCR. The reaction medium for the first PCR consisted of 0.5(10µM) of each primer, 6.5 </w:t>
      </w:r>
      <w:proofErr w:type="spellStart"/>
      <w:r w:rsidRPr="00821DD3">
        <w:rPr>
          <w:rFonts w:ascii="Arial" w:hAnsi="Arial" w:cs="Arial"/>
        </w:rPr>
        <w:t>μL</w:t>
      </w:r>
      <w:proofErr w:type="spellEnd"/>
      <w:r w:rsidRPr="00821DD3">
        <w:rPr>
          <w:rFonts w:ascii="Arial" w:hAnsi="Arial" w:cs="Arial"/>
        </w:rPr>
        <w:t xml:space="preserve"> of "DNase/RNase free" water, 12.5 </w:t>
      </w:r>
      <w:proofErr w:type="spellStart"/>
      <w:r w:rsidRPr="00821DD3">
        <w:rPr>
          <w:rFonts w:ascii="Arial" w:hAnsi="Arial" w:cs="Arial"/>
        </w:rPr>
        <w:t>μL</w:t>
      </w:r>
      <w:proofErr w:type="spellEnd"/>
      <w:r w:rsidRPr="00821DD3">
        <w:rPr>
          <w:rFonts w:ascii="Arial" w:hAnsi="Arial" w:cs="Arial"/>
        </w:rPr>
        <w:t xml:space="preserve"> of </w:t>
      </w:r>
      <w:proofErr w:type="spellStart"/>
      <w:r w:rsidRPr="00821DD3">
        <w:rPr>
          <w:rFonts w:ascii="Arial" w:hAnsi="Arial" w:cs="Arial"/>
        </w:rPr>
        <w:t>Taq</w:t>
      </w:r>
      <w:proofErr w:type="spellEnd"/>
      <w:r w:rsidRPr="00821DD3">
        <w:rPr>
          <w:rFonts w:ascii="Arial" w:hAnsi="Arial" w:cs="Arial"/>
        </w:rPr>
        <w:t xml:space="preserve"> Master Mix (</w:t>
      </w:r>
      <w:proofErr w:type="spellStart"/>
      <w:r w:rsidRPr="00821DD3">
        <w:rPr>
          <w:rFonts w:ascii="Arial" w:hAnsi="Arial" w:cs="Arial"/>
        </w:rPr>
        <w:t>OneTaq</w:t>
      </w:r>
      <w:proofErr w:type="spellEnd"/>
      <w:r w:rsidRPr="00821DD3">
        <w:rPr>
          <w:rFonts w:ascii="Arial" w:hAnsi="Arial" w:cs="Arial"/>
        </w:rPr>
        <w:t xml:space="preserve">® 2X Master Mix with Standard Buffer) and 5 </w:t>
      </w:r>
      <w:proofErr w:type="spellStart"/>
      <w:r w:rsidRPr="00821DD3">
        <w:rPr>
          <w:rFonts w:ascii="Arial" w:hAnsi="Arial" w:cs="Arial"/>
        </w:rPr>
        <w:t>μL</w:t>
      </w:r>
      <w:proofErr w:type="spellEnd"/>
      <w:r w:rsidRPr="00821DD3">
        <w:rPr>
          <w:rFonts w:ascii="Arial" w:hAnsi="Arial" w:cs="Arial"/>
        </w:rPr>
        <w:t xml:space="preserve"> of DNA. The second PCR was performed using a reaction mixture of 13 </w:t>
      </w:r>
      <w:proofErr w:type="spellStart"/>
      <w:r w:rsidRPr="00821DD3">
        <w:rPr>
          <w:rFonts w:ascii="Arial" w:hAnsi="Arial" w:cs="Arial"/>
        </w:rPr>
        <w:t>μL</w:t>
      </w:r>
      <w:proofErr w:type="spellEnd"/>
      <w:r w:rsidRPr="00821DD3">
        <w:rPr>
          <w:rFonts w:ascii="Arial" w:hAnsi="Arial" w:cs="Arial"/>
        </w:rPr>
        <w:t xml:space="preserve"> of pure water, 0.5μL of each primer (10µM), 25 µL of Master Mix (</w:t>
      </w:r>
      <w:proofErr w:type="spellStart"/>
      <w:r w:rsidRPr="00821DD3">
        <w:rPr>
          <w:rFonts w:ascii="Arial" w:hAnsi="Arial" w:cs="Arial"/>
        </w:rPr>
        <w:t>OneTaq</w:t>
      </w:r>
      <w:proofErr w:type="spellEnd"/>
      <w:r w:rsidRPr="00821DD3">
        <w:rPr>
          <w:rFonts w:ascii="Arial" w:hAnsi="Arial" w:cs="Arial"/>
        </w:rPr>
        <w:t xml:space="preserve">® 2X Master Mix with Standard Buffer) and 5 </w:t>
      </w:r>
      <w:proofErr w:type="spellStart"/>
      <w:r w:rsidRPr="00821DD3">
        <w:rPr>
          <w:rFonts w:ascii="Arial" w:hAnsi="Arial" w:cs="Arial"/>
        </w:rPr>
        <w:t>μLDNA</w:t>
      </w:r>
      <w:proofErr w:type="spellEnd"/>
      <w:r w:rsidRPr="00821DD3">
        <w:rPr>
          <w:rFonts w:ascii="Arial" w:hAnsi="Arial" w:cs="Arial"/>
        </w:rPr>
        <w:t>. Reaction media were then placed in a thermal cycler (</w:t>
      </w:r>
      <w:proofErr w:type="spellStart"/>
      <w:r w:rsidRPr="00821DD3">
        <w:rPr>
          <w:rFonts w:ascii="Arial" w:hAnsi="Arial" w:cs="Arial"/>
        </w:rPr>
        <w:t>SimpliAmp</w:t>
      </w:r>
      <w:proofErr w:type="spellEnd"/>
      <w:r w:rsidRPr="00821DD3">
        <w:rPr>
          <w:rFonts w:ascii="Arial" w:hAnsi="Arial" w:cs="Arial"/>
        </w:rPr>
        <w:t xml:space="preserve">, Thermo Fischer Scientific, Waltham, MA, USA) according to the amplification programs shown in </w:t>
      </w:r>
      <w:r w:rsidRPr="00821DD3">
        <w:rPr>
          <w:rFonts w:ascii="Arial" w:hAnsi="Arial" w:cs="Arial"/>
          <w:b/>
        </w:rPr>
        <w:t>Tables I and II.</w:t>
      </w:r>
      <w:r w:rsidR="009515B4">
        <w:rPr>
          <w:rFonts w:ascii="Arial" w:hAnsi="Arial" w:cs="Arial"/>
          <w:b/>
        </w:rPr>
        <w:t xml:space="preserve"> </w:t>
      </w:r>
      <w:r w:rsidRPr="00821DD3">
        <w:rPr>
          <w:rFonts w:ascii="Arial" w:hAnsi="Arial" w:cs="Arial"/>
        </w:rPr>
        <w:t xml:space="preserve">Five microliters (5µL) of </w:t>
      </w:r>
      <w:r w:rsidR="009515B4">
        <w:rPr>
          <w:rFonts w:ascii="Arial" w:hAnsi="Arial" w:cs="Arial"/>
        </w:rPr>
        <w:t xml:space="preserve">the second </w:t>
      </w:r>
      <w:r w:rsidRPr="00821DD3">
        <w:rPr>
          <w:rFonts w:ascii="Arial" w:hAnsi="Arial" w:cs="Arial"/>
        </w:rPr>
        <w:t>PCR product were analyzed</w:t>
      </w:r>
      <w:r w:rsidR="009515B4">
        <w:rPr>
          <w:rFonts w:ascii="Arial" w:hAnsi="Arial" w:cs="Arial"/>
        </w:rPr>
        <w:t xml:space="preserve"> </w:t>
      </w:r>
      <w:r w:rsidRPr="00821DD3">
        <w:rPr>
          <w:rFonts w:ascii="Arial" w:hAnsi="Arial" w:cs="Arial"/>
        </w:rPr>
        <w:t>agarose gel electrophoresis. Amplified DNA fragments (</w:t>
      </w:r>
      <w:r w:rsidRPr="00821DD3">
        <w:rPr>
          <w:rFonts w:ascii="Arial" w:hAnsi="Arial" w:cs="Arial"/>
          <w:i/>
        </w:rPr>
        <w:t>pfcrt</w:t>
      </w:r>
      <w:r w:rsidRPr="00821DD3">
        <w:rPr>
          <w:rFonts w:ascii="Arial" w:hAnsi="Arial" w:cs="Arial"/>
        </w:rPr>
        <w:t xml:space="preserve">, pfmdr-1 and </w:t>
      </w:r>
      <w:r w:rsidRPr="00821DD3">
        <w:rPr>
          <w:rFonts w:ascii="Arial" w:hAnsi="Arial" w:cs="Arial"/>
          <w:i/>
        </w:rPr>
        <w:t>K13</w:t>
      </w:r>
      <w:r w:rsidRPr="00821DD3">
        <w:rPr>
          <w:rFonts w:ascii="Arial" w:hAnsi="Arial" w:cs="Arial"/>
        </w:rPr>
        <w:t xml:space="preserve">) from </w:t>
      </w:r>
      <w:r w:rsidRPr="00821DD3">
        <w:rPr>
          <w:rFonts w:ascii="Arial" w:hAnsi="Arial" w:cs="Arial"/>
          <w:i/>
        </w:rPr>
        <w:t xml:space="preserve">P. falciparum </w:t>
      </w:r>
      <w:r w:rsidRPr="00821DD3">
        <w:rPr>
          <w:rFonts w:ascii="Arial" w:hAnsi="Arial" w:cs="Arial"/>
        </w:rPr>
        <w:t xml:space="preserve">were sequenced using </w:t>
      </w:r>
      <w:r w:rsidRPr="0065139E">
        <w:rPr>
          <w:rFonts w:ascii="Arial" w:hAnsi="Arial" w:cs="Arial"/>
        </w:rPr>
        <w:t>the</w:t>
      </w:r>
      <w:r w:rsidR="009008D3" w:rsidRPr="0065139E">
        <w:rPr>
          <w:rFonts w:ascii="Arial" w:hAnsi="Arial" w:cs="Arial"/>
        </w:rPr>
        <w:t xml:space="preserve"> </w:t>
      </w:r>
      <w:r w:rsidRPr="0065139E">
        <w:rPr>
          <w:rFonts w:ascii="Arial" w:hAnsi="Arial" w:cs="Arial"/>
        </w:rPr>
        <w:t>Sanger method. Sequencing was carried out by BGI Tech</w:t>
      </w:r>
      <w:r w:rsidRPr="0065139E">
        <w:rPr>
          <w:rFonts w:ascii="Arial" w:hAnsi="Arial" w:cs="Arial"/>
          <w:b/>
        </w:rPr>
        <w:t>®</w:t>
      </w:r>
      <w:r w:rsidR="009008D3" w:rsidRPr="0065139E">
        <w:rPr>
          <w:rFonts w:ascii="Arial" w:hAnsi="Arial" w:cs="Arial"/>
          <w:b/>
        </w:rPr>
        <w:t xml:space="preserve"> (china).</w:t>
      </w:r>
      <w:r w:rsidR="009515B4" w:rsidRPr="0065139E">
        <w:rPr>
          <w:rFonts w:ascii="Arial" w:hAnsi="Arial" w:cs="Arial"/>
          <w:b/>
        </w:rPr>
        <w:t xml:space="preserve"> </w:t>
      </w:r>
      <w:r w:rsidRPr="0065139E">
        <w:rPr>
          <w:rFonts w:ascii="Arial" w:hAnsi="Arial" w:cs="Arial"/>
        </w:rPr>
        <w:t>The results were then received as</w:t>
      </w:r>
      <w:r w:rsidRPr="00821DD3">
        <w:rPr>
          <w:rFonts w:ascii="Arial" w:hAnsi="Arial" w:cs="Arial"/>
        </w:rPr>
        <w:t xml:space="preserve"> FASTA files, together with the chromatograms. </w:t>
      </w:r>
      <w:r w:rsidRPr="00821DD3">
        <w:rPr>
          <w:rFonts w:ascii="Arial" w:hAnsi="Arial" w:cs="Arial"/>
          <w:b/>
        </w:rPr>
        <w:t xml:space="preserve">Table III </w:t>
      </w:r>
      <w:r w:rsidRPr="00821DD3">
        <w:rPr>
          <w:rFonts w:ascii="Arial" w:hAnsi="Arial" w:cs="Arial"/>
        </w:rPr>
        <w:t>shows the different primer sequences used.</w:t>
      </w:r>
    </w:p>
    <w:p w14:paraId="0D5BE7B6" w14:textId="6246571C" w:rsidR="00DE3BE7" w:rsidRDefault="00DE3BE7" w:rsidP="00821DD3">
      <w:pPr>
        <w:pStyle w:val="Body"/>
        <w:rPr>
          <w:rFonts w:ascii="Arial" w:hAnsi="Arial" w:cs="Arial"/>
        </w:rPr>
      </w:pPr>
    </w:p>
    <w:p w14:paraId="3F88B061" w14:textId="420DDFE6" w:rsidR="00DE3BE7" w:rsidRDefault="00DE3BE7" w:rsidP="00821DD3">
      <w:pPr>
        <w:pStyle w:val="Body"/>
        <w:rPr>
          <w:rFonts w:ascii="Arial" w:hAnsi="Arial" w:cs="Arial"/>
        </w:rPr>
      </w:pPr>
    </w:p>
    <w:p w14:paraId="295356B8" w14:textId="42B0D9FA" w:rsidR="00DE3BE7" w:rsidRDefault="00DE3BE7" w:rsidP="00821DD3">
      <w:pPr>
        <w:pStyle w:val="Body"/>
        <w:rPr>
          <w:rFonts w:ascii="Arial" w:hAnsi="Arial" w:cs="Arial"/>
        </w:rPr>
      </w:pPr>
    </w:p>
    <w:p w14:paraId="15A72CEE" w14:textId="186A2FB9" w:rsidR="00DE3BE7" w:rsidRDefault="00DE3BE7" w:rsidP="00821DD3">
      <w:pPr>
        <w:pStyle w:val="Body"/>
        <w:rPr>
          <w:rFonts w:ascii="Arial" w:hAnsi="Arial" w:cs="Arial"/>
        </w:rPr>
      </w:pPr>
    </w:p>
    <w:p w14:paraId="3CB589A6" w14:textId="3B46CEA4" w:rsidR="00DE3BE7" w:rsidRDefault="00DE3BE7" w:rsidP="00821DD3">
      <w:pPr>
        <w:pStyle w:val="Body"/>
        <w:rPr>
          <w:rFonts w:ascii="Arial" w:hAnsi="Arial" w:cs="Arial"/>
        </w:rPr>
      </w:pPr>
    </w:p>
    <w:p w14:paraId="267238A1" w14:textId="77777777" w:rsidR="00DE3BE7" w:rsidRPr="00DE3BE7" w:rsidRDefault="00DE3BE7" w:rsidP="00821DD3">
      <w:pPr>
        <w:pStyle w:val="Body"/>
        <w:rPr>
          <w:rFonts w:ascii="Arial" w:hAnsi="Arial" w:cs="Arial"/>
        </w:rPr>
      </w:pPr>
    </w:p>
    <w:p w14:paraId="6914FC54" w14:textId="27E4F2AF" w:rsidR="00821DD3" w:rsidRDefault="009515B4" w:rsidP="00AB5F08">
      <w:pPr>
        <w:pStyle w:val="Body"/>
        <w:rPr>
          <w:rFonts w:ascii="Arial" w:hAnsi="Arial" w:cs="Arial"/>
        </w:rPr>
      </w:pPr>
      <w:r w:rsidRPr="009515B4">
        <w:rPr>
          <w:rFonts w:ascii="Arial" w:hAnsi="Arial" w:cs="Arial"/>
          <w:b/>
        </w:rPr>
        <w:t>Table I</w:t>
      </w:r>
      <w:r w:rsidRPr="009515B4">
        <w:rPr>
          <w:rFonts w:ascii="Arial" w:hAnsi="Arial" w:cs="Arial"/>
        </w:rPr>
        <w:t xml:space="preserve">: Amplification program for </w:t>
      </w:r>
      <w:r w:rsidRPr="009515B4">
        <w:rPr>
          <w:rFonts w:ascii="Arial" w:hAnsi="Arial" w:cs="Arial"/>
          <w:i/>
        </w:rPr>
        <w:t xml:space="preserve">pfcrt </w:t>
      </w:r>
      <w:r w:rsidRPr="009515B4">
        <w:rPr>
          <w:rFonts w:ascii="Arial" w:hAnsi="Arial" w:cs="Arial"/>
        </w:rPr>
        <w:t xml:space="preserve">and </w:t>
      </w:r>
      <w:r w:rsidRPr="009515B4">
        <w:rPr>
          <w:rFonts w:ascii="Arial" w:hAnsi="Arial" w:cs="Arial"/>
          <w:i/>
        </w:rPr>
        <w:t xml:space="preserve">pfK13 </w:t>
      </w:r>
      <w:r w:rsidRPr="009515B4">
        <w:rPr>
          <w:rFonts w:ascii="Arial" w:hAnsi="Arial" w:cs="Arial"/>
        </w:rPr>
        <w:t>genes</w:t>
      </w:r>
      <w:r w:rsidR="005D004D">
        <w:rPr>
          <w:rFonts w:ascii="Arial" w:hAnsi="Arial" w:cs="Arial"/>
        </w:rPr>
        <w:t xml:space="preserve"> </w:t>
      </w:r>
    </w:p>
    <w:tbl>
      <w:tblPr>
        <w:tblStyle w:val="Tableausimple5"/>
        <w:tblW w:w="8570" w:type="dxa"/>
        <w:tblLook w:val="04A0" w:firstRow="1" w:lastRow="0" w:firstColumn="1" w:lastColumn="0" w:noHBand="0" w:noVBand="1"/>
      </w:tblPr>
      <w:tblGrid>
        <w:gridCol w:w="1135"/>
        <w:gridCol w:w="1135"/>
        <w:gridCol w:w="1684"/>
        <w:gridCol w:w="1645"/>
        <w:gridCol w:w="1324"/>
        <w:gridCol w:w="1647"/>
      </w:tblGrid>
      <w:tr w:rsidR="005D004D" w:rsidRPr="005D004D" w14:paraId="02543046" w14:textId="77777777" w:rsidTr="005D004D">
        <w:trPr>
          <w:cnfStyle w:val="100000000000" w:firstRow="1" w:lastRow="0" w:firstColumn="0" w:lastColumn="0" w:oddVBand="0" w:evenVBand="0" w:oddHBand="0" w:evenHBand="0" w:firstRowFirstColumn="0" w:firstRowLastColumn="0" w:lastRowFirstColumn="0" w:lastRowLastColumn="0"/>
          <w:trHeight w:val="175"/>
        </w:trPr>
        <w:tc>
          <w:tcPr>
            <w:cnfStyle w:val="001000000100" w:firstRow="0" w:lastRow="0" w:firstColumn="1" w:lastColumn="0" w:oddVBand="0" w:evenVBand="0" w:oddHBand="0" w:evenHBand="0" w:firstRowFirstColumn="1" w:firstRowLastColumn="0" w:lastRowFirstColumn="0" w:lastRowLastColumn="0"/>
            <w:tcW w:w="1135" w:type="dxa"/>
            <w:tcBorders>
              <w:top w:val="single" w:sz="4" w:space="0" w:color="auto"/>
            </w:tcBorders>
            <w:noWrap/>
            <w:hideMark/>
          </w:tcPr>
          <w:p w14:paraId="0064FE73" w14:textId="77777777" w:rsidR="005D004D" w:rsidRPr="005D004D" w:rsidRDefault="005D004D" w:rsidP="005D004D">
            <w:pPr>
              <w:pStyle w:val="Body"/>
              <w:rPr>
                <w:rFonts w:ascii="Arial" w:hAnsi="Arial" w:cs="Arial"/>
                <w:b/>
                <w:bCs/>
                <w:lang w:val="fr-FR"/>
              </w:rPr>
            </w:pPr>
          </w:p>
        </w:tc>
        <w:tc>
          <w:tcPr>
            <w:tcW w:w="1135" w:type="dxa"/>
            <w:tcBorders>
              <w:top w:val="single" w:sz="4" w:space="0" w:color="auto"/>
            </w:tcBorders>
            <w:noWrap/>
            <w:hideMark/>
          </w:tcPr>
          <w:p w14:paraId="3D8242BE" w14:textId="2D444CE4" w:rsidR="005D004D" w:rsidRPr="005D004D" w:rsidRDefault="005D004D"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bCs/>
                <w:lang w:val="fr-FR"/>
              </w:rPr>
            </w:pPr>
            <w:r>
              <w:rPr>
                <w:rFonts w:ascii="Arial" w:hAnsi="Arial" w:cs="Arial"/>
              </w:rPr>
              <w:t>S</w:t>
            </w:r>
            <w:r w:rsidRPr="005D004D">
              <w:rPr>
                <w:rFonts w:ascii="Arial" w:hAnsi="Arial" w:cs="Arial"/>
              </w:rPr>
              <w:t>teps</w:t>
            </w:r>
          </w:p>
        </w:tc>
        <w:tc>
          <w:tcPr>
            <w:tcW w:w="1684" w:type="dxa"/>
            <w:tcBorders>
              <w:top w:val="single" w:sz="4" w:space="0" w:color="auto"/>
            </w:tcBorders>
            <w:noWrap/>
            <w:hideMark/>
          </w:tcPr>
          <w:p w14:paraId="49473902" w14:textId="04E8FF6C" w:rsidR="005D004D" w:rsidRPr="005D004D" w:rsidRDefault="005D004D"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bCs/>
                <w:lang w:val="fr-FR"/>
              </w:rPr>
            </w:pPr>
            <w:r w:rsidRPr="005D004D">
              <w:rPr>
                <w:rFonts w:ascii="Arial" w:hAnsi="Arial" w:cs="Arial"/>
                <w:lang w:val="fr-FR"/>
              </w:rPr>
              <w:t>Cycles</w:t>
            </w:r>
          </w:p>
        </w:tc>
        <w:tc>
          <w:tcPr>
            <w:tcW w:w="1645" w:type="dxa"/>
            <w:tcBorders>
              <w:top w:val="single" w:sz="4" w:space="0" w:color="auto"/>
            </w:tcBorders>
            <w:noWrap/>
            <w:hideMark/>
          </w:tcPr>
          <w:p w14:paraId="4C62DC9D" w14:textId="2CA357E8" w:rsidR="005D004D" w:rsidRPr="005D004D" w:rsidRDefault="005D004D"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bCs/>
                <w:lang w:val="fr-FR"/>
              </w:rPr>
            </w:pPr>
            <w:proofErr w:type="spellStart"/>
            <w:r>
              <w:rPr>
                <w:rFonts w:ascii="Arial" w:hAnsi="Arial" w:cs="Arial"/>
                <w:lang w:val="fr-FR"/>
              </w:rPr>
              <w:t>T</w:t>
            </w:r>
            <w:r w:rsidRPr="005D004D">
              <w:rPr>
                <w:rFonts w:ascii="Arial" w:hAnsi="Arial" w:cs="Arial"/>
                <w:lang w:val="fr-FR"/>
              </w:rPr>
              <w:t>emperature</w:t>
            </w:r>
            <w:proofErr w:type="spellEnd"/>
            <w:r w:rsidRPr="005D004D">
              <w:rPr>
                <w:rFonts w:ascii="Arial" w:hAnsi="Arial" w:cs="Arial"/>
                <w:lang w:val="fr-FR"/>
              </w:rPr>
              <w:t xml:space="preserve"> (°c)</w:t>
            </w:r>
          </w:p>
        </w:tc>
        <w:tc>
          <w:tcPr>
            <w:tcW w:w="1324" w:type="dxa"/>
            <w:tcBorders>
              <w:top w:val="single" w:sz="4" w:space="0" w:color="auto"/>
            </w:tcBorders>
            <w:noWrap/>
            <w:hideMark/>
          </w:tcPr>
          <w:p w14:paraId="07B6598A" w14:textId="47252BAA" w:rsidR="005D004D" w:rsidRPr="005D004D" w:rsidRDefault="005D004D"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bCs/>
                <w:lang w:val="fr-FR"/>
              </w:rPr>
            </w:pPr>
            <w:r w:rsidRPr="005D004D">
              <w:rPr>
                <w:rFonts w:ascii="Arial" w:hAnsi="Arial" w:cs="Arial"/>
                <w:lang w:val="fr-FR"/>
              </w:rPr>
              <w:t>Time (min)</w:t>
            </w:r>
          </w:p>
        </w:tc>
        <w:tc>
          <w:tcPr>
            <w:tcW w:w="1646" w:type="dxa"/>
            <w:tcBorders>
              <w:top w:val="single" w:sz="4" w:space="0" w:color="auto"/>
            </w:tcBorders>
            <w:noWrap/>
            <w:hideMark/>
          </w:tcPr>
          <w:p w14:paraId="7995C930" w14:textId="5644EB26" w:rsidR="005D004D" w:rsidRPr="0065139E" w:rsidRDefault="005D004D"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i w:val="0"/>
                <w:iCs w:val="0"/>
                <w:lang w:val="fr-FR"/>
              </w:rPr>
            </w:pPr>
            <w:proofErr w:type="spellStart"/>
            <w:r w:rsidRPr="005D004D">
              <w:rPr>
                <w:rFonts w:ascii="Arial" w:hAnsi="Arial" w:cs="Arial"/>
                <w:lang w:val="fr-FR"/>
              </w:rPr>
              <w:t>Number</w:t>
            </w:r>
            <w:proofErr w:type="spellEnd"/>
            <w:r>
              <w:rPr>
                <w:rFonts w:ascii="Arial" w:hAnsi="Arial" w:cs="Arial"/>
                <w:lang w:val="fr-FR"/>
              </w:rPr>
              <w:t xml:space="preserve"> </w:t>
            </w:r>
            <w:r w:rsidRPr="005D004D">
              <w:rPr>
                <w:rFonts w:ascii="Arial" w:hAnsi="Arial" w:cs="Arial"/>
                <w:lang w:val="fr-FR"/>
              </w:rPr>
              <w:t>cycles</w:t>
            </w:r>
          </w:p>
        </w:tc>
      </w:tr>
      <w:tr w:rsidR="005D004D" w:rsidRPr="005D004D" w14:paraId="3E7CFC6B" w14:textId="77777777" w:rsidTr="005D00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135" w:type="dxa"/>
            <w:vMerge w:val="restart"/>
          </w:tcPr>
          <w:p w14:paraId="72CCAE64" w14:textId="77777777" w:rsidR="005D004D" w:rsidRPr="005D004D" w:rsidRDefault="005D004D" w:rsidP="005D004D">
            <w:pPr>
              <w:pStyle w:val="Body"/>
              <w:rPr>
                <w:rFonts w:ascii="Arial" w:hAnsi="Arial" w:cs="Arial"/>
              </w:rPr>
            </w:pPr>
            <w:r w:rsidRPr="005D004D">
              <w:rPr>
                <w:rFonts w:ascii="Arial" w:hAnsi="Arial" w:cs="Arial"/>
                <w:b/>
                <w:bCs/>
              </w:rPr>
              <w:t xml:space="preserve">     </w:t>
            </w:r>
          </w:p>
          <w:p w14:paraId="314B1EAE" w14:textId="77777777" w:rsidR="005D004D" w:rsidRPr="005D004D" w:rsidRDefault="005D004D" w:rsidP="005D004D">
            <w:pPr>
              <w:pStyle w:val="Body"/>
              <w:rPr>
                <w:rFonts w:ascii="Arial" w:hAnsi="Arial" w:cs="Arial"/>
              </w:rPr>
            </w:pPr>
          </w:p>
          <w:p w14:paraId="29E4B66E" w14:textId="77777777" w:rsidR="005D004D" w:rsidRPr="005D004D" w:rsidRDefault="005D004D" w:rsidP="005D004D">
            <w:pPr>
              <w:pStyle w:val="Body"/>
              <w:rPr>
                <w:rFonts w:ascii="Arial" w:hAnsi="Arial" w:cs="Arial"/>
              </w:rPr>
            </w:pPr>
          </w:p>
          <w:p w14:paraId="46375CCC" w14:textId="77777777" w:rsidR="005D004D" w:rsidRPr="005D004D" w:rsidRDefault="005D004D" w:rsidP="005D004D">
            <w:pPr>
              <w:pStyle w:val="Body"/>
              <w:rPr>
                <w:rFonts w:ascii="Arial" w:hAnsi="Arial" w:cs="Arial"/>
              </w:rPr>
            </w:pPr>
          </w:p>
          <w:p w14:paraId="54EFD8D9" w14:textId="77777777" w:rsidR="005D004D" w:rsidRPr="005D004D" w:rsidRDefault="005D004D" w:rsidP="005D004D">
            <w:pPr>
              <w:pStyle w:val="Body"/>
              <w:rPr>
                <w:rFonts w:ascii="Arial" w:hAnsi="Arial" w:cs="Arial"/>
              </w:rPr>
            </w:pPr>
          </w:p>
          <w:p w14:paraId="105ED567" w14:textId="77777777" w:rsidR="005D004D" w:rsidRPr="005D004D" w:rsidRDefault="005D004D" w:rsidP="005D004D">
            <w:pPr>
              <w:pStyle w:val="Body"/>
              <w:rPr>
                <w:rFonts w:ascii="Arial" w:hAnsi="Arial" w:cs="Arial"/>
                <w:b/>
                <w:bCs/>
                <w:lang w:val="fr-FR"/>
              </w:rPr>
            </w:pPr>
            <w:r w:rsidRPr="005D004D">
              <w:rPr>
                <w:rFonts w:ascii="Arial" w:hAnsi="Arial" w:cs="Arial"/>
                <w:b/>
                <w:bCs/>
              </w:rPr>
              <w:t xml:space="preserve"> PCR 1</w:t>
            </w:r>
          </w:p>
        </w:tc>
        <w:tc>
          <w:tcPr>
            <w:tcW w:w="1135" w:type="dxa"/>
            <w:hideMark/>
          </w:tcPr>
          <w:p w14:paraId="212D785B"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c>
          <w:tcPr>
            <w:tcW w:w="1684" w:type="dxa"/>
            <w:hideMark/>
          </w:tcPr>
          <w:p w14:paraId="686F0DC7"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xml:space="preserve">Initial denaturation </w:t>
            </w:r>
          </w:p>
        </w:tc>
        <w:tc>
          <w:tcPr>
            <w:tcW w:w="1645" w:type="dxa"/>
            <w:hideMark/>
          </w:tcPr>
          <w:p w14:paraId="0770798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95</w:t>
            </w:r>
          </w:p>
        </w:tc>
        <w:tc>
          <w:tcPr>
            <w:tcW w:w="1324" w:type="dxa"/>
            <w:hideMark/>
          </w:tcPr>
          <w:p w14:paraId="00F277DA"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xml:space="preserve">  15 min</w:t>
            </w:r>
          </w:p>
        </w:tc>
        <w:tc>
          <w:tcPr>
            <w:tcW w:w="1646" w:type="dxa"/>
            <w:hideMark/>
          </w:tcPr>
          <w:p w14:paraId="70EC90D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r>
      <w:tr w:rsidR="005D004D" w:rsidRPr="005D004D" w14:paraId="01830906" w14:textId="77777777" w:rsidTr="005D004D">
        <w:trPr>
          <w:trHeight w:val="470"/>
        </w:trPr>
        <w:tc>
          <w:tcPr>
            <w:cnfStyle w:val="001000000000" w:firstRow="0" w:lastRow="0" w:firstColumn="1" w:lastColumn="0" w:oddVBand="0" w:evenVBand="0" w:oddHBand="0" w:evenHBand="0" w:firstRowFirstColumn="0" w:firstRowLastColumn="0" w:lastRowFirstColumn="0" w:lastRowLastColumn="0"/>
            <w:tcW w:w="0" w:type="auto"/>
            <w:vMerge/>
            <w:hideMark/>
          </w:tcPr>
          <w:p w14:paraId="5BEC6D5C" w14:textId="77777777" w:rsidR="005D004D" w:rsidRPr="005D004D" w:rsidRDefault="005D004D" w:rsidP="005D004D">
            <w:pPr>
              <w:pStyle w:val="Body"/>
              <w:rPr>
                <w:rFonts w:ascii="Arial" w:hAnsi="Arial" w:cs="Arial"/>
                <w:b/>
                <w:bCs/>
                <w:lang w:val="fr-FR"/>
              </w:rPr>
            </w:pPr>
          </w:p>
        </w:tc>
        <w:tc>
          <w:tcPr>
            <w:tcW w:w="1135" w:type="dxa"/>
            <w:vMerge w:val="restart"/>
            <w:hideMark/>
          </w:tcPr>
          <w:p w14:paraId="182C501F"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2</w:t>
            </w:r>
          </w:p>
        </w:tc>
        <w:tc>
          <w:tcPr>
            <w:tcW w:w="1684" w:type="dxa"/>
            <w:vMerge w:val="restart"/>
            <w:hideMark/>
          </w:tcPr>
          <w:p w14:paraId="770A65BD"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Denaturation</w:t>
            </w:r>
          </w:p>
        </w:tc>
        <w:tc>
          <w:tcPr>
            <w:tcW w:w="1645" w:type="dxa"/>
            <w:vMerge w:val="restart"/>
            <w:hideMark/>
          </w:tcPr>
          <w:p w14:paraId="64EDF181"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95</w:t>
            </w:r>
          </w:p>
        </w:tc>
        <w:tc>
          <w:tcPr>
            <w:tcW w:w="1324" w:type="dxa"/>
            <w:vMerge w:val="restart"/>
            <w:hideMark/>
          </w:tcPr>
          <w:p w14:paraId="1756C6CB"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xml:space="preserve">    30 s</w:t>
            </w:r>
          </w:p>
        </w:tc>
        <w:tc>
          <w:tcPr>
            <w:tcW w:w="1646" w:type="dxa"/>
            <w:vMerge w:val="restart"/>
            <w:hideMark/>
          </w:tcPr>
          <w:p w14:paraId="771526EB"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771BC046" w14:textId="77777777" w:rsidTr="005D004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0" w:type="auto"/>
            <w:vMerge/>
            <w:hideMark/>
          </w:tcPr>
          <w:p w14:paraId="1AFDE434" w14:textId="77777777" w:rsidR="005D004D" w:rsidRPr="005D004D" w:rsidRDefault="005D004D" w:rsidP="005D004D">
            <w:pPr>
              <w:pStyle w:val="Body"/>
              <w:rPr>
                <w:rFonts w:ascii="Arial" w:hAnsi="Arial" w:cs="Arial"/>
                <w:b/>
                <w:bCs/>
                <w:lang w:val="fr-FR"/>
              </w:rPr>
            </w:pPr>
          </w:p>
        </w:tc>
        <w:tc>
          <w:tcPr>
            <w:tcW w:w="0" w:type="auto"/>
            <w:vMerge/>
            <w:hideMark/>
          </w:tcPr>
          <w:p w14:paraId="19285B23"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hideMark/>
          </w:tcPr>
          <w:p w14:paraId="3C3D0E31"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hideMark/>
          </w:tcPr>
          <w:p w14:paraId="0D56400A"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hideMark/>
          </w:tcPr>
          <w:p w14:paraId="40E36D57"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hideMark/>
          </w:tcPr>
          <w:p w14:paraId="6FE674C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r>
      <w:tr w:rsidR="005D004D" w:rsidRPr="005D004D" w14:paraId="72A4C304" w14:textId="77777777" w:rsidTr="005D004D">
        <w:trPr>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7EAC3B88" w14:textId="77777777" w:rsidR="005D004D" w:rsidRPr="005D004D" w:rsidRDefault="005D004D" w:rsidP="005D004D">
            <w:pPr>
              <w:pStyle w:val="Body"/>
              <w:rPr>
                <w:rFonts w:ascii="Arial" w:hAnsi="Arial" w:cs="Arial"/>
                <w:b/>
                <w:bCs/>
                <w:lang w:val="fr-FR"/>
              </w:rPr>
            </w:pPr>
          </w:p>
        </w:tc>
        <w:tc>
          <w:tcPr>
            <w:tcW w:w="1135" w:type="dxa"/>
            <w:hideMark/>
          </w:tcPr>
          <w:p w14:paraId="3074C53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3</w:t>
            </w:r>
          </w:p>
        </w:tc>
        <w:tc>
          <w:tcPr>
            <w:tcW w:w="1684" w:type="dxa"/>
            <w:hideMark/>
          </w:tcPr>
          <w:p w14:paraId="0ABED614"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Hybridization</w:t>
            </w:r>
          </w:p>
        </w:tc>
        <w:tc>
          <w:tcPr>
            <w:tcW w:w="1645" w:type="dxa"/>
            <w:hideMark/>
          </w:tcPr>
          <w:p w14:paraId="562783D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58</w:t>
            </w:r>
          </w:p>
        </w:tc>
        <w:tc>
          <w:tcPr>
            <w:tcW w:w="1324" w:type="dxa"/>
            <w:hideMark/>
          </w:tcPr>
          <w:p w14:paraId="44F9F9B8"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2 min</w:t>
            </w:r>
          </w:p>
        </w:tc>
        <w:tc>
          <w:tcPr>
            <w:tcW w:w="1646" w:type="dxa"/>
            <w:hideMark/>
          </w:tcPr>
          <w:p w14:paraId="44EDD22C"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30</w:t>
            </w:r>
          </w:p>
        </w:tc>
      </w:tr>
      <w:tr w:rsidR="005D004D" w:rsidRPr="005D004D" w14:paraId="02971126" w14:textId="77777777" w:rsidTr="005D00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35DA52E9" w14:textId="77777777" w:rsidR="005D004D" w:rsidRPr="005D004D" w:rsidRDefault="005D004D" w:rsidP="005D004D">
            <w:pPr>
              <w:pStyle w:val="Body"/>
              <w:rPr>
                <w:rFonts w:ascii="Arial" w:hAnsi="Arial" w:cs="Arial"/>
                <w:b/>
                <w:bCs/>
                <w:lang w:val="fr-FR"/>
              </w:rPr>
            </w:pPr>
          </w:p>
        </w:tc>
        <w:tc>
          <w:tcPr>
            <w:tcW w:w="1135" w:type="dxa"/>
            <w:hideMark/>
          </w:tcPr>
          <w:p w14:paraId="13AB8233"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4</w:t>
            </w:r>
          </w:p>
        </w:tc>
        <w:tc>
          <w:tcPr>
            <w:tcW w:w="1684" w:type="dxa"/>
            <w:hideMark/>
          </w:tcPr>
          <w:p w14:paraId="35AE91EE"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Extension</w:t>
            </w:r>
          </w:p>
        </w:tc>
        <w:tc>
          <w:tcPr>
            <w:tcW w:w="1645" w:type="dxa"/>
            <w:hideMark/>
          </w:tcPr>
          <w:p w14:paraId="0521222B"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72</w:t>
            </w:r>
          </w:p>
        </w:tc>
        <w:tc>
          <w:tcPr>
            <w:tcW w:w="1324" w:type="dxa"/>
            <w:hideMark/>
          </w:tcPr>
          <w:p w14:paraId="632882C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2 min</w:t>
            </w:r>
          </w:p>
        </w:tc>
        <w:tc>
          <w:tcPr>
            <w:tcW w:w="1646" w:type="dxa"/>
            <w:hideMark/>
          </w:tcPr>
          <w:p w14:paraId="242D8D6B"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465636EC" w14:textId="77777777" w:rsidTr="005D004D">
        <w:trPr>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78799905" w14:textId="77777777" w:rsidR="005D004D" w:rsidRPr="005D004D" w:rsidRDefault="005D004D" w:rsidP="005D004D">
            <w:pPr>
              <w:pStyle w:val="Body"/>
              <w:rPr>
                <w:rFonts w:ascii="Arial" w:hAnsi="Arial" w:cs="Arial"/>
                <w:b/>
                <w:bCs/>
                <w:lang w:val="fr-FR"/>
              </w:rPr>
            </w:pPr>
          </w:p>
        </w:tc>
        <w:tc>
          <w:tcPr>
            <w:tcW w:w="1135" w:type="dxa"/>
            <w:hideMark/>
          </w:tcPr>
          <w:p w14:paraId="6BF05A30"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5</w:t>
            </w:r>
          </w:p>
        </w:tc>
        <w:tc>
          <w:tcPr>
            <w:tcW w:w="1684" w:type="dxa"/>
            <w:hideMark/>
          </w:tcPr>
          <w:p w14:paraId="7EC0E0A4"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Final extension</w:t>
            </w:r>
          </w:p>
        </w:tc>
        <w:tc>
          <w:tcPr>
            <w:tcW w:w="1645" w:type="dxa"/>
            <w:hideMark/>
          </w:tcPr>
          <w:p w14:paraId="4876E17F"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72</w:t>
            </w:r>
          </w:p>
        </w:tc>
        <w:tc>
          <w:tcPr>
            <w:tcW w:w="1324" w:type="dxa"/>
            <w:hideMark/>
          </w:tcPr>
          <w:p w14:paraId="13B5B0F6"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10 min.</w:t>
            </w:r>
          </w:p>
        </w:tc>
        <w:tc>
          <w:tcPr>
            <w:tcW w:w="1646" w:type="dxa"/>
            <w:hideMark/>
          </w:tcPr>
          <w:p w14:paraId="3C528F74"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w:t>
            </w:r>
          </w:p>
        </w:tc>
      </w:tr>
      <w:tr w:rsidR="005D004D" w:rsidRPr="005D004D" w14:paraId="4D9B975C" w14:textId="77777777" w:rsidTr="005D00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8570" w:type="dxa"/>
            <w:gridSpan w:val="6"/>
            <w:hideMark/>
          </w:tcPr>
          <w:p w14:paraId="7485D725" w14:textId="5E63C831" w:rsidR="005D004D" w:rsidRPr="005D004D" w:rsidRDefault="005D004D" w:rsidP="005D004D">
            <w:pPr>
              <w:pStyle w:val="Body"/>
              <w:rPr>
                <w:rFonts w:ascii="Arial" w:hAnsi="Arial" w:cs="Arial"/>
                <w:b/>
                <w:bCs/>
                <w:lang w:val="fr-FR"/>
              </w:rPr>
            </w:pPr>
          </w:p>
        </w:tc>
      </w:tr>
      <w:tr w:rsidR="005D004D" w:rsidRPr="005D004D" w14:paraId="00265047" w14:textId="77777777" w:rsidTr="005D004D">
        <w:trPr>
          <w:trHeight w:val="175"/>
        </w:trPr>
        <w:tc>
          <w:tcPr>
            <w:cnfStyle w:val="001000000000" w:firstRow="0" w:lastRow="0" w:firstColumn="1" w:lastColumn="0" w:oddVBand="0" w:evenVBand="0" w:oddHBand="0" w:evenHBand="0" w:firstRowFirstColumn="0" w:firstRowLastColumn="0" w:lastRowFirstColumn="0" w:lastRowLastColumn="0"/>
            <w:tcW w:w="8570" w:type="dxa"/>
            <w:gridSpan w:val="6"/>
          </w:tcPr>
          <w:p w14:paraId="14C90DE2" w14:textId="77777777" w:rsidR="005D004D" w:rsidRPr="005D004D" w:rsidRDefault="005D004D" w:rsidP="005D004D">
            <w:pPr>
              <w:pStyle w:val="Body"/>
              <w:rPr>
                <w:rFonts w:ascii="Arial" w:hAnsi="Arial" w:cs="Arial"/>
                <w:b/>
                <w:bCs/>
                <w:lang w:val="fr-FR"/>
              </w:rPr>
            </w:pPr>
          </w:p>
        </w:tc>
      </w:tr>
      <w:tr w:rsidR="005D004D" w:rsidRPr="005D004D" w14:paraId="0D8225EB" w14:textId="77777777" w:rsidTr="005D00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135" w:type="dxa"/>
            <w:vMerge w:val="restart"/>
          </w:tcPr>
          <w:p w14:paraId="650A7412" w14:textId="77777777" w:rsidR="005D004D" w:rsidRPr="005D004D" w:rsidRDefault="005D004D" w:rsidP="005D004D">
            <w:pPr>
              <w:pStyle w:val="Body"/>
              <w:rPr>
                <w:rFonts w:ascii="Arial" w:hAnsi="Arial" w:cs="Arial"/>
              </w:rPr>
            </w:pPr>
            <w:r w:rsidRPr="005D004D">
              <w:rPr>
                <w:rFonts w:ascii="Arial" w:hAnsi="Arial" w:cs="Arial"/>
                <w:b/>
                <w:bCs/>
              </w:rPr>
              <w:t xml:space="preserve">     </w:t>
            </w:r>
          </w:p>
          <w:p w14:paraId="5D13B399" w14:textId="77777777" w:rsidR="005D004D" w:rsidRPr="005D004D" w:rsidRDefault="005D004D" w:rsidP="005D004D">
            <w:pPr>
              <w:pStyle w:val="Body"/>
              <w:rPr>
                <w:rFonts w:ascii="Arial" w:hAnsi="Arial" w:cs="Arial"/>
              </w:rPr>
            </w:pPr>
          </w:p>
          <w:p w14:paraId="76B46F54" w14:textId="77777777" w:rsidR="005D004D" w:rsidRPr="005D004D" w:rsidRDefault="005D004D" w:rsidP="005D004D">
            <w:pPr>
              <w:pStyle w:val="Body"/>
              <w:rPr>
                <w:rFonts w:ascii="Arial" w:hAnsi="Arial" w:cs="Arial"/>
              </w:rPr>
            </w:pPr>
          </w:p>
          <w:p w14:paraId="031FEE38" w14:textId="77777777" w:rsidR="005D004D" w:rsidRPr="005D004D" w:rsidRDefault="005D004D" w:rsidP="005D004D">
            <w:pPr>
              <w:pStyle w:val="Body"/>
              <w:rPr>
                <w:rFonts w:ascii="Arial" w:hAnsi="Arial" w:cs="Arial"/>
                <w:b/>
                <w:bCs/>
                <w:lang w:val="fr-FR"/>
              </w:rPr>
            </w:pPr>
            <w:r w:rsidRPr="005D004D">
              <w:rPr>
                <w:rFonts w:ascii="Arial" w:hAnsi="Arial" w:cs="Arial"/>
                <w:b/>
                <w:bCs/>
              </w:rPr>
              <w:t xml:space="preserve"> PCR 2</w:t>
            </w:r>
          </w:p>
        </w:tc>
        <w:tc>
          <w:tcPr>
            <w:tcW w:w="1135" w:type="dxa"/>
            <w:hideMark/>
          </w:tcPr>
          <w:p w14:paraId="7B0281D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c>
          <w:tcPr>
            <w:tcW w:w="1684" w:type="dxa"/>
            <w:hideMark/>
          </w:tcPr>
          <w:p w14:paraId="2A3B97A8"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initial denaturation</w:t>
            </w:r>
          </w:p>
        </w:tc>
        <w:tc>
          <w:tcPr>
            <w:tcW w:w="1645" w:type="dxa"/>
            <w:hideMark/>
          </w:tcPr>
          <w:p w14:paraId="4B35D95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95</w:t>
            </w:r>
          </w:p>
        </w:tc>
        <w:tc>
          <w:tcPr>
            <w:tcW w:w="1324" w:type="dxa"/>
            <w:hideMark/>
          </w:tcPr>
          <w:p w14:paraId="6BDF486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xml:space="preserve">  15 min</w:t>
            </w:r>
          </w:p>
        </w:tc>
        <w:tc>
          <w:tcPr>
            <w:tcW w:w="1646" w:type="dxa"/>
            <w:hideMark/>
          </w:tcPr>
          <w:p w14:paraId="6FEA606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r>
      <w:tr w:rsidR="005D004D" w:rsidRPr="005D004D" w14:paraId="31D266AE" w14:textId="77777777" w:rsidTr="005D004D">
        <w:trPr>
          <w:trHeight w:val="170"/>
        </w:trPr>
        <w:tc>
          <w:tcPr>
            <w:cnfStyle w:val="001000000000" w:firstRow="0" w:lastRow="0" w:firstColumn="1" w:lastColumn="0" w:oddVBand="0" w:evenVBand="0" w:oddHBand="0" w:evenHBand="0" w:firstRowFirstColumn="0" w:firstRowLastColumn="0" w:lastRowFirstColumn="0" w:lastRowLastColumn="0"/>
            <w:tcW w:w="0" w:type="auto"/>
            <w:vMerge/>
            <w:hideMark/>
          </w:tcPr>
          <w:p w14:paraId="54F566A3" w14:textId="77777777" w:rsidR="005D004D" w:rsidRPr="005D004D" w:rsidRDefault="005D004D" w:rsidP="005D004D">
            <w:pPr>
              <w:pStyle w:val="Body"/>
              <w:rPr>
                <w:rFonts w:ascii="Arial" w:hAnsi="Arial" w:cs="Arial"/>
                <w:b/>
                <w:bCs/>
                <w:lang w:val="fr-FR"/>
              </w:rPr>
            </w:pPr>
          </w:p>
        </w:tc>
        <w:tc>
          <w:tcPr>
            <w:tcW w:w="1135" w:type="dxa"/>
            <w:vMerge w:val="restart"/>
            <w:hideMark/>
          </w:tcPr>
          <w:p w14:paraId="656F52E1"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2</w:t>
            </w:r>
          </w:p>
        </w:tc>
        <w:tc>
          <w:tcPr>
            <w:tcW w:w="1684" w:type="dxa"/>
            <w:hideMark/>
          </w:tcPr>
          <w:p w14:paraId="7ACB6F81"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w:t>
            </w:r>
          </w:p>
        </w:tc>
        <w:tc>
          <w:tcPr>
            <w:tcW w:w="1645" w:type="dxa"/>
            <w:vMerge w:val="restart"/>
            <w:hideMark/>
          </w:tcPr>
          <w:p w14:paraId="6981AC0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95</w:t>
            </w:r>
          </w:p>
        </w:tc>
        <w:tc>
          <w:tcPr>
            <w:tcW w:w="1324" w:type="dxa"/>
            <w:vMerge w:val="restart"/>
            <w:hideMark/>
          </w:tcPr>
          <w:p w14:paraId="2EB1BEFF"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xml:space="preserve">    30 s</w:t>
            </w:r>
          </w:p>
        </w:tc>
        <w:tc>
          <w:tcPr>
            <w:tcW w:w="1646" w:type="dxa"/>
            <w:vMerge w:val="restart"/>
            <w:hideMark/>
          </w:tcPr>
          <w:p w14:paraId="73F8FB6C"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3F278A4A" w14:textId="77777777" w:rsidTr="005D00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6FB9F235" w14:textId="77777777" w:rsidR="005D004D" w:rsidRPr="005D004D" w:rsidRDefault="005D004D" w:rsidP="005D004D">
            <w:pPr>
              <w:pStyle w:val="Body"/>
              <w:rPr>
                <w:rFonts w:ascii="Arial" w:hAnsi="Arial" w:cs="Arial"/>
                <w:b/>
                <w:bCs/>
                <w:lang w:val="fr-FR"/>
              </w:rPr>
            </w:pPr>
          </w:p>
        </w:tc>
        <w:tc>
          <w:tcPr>
            <w:tcW w:w="0" w:type="auto"/>
            <w:vMerge/>
            <w:hideMark/>
          </w:tcPr>
          <w:p w14:paraId="4B8DC2A8"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1684" w:type="dxa"/>
            <w:hideMark/>
          </w:tcPr>
          <w:p w14:paraId="187173FC"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Denaturation</w:t>
            </w:r>
          </w:p>
        </w:tc>
        <w:tc>
          <w:tcPr>
            <w:tcW w:w="0" w:type="auto"/>
            <w:vMerge/>
            <w:hideMark/>
          </w:tcPr>
          <w:p w14:paraId="537B52E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hideMark/>
          </w:tcPr>
          <w:p w14:paraId="3D2939C5"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hideMark/>
          </w:tcPr>
          <w:p w14:paraId="719A151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r>
      <w:tr w:rsidR="005D004D" w:rsidRPr="005D004D" w14:paraId="74EBDCE7" w14:textId="77777777" w:rsidTr="005D004D">
        <w:trPr>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6AF1139E" w14:textId="77777777" w:rsidR="005D004D" w:rsidRPr="005D004D" w:rsidRDefault="005D004D" w:rsidP="005D004D">
            <w:pPr>
              <w:pStyle w:val="Body"/>
              <w:rPr>
                <w:rFonts w:ascii="Arial" w:hAnsi="Arial" w:cs="Arial"/>
                <w:b/>
                <w:bCs/>
                <w:lang w:val="fr-FR"/>
              </w:rPr>
            </w:pPr>
          </w:p>
        </w:tc>
        <w:tc>
          <w:tcPr>
            <w:tcW w:w="1135" w:type="dxa"/>
            <w:hideMark/>
          </w:tcPr>
          <w:p w14:paraId="3D8A9354"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3</w:t>
            </w:r>
          </w:p>
        </w:tc>
        <w:tc>
          <w:tcPr>
            <w:tcW w:w="1684" w:type="dxa"/>
            <w:hideMark/>
          </w:tcPr>
          <w:p w14:paraId="0842CBF8"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Hybridization</w:t>
            </w:r>
          </w:p>
        </w:tc>
        <w:tc>
          <w:tcPr>
            <w:tcW w:w="1645" w:type="dxa"/>
            <w:hideMark/>
          </w:tcPr>
          <w:p w14:paraId="0597A364"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60</w:t>
            </w:r>
          </w:p>
        </w:tc>
        <w:tc>
          <w:tcPr>
            <w:tcW w:w="1324" w:type="dxa"/>
            <w:hideMark/>
          </w:tcPr>
          <w:p w14:paraId="2563F2F2"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 min</w:t>
            </w:r>
          </w:p>
        </w:tc>
        <w:tc>
          <w:tcPr>
            <w:tcW w:w="1646" w:type="dxa"/>
            <w:hideMark/>
          </w:tcPr>
          <w:p w14:paraId="066BE990"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40</w:t>
            </w:r>
          </w:p>
        </w:tc>
      </w:tr>
      <w:tr w:rsidR="005D004D" w:rsidRPr="005D004D" w14:paraId="662E4217" w14:textId="77777777" w:rsidTr="005D00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17866E79" w14:textId="77777777" w:rsidR="005D004D" w:rsidRPr="005D004D" w:rsidRDefault="005D004D" w:rsidP="005D004D">
            <w:pPr>
              <w:pStyle w:val="Body"/>
              <w:rPr>
                <w:rFonts w:ascii="Arial" w:hAnsi="Arial" w:cs="Arial"/>
                <w:b/>
                <w:bCs/>
                <w:lang w:val="fr-FR"/>
              </w:rPr>
            </w:pPr>
          </w:p>
        </w:tc>
        <w:tc>
          <w:tcPr>
            <w:tcW w:w="1135" w:type="dxa"/>
            <w:hideMark/>
          </w:tcPr>
          <w:p w14:paraId="1B48E8CF"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4</w:t>
            </w:r>
          </w:p>
        </w:tc>
        <w:tc>
          <w:tcPr>
            <w:tcW w:w="1684" w:type="dxa"/>
            <w:hideMark/>
          </w:tcPr>
          <w:p w14:paraId="5718004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Extension</w:t>
            </w:r>
          </w:p>
        </w:tc>
        <w:tc>
          <w:tcPr>
            <w:tcW w:w="1645" w:type="dxa"/>
            <w:hideMark/>
          </w:tcPr>
          <w:p w14:paraId="4ED05F2A"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72</w:t>
            </w:r>
          </w:p>
        </w:tc>
        <w:tc>
          <w:tcPr>
            <w:tcW w:w="1324" w:type="dxa"/>
            <w:hideMark/>
          </w:tcPr>
          <w:p w14:paraId="2ADFBC41"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 min</w:t>
            </w:r>
          </w:p>
        </w:tc>
        <w:tc>
          <w:tcPr>
            <w:tcW w:w="1646" w:type="dxa"/>
            <w:hideMark/>
          </w:tcPr>
          <w:p w14:paraId="6445D5F7"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657DD6DC" w14:textId="77777777" w:rsidTr="005D004D">
        <w:trPr>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17AA52A3" w14:textId="77777777" w:rsidR="005D004D" w:rsidRPr="005D004D" w:rsidRDefault="005D004D" w:rsidP="005D004D">
            <w:pPr>
              <w:pStyle w:val="Body"/>
              <w:rPr>
                <w:rFonts w:ascii="Arial" w:hAnsi="Arial" w:cs="Arial"/>
                <w:b/>
                <w:bCs/>
                <w:lang w:val="fr-FR"/>
              </w:rPr>
            </w:pPr>
          </w:p>
        </w:tc>
        <w:tc>
          <w:tcPr>
            <w:tcW w:w="1135" w:type="dxa"/>
            <w:hideMark/>
          </w:tcPr>
          <w:p w14:paraId="7C30E85D"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5</w:t>
            </w:r>
          </w:p>
        </w:tc>
        <w:tc>
          <w:tcPr>
            <w:tcW w:w="1684" w:type="dxa"/>
            <w:hideMark/>
          </w:tcPr>
          <w:p w14:paraId="7B4F3DFA"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Final extension</w:t>
            </w:r>
          </w:p>
        </w:tc>
        <w:tc>
          <w:tcPr>
            <w:tcW w:w="1645" w:type="dxa"/>
            <w:hideMark/>
          </w:tcPr>
          <w:p w14:paraId="2A09AC50"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72</w:t>
            </w:r>
          </w:p>
        </w:tc>
        <w:tc>
          <w:tcPr>
            <w:tcW w:w="1324" w:type="dxa"/>
            <w:hideMark/>
          </w:tcPr>
          <w:p w14:paraId="502442B7"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10 min.</w:t>
            </w:r>
          </w:p>
        </w:tc>
        <w:tc>
          <w:tcPr>
            <w:tcW w:w="1646" w:type="dxa"/>
            <w:hideMark/>
          </w:tcPr>
          <w:p w14:paraId="1A205587"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w:t>
            </w:r>
          </w:p>
        </w:tc>
      </w:tr>
    </w:tbl>
    <w:p w14:paraId="4C6CCBE2" w14:textId="77777777" w:rsidR="005D004D" w:rsidRPr="003E2A97" w:rsidRDefault="005D004D" w:rsidP="00AB5F08">
      <w:pPr>
        <w:pStyle w:val="Body"/>
        <w:rPr>
          <w:rFonts w:ascii="Arial" w:hAnsi="Arial" w:cs="Arial"/>
          <w:i/>
          <w:iCs/>
        </w:rPr>
      </w:pPr>
    </w:p>
    <w:p w14:paraId="0FB3E418" w14:textId="2DE17431" w:rsidR="00604CAA" w:rsidRDefault="00B37701" w:rsidP="00604CAA">
      <w:pPr>
        <w:pStyle w:val="Body"/>
        <w:rPr>
          <w:rFonts w:ascii="Arial" w:hAnsi="Arial" w:cs="Arial"/>
        </w:rPr>
      </w:pPr>
      <w:r w:rsidRPr="00B37701">
        <w:rPr>
          <w:rFonts w:ascii="Arial" w:hAnsi="Arial" w:cs="Arial"/>
          <w:b/>
        </w:rPr>
        <w:t>Table II</w:t>
      </w:r>
      <w:r w:rsidRPr="00B37701">
        <w:rPr>
          <w:rFonts w:ascii="Arial" w:hAnsi="Arial" w:cs="Arial"/>
        </w:rPr>
        <w:t xml:space="preserve">: </w:t>
      </w:r>
      <w:r w:rsidRPr="00B37701">
        <w:rPr>
          <w:rFonts w:ascii="Arial" w:hAnsi="Arial" w:cs="Arial"/>
          <w:i/>
        </w:rPr>
        <w:t xml:space="preserve">pfmdr-1 </w:t>
      </w:r>
      <w:r w:rsidRPr="00B37701">
        <w:rPr>
          <w:rFonts w:ascii="Arial" w:hAnsi="Arial" w:cs="Arial"/>
        </w:rPr>
        <w:t>gene amplification program</w:t>
      </w:r>
    </w:p>
    <w:tbl>
      <w:tblPr>
        <w:tblStyle w:val="Tableausimple3"/>
        <w:tblW w:w="8600" w:type="dxa"/>
        <w:tblLook w:val="04A0" w:firstRow="1" w:lastRow="0" w:firstColumn="1" w:lastColumn="0" w:noHBand="0" w:noVBand="1"/>
      </w:tblPr>
      <w:tblGrid>
        <w:gridCol w:w="1200"/>
        <w:gridCol w:w="1200"/>
        <w:gridCol w:w="1780"/>
        <w:gridCol w:w="1361"/>
        <w:gridCol w:w="1400"/>
        <w:gridCol w:w="1740"/>
      </w:tblGrid>
      <w:tr w:rsidR="005D004D" w:rsidRPr="0065139E" w14:paraId="6E3B8637" w14:textId="77777777" w:rsidTr="005D004D">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200" w:type="dxa"/>
            <w:tcBorders>
              <w:top w:val="nil"/>
              <w:left w:val="nil"/>
            </w:tcBorders>
            <w:noWrap/>
            <w:hideMark/>
          </w:tcPr>
          <w:p w14:paraId="046C36F9" w14:textId="77777777" w:rsidR="005D004D" w:rsidRPr="0065139E" w:rsidRDefault="005D004D" w:rsidP="005D004D">
            <w:pPr>
              <w:pStyle w:val="Body"/>
              <w:rPr>
                <w:rFonts w:ascii="Arial" w:hAnsi="Arial" w:cs="Arial"/>
                <w:b w:val="0"/>
                <w:bCs w:val="0"/>
                <w:lang w:val="fr-FR"/>
              </w:rPr>
            </w:pPr>
          </w:p>
        </w:tc>
        <w:tc>
          <w:tcPr>
            <w:tcW w:w="1200" w:type="dxa"/>
            <w:tcBorders>
              <w:top w:val="nil"/>
              <w:left w:val="nil"/>
              <w:right w:val="nil"/>
            </w:tcBorders>
            <w:noWrap/>
            <w:hideMark/>
          </w:tcPr>
          <w:p w14:paraId="4685A2D5" w14:textId="426ED1AD" w:rsidR="005D004D" w:rsidRPr="0065139E" w:rsidRDefault="0065139E"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65139E">
              <w:rPr>
                <w:rFonts w:ascii="Arial" w:hAnsi="Arial" w:cs="Arial"/>
                <w:b w:val="0"/>
                <w:bCs w:val="0"/>
                <w:caps w:val="0"/>
              </w:rPr>
              <w:t>Steps</w:t>
            </w:r>
          </w:p>
        </w:tc>
        <w:tc>
          <w:tcPr>
            <w:tcW w:w="1780" w:type="dxa"/>
            <w:tcBorders>
              <w:top w:val="nil"/>
              <w:left w:val="nil"/>
              <w:right w:val="nil"/>
            </w:tcBorders>
            <w:noWrap/>
            <w:hideMark/>
          </w:tcPr>
          <w:p w14:paraId="0FC49DF3" w14:textId="21A14DEF" w:rsidR="005D004D" w:rsidRPr="0065139E" w:rsidRDefault="0065139E"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65139E">
              <w:rPr>
                <w:rFonts w:ascii="Arial" w:hAnsi="Arial" w:cs="Arial"/>
                <w:b w:val="0"/>
                <w:bCs w:val="0"/>
                <w:caps w:val="0"/>
                <w:lang w:val="fr-FR"/>
              </w:rPr>
              <w:t>Cycles</w:t>
            </w:r>
          </w:p>
        </w:tc>
        <w:tc>
          <w:tcPr>
            <w:tcW w:w="1280" w:type="dxa"/>
            <w:tcBorders>
              <w:top w:val="nil"/>
              <w:left w:val="nil"/>
              <w:right w:val="nil"/>
            </w:tcBorders>
            <w:noWrap/>
            <w:hideMark/>
          </w:tcPr>
          <w:p w14:paraId="04EC1B38" w14:textId="348A6118" w:rsidR="005D004D" w:rsidRPr="0065139E" w:rsidRDefault="0065139E"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65139E">
              <w:rPr>
                <w:rFonts w:ascii="Arial" w:hAnsi="Arial" w:cs="Arial"/>
                <w:b w:val="0"/>
                <w:bCs w:val="0"/>
                <w:caps w:val="0"/>
                <w:lang w:val="fr-FR"/>
              </w:rPr>
              <w:t>Temperature</w:t>
            </w:r>
            <w:proofErr w:type="spellEnd"/>
            <w:r w:rsidRPr="0065139E">
              <w:rPr>
                <w:rFonts w:ascii="Arial" w:hAnsi="Arial" w:cs="Arial"/>
                <w:b w:val="0"/>
                <w:bCs w:val="0"/>
                <w:caps w:val="0"/>
                <w:lang w:val="fr-FR"/>
              </w:rPr>
              <w:t xml:space="preserve"> (°c)</w:t>
            </w:r>
          </w:p>
        </w:tc>
        <w:tc>
          <w:tcPr>
            <w:tcW w:w="1400" w:type="dxa"/>
            <w:tcBorders>
              <w:top w:val="nil"/>
              <w:left w:val="nil"/>
              <w:right w:val="nil"/>
            </w:tcBorders>
            <w:noWrap/>
            <w:hideMark/>
          </w:tcPr>
          <w:p w14:paraId="70DCDFB3" w14:textId="2CC16A3B" w:rsidR="005D004D" w:rsidRPr="0065139E" w:rsidRDefault="0065139E"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65139E">
              <w:rPr>
                <w:rFonts w:ascii="Arial" w:hAnsi="Arial" w:cs="Arial"/>
                <w:b w:val="0"/>
                <w:bCs w:val="0"/>
                <w:caps w:val="0"/>
                <w:lang w:val="fr-FR"/>
              </w:rPr>
              <w:t>Time (min)</w:t>
            </w:r>
          </w:p>
        </w:tc>
        <w:tc>
          <w:tcPr>
            <w:tcW w:w="1740" w:type="dxa"/>
            <w:tcBorders>
              <w:top w:val="nil"/>
              <w:left w:val="nil"/>
              <w:right w:val="nil"/>
            </w:tcBorders>
            <w:noWrap/>
            <w:hideMark/>
          </w:tcPr>
          <w:p w14:paraId="647EC43F" w14:textId="2035FFD7" w:rsidR="005D004D" w:rsidRPr="0065139E" w:rsidRDefault="0065139E"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65139E">
              <w:rPr>
                <w:rFonts w:ascii="Arial" w:hAnsi="Arial" w:cs="Arial"/>
                <w:b w:val="0"/>
                <w:bCs w:val="0"/>
                <w:caps w:val="0"/>
                <w:lang w:val="fr-FR"/>
              </w:rPr>
              <w:t>Number</w:t>
            </w:r>
            <w:proofErr w:type="spellEnd"/>
            <w:r w:rsidRPr="0065139E">
              <w:rPr>
                <w:rFonts w:ascii="Arial" w:hAnsi="Arial" w:cs="Arial"/>
                <w:b w:val="0"/>
                <w:bCs w:val="0"/>
                <w:caps w:val="0"/>
                <w:lang w:val="fr-FR"/>
              </w:rPr>
              <w:t xml:space="preserve"> cycles</w:t>
            </w:r>
          </w:p>
        </w:tc>
      </w:tr>
      <w:tr w:rsidR="005D004D" w:rsidRPr="005D004D" w14:paraId="3C6701EA" w14:textId="77777777" w:rsidTr="005D00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tcBorders>
              <w:top w:val="nil"/>
              <w:left w:val="nil"/>
              <w:bottom w:val="nil"/>
            </w:tcBorders>
          </w:tcPr>
          <w:p w14:paraId="7C98EA4E" w14:textId="77777777" w:rsidR="005D004D" w:rsidRPr="005D004D" w:rsidRDefault="005D004D" w:rsidP="005D004D">
            <w:pPr>
              <w:pStyle w:val="Body"/>
              <w:rPr>
                <w:rFonts w:ascii="Arial" w:hAnsi="Arial" w:cs="Arial"/>
                <w:b w:val="0"/>
              </w:rPr>
            </w:pPr>
            <w:r w:rsidRPr="005D004D">
              <w:rPr>
                <w:rFonts w:ascii="Arial" w:hAnsi="Arial" w:cs="Arial"/>
              </w:rPr>
              <w:t xml:space="preserve">     </w:t>
            </w:r>
          </w:p>
          <w:p w14:paraId="1161BC22" w14:textId="77777777" w:rsidR="005D004D" w:rsidRPr="005D004D" w:rsidRDefault="005D004D" w:rsidP="005D004D">
            <w:pPr>
              <w:pStyle w:val="Body"/>
              <w:rPr>
                <w:rFonts w:ascii="Arial" w:hAnsi="Arial" w:cs="Arial"/>
                <w:b w:val="0"/>
              </w:rPr>
            </w:pPr>
          </w:p>
          <w:p w14:paraId="6D7B1953" w14:textId="77777777" w:rsidR="005D004D" w:rsidRPr="005D004D" w:rsidRDefault="005D004D" w:rsidP="005D004D">
            <w:pPr>
              <w:pStyle w:val="Body"/>
              <w:rPr>
                <w:rFonts w:ascii="Arial" w:hAnsi="Arial" w:cs="Arial"/>
                <w:b w:val="0"/>
              </w:rPr>
            </w:pPr>
          </w:p>
          <w:p w14:paraId="26876F1A" w14:textId="77777777" w:rsidR="005D004D" w:rsidRPr="005D004D" w:rsidRDefault="005D004D" w:rsidP="005D004D">
            <w:pPr>
              <w:pStyle w:val="Body"/>
              <w:rPr>
                <w:rFonts w:ascii="Arial" w:hAnsi="Arial" w:cs="Arial"/>
                <w:b w:val="0"/>
              </w:rPr>
            </w:pPr>
          </w:p>
          <w:p w14:paraId="34BE0C4B" w14:textId="77777777" w:rsidR="005D004D" w:rsidRPr="005D004D" w:rsidRDefault="005D004D" w:rsidP="005D004D">
            <w:pPr>
              <w:pStyle w:val="Body"/>
              <w:rPr>
                <w:rFonts w:ascii="Arial" w:hAnsi="Arial" w:cs="Arial"/>
                <w:b w:val="0"/>
              </w:rPr>
            </w:pPr>
          </w:p>
          <w:p w14:paraId="79EA5689" w14:textId="77777777" w:rsidR="005D004D" w:rsidRPr="005D004D" w:rsidRDefault="005D004D" w:rsidP="005D004D">
            <w:pPr>
              <w:pStyle w:val="Body"/>
              <w:rPr>
                <w:rFonts w:ascii="Arial" w:hAnsi="Arial" w:cs="Arial"/>
                <w:lang w:val="fr-FR"/>
              </w:rPr>
            </w:pPr>
            <w:r w:rsidRPr="005D004D">
              <w:rPr>
                <w:rFonts w:ascii="Arial" w:hAnsi="Arial" w:cs="Arial"/>
              </w:rPr>
              <w:t xml:space="preserve"> PCR 1</w:t>
            </w:r>
          </w:p>
        </w:tc>
        <w:tc>
          <w:tcPr>
            <w:tcW w:w="1200" w:type="dxa"/>
            <w:hideMark/>
          </w:tcPr>
          <w:p w14:paraId="2E06B5F0"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c>
          <w:tcPr>
            <w:tcW w:w="1780" w:type="dxa"/>
            <w:hideMark/>
          </w:tcPr>
          <w:p w14:paraId="527E8EE1"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xml:space="preserve">Initial denaturation </w:t>
            </w:r>
          </w:p>
        </w:tc>
        <w:tc>
          <w:tcPr>
            <w:tcW w:w="1280" w:type="dxa"/>
            <w:hideMark/>
          </w:tcPr>
          <w:p w14:paraId="5C3C2DA5"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95</w:t>
            </w:r>
          </w:p>
        </w:tc>
        <w:tc>
          <w:tcPr>
            <w:tcW w:w="1400" w:type="dxa"/>
            <w:hideMark/>
          </w:tcPr>
          <w:p w14:paraId="0BAFFFF7"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xml:space="preserve">  5 min</w:t>
            </w:r>
          </w:p>
        </w:tc>
        <w:tc>
          <w:tcPr>
            <w:tcW w:w="1740" w:type="dxa"/>
            <w:hideMark/>
          </w:tcPr>
          <w:p w14:paraId="79FB6538"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r>
      <w:tr w:rsidR="005D004D" w:rsidRPr="005D004D" w14:paraId="55A1BFF9" w14:textId="77777777" w:rsidTr="005D004D">
        <w:trPr>
          <w:trHeight w:val="47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56C14F7D" w14:textId="77777777" w:rsidR="005D004D" w:rsidRPr="005D004D" w:rsidRDefault="005D004D" w:rsidP="005D004D">
            <w:pPr>
              <w:pStyle w:val="Body"/>
              <w:rPr>
                <w:rFonts w:ascii="Arial" w:hAnsi="Arial" w:cs="Arial"/>
                <w:lang w:val="fr-FR"/>
              </w:rPr>
            </w:pPr>
          </w:p>
        </w:tc>
        <w:tc>
          <w:tcPr>
            <w:tcW w:w="1200" w:type="dxa"/>
            <w:vMerge w:val="restart"/>
            <w:hideMark/>
          </w:tcPr>
          <w:p w14:paraId="51135450"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2</w:t>
            </w:r>
          </w:p>
        </w:tc>
        <w:tc>
          <w:tcPr>
            <w:tcW w:w="1780" w:type="dxa"/>
            <w:vMerge w:val="restart"/>
            <w:hideMark/>
          </w:tcPr>
          <w:p w14:paraId="6D965C1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Denaturation</w:t>
            </w:r>
          </w:p>
        </w:tc>
        <w:tc>
          <w:tcPr>
            <w:tcW w:w="1280" w:type="dxa"/>
            <w:vMerge w:val="restart"/>
            <w:hideMark/>
          </w:tcPr>
          <w:p w14:paraId="3C581F85"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95</w:t>
            </w:r>
          </w:p>
        </w:tc>
        <w:tc>
          <w:tcPr>
            <w:tcW w:w="1400" w:type="dxa"/>
            <w:vMerge w:val="restart"/>
            <w:hideMark/>
          </w:tcPr>
          <w:p w14:paraId="1BBE15A6"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xml:space="preserve">    1 min </w:t>
            </w:r>
          </w:p>
        </w:tc>
        <w:tc>
          <w:tcPr>
            <w:tcW w:w="1740" w:type="dxa"/>
            <w:vMerge w:val="restart"/>
            <w:hideMark/>
          </w:tcPr>
          <w:p w14:paraId="66513D18"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5BBBC3A7" w14:textId="77777777" w:rsidTr="005D004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394E8FC5" w14:textId="77777777" w:rsidR="005D004D" w:rsidRPr="005D004D" w:rsidRDefault="005D004D" w:rsidP="005D004D">
            <w:pPr>
              <w:pStyle w:val="Body"/>
              <w:rPr>
                <w:rFonts w:ascii="Arial" w:hAnsi="Arial" w:cs="Arial"/>
                <w:lang w:val="fr-FR"/>
              </w:rPr>
            </w:pPr>
          </w:p>
        </w:tc>
        <w:tc>
          <w:tcPr>
            <w:tcW w:w="0" w:type="auto"/>
            <w:vMerge/>
            <w:vAlign w:val="center"/>
            <w:hideMark/>
          </w:tcPr>
          <w:p w14:paraId="15EE4A0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vAlign w:val="center"/>
            <w:hideMark/>
          </w:tcPr>
          <w:p w14:paraId="719A3FEF"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vAlign w:val="center"/>
            <w:hideMark/>
          </w:tcPr>
          <w:p w14:paraId="4593B4C7"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vAlign w:val="center"/>
            <w:hideMark/>
          </w:tcPr>
          <w:p w14:paraId="4E8B00FF"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vAlign w:val="center"/>
            <w:hideMark/>
          </w:tcPr>
          <w:p w14:paraId="45B21426"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r>
      <w:tr w:rsidR="005D004D" w:rsidRPr="005D004D" w14:paraId="2B200D52" w14:textId="77777777" w:rsidTr="005D004D">
        <w:trPr>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4D4DD34E" w14:textId="77777777" w:rsidR="005D004D" w:rsidRPr="005D004D" w:rsidRDefault="005D004D" w:rsidP="005D004D">
            <w:pPr>
              <w:pStyle w:val="Body"/>
              <w:rPr>
                <w:rFonts w:ascii="Arial" w:hAnsi="Arial" w:cs="Arial"/>
                <w:lang w:val="fr-FR"/>
              </w:rPr>
            </w:pPr>
          </w:p>
        </w:tc>
        <w:tc>
          <w:tcPr>
            <w:tcW w:w="1200" w:type="dxa"/>
            <w:hideMark/>
          </w:tcPr>
          <w:p w14:paraId="3DB037EB"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3</w:t>
            </w:r>
          </w:p>
        </w:tc>
        <w:tc>
          <w:tcPr>
            <w:tcW w:w="1780" w:type="dxa"/>
            <w:hideMark/>
          </w:tcPr>
          <w:p w14:paraId="2C5E1162"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Hybridization</w:t>
            </w:r>
          </w:p>
        </w:tc>
        <w:tc>
          <w:tcPr>
            <w:tcW w:w="1280" w:type="dxa"/>
            <w:hideMark/>
          </w:tcPr>
          <w:p w14:paraId="2FCD9C5E"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58</w:t>
            </w:r>
          </w:p>
        </w:tc>
        <w:tc>
          <w:tcPr>
            <w:tcW w:w="1400" w:type="dxa"/>
            <w:hideMark/>
          </w:tcPr>
          <w:p w14:paraId="7DF48BB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 min 30s</w:t>
            </w:r>
          </w:p>
        </w:tc>
        <w:tc>
          <w:tcPr>
            <w:tcW w:w="1740" w:type="dxa"/>
            <w:hideMark/>
          </w:tcPr>
          <w:p w14:paraId="29A146A6"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35</w:t>
            </w:r>
          </w:p>
        </w:tc>
      </w:tr>
      <w:tr w:rsidR="005D004D" w:rsidRPr="005D004D" w14:paraId="5AFD8944" w14:textId="77777777" w:rsidTr="005D00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07ABD36A" w14:textId="77777777" w:rsidR="005D004D" w:rsidRPr="005D004D" w:rsidRDefault="005D004D" w:rsidP="005D004D">
            <w:pPr>
              <w:pStyle w:val="Body"/>
              <w:rPr>
                <w:rFonts w:ascii="Arial" w:hAnsi="Arial" w:cs="Arial"/>
                <w:lang w:val="fr-FR"/>
              </w:rPr>
            </w:pPr>
          </w:p>
        </w:tc>
        <w:tc>
          <w:tcPr>
            <w:tcW w:w="1200" w:type="dxa"/>
            <w:hideMark/>
          </w:tcPr>
          <w:p w14:paraId="65DA4E11"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4</w:t>
            </w:r>
          </w:p>
        </w:tc>
        <w:tc>
          <w:tcPr>
            <w:tcW w:w="1780" w:type="dxa"/>
            <w:hideMark/>
          </w:tcPr>
          <w:p w14:paraId="02F1C3B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Extension</w:t>
            </w:r>
          </w:p>
        </w:tc>
        <w:tc>
          <w:tcPr>
            <w:tcW w:w="1280" w:type="dxa"/>
            <w:hideMark/>
          </w:tcPr>
          <w:p w14:paraId="0FEEC9CF"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72</w:t>
            </w:r>
          </w:p>
        </w:tc>
        <w:tc>
          <w:tcPr>
            <w:tcW w:w="1400" w:type="dxa"/>
            <w:hideMark/>
          </w:tcPr>
          <w:p w14:paraId="56C0BAC1"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2 min</w:t>
            </w:r>
          </w:p>
        </w:tc>
        <w:tc>
          <w:tcPr>
            <w:tcW w:w="1740" w:type="dxa"/>
            <w:hideMark/>
          </w:tcPr>
          <w:p w14:paraId="3AC96391"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173A816F" w14:textId="77777777" w:rsidTr="005D004D">
        <w:trPr>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4B87DC81" w14:textId="77777777" w:rsidR="005D004D" w:rsidRPr="005D004D" w:rsidRDefault="005D004D" w:rsidP="005D004D">
            <w:pPr>
              <w:pStyle w:val="Body"/>
              <w:rPr>
                <w:rFonts w:ascii="Arial" w:hAnsi="Arial" w:cs="Arial"/>
                <w:lang w:val="fr-FR"/>
              </w:rPr>
            </w:pPr>
          </w:p>
        </w:tc>
        <w:tc>
          <w:tcPr>
            <w:tcW w:w="1200" w:type="dxa"/>
            <w:hideMark/>
          </w:tcPr>
          <w:p w14:paraId="362322CC"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5</w:t>
            </w:r>
          </w:p>
        </w:tc>
        <w:tc>
          <w:tcPr>
            <w:tcW w:w="1780" w:type="dxa"/>
            <w:hideMark/>
          </w:tcPr>
          <w:p w14:paraId="7CFAAF18"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Final extension</w:t>
            </w:r>
          </w:p>
        </w:tc>
        <w:tc>
          <w:tcPr>
            <w:tcW w:w="1280" w:type="dxa"/>
            <w:hideMark/>
          </w:tcPr>
          <w:p w14:paraId="381C1465"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72</w:t>
            </w:r>
          </w:p>
        </w:tc>
        <w:tc>
          <w:tcPr>
            <w:tcW w:w="1400" w:type="dxa"/>
            <w:hideMark/>
          </w:tcPr>
          <w:p w14:paraId="28473717"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8 min.</w:t>
            </w:r>
          </w:p>
        </w:tc>
        <w:tc>
          <w:tcPr>
            <w:tcW w:w="1740" w:type="dxa"/>
            <w:hideMark/>
          </w:tcPr>
          <w:p w14:paraId="4F19435F"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w:t>
            </w:r>
          </w:p>
        </w:tc>
      </w:tr>
      <w:tr w:rsidR="005D004D" w:rsidRPr="005D004D" w14:paraId="7F4CB53B" w14:textId="77777777" w:rsidTr="005D00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00" w:type="dxa"/>
            <w:gridSpan w:val="6"/>
            <w:tcBorders>
              <w:top w:val="nil"/>
              <w:left w:val="nil"/>
              <w:bottom w:val="nil"/>
            </w:tcBorders>
            <w:hideMark/>
          </w:tcPr>
          <w:p w14:paraId="3A8444B5" w14:textId="77777777" w:rsidR="005D004D" w:rsidRPr="005D004D" w:rsidRDefault="005D004D" w:rsidP="005D004D">
            <w:pPr>
              <w:pStyle w:val="Body"/>
              <w:rPr>
                <w:rFonts w:ascii="Arial" w:hAnsi="Arial" w:cs="Arial"/>
                <w:lang w:val="fr-FR"/>
              </w:rPr>
            </w:pPr>
            <w:r w:rsidRPr="005D004D">
              <w:rPr>
                <w:rFonts w:ascii="Arial" w:hAnsi="Arial" w:cs="Arial"/>
              </w:rPr>
              <w:t> </w:t>
            </w:r>
          </w:p>
        </w:tc>
      </w:tr>
      <w:tr w:rsidR="005D004D" w:rsidRPr="005D004D" w14:paraId="17EAAC33" w14:textId="77777777" w:rsidTr="005D004D">
        <w:trPr>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tcBorders>
              <w:top w:val="nil"/>
              <w:left w:val="nil"/>
              <w:bottom w:val="nil"/>
            </w:tcBorders>
          </w:tcPr>
          <w:p w14:paraId="3CD1A4B3" w14:textId="77777777" w:rsidR="005D004D" w:rsidRPr="005D004D" w:rsidRDefault="005D004D" w:rsidP="005D004D">
            <w:pPr>
              <w:pStyle w:val="Body"/>
              <w:rPr>
                <w:rFonts w:ascii="Arial" w:hAnsi="Arial" w:cs="Arial"/>
                <w:b w:val="0"/>
              </w:rPr>
            </w:pPr>
            <w:r w:rsidRPr="005D004D">
              <w:rPr>
                <w:rFonts w:ascii="Arial" w:hAnsi="Arial" w:cs="Arial"/>
              </w:rPr>
              <w:t xml:space="preserve">     </w:t>
            </w:r>
          </w:p>
          <w:p w14:paraId="51A84211" w14:textId="77777777" w:rsidR="005D004D" w:rsidRPr="005D004D" w:rsidRDefault="005D004D" w:rsidP="005D004D">
            <w:pPr>
              <w:pStyle w:val="Body"/>
              <w:rPr>
                <w:rFonts w:ascii="Arial" w:hAnsi="Arial" w:cs="Arial"/>
                <w:b w:val="0"/>
              </w:rPr>
            </w:pPr>
          </w:p>
          <w:p w14:paraId="3EFB5440" w14:textId="77777777" w:rsidR="005D004D" w:rsidRPr="005D004D" w:rsidRDefault="005D004D" w:rsidP="005D004D">
            <w:pPr>
              <w:pStyle w:val="Body"/>
              <w:rPr>
                <w:rFonts w:ascii="Arial" w:hAnsi="Arial" w:cs="Arial"/>
                <w:b w:val="0"/>
              </w:rPr>
            </w:pPr>
          </w:p>
          <w:p w14:paraId="4ADBFF6E" w14:textId="77777777" w:rsidR="005D004D" w:rsidRPr="005D004D" w:rsidRDefault="005D004D" w:rsidP="005D004D">
            <w:pPr>
              <w:pStyle w:val="Body"/>
              <w:rPr>
                <w:rFonts w:ascii="Arial" w:hAnsi="Arial" w:cs="Arial"/>
                <w:b w:val="0"/>
              </w:rPr>
            </w:pPr>
          </w:p>
          <w:p w14:paraId="74E2F32D" w14:textId="77777777" w:rsidR="005D004D" w:rsidRPr="005D004D" w:rsidRDefault="005D004D" w:rsidP="005D004D">
            <w:pPr>
              <w:pStyle w:val="Body"/>
              <w:rPr>
                <w:rFonts w:ascii="Arial" w:hAnsi="Arial" w:cs="Arial"/>
                <w:lang w:val="fr-FR"/>
              </w:rPr>
            </w:pPr>
            <w:r w:rsidRPr="005D004D">
              <w:rPr>
                <w:rFonts w:ascii="Arial" w:hAnsi="Arial" w:cs="Arial"/>
              </w:rPr>
              <w:t xml:space="preserve"> PCR 2</w:t>
            </w:r>
          </w:p>
        </w:tc>
        <w:tc>
          <w:tcPr>
            <w:tcW w:w="1200" w:type="dxa"/>
            <w:hideMark/>
          </w:tcPr>
          <w:p w14:paraId="41980BD8"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w:t>
            </w:r>
          </w:p>
        </w:tc>
        <w:tc>
          <w:tcPr>
            <w:tcW w:w="1780" w:type="dxa"/>
            <w:hideMark/>
          </w:tcPr>
          <w:p w14:paraId="010B391C"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initial denaturation</w:t>
            </w:r>
          </w:p>
        </w:tc>
        <w:tc>
          <w:tcPr>
            <w:tcW w:w="1280" w:type="dxa"/>
            <w:hideMark/>
          </w:tcPr>
          <w:p w14:paraId="269AA045"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95</w:t>
            </w:r>
          </w:p>
        </w:tc>
        <w:tc>
          <w:tcPr>
            <w:tcW w:w="1400" w:type="dxa"/>
            <w:hideMark/>
          </w:tcPr>
          <w:p w14:paraId="15033A48"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xml:space="preserve">  3 min</w:t>
            </w:r>
          </w:p>
        </w:tc>
        <w:tc>
          <w:tcPr>
            <w:tcW w:w="1740" w:type="dxa"/>
            <w:hideMark/>
          </w:tcPr>
          <w:p w14:paraId="37DF9883"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w:t>
            </w:r>
          </w:p>
        </w:tc>
      </w:tr>
      <w:tr w:rsidR="005D004D" w:rsidRPr="005D004D" w14:paraId="32F7F252" w14:textId="77777777" w:rsidTr="005D004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20DCF127" w14:textId="77777777" w:rsidR="005D004D" w:rsidRPr="005D004D" w:rsidRDefault="005D004D" w:rsidP="005D004D">
            <w:pPr>
              <w:pStyle w:val="Body"/>
              <w:rPr>
                <w:rFonts w:ascii="Arial" w:hAnsi="Arial" w:cs="Arial"/>
                <w:lang w:val="fr-FR"/>
              </w:rPr>
            </w:pPr>
          </w:p>
        </w:tc>
        <w:tc>
          <w:tcPr>
            <w:tcW w:w="1200" w:type="dxa"/>
            <w:vMerge w:val="restart"/>
            <w:hideMark/>
          </w:tcPr>
          <w:p w14:paraId="571C29BA"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2</w:t>
            </w:r>
          </w:p>
        </w:tc>
        <w:tc>
          <w:tcPr>
            <w:tcW w:w="1780" w:type="dxa"/>
            <w:hideMark/>
          </w:tcPr>
          <w:p w14:paraId="6E79A620"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w:t>
            </w:r>
          </w:p>
        </w:tc>
        <w:tc>
          <w:tcPr>
            <w:tcW w:w="1280" w:type="dxa"/>
            <w:vMerge w:val="restart"/>
            <w:hideMark/>
          </w:tcPr>
          <w:p w14:paraId="4BE7067F"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95</w:t>
            </w:r>
          </w:p>
        </w:tc>
        <w:tc>
          <w:tcPr>
            <w:tcW w:w="1400" w:type="dxa"/>
            <w:vMerge w:val="restart"/>
            <w:hideMark/>
          </w:tcPr>
          <w:p w14:paraId="78F10D20"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xml:space="preserve">    30 s</w:t>
            </w:r>
          </w:p>
        </w:tc>
        <w:tc>
          <w:tcPr>
            <w:tcW w:w="1740" w:type="dxa"/>
            <w:vMerge w:val="restart"/>
            <w:hideMark/>
          </w:tcPr>
          <w:p w14:paraId="52918068"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668E0F33" w14:textId="77777777" w:rsidTr="005D004D">
        <w:trPr>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6D17F3C7" w14:textId="77777777" w:rsidR="005D004D" w:rsidRPr="005D004D" w:rsidRDefault="005D004D" w:rsidP="005D004D">
            <w:pPr>
              <w:pStyle w:val="Body"/>
              <w:rPr>
                <w:rFonts w:ascii="Arial" w:hAnsi="Arial" w:cs="Arial"/>
                <w:lang w:val="fr-FR"/>
              </w:rPr>
            </w:pPr>
          </w:p>
        </w:tc>
        <w:tc>
          <w:tcPr>
            <w:tcW w:w="0" w:type="auto"/>
            <w:vMerge/>
            <w:vAlign w:val="center"/>
            <w:hideMark/>
          </w:tcPr>
          <w:p w14:paraId="4AEFF7C7"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780" w:type="dxa"/>
            <w:hideMark/>
          </w:tcPr>
          <w:p w14:paraId="73016914"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Denaturation</w:t>
            </w:r>
          </w:p>
        </w:tc>
        <w:tc>
          <w:tcPr>
            <w:tcW w:w="0" w:type="auto"/>
            <w:vMerge/>
            <w:vAlign w:val="center"/>
            <w:hideMark/>
          </w:tcPr>
          <w:p w14:paraId="182911AA"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0" w:type="auto"/>
            <w:vMerge/>
            <w:vAlign w:val="center"/>
            <w:hideMark/>
          </w:tcPr>
          <w:p w14:paraId="7A9761B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0" w:type="auto"/>
            <w:vMerge/>
            <w:vAlign w:val="center"/>
            <w:hideMark/>
          </w:tcPr>
          <w:p w14:paraId="1C8CF48A"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r w:rsidR="005D004D" w:rsidRPr="005D004D" w14:paraId="6FCBF499" w14:textId="77777777" w:rsidTr="005D00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72E9F2CA" w14:textId="77777777" w:rsidR="005D004D" w:rsidRPr="005D004D" w:rsidRDefault="005D004D" w:rsidP="005D004D">
            <w:pPr>
              <w:pStyle w:val="Body"/>
              <w:rPr>
                <w:rFonts w:ascii="Arial" w:hAnsi="Arial" w:cs="Arial"/>
                <w:lang w:val="fr-FR"/>
              </w:rPr>
            </w:pPr>
          </w:p>
        </w:tc>
        <w:tc>
          <w:tcPr>
            <w:tcW w:w="1200" w:type="dxa"/>
            <w:hideMark/>
          </w:tcPr>
          <w:p w14:paraId="1414125E"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3</w:t>
            </w:r>
          </w:p>
        </w:tc>
        <w:tc>
          <w:tcPr>
            <w:tcW w:w="1780" w:type="dxa"/>
            <w:hideMark/>
          </w:tcPr>
          <w:p w14:paraId="611151A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Hybridization</w:t>
            </w:r>
          </w:p>
        </w:tc>
        <w:tc>
          <w:tcPr>
            <w:tcW w:w="1280" w:type="dxa"/>
            <w:hideMark/>
          </w:tcPr>
          <w:p w14:paraId="70773628"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60</w:t>
            </w:r>
          </w:p>
        </w:tc>
        <w:tc>
          <w:tcPr>
            <w:tcW w:w="1400" w:type="dxa"/>
            <w:hideMark/>
          </w:tcPr>
          <w:p w14:paraId="28659458"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30 s</w:t>
            </w:r>
          </w:p>
        </w:tc>
        <w:tc>
          <w:tcPr>
            <w:tcW w:w="1740" w:type="dxa"/>
            <w:hideMark/>
          </w:tcPr>
          <w:p w14:paraId="5BF8B887"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35</w:t>
            </w:r>
          </w:p>
        </w:tc>
      </w:tr>
      <w:tr w:rsidR="005D004D" w:rsidRPr="005D004D" w14:paraId="1B41EE79" w14:textId="77777777" w:rsidTr="005D004D">
        <w:trPr>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7E737E73" w14:textId="77777777" w:rsidR="005D004D" w:rsidRPr="005D004D" w:rsidRDefault="005D004D" w:rsidP="005D004D">
            <w:pPr>
              <w:pStyle w:val="Body"/>
              <w:rPr>
                <w:rFonts w:ascii="Arial" w:hAnsi="Arial" w:cs="Arial"/>
                <w:lang w:val="fr-FR"/>
              </w:rPr>
            </w:pPr>
          </w:p>
        </w:tc>
        <w:tc>
          <w:tcPr>
            <w:tcW w:w="1200" w:type="dxa"/>
            <w:hideMark/>
          </w:tcPr>
          <w:p w14:paraId="2FC6FF22"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4</w:t>
            </w:r>
          </w:p>
        </w:tc>
        <w:tc>
          <w:tcPr>
            <w:tcW w:w="1780" w:type="dxa"/>
            <w:hideMark/>
          </w:tcPr>
          <w:p w14:paraId="003690D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Extension</w:t>
            </w:r>
          </w:p>
        </w:tc>
        <w:tc>
          <w:tcPr>
            <w:tcW w:w="1280" w:type="dxa"/>
            <w:hideMark/>
          </w:tcPr>
          <w:p w14:paraId="485F91F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72</w:t>
            </w:r>
          </w:p>
        </w:tc>
        <w:tc>
          <w:tcPr>
            <w:tcW w:w="1400" w:type="dxa"/>
            <w:hideMark/>
          </w:tcPr>
          <w:p w14:paraId="156FDFB1"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 min</w:t>
            </w:r>
          </w:p>
        </w:tc>
        <w:tc>
          <w:tcPr>
            <w:tcW w:w="1740" w:type="dxa"/>
            <w:hideMark/>
          </w:tcPr>
          <w:p w14:paraId="7FE5502E"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23BE235F" w14:textId="77777777" w:rsidTr="005D00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4B6651E0" w14:textId="77777777" w:rsidR="005D004D" w:rsidRPr="005D004D" w:rsidRDefault="005D004D" w:rsidP="005D004D">
            <w:pPr>
              <w:pStyle w:val="Body"/>
              <w:rPr>
                <w:rFonts w:ascii="Arial" w:hAnsi="Arial" w:cs="Arial"/>
                <w:lang w:val="fr-FR"/>
              </w:rPr>
            </w:pPr>
          </w:p>
        </w:tc>
        <w:tc>
          <w:tcPr>
            <w:tcW w:w="1200" w:type="dxa"/>
            <w:hideMark/>
          </w:tcPr>
          <w:p w14:paraId="2F5FE7E0"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5</w:t>
            </w:r>
          </w:p>
        </w:tc>
        <w:tc>
          <w:tcPr>
            <w:tcW w:w="1780" w:type="dxa"/>
            <w:hideMark/>
          </w:tcPr>
          <w:p w14:paraId="0D4F4CA0"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Final extension</w:t>
            </w:r>
          </w:p>
        </w:tc>
        <w:tc>
          <w:tcPr>
            <w:tcW w:w="1280" w:type="dxa"/>
            <w:hideMark/>
          </w:tcPr>
          <w:p w14:paraId="363B5E35"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72</w:t>
            </w:r>
          </w:p>
        </w:tc>
        <w:tc>
          <w:tcPr>
            <w:tcW w:w="1400" w:type="dxa"/>
            <w:hideMark/>
          </w:tcPr>
          <w:p w14:paraId="1E99E70E"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5 min.</w:t>
            </w:r>
          </w:p>
        </w:tc>
        <w:tc>
          <w:tcPr>
            <w:tcW w:w="1740" w:type="dxa"/>
            <w:hideMark/>
          </w:tcPr>
          <w:p w14:paraId="1141C8B9"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r>
    </w:tbl>
    <w:p w14:paraId="2879A7C9" w14:textId="77777777" w:rsidR="005D004D" w:rsidRDefault="005D004D" w:rsidP="00604CAA">
      <w:pPr>
        <w:pStyle w:val="Body"/>
        <w:rPr>
          <w:rFonts w:ascii="Arial" w:hAnsi="Arial" w:cs="Arial"/>
        </w:rPr>
      </w:pPr>
    </w:p>
    <w:p w14:paraId="27DE3F91" w14:textId="5879CB12" w:rsidR="006D2B48" w:rsidRDefault="00604CAA" w:rsidP="00604CAA">
      <w:pPr>
        <w:pStyle w:val="Body"/>
        <w:rPr>
          <w:rFonts w:ascii="Arial" w:hAnsi="Arial" w:cs="Arial"/>
        </w:rPr>
      </w:pPr>
      <w:r w:rsidRPr="00604CAA">
        <w:rPr>
          <w:rFonts w:ascii="Arial" w:hAnsi="Arial" w:cs="Arial"/>
          <w:b/>
        </w:rPr>
        <w:t xml:space="preserve">Table III: </w:t>
      </w:r>
      <w:r w:rsidRPr="00604CAA">
        <w:rPr>
          <w:rFonts w:ascii="Arial" w:hAnsi="Arial" w:cs="Arial"/>
        </w:rPr>
        <w:t>Sequences of primers used</w:t>
      </w:r>
      <w:r>
        <w:rPr>
          <w:rFonts w:ascii="Arial" w:hAnsi="Arial" w:cs="Arial"/>
        </w:rPr>
        <w:t xml:space="preserve"> </w:t>
      </w:r>
    </w:p>
    <w:p w14:paraId="537065AD" w14:textId="4DF85563" w:rsidR="00DC2EC1" w:rsidRPr="00514BF5" w:rsidRDefault="00DC2EC1" w:rsidP="00DC2EC1">
      <w:pPr>
        <w:pStyle w:val="Body"/>
        <w:numPr>
          <w:ilvl w:val="0"/>
          <w:numId w:val="10"/>
        </w:numPr>
        <w:rPr>
          <w:rFonts w:ascii="Arial" w:hAnsi="Arial" w:cs="Arial"/>
          <w:b/>
          <w:bCs/>
        </w:rPr>
      </w:pPr>
      <w:r w:rsidRPr="00514BF5">
        <w:rPr>
          <w:rFonts w:ascii="Arial" w:hAnsi="Arial" w:cs="Arial"/>
          <w:b/>
          <w:bCs/>
          <w:i/>
          <w:iCs/>
        </w:rPr>
        <w:t>Pfcrt</w:t>
      </w:r>
      <w:r w:rsidRPr="00514BF5">
        <w:rPr>
          <w:rFonts w:ascii="Arial" w:hAnsi="Arial" w:cs="Arial"/>
          <w:b/>
          <w:bCs/>
        </w:rPr>
        <w:t xml:space="preserve"> gene primers</w:t>
      </w:r>
    </w:p>
    <w:tbl>
      <w:tblPr>
        <w:tblW w:w="9300" w:type="dxa"/>
        <w:tblCellMar>
          <w:left w:w="70" w:type="dxa"/>
          <w:right w:w="70" w:type="dxa"/>
        </w:tblCellMar>
        <w:tblLook w:val="04A0" w:firstRow="1" w:lastRow="0" w:firstColumn="1" w:lastColumn="0" w:noHBand="0" w:noVBand="1"/>
      </w:tblPr>
      <w:tblGrid>
        <w:gridCol w:w="920"/>
        <w:gridCol w:w="900"/>
        <w:gridCol w:w="1200"/>
        <w:gridCol w:w="5000"/>
        <w:gridCol w:w="1280"/>
      </w:tblGrid>
      <w:tr w:rsidR="00514BF5" w:rsidRPr="00514BF5" w14:paraId="1B96B6CB" w14:textId="77777777" w:rsidTr="00514BF5">
        <w:trPr>
          <w:trHeight w:val="530"/>
        </w:trPr>
        <w:tc>
          <w:tcPr>
            <w:tcW w:w="920" w:type="dxa"/>
            <w:tcBorders>
              <w:top w:val="single" w:sz="8" w:space="0" w:color="7F7F7F"/>
              <w:left w:val="nil"/>
              <w:bottom w:val="single" w:sz="8" w:space="0" w:color="7F7F7F"/>
              <w:right w:val="nil"/>
            </w:tcBorders>
            <w:vAlign w:val="center"/>
            <w:hideMark/>
          </w:tcPr>
          <w:p w14:paraId="4ACFD9F6" w14:textId="77777777" w:rsidR="00514BF5" w:rsidRPr="00514BF5" w:rsidRDefault="00514BF5" w:rsidP="00514BF5">
            <w:pPr>
              <w:pStyle w:val="Body"/>
              <w:rPr>
                <w:rFonts w:ascii="Arial" w:hAnsi="Arial" w:cs="Arial"/>
                <w:lang w:val="fr-FR"/>
              </w:rPr>
            </w:pPr>
            <w:r w:rsidRPr="00514BF5">
              <w:rPr>
                <w:rFonts w:ascii="Arial" w:hAnsi="Arial" w:cs="Arial"/>
              </w:rPr>
              <w:t>Gene</w:t>
            </w:r>
          </w:p>
        </w:tc>
        <w:tc>
          <w:tcPr>
            <w:tcW w:w="900" w:type="dxa"/>
            <w:tcBorders>
              <w:top w:val="single" w:sz="8" w:space="0" w:color="7F7F7F"/>
              <w:left w:val="nil"/>
              <w:bottom w:val="single" w:sz="8" w:space="0" w:color="7F7F7F"/>
              <w:right w:val="nil"/>
            </w:tcBorders>
            <w:vAlign w:val="center"/>
            <w:hideMark/>
          </w:tcPr>
          <w:p w14:paraId="22E97F06" w14:textId="77777777" w:rsidR="00514BF5" w:rsidRPr="00514BF5" w:rsidRDefault="00514BF5" w:rsidP="00514BF5">
            <w:pPr>
              <w:pStyle w:val="Body"/>
              <w:rPr>
                <w:rFonts w:ascii="Arial" w:hAnsi="Arial" w:cs="Arial"/>
                <w:lang w:val="fr-FR"/>
              </w:rPr>
            </w:pPr>
            <w:r w:rsidRPr="00514BF5">
              <w:rPr>
                <w:rFonts w:ascii="Arial" w:hAnsi="Arial" w:cs="Arial"/>
              </w:rPr>
              <w:t>PCR</w:t>
            </w:r>
          </w:p>
        </w:tc>
        <w:tc>
          <w:tcPr>
            <w:tcW w:w="1200" w:type="dxa"/>
            <w:tcBorders>
              <w:top w:val="single" w:sz="8" w:space="0" w:color="7F7F7F"/>
              <w:left w:val="nil"/>
              <w:bottom w:val="single" w:sz="8" w:space="0" w:color="7F7F7F"/>
              <w:right w:val="nil"/>
            </w:tcBorders>
            <w:vAlign w:val="center"/>
            <w:hideMark/>
          </w:tcPr>
          <w:p w14:paraId="72BAC126" w14:textId="77777777" w:rsidR="00514BF5" w:rsidRPr="00514BF5" w:rsidRDefault="00514BF5" w:rsidP="00514BF5">
            <w:pPr>
              <w:pStyle w:val="Body"/>
              <w:rPr>
                <w:rFonts w:ascii="Arial" w:hAnsi="Arial" w:cs="Arial"/>
                <w:lang w:val="fr-FR"/>
              </w:rPr>
            </w:pPr>
            <w:r w:rsidRPr="00514BF5">
              <w:rPr>
                <w:rFonts w:ascii="Arial" w:hAnsi="Arial" w:cs="Arial"/>
              </w:rPr>
              <w:t>Primers names</w:t>
            </w:r>
          </w:p>
        </w:tc>
        <w:tc>
          <w:tcPr>
            <w:tcW w:w="5000" w:type="dxa"/>
            <w:tcBorders>
              <w:top w:val="single" w:sz="8" w:space="0" w:color="7F7F7F"/>
              <w:left w:val="nil"/>
              <w:bottom w:val="single" w:sz="8" w:space="0" w:color="7F7F7F"/>
              <w:right w:val="nil"/>
            </w:tcBorders>
            <w:vAlign w:val="center"/>
            <w:hideMark/>
          </w:tcPr>
          <w:p w14:paraId="0190C2F3" w14:textId="77777777" w:rsidR="00514BF5" w:rsidRPr="00514BF5" w:rsidRDefault="00514BF5" w:rsidP="00514BF5">
            <w:pPr>
              <w:pStyle w:val="Body"/>
              <w:rPr>
                <w:rFonts w:ascii="Arial" w:hAnsi="Arial" w:cs="Arial"/>
                <w:lang w:val="fr-FR"/>
              </w:rPr>
            </w:pPr>
            <w:r w:rsidRPr="00514BF5">
              <w:rPr>
                <w:rFonts w:ascii="Arial" w:hAnsi="Arial" w:cs="Arial"/>
              </w:rPr>
              <w:t>Primer sequence (5'-3' direction)</w:t>
            </w:r>
          </w:p>
        </w:tc>
        <w:tc>
          <w:tcPr>
            <w:tcW w:w="1280" w:type="dxa"/>
            <w:tcBorders>
              <w:top w:val="single" w:sz="8" w:space="0" w:color="7F7F7F"/>
              <w:left w:val="nil"/>
              <w:bottom w:val="single" w:sz="8" w:space="0" w:color="7F7F7F"/>
              <w:right w:val="nil"/>
            </w:tcBorders>
            <w:vAlign w:val="center"/>
            <w:hideMark/>
          </w:tcPr>
          <w:p w14:paraId="2993865F" w14:textId="77777777" w:rsidR="00514BF5" w:rsidRPr="00514BF5" w:rsidRDefault="00514BF5" w:rsidP="00514BF5">
            <w:pPr>
              <w:pStyle w:val="Body"/>
              <w:rPr>
                <w:rFonts w:ascii="Arial" w:hAnsi="Arial" w:cs="Arial"/>
                <w:lang w:val="fr-FR"/>
              </w:rPr>
            </w:pPr>
            <w:r w:rsidRPr="00514BF5">
              <w:rPr>
                <w:rFonts w:ascii="Arial" w:hAnsi="Arial" w:cs="Arial"/>
              </w:rPr>
              <w:t>Size of PCR products</w:t>
            </w:r>
          </w:p>
        </w:tc>
      </w:tr>
      <w:tr w:rsidR="00514BF5" w:rsidRPr="00514BF5" w14:paraId="3D22D651" w14:textId="77777777" w:rsidTr="00514BF5">
        <w:trPr>
          <w:trHeight w:val="530"/>
        </w:trPr>
        <w:tc>
          <w:tcPr>
            <w:tcW w:w="920" w:type="dxa"/>
            <w:vMerge w:val="restart"/>
            <w:tcBorders>
              <w:top w:val="nil"/>
              <w:left w:val="nil"/>
              <w:bottom w:val="single" w:sz="8" w:space="0" w:color="7F7F7F"/>
              <w:right w:val="nil"/>
            </w:tcBorders>
            <w:vAlign w:val="center"/>
            <w:hideMark/>
          </w:tcPr>
          <w:p w14:paraId="7FEF4546" w14:textId="77777777" w:rsidR="00514BF5" w:rsidRPr="00514BF5" w:rsidRDefault="00514BF5" w:rsidP="00514BF5">
            <w:pPr>
              <w:pStyle w:val="Body"/>
              <w:rPr>
                <w:rFonts w:ascii="Arial" w:hAnsi="Arial" w:cs="Arial"/>
                <w:i/>
                <w:iCs/>
                <w:lang w:val="fr-FR"/>
              </w:rPr>
            </w:pPr>
            <w:r w:rsidRPr="00514BF5">
              <w:rPr>
                <w:rFonts w:ascii="Arial" w:hAnsi="Arial" w:cs="Arial"/>
                <w:bCs/>
                <w:i/>
                <w:iCs/>
              </w:rPr>
              <w:lastRenderedPageBreak/>
              <w:t xml:space="preserve">        </w:t>
            </w:r>
            <w:r w:rsidRPr="00514BF5">
              <w:rPr>
                <w:rFonts w:ascii="Arial" w:hAnsi="Arial" w:cs="Arial"/>
                <w:b/>
                <w:bCs/>
                <w:i/>
                <w:iCs/>
              </w:rPr>
              <w:t>pfcrt</w:t>
            </w:r>
          </w:p>
        </w:tc>
        <w:tc>
          <w:tcPr>
            <w:tcW w:w="900" w:type="dxa"/>
            <w:vMerge w:val="restart"/>
            <w:tcBorders>
              <w:top w:val="nil"/>
              <w:left w:val="nil"/>
              <w:bottom w:val="single" w:sz="8" w:space="0" w:color="7F7F7F"/>
              <w:right w:val="nil"/>
            </w:tcBorders>
            <w:vAlign w:val="center"/>
            <w:hideMark/>
          </w:tcPr>
          <w:p w14:paraId="1941877B" w14:textId="77777777" w:rsidR="00514BF5" w:rsidRPr="00514BF5" w:rsidRDefault="00514BF5" w:rsidP="00514BF5">
            <w:pPr>
              <w:pStyle w:val="Body"/>
              <w:rPr>
                <w:rFonts w:ascii="Arial" w:hAnsi="Arial" w:cs="Arial"/>
                <w:lang w:val="fr-FR"/>
              </w:rPr>
            </w:pPr>
            <w:r w:rsidRPr="00514BF5">
              <w:rPr>
                <w:rFonts w:ascii="Arial" w:hAnsi="Arial" w:cs="Arial"/>
              </w:rPr>
              <w:t>PCR 1</w:t>
            </w:r>
          </w:p>
        </w:tc>
        <w:tc>
          <w:tcPr>
            <w:tcW w:w="1200" w:type="dxa"/>
            <w:tcBorders>
              <w:top w:val="nil"/>
              <w:left w:val="nil"/>
              <w:bottom w:val="single" w:sz="8" w:space="0" w:color="7F7F7F"/>
              <w:right w:val="nil"/>
            </w:tcBorders>
            <w:vAlign w:val="center"/>
            <w:hideMark/>
          </w:tcPr>
          <w:p w14:paraId="01F72AEA" w14:textId="77777777" w:rsidR="00514BF5" w:rsidRPr="00514BF5" w:rsidRDefault="00514BF5" w:rsidP="00514BF5">
            <w:pPr>
              <w:pStyle w:val="Body"/>
              <w:rPr>
                <w:rFonts w:ascii="Arial" w:hAnsi="Arial" w:cs="Arial"/>
                <w:lang w:val="fr-FR"/>
              </w:rPr>
            </w:pPr>
            <w:r w:rsidRPr="00514BF5">
              <w:rPr>
                <w:rFonts w:ascii="Arial" w:hAnsi="Arial" w:cs="Arial"/>
              </w:rPr>
              <w:t>A</w:t>
            </w:r>
          </w:p>
        </w:tc>
        <w:tc>
          <w:tcPr>
            <w:tcW w:w="5000" w:type="dxa"/>
            <w:tcBorders>
              <w:top w:val="nil"/>
              <w:left w:val="nil"/>
              <w:bottom w:val="single" w:sz="8" w:space="0" w:color="7F7F7F"/>
              <w:right w:val="nil"/>
            </w:tcBorders>
            <w:vAlign w:val="center"/>
            <w:hideMark/>
          </w:tcPr>
          <w:p w14:paraId="02361373" w14:textId="77777777" w:rsidR="00514BF5" w:rsidRPr="00514BF5" w:rsidRDefault="00514BF5" w:rsidP="00514BF5">
            <w:pPr>
              <w:pStyle w:val="Body"/>
              <w:rPr>
                <w:rFonts w:ascii="Arial" w:hAnsi="Arial" w:cs="Arial"/>
                <w:lang w:val="fr-FR"/>
              </w:rPr>
            </w:pPr>
            <w:r w:rsidRPr="00514BF5">
              <w:rPr>
                <w:rFonts w:ascii="Arial" w:hAnsi="Arial" w:cs="Arial"/>
              </w:rPr>
              <w:t>GCGCGCGCATGGCTCACGTTTAGGTGGAG</w:t>
            </w:r>
          </w:p>
        </w:tc>
        <w:tc>
          <w:tcPr>
            <w:tcW w:w="1280" w:type="dxa"/>
            <w:vMerge w:val="restart"/>
            <w:tcBorders>
              <w:top w:val="nil"/>
              <w:left w:val="nil"/>
              <w:bottom w:val="single" w:sz="8" w:space="0" w:color="7F7F7F"/>
              <w:right w:val="nil"/>
            </w:tcBorders>
            <w:vAlign w:val="center"/>
            <w:hideMark/>
          </w:tcPr>
          <w:p w14:paraId="6F94DE58" w14:textId="77777777" w:rsidR="00514BF5" w:rsidRPr="00514BF5" w:rsidRDefault="00514BF5" w:rsidP="00514BF5">
            <w:pPr>
              <w:pStyle w:val="Body"/>
              <w:rPr>
                <w:rFonts w:ascii="Arial" w:hAnsi="Arial" w:cs="Arial"/>
                <w:lang w:val="fr-FR"/>
              </w:rPr>
            </w:pPr>
            <w:r w:rsidRPr="00514BF5">
              <w:rPr>
                <w:rFonts w:ascii="Arial" w:hAnsi="Arial" w:cs="Arial"/>
              </w:rPr>
              <w:t>250</w:t>
            </w:r>
          </w:p>
        </w:tc>
      </w:tr>
      <w:tr w:rsidR="00514BF5" w:rsidRPr="00514BF5" w14:paraId="66FD9D9B" w14:textId="77777777" w:rsidTr="00514BF5">
        <w:trPr>
          <w:trHeight w:val="300"/>
        </w:trPr>
        <w:tc>
          <w:tcPr>
            <w:tcW w:w="0" w:type="auto"/>
            <w:vMerge/>
            <w:tcBorders>
              <w:top w:val="nil"/>
              <w:left w:val="nil"/>
              <w:bottom w:val="single" w:sz="8" w:space="0" w:color="7F7F7F"/>
              <w:right w:val="nil"/>
            </w:tcBorders>
            <w:vAlign w:val="center"/>
            <w:hideMark/>
          </w:tcPr>
          <w:p w14:paraId="7C84B977" w14:textId="77777777" w:rsidR="00514BF5" w:rsidRPr="00514BF5" w:rsidRDefault="00514BF5" w:rsidP="00514BF5">
            <w:pPr>
              <w:pStyle w:val="Body"/>
              <w:rPr>
                <w:rFonts w:ascii="Arial" w:hAnsi="Arial" w:cs="Arial"/>
                <w:i/>
                <w:iCs/>
                <w:lang w:val="fr-FR"/>
              </w:rPr>
            </w:pPr>
          </w:p>
        </w:tc>
        <w:tc>
          <w:tcPr>
            <w:tcW w:w="0" w:type="auto"/>
            <w:vMerge/>
            <w:tcBorders>
              <w:top w:val="nil"/>
              <w:left w:val="nil"/>
              <w:bottom w:val="single" w:sz="8" w:space="0" w:color="7F7F7F"/>
              <w:right w:val="nil"/>
            </w:tcBorders>
            <w:vAlign w:val="center"/>
            <w:hideMark/>
          </w:tcPr>
          <w:p w14:paraId="0ACBF47B" w14:textId="77777777" w:rsidR="00514BF5" w:rsidRPr="00514BF5" w:rsidRDefault="00514BF5" w:rsidP="00514BF5">
            <w:pPr>
              <w:pStyle w:val="Body"/>
              <w:rPr>
                <w:rFonts w:ascii="Arial" w:hAnsi="Arial" w:cs="Arial"/>
                <w:lang w:val="fr-FR"/>
              </w:rPr>
            </w:pPr>
          </w:p>
        </w:tc>
        <w:tc>
          <w:tcPr>
            <w:tcW w:w="1200" w:type="dxa"/>
            <w:vAlign w:val="center"/>
            <w:hideMark/>
          </w:tcPr>
          <w:p w14:paraId="4D6EDC0A" w14:textId="77777777" w:rsidR="00514BF5" w:rsidRPr="00514BF5" w:rsidRDefault="00514BF5" w:rsidP="00514BF5">
            <w:pPr>
              <w:pStyle w:val="Body"/>
              <w:rPr>
                <w:rFonts w:ascii="Arial" w:hAnsi="Arial" w:cs="Arial"/>
                <w:lang w:val="fr-FR"/>
              </w:rPr>
            </w:pPr>
            <w:r w:rsidRPr="00514BF5">
              <w:rPr>
                <w:rFonts w:ascii="Arial" w:hAnsi="Arial" w:cs="Arial"/>
              </w:rPr>
              <w:t>B</w:t>
            </w:r>
          </w:p>
        </w:tc>
        <w:tc>
          <w:tcPr>
            <w:tcW w:w="5000" w:type="dxa"/>
            <w:vAlign w:val="center"/>
            <w:hideMark/>
          </w:tcPr>
          <w:p w14:paraId="30FC3ECE" w14:textId="77777777" w:rsidR="00514BF5" w:rsidRPr="00514BF5" w:rsidRDefault="00514BF5" w:rsidP="00514BF5">
            <w:pPr>
              <w:pStyle w:val="Body"/>
              <w:rPr>
                <w:rFonts w:ascii="Arial" w:hAnsi="Arial" w:cs="Arial"/>
                <w:lang w:val="fr-FR"/>
              </w:rPr>
            </w:pPr>
            <w:r w:rsidRPr="00514BF5">
              <w:rPr>
                <w:rFonts w:ascii="Arial" w:hAnsi="Arial" w:cs="Arial"/>
              </w:rPr>
              <w:t>GGGCCCGGCGGATGTTACAAAACTATAGTTACC</w:t>
            </w:r>
          </w:p>
        </w:tc>
        <w:tc>
          <w:tcPr>
            <w:tcW w:w="0" w:type="auto"/>
            <w:vMerge/>
            <w:tcBorders>
              <w:top w:val="nil"/>
              <w:left w:val="nil"/>
              <w:bottom w:val="single" w:sz="8" w:space="0" w:color="7F7F7F"/>
              <w:right w:val="nil"/>
            </w:tcBorders>
            <w:vAlign w:val="center"/>
            <w:hideMark/>
          </w:tcPr>
          <w:p w14:paraId="58023023" w14:textId="77777777" w:rsidR="00514BF5" w:rsidRPr="00514BF5" w:rsidRDefault="00514BF5" w:rsidP="00514BF5">
            <w:pPr>
              <w:pStyle w:val="Body"/>
              <w:rPr>
                <w:rFonts w:ascii="Arial" w:hAnsi="Arial" w:cs="Arial"/>
                <w:lang w:val="fr-FR"/>
              </w:rPr>
            </w:pPr>
          </w:p>
        </w:tc>
      </w:tr>
      <w:tr w:rsidR="00514BF5" w:rsidRPr="00514BF5" w14:paraId="6D15A983" w14:textId="77777777" w:rsidTr="00514BF5">
        <w:trPr>
          <w:trHeight w:val="300"/>
        </w:trPr>
        <w:tc>
          <w:tcPr>
            <w:tcW w:w="0" w:type="auto"/>
            <w:vMerge/>
            <w:tcBorders>
              <w:top w:val="nil"/>
              <w:left w:val="nil"/>
              <w:bottom w:val="single" w:sz="8" w:space="0" w:color="7F7F7F"/>
              <w:right w:val="nil"/>
            </w:tcBorders>
            <w:vAlign w:val="center"/>
            <w:hideMark/>
          </w:tcPr>
          <w:p w14:paraId="2A943CEB" w14:textId="77777777" w:rsidR="00514BF5" w:rsidRPr="00514BF5" w:rsidRDefault="00514BF5" w:rsidP="00514BF5">
            <w:pPr>
              <w:pStyle w:val="Body"/>
              <w:rPr>
                <w:rFonts w:ascii="Arial" w:hAnsi="Arial" w:cs="Arial"/>
                <w:i/>
                <w:iCs/>
                <w:lang w:val="fr-FR"/>
              </w:rPr>
            </w:pPr>
          </w:p>
        </w:tc>
        <w:tc>
          <w:tcPr>
            <w:tcW w:w="900" w:type="dxa"/>
            <w:vMerge w:val="restart"/>
            <w:tcBorders>
              <w:top w:val="nil"/>
              <w:left w:val="nil"/>
              <w:bottom w:val="single" w:sz="8" w:space="0" w:color="7F7F7F"/>
              <w:right w:val="nil"/>
            </w:tcBorders>
            <w:vAlign w:val="center"/>
            <w:hideMark/>
          </w:tcPr>
          <w:p w14:paraId="13F1D5A5" w14:textId="77777777" w:rsidR="00514BF5" w:rsidRPr="00514BF5" w:rsidRDefault="00514BF5" w:rsidP="00514BF5">
            <w:pPr>
              <w:pStyle w:val="Body"/>
              <w:rPr>
                <w:rFonts w:ascii="Arial" w:hAnsi="Arial" w:cs="Arial"/>
                <w:lang w:val="fr-FR"/>
              </w:rPr>
            </w:pPr>
            <w:r w:rsidRPr="00514BF5">
              <w:rPr>
                <w:rFonts w:ascii="Arial" w:hAnsi="Arial" w:cs="Arial"/>
              </w:rPr>
              <w:t>PCR 2</w:t>
            </w:r>
          </w:p>
        </w:tc>
        <w:tc>
          <w:tcPr>
            <w:tcW w:w="1200" w:type="dxa"/>
            <w:tcBorders>
              <w:top w:val="single" w:sz="8" w:space="0" w:color="7F7F7F"/>
              <w:left w:val="nil"/>
              <w:bottom w:val="single" w:sz="8" w:space="0" w:color="7F7F7F"/>
              <w:right w:val="nil"/>
            </w:tcBorders>
            <w:vAlign w:val="center"/>
            <w:hideMark/>
          </w:tcPr>
          <w:p w14:paraId="3F9DDF5A" w14:textId="77777777" w:rsidR="00514BF5" w:rsidRPr="00514BF5" w:rsidRDefault="00514BF5" w:rsidP="00514BF5">
            <w:pPr>
              <w:pStyle w:val="Body"/>
              <w:rPr>
                <w:rFonts w:ascii="Arial" w:hAnsi="Arial" w:cs="Arial"/>
                <w:lang w:val="fr-FR"/>
              </w:rPr>
            </w:pPr>
            <w:r w:rsidRPr="00514BF5">
              <w:rPr>
                <w:rFonts w:ascii="Arial" w:hAnsi="Arial" w:cs="Arial"/>
              </w:rPr>
              <w:t>SECI_F</w:t>
            </w:r>
          </w:p>
        </w:tc>
        <w:tc>
          <w:tcPr>
            <w:tcW w:w="5000" w:type="dxa"/>
            <w:tcBorders>
              <w:top w:val="single" w:sz="8" w:space="0" w:color="7F7F7F"/>
              <w:left w:val="nil"/>
              <w:bottom w:val="single" w:sz="8" w:space="0" w:color="7F7F7F"/>
              <w:right w:val="nil"/>
            </w:tcBorders>
            <w:vAlign w:val="center"/>
            <w:hideMark/>
          </w:tcPr>
          <w:p w14:paraId="268E5351" w14:textId="77777777" w:rsidR="00514BF5" w:rsidRPr="00514BF5" w:rsidRDefault="00514BF5" w:rsidP="00514BF5">
            <w:pPr>
              <w:pStyle w:val="Body"/>
              <w:rPr>
                <w:rFonts w:ascii="Arial" w:hAnsi="Arial" w:cs="Arial"/>
                <w:lang w:val="fr-FR"/>
              </w:rPr>
            </w:pPr>
            <w:r w:rsidRPr="00514BF5">
              <w:rPr>
                <w:rFonts w:ascii="Arial" w:hAnsi="Arial" w:cs="Arial"/>
              </w:rPr>
              <w:t>TGTGCTCATGTGTTTAAACTT</w:t>
            </w:r>
          </w:p>
        </w:tc>
        <w:tc>
          <w:tcPr>
            <w:tcW w:w="1280" w:type="dxa"/>
            <w:vMerge w:val="restart"/>
            <w:tcBorders>
              <w:top w:val="nil"/>
              <w:left w:val="nil"/>
              <w:bottom w:val="single" w:sz="8" w:space="0" w:color="7F7F7F"/>
              <w:right w:val="nil"/>
            </w:tcBorders>
            <w:vAlign w:val="center"/>
            <w:hideMark/>
          </w:tcPr>
          <w:p w14:paraId="3D1F192D" w14:textId="77777777" w:rsidR="00514BF5" w:rsidRPr="00514BF5" w:rsidRDefault="00514BF5" w:rsidP="00514BF5">
            <w:pPr>
              <w:pStyle w:val="Body"/>
              <w:rPr>
                <w:rFonts w:ascii="Arial" w:hAnsi="Arial" w:cs="Arial"/>
                <w:lang w:val="fr-FR"/>
              </w:rPr>
            </w:pPr>
            <w:r w:rsidRPr="00514BF5">
              <w:rPr>
                <w:rFonts w:ascii="Arial" w:hAnsi="Arial" w:cs="Arial"/>
              </w:rPr>
              <w:t>145</w:t>
            </w:r>
          </w:p>
        </w:tc>
      </w:tr>
      <w:tr w:rsidR="00514BF5" w:rsidRPr="00514BF5" w14:paraId="248C51F0" w14:textId="77777777" w:rsidTr="00514BF5">
        <w:trPr>
          <w:trHeight w:val="300"/>
        </w:trPr>
        <w:tc>
          <w:tcPr>
            <w:tcW w:w="0" w:type="auto"/>
            <w:vMerge/>
            <w:tcBorders>
              <w:top w:val="nil"/>
              <w:left w:val="nil"/>
              <w:bottom w:val="single" w:sz="8" w:space="0" w:color="7F7F7F"/>
              <w:right w:val="nil"/>
            </w:tcBorders>
            <w:vAlign w:val="center"/>
            <w:hideMark/>
          </w:tcPr>
          <w:p w14:paraId="73150272" w14:textId="77777777" w:rsidR="00514BF5" w:rsidRPr="00514BF5" w:rsidRDefault="00514BF5" w:rsidP="00514BF5">
            <w:pPr>
              <w:pStyle w:val="Body"/>
              <w:rPr>
                <w:rFonts w:ascii="Arial" w:hAnsi="Arial" w:cs="Arial"/>
                <w:i/>
                <w:iCs/>
                <w:lang w:val="fr-FR"/>
              </w:rPr>
            </w:pPr>
          </w:p>
        </w:tc>
        <w:tc>
          <w:tcPr>
            <w:tcW w:w="0" w:type="auto"/>
            <w:vMerge/>
            <w:tcBorders>
              <w:top w:val="nil"/>
              <w:left w:val="nil"/>
              <w:bottom w:val="single" w:sz="8" w:space="0" w:color="7F7F7F"/>
              <w:right w:val="nil"/>
            </w:tcBorders>
            <w:vAlign w:val="center"/>
            <w:hideMark/>
          </w:tcPr>
          <w:p w14:paraId="080BB2FF" w14:textId="77777777" w:rsidR="00514BF5" w:rsidRPr="00514BF5" w:rsidRDefault="00514BF5" w:rsidP="00514BF5">
            <w:pPr>
              <w:pStyle w:val="Body"/>
              <w:rPr>
                <w:rFonts w:ascii="Arial" w:hAnsi="Arial" w:cs="Arial"/>
                <w:lang w:val="fr-FR"/>
              </w:rPr>
            </w:pPr>
          </w:p>
        </w:tc>
        <w:tc>
          <w:tcPr>
            <w:tcW w:w="1200" w:type="dxa"/>
            <w:tcBorders>
              <w:top w:val="nil"/>
              <w:left w:val="nil"/>
              <w:bottom w:val="single" w:sz="8" w:space="0" w:color="7F7F7F"/>
              <w:right w:val="nil"/>
            </w:tcBorders>
            <w:vAlign w:val="center"/>
            <w:hideMark/>
          </w:tcPr>
          <w:p w14:paraId="43DEA38C" w14:textId="77777777" w:rsidR="00514BF5" w:rsidRPr="00514BF5" w:rsidRDefault="00514BF5" w:rsidP="00514BF5">
            <w:pPr>
              <w:pStyle w:val="Body"/>
              <w:rPr>
                <w:rFonts w:ascii="Arial" w:hAnsi="Arial" w:cs="Arial"/>
                <w:lang w:val="fr-FR"/>
              </w:rPr>
            </w:pPr>
            <w:r w:rsidRPr="00514BF5">
              <w:rPr>
                <w:rFonts w:ascii="Arial" w:hAnsi="Arial" w:cs="Arial"/>
              </w:rPr>
              <w:t>SECI_R</w:t>
            </w:r>
          </w:p>
        </w:tc>
        <w:tc>
          <w:tcPr>
            <w:tcW w:w="5000" w:type="dxa"/>
            <w:tcBorders>
              <w:top w:val="nil"/>
              <w:left w:val="nil"/>
              <w:bottom w:val="single" w:sz="8" w:space="0" w:color="7F7F7F"/>
              <w:right w:val="nil"/>
            </w:tcBorders>
            <w:vAlign w:val="center"/>
            <w:hideMark/>
          </w:tcPr>
          <w:p w14:paraId="4F351391" w14:textId="77777777" w:rsidR="00514BF5" w:rsidRPr="00514BF5" w:rsidRDefault="00514BF5" w:rsidP="00514BF5">
            <w:pPr>
              <w:pStyle w:val="Body"/>
              <w:rPr>
                <w:rFonts w:ascii="Arial" w:hAnsi="Arial" w:cs="Arial"/>
                <w:lang w:val="fr-FR"/>
              </w:rPr>
            </w:pPr>
            <w:r w:rsidRPr="00514BF5">
              <w:rPr>
                <w:rFonts w:ascii="Arial" w:hAnsi="Arial" w:cs="Arial"/>
              </w:rPr>
              <w:t>CAAAACTATAGTTACCAATTTTG</w:t>
            </w:r>
          </w:p>
        </w:tc>
        <w:tc>
          <w:tcPr>
            <w:tcW w:w="0" w:type="auto"/>
            <w:vMerge/>
            <w:tcBorders>
              <w:top w:val="nil"/>
              <w:left w:val="nil"/>
              <w:bottom w:val="single" w:sz="8" w:space="0" w:color="7F7F7F"/>
              <w:right w:val="nil"/>
            </w:tcBorders>
            <w:vAlign w:val="center"/>
            <w:hideMark/>
          </w:tcPr>
          <w:p w14:paraId="423C761F" w14:textId="77777777" w:rsidR="00514BF5" w:rsidRPr="00514BF5" w:rsidRDefault="00514BF5" w:rsidP="00514BF5">
            <w:pPr>
              <w:pStyle w:val="Body"/>
              <w:rPr>
                <w:rFonts w:ascii="Arial" w:hAnsi="Arial" w:cs="Arial"/>
                <w:lang w:val="fr-FR"/>
              </w:rPr>
            </w:pPr>
          </w:p>
        </w:tc>
      </w:tr>
    </w:tbl>
    <w:p w14:paraId="242AADC0" w14:textId="1B45B767" w:rsidR="00DE3BE7" w:rsidRDefault="00DE3BE7" w:rsidP="00604CAA">
      <w:pPr>
        <w:pStyle w:val="Body"/>
        <w:rPr>
          <w:rFonts w:ascii="Arial" w:hAnsi="Arial" w:cs="Arial"/>
        </w:rPr>
      </w:pPr>
    </w:p>
    <w:p w14:paraId="1B6A9627" w14:textId="6ECACE1C" w:rsidR="00DC2EC1" w:rsidRPr="00514BF5" w:rsidRDefault="00DC2EC1" w:rsidP="00DC2EC1">
      <w:pPr>
        <w:pStyle w:val="Body"/>
        <w:numPr>
          <w:ilvl w:val="0"/>
          <w:numId w:val="10"/>
        </w:numPr>
        <w:rPr>
          <w:rFonts w:ascii="Arial" w:hAnsi="Arial" w:cs="Arial"/>
          <w:b/>
          <w:bCs/>
        </w:rPr>
      </w:pPr>
      <w:r w:rsidRPr="00514BF5">
        <w:rPr>
          <w:rFonts w:ascii="Arial" w:hAnsi="Arial" w:cs="Arial"/>
          <w:b/>
          <w:bCs/>
          <w:i/>
          <w:iCs/>
        </w:rPr>
        <w:t>Pfmdr-1</w:t>
      </w:r>
      <w:r w:rsidRPr="00514BF5">
        <w:rPr>
          <w:rFonts w:ascii="Arial" w:hAnsi="Arial" w:cs="Arial"/>
          <w:b/>
          <w:bCs/>
        </w:rPr>
        <w:t xml:space="preserve"> gene primers</w:t>
      </w:r>
    </w:p>
    <w:tbl>
      <w:tblPr>
        <w:tblW w:w="8460" w:type="dxa"/>
        <w:tblCellMar>
          <w:left w:w="70" w:type="dxa"/>
          <w:right w:w="70" w:type="dxa"/>
        </w:tblCellMar>
        <w:tblLook w:val="04A0" w:firstRow="1" w:lastRow="0" w:firstColumn="1" w:lastColumn="0" w:noHBand="0" w:noVBand="1"/>
      </w:tblPr>
      <w:tblGrid>
        <w:gridCol w:w="1460"/>
        <w:gridCol w:w="900"/>
        <w:gridCol w:w="1200"/>
        <w:gridCol w:w="3620"/>
        <w:gridCol w:w="1280"/>
      </w:tblGrid>
      <w:tr w:rsidR="0040702B" w:rsidRPr="0040702B" w14:paraId="7923AC63" w14:textId="77777777" w:rsidTr="0040702B">
        <w:trPr>
          <w:trHeight w:val="530"/>
        </w:trPr>
        <w:tc>
          <w:tcPr>
            <w:tcW w:w="1460" w:type="dxa"/>
            <w:tcBorders>
              <w:top w:val="single" w:sz="8" w:space="0" w:color="7F7F7F"/>
              <w:left w:val="nil"/>
              <w:bottom w:val="single" w:sz="8" w:space="0" w:color="7F7F7F"/>
              <w:right w:val="nil"/>
            </w:tcBorders>
            <w:vAlign w:val="center"/>
            <w:hideMark/>
          </w:tcPr>
          <w:p w14:paraId="34D246A6" w14:textId="77777777" w:rsidR="0040702B" w:rsidRPr="0040702B" w:rsidRDefault="0040702B" w:rsidP="0040702B">
            <w:pPr>
              <w:pStyle w:val="Body"/>
              <w:rPr>
                <w:rFonts w:ascii="Arial" w:hAnsi="Arial" w:cs="Arial"/>
                <w:lang w:val="fr-FR"/>
              </w:rPr>
            </w:pPr>
            <w:r w:rsidRPr="0040702B">
              <w:rPr>
                <w:rFonts w:ascii="Arial" w:hAnsi="Arial" w:cs="Arial"/>
              </w:rPr>
              <w:t>Gene</w:t>
            </w:r>
          </w:p>
        </w:tc>
        <w:tc>
          <w:tcPr>
            <w:tcW w:w="900" w:type="dxa"/>
            <w:tcBorders>
              <w:top w:val="single" w:sz="8" w:space="0" w:color="7F7F7F"/>
              <w:left w:val="nil"/>
              <w:bottom w:val="single" w:sz="8" w:space="0" w:color="7F7F7F"/>
              <w:right w:val="nil"/>
            </w:tcBorders>
            <w:vAlign w:val="center"/>
            <w:hideMark/>
          </w:tcPr>
          <w:p w14:paraId="01ED24A0" w14:textId="77777777" w:rsidR="0040702B" w:rsidRPr="0040702B" w:rsidRDefault="0040702B" w:rsidP="0040702B">
            <w:pPr>
              <w:pStyle w:val="Body"/>
              <w:rPr>
                <w:rFonts w:ascii="Arial" w:hAnsi="Arial" w:cs="Arial"/>
                <w:lang w:val="fr-FR"/>
              </w:rPr>
            </w:pPr>
            <w:r w:rsidRPr="0040702B">
              <w:rPr>
                <w:rFonts w:ascii="Arial" w:hAnsi="Arial" w:cs="Arial"/>
              </w:rPr>
              <w:t>PCR</w:t>
            </w:r>
          </w:p>
        </w:tc>
        <w:tc>
          <w:tcPr>
            <w:tcW w:w="1200" w:type="dxa"/>
            <w:tcBorders>
              <w:top w:val="single" w:sz="8" w:space="0" w:color="7F7F7F"/>
              <w:left w:val="nil"/>
              <w:bottom w:val="single" w:sz="8" w:space="0" w:color="7F7F7F"/>
              <w:right w:val="nil"/>
            </w:tcBorders>
            <w:vAlign w:val="center"/>
            <w:hideMark/>
          </w:tcPr>
          <w:p w14:paraId="01A2CB32" w14:textId="77777777" w:rsidR="0040702B" w:rsidRPr="0040702B" w:rsidRDefault="0040702B" w:rsidP="0040702B">
            <w:pPr>
              <w:pStyle w:val="Body"/>
              <w:rPr>
                <w:rFonts w:ascii="Arial" w:hAnsi="Arial" w:cs="Arial"/>
                <w:lang w:val="fr-FR"/>
              </w:rPr>
            </w:pPr>
            <w:r w:rsidRPr="0040702B">
              <w:rPr>
                <w:rFonts w:ascii="Arial" w:hAnsi="Arial" w:cs="Arial"/>
              </w:rPr>
              <w:t>Primers names</w:t>
            </w:r>
          </w:p>
        </w:tc>
        <w:tc>
          <w:tcPr>
            <w:tcW w:w="3620" w:type="dxa"/>
            <w:tcBorders>
              <w:top w:val="single" w:sz="8" w:space="0" w:color="7F7F7F"/>
              <w:left w:val="nil"/>
              <w:bottom w:val="single" w:sz="8" w:space="0" w:color="7F7F7F"/>
              <w:right w:val="nil"/>
            </w:tcBorders>
            <w:vAlign w:val="center"/>
            <w:hideMark/>
          </w:tcPr>
          <w:p w14:paraId="5D59F210" w14:textId="77777777" w:rsidR="0040702B" w:rsidRPr="0040702B" w:rsidRDefault="0040702B" w:rsidP="0040702B">
            <w:pPr>
              <w:pStyle w:val="Body"/>
              <w:rPr>
                <w:rFonts w:ascii="Arial" w:hAnsi="Arial" w:cs="Arial"/>
                <w:lang w:val="fr-FR"/>
              </w:rPr>
            </w:pPr>
            <w:r w:rsidRPr="0040702B">
              <w:rPr>
                <w:rFonts w:ascii="Arial" w:hAnsi="Arial" w:cs="Arial"/>
              </w:rPr>
              <w:t>Primer sequence (5'-3' direction)</w:t>
            </w:r>
          </w:p>
        </w:tc>
        <w:tc>
          <w:tcPr>
            <w:tcW w:w="1280" w:type="dxa"/>
            <w:tcBorders>
              <w:top w:val="single" w:sz="8" w:space="0" w:color="7F7F7F"/>
              <w:left w:val="nil"/>
              <w:bottom w:val="single" w:sz="8" w:space="0" w:color="7F7F7F"/>
              <w:right w:val="nil"/>
            </w:tcBorders>
            <w:vAlign w:val="center"/>
            <w:hideMark/>
          </w:tcPr>
          <w:p w14:paraId="5EA849CA" w14:textId="77777777" w:rsidR="0040702B" w:rsidRPr="0040702B" w:rsidRDefault="0040702B" w:rsidP="0040702B">
            <w:pPr>
              <w:pStyle w:val="Body"/>
              <w:rPr>
                <w:rFonts w:ascii="Arial" w:hAnsi="Arial" w:cs="Arial"/>
                <w:lang w:val="fr-FR"/>
              </w:rPr>
            </w:pPr>
            <w:r w:rsidRPr="0040702B">
              <w:rPr>
                <w:rFonts w:ascii="Arial" w:hAnsi="Arial" w:cs="Arial"/>
              </w:rPr>
              <w:t>Size of PCR products</w:t>
            </w:r>
          </w:p>
        </w:tc>
      </w:tr>
      <w:tr w:rsidR="0040702B" w:rsidRPr="0040702B" w14:paraId="21D2E9E4" w14:textId="77777777" w:rsidTr="0040702B">
        <w:trPr>
          <w:trHeight w:val="300"/>
        </w:trPr>
        <w:tc>
          <w:tcPr>
            <w:tcW w:w="1460" w:type="dxa"/>
            <w:vAlign w:val="center"/>
            <w:hideMark/>
          </w:tcPr>
          <w:p w14:paraId="68994248" w14:textId="77777777" w:rsidR="0040702B" w:rsidRPr="0040702B" w:rsidRDefault="0040702B" w:rsidP="0040702B">
            <w:pPr>
              <w:pStyle w:val="Body"/>
              <w:rPr>
                <w:rFonts w:ascii="Arial" w:hAnsi="Arial" w:cs="Arial"/>
                <w:b/>
                <w:bCs/>
                <w:lang w:val="fr-FR"/>
              </w:rPr>
            </w:pPr>
          </w:p>
        </w:tc>
        <w:tc>
          <w:tcPr>
            <w:tcW w:w="900" w:type="dxa"/>
            <w:vMerge w:val="restart"/>
            <w:tcBorders>
              <w:top w:val="nil"/>
              <w:left w:val="nil"/>
              <w:bottom w:val="single" w:sz="8" w:space="0" w:color="7F7F7F"/>
              <w:right w:val="nil"/>
            </w:tcBorders>
            <w:vAlign w:val="center"/>
            <w:hideMark/>
          </w:tcPr>
          <w:p w14:paraId="5A90A8C9" w14:textId="77777777" w:rsidR="0040702B" w:rsidRPr="0040702B" w:rsidRDefault="0040702B" w:rsidP="0040702B">
            <w:pPr>
              <w:pStyle w:val="Body"/>
              <w:rPr>
                <w:rFonts w:ascii="Arial" w:hAnsi="Arial" w:cs="Arial"/>
                <w:lang w:val="fr-FR"/>
              </w:rPr>
            </w:pPr>
            <w:r w:rsidRPr="0040702B">
              <w:rPr>
                <w:rFonts w:ascii="Arial" w:hAnsi="Arial" w:cs="Arial"/>
              </w:rPr>
              <w:t>PCR 1</w:t>
            </w:r>
          </w:p>
        </w:tc>
        <w:tc>
          <w:tcPr>
            <w:tcW w:w="1200" w:type="dxa"/>
            <w:tcBorders>
              <w:top w:val="nil"/>
              <w:left w:val="nil"/>
              <w:bottom w:val="single" w:sz="8" w:space="0" w:color="7F7F7F"/>
              <w:right w:val="nil"/>
            </w:tcBorders>
            <w:vAlign w:val="center"/>
            <w:hideMark/>
          </w:tcPr>
          <w:p w14:paraId="7AA7FEAF" w14:textId="77777777" w:rsidR="0040702B" w:rsidRPr="0040702B" w:rsidRDefault="0040702B" w:rsidP="0040702B">
            <w:pPr>
              <w:pStyle w:val="Body"/>
              <w:rPr>
                <w:rFonts w:ascii="Arial" w:hAnsi="Arial" w:cs="Arial"/>
                <w:lang w:val="fr-FR"/>
              </w:rPr>
            </w:pPr>
            <w:r w:rsidRPr="0040702B">
              <w:rPr>
                <w:rFonts w:ascii="Arial" w:hAnsi="Arial" w:cs="Arial"/>
              </w:rPr>
              <w:t>MDR1.1_F</w:t>
            </w:r>
          </w:p>
        </w:tc>
        <w:tc>
          <w:tcPr>
            <w:tcW w:w="3620" w:type="dxa"/>
            <w:tcBorders>
              <w:top w:val="nil"/>
              <w:left w:val="nil"/>
              <w:bottom w:val="single" w:sz="8" w:space="0" w:color="7F7F7F"/>
              <w:right w:val="nil"/>
            </w:tcBorders>
            <w:vAlign w:val="center"/>
            <w:hideMark/>
          </w:tcPr>
          <w:p w14:paraId="19E26D59" w14:textId="77777777" w:rsidR="0040702B" w:rsidRPr="0040702B" w:rsidRDefault="0040702B" w:rsidP="0040702B">
            <w:pPr>
              <w:pStyle w:val="Body"/>
              <w:rPr>
                <w:rFonts w:ascii="Arial" w:hAnsi="Arial" w:cs="Arial"/>
                <w:lang w:val="fr-FR"/>
              </w:rPr>
            </w:pPr>
            <w:r w:rsidRPr="0040702B">
              <w:rPr>
                <w:rFonts w:ascii="Arial" w:hAnsi="Arial" w:cs="Arial"/>
              </w:rPr>
              <w:t>AGAGAAAAAAGATGGTAACCTCAG</w:t>
            </w:r>
          </w:p>
        </w:tc>
        <w:tc>
          <w:tcPr>
            <w:tcW w:w="1280" w:type="dxa"/>
            <w:vMerge w:val="restart"/>
            <w:tcBorders>
              <w:top w:val="nil"/>
              <w:left w:val="nil"/>
              <w:bottom w:val="single" w:sz="8" w:space="0" w:color="7F7F7F"/>
              <w:right w:val="nil"/>
            </w:tcBorders>
            <w:vAlign w:val="center"/>
            <w:hideMark/>
          </w:tcPr>
          <w:p w14:paraId="1E89A6DB" w14:textId="1DA5E3CA" w:rsidR="0040702B" w:rsidRPr="0040702B" w:rsidRDefault="0040702B" w:rsidP="0040702B">
            <w:pPr>
              <w:pStyle w:val="Body"/>
              <w:rPr>
                <w:rFonts w:ascii="Arial" w:hAnsi="Arial" w:cs="Arial"/>
                <w:lang w:val="fr-FR"/>
              </w:rPr>
            </w:pPr>
            <w:r>
              <w:rPr>
                <w:rFonts w:ascii="Arial" w:hAnsi="Arial" w:cs="Arial"/>
              </w:rPr>
              <w:t xml:space="preserve">      </w:t>
            </w:r>
            <w:r w:rsidRPr="0040702B">
              <w:rPr>
                <w:rFonts w:ascii="Arial" w:hAnsi="Arial" w:cs="Arial"/>
              </w:rPr>
              <w:t>590</w:t>
            </w:r>
          </w:p>
        </w:tc>
      </w:tr>
      <w:tr w:rsidR="0040702B" w:rsidRPr="0040702B" w14:paraId="3846E33C" w14:textId="77777777" w:rsidTr="0040702B">
        <w:trPr>
          <w:trHeight w:val="300"/>
        </w:trPr>
        <w:tc>
          <w:tcPr>
            <w:tcW w:w="1460" w:type="dxa"/>
            <w:vAlign w:val="center"/>
            <w:hideMark/>
          </w:tcPr>
          <w:p w14:paraId="33638A80" w14:textId="77777777" w:rsidR="0040702B" w:rsidRPr="0040702B" w:rsidRDefault="0040702B" w:rsidP="0040702B">
            <w:pPr>
              <w:pStyle w:val="Body"/>
              <w:rPr>
                <w:rFonts w:ascii="Arial" w:hAnsi="Arial" w:cs="Arial"/>
                <w:i/>
                <w:iCs/>
                <w:lang w:val="fr-FR"/>
              </w:rPr>
            </w:pPr>
            <w:r w:rsidRPr="0040702B">
              <w:rPr>
                <w:rFonts w:ascii="Arial" w:hAnsi="Arial" w:cs="Arial"/>
                <w:bCs/>
                <w:i/>
                <w:iCs/>
              </w:rPr>
              <w:t xml:space="preserve">        Pfmdr-1</w:t>
            </w:r>
          </w:p>
        </w:tc>
        <w:tc>
          <w:tcPr>
            <w:tcW w:w="0" w:type="auto"/>
            <w:vMerge/>
            <w:tcBorders>
              <w:top w:val="nil"/>
              <w:left w:val="nil"/>
              <w:bottom w:val="single" w:sz="8" w:space="0" w:color="7F7F7F"/>
              <w:right w:val="nil"/>
            </w:tcBorders>
            <w:vAlign w:val="center"/>
            <w:hideMark/>
          </w:tcPr>
          <w:p w14:paraId="0CC50C99" w14:textId="77777777" w:rsidR="0040702B" w:rsidRPr="0040702B" w:rsidRDefault="0040702B" w:rsidP="0040702B">
            <w:pPr>
              <w:pStyle w:val="Body"/>
              <w:rPr>
                <w:rFonts w:ascii="Arial" w:hAnsi="Arial" w:cs="Arial"/>
                <w:lang w:val="fr-FR"/>
              </w:rPr>
            </w:pPr>
          </w:p>
        </w:tc>
        <w:tc>
          <w:tcPr>
            <w:tcW w:w="1200" w:type="dxa"/>
            <w:vAlign w:val="center"/>
            <w:hideMark/>
          </w:tcPr>
          <w:p w14:paraId="7E80F09E" w14:textId="77777777" w:rsidR="0040702B" w:rsidRPr="0040702B" w:rsidRDefault="0040702B" w:rsidP="0040702B">
            <w:pPr>
              <w:pStyle w:val="Body"/>
              <w:rPr>
                <w:rFonts w:ascii="Arial" w:hAnsi="Arial" w:cs="Arial"/>
                <w:lang w:val="fr-FR"/>
              </w:rPr>
            </w:pPr>
            <w:r w:rsidRPr="0040702B">
              <w:rPr>
                <w:rFonts w:ascii="Arial" w:hAnsi="Arial" w:cs="Arial"/>
              </w:rPr>
              <w:t>MDR1.1_F</w:t>
            </w:r>
          </w:p>
        </w:tc>
        <w:tc>
          <w:tcPr>
            <w:tcW w:w="3620" w:type="dxa"/>
            <w:vAlign w:val="center"/>
            <w:hideMark/>
          </w:tcPr>
          <w:p w14:paraId="339BCF97" w14:textId="77777777" w:rsidR="0040702B" w:rsidRPr="0040702B" w:rsidRDefault="0040702B" w:rsidP="0040702B">
            <w:pPr>
              <w:pStyle w:val="Body"/>
              <w:rPr>
                <w:rFonts w:ascii="Arial" w:hAnsi="Arial" w:cs="Arial"/>
                <w:lang w:val="fr-FR"/>
              </w:rPr>
            </w:pPr>
            <w:r w:rsidRPr="0040702B">
              <w:rPr>
                <w:rFonts w:ascii="Arial" w:hAnsi="Arial" w:cs="Arial"/>
              </w:rPr>
              <w:t>ACCACAAACATAAATTAACGG</w:t>
            </w:r>
          </w:p>
        </w:tc>
        <w:tc>
          <w:tcPr>
            <w:tcW w:w="0" w:type="auto"/>
            <w:vMerge/>
            <w:tcBorders>
              <w:top w:val="nil"/>
              <w:left w:val="nil"/>
              <w:bottom w:val="single" w:sz="8" w:space="0" w:color="7F7F7F"/>
              <w:right w:val="nil"/>
            </w:tcBorders>
            <w:vAlign w:val="center"/>
            <w:hideMark/>
          </w:tcPr>
          <w:p w14:paraId="7B77A6CC" w14:textId="77777777" w:rsidR="0040702B" w:rsidRPr="0040702B" w:rsidRDefault="0040702B" w:rsidP="0040702B">
            <w:pPr>
              <w:pStyle w:val="Body"/>
              <w:rPr>
                <w:rFonts w:ascii="Arial" w:hAnsi="Arial" w:cs="Arial"/>
                <w:lang w:val="fr-FR"/>
              </w:rPr>
            </w:pPr>
          </w:p>
        </w:tc>
      </w:tr>
      <w:tr w:rsidR="0040702B" w:rsidRPr="0040702B" w14:paraId="5B85BBE5" w14:textId="77777777" w:rsidTr="0040702B">
        <w:trPr>
          <w:trHeight w:val="300"/>
        </w:trPr>
        <w:tc>
          <w:tcPr>
            <w:tcW w:w="1460" w:type="dxa"/>
            <w:hideMark/>
          </w:tcPr>
          <w:p w14:paraId="128849D8" w14:textId="77777777" w:rsidR="0040702B" w:rsidRPr="0040702B" w:rsidRDefault="0040702B" w:rsidP="0040702B">
            <w:pPr>
              <w:pStyle w:val="Body"/>
              <w:rPr>
                <w:rFonts w:ascii="Arial" w:hAnsi="Arial" w:cs="Arial"/>
                <w:lang w:val="fr-FR"/>
              </w:rPr>
            </w:pPr>
          </w:p>
        </w:tc>
        <w:tc>
          <w:tcPr>
            <w:tcW w:w="900" w:type="dxa"/>
            <w:vMerge w:val="restart"/>
            <w:tcBorders>
              <w:top w:val="nil"/>
              <w:left w:val="nil"/>
              <w:bottom w:val="single" w:sz="8" w:space="0" w:color="7F7F7F"/>
              <w:right w:val="nil"/>
            </w:tcBorders>
            <w:vAlign w:val="center"/>
            <w:hideMark/>
          </w:tcPr>
          <w:p w14:paraId="11859D2B" w14:textId="77777777" w:rsidR="0040702B" w:rsidRPr="0040702B" w:rsidRDefault="0040702B" w:rsidP="0040702B">
            <w:pPr>
              <w:pStyle w:val="Body"/>
              <w:rPr>
                <w:rFonts w:ascii="Arial" w:hAnsi="Arial" w:cs="Arial"/>
                <w:lang w:val="fr-FR"/>
              </w:rPr>
            </w:pPr>
            <w:r w:rsidRPr="0040702B">
              <w:rPr>
                <w:rFonts w:ascii="Arial" w:hAnsi="Arial" w:cs="Arial"/>
              </w:rPr>
              <w:t>PCR 2</w:t>
            </w:r>
          </w:p>
        </w:tc>
        <w:tc>
          <w:tcPr>
            <w:tcW w:w="1200" w:type="dxa"/>
            <w:tcBorders>
              <w:top w:val="single" w:sz="8" w:space="0" w:color="7F7F7F"/>
              <w:left w:val="nil"/>
              <w:bottom w:val="single" w:sz="8" w:space="0" w:color="7F7F7F"/>
              <w:right w:val="nil"/>
            </w:tcBorders>
            <w:vAlign w:val="center"/>
            <w:hideMark/>
          </w:tcPr>
          <w:p w14:paraId="4DEB28DA" w14:textId="77777777" w:rsidR="0040702B" w:rsidRPr="0040702B" w:rsidRDefault="0040702B" w:rsidP="0040702B">
            <w:pPr>
              <w:pStyle w:val="Body"/>
              <w:rPr>
                <w:rFonts w:ascii="Arial" w:hAnsi="Arial" w:cs="Arial"/>
                <w:lang w:val="fr-FR"/>
              </w:rPr>
            </w:pPr>
            <w:r w:rsidRPr="0040702B">
              <w:rPr>
                <w:rFonts w:ascii="Arial" w:hAnsi="Arial" w:cs="Arial"/>
              </w:rPr>
              <w:t>MDR1.2_F</w:t>
            </w:r>
          </w:p>
        </w:tc>
        <w:tc>
          <w:tcPr>
            <w:tcW w:w="3620" w:type="dxa"/>
            <w:tcBorders>
              <w:top w:val="single" w:sz="8" w:space="0" w:color="7F7F7F"/>
              <w:left w:val="nil"/>
              <w:bottom w:val="single" w:sz="8" w:space="0" w:color="7F7F7F"/>
              <w:right w:val="nil"/>
            </w:tcBorders>
            <w:vAlign w:val="center"/>
            <w:hideMark/>
          </w:tcPr>
          <w:p w14:paraId="518B0FCE" w14:textId="77777777" w:rsidR="0040702B" w:rsidRPr="0040702B" w:rsidRDefault="0040702B" w:rsidP="0040702B">
            <w:pPr>
              <w:pStyle w:val="Body"/>
              <w:rPr>
                <w:rFonts w:ascii="Arial" w:hAnsi="Arial" w:cs="Arial"/>
                <w:lang w:val="fr-FR"/>
              </w:rPr>
            </w:pPr>
            <w:r w:rsidRPr="0040702B">
              <w:rPr>
                <w:rFonts w:ascii="Arial" w:hAnsi="Arial" w:cs="Arial"/>
              </w:rPr>
              <w:t>TTTGTATGTGCTGTATTATCAGG</w:t>
            </w:r>
          </w:p>
        </w:tc>
        <w:tc>
          <w:tcPr>
            <w:tcW w:w="1280" w:type="dxa"/>
            <w:vMerge w:val="restart"/>
            <w:tcBorders>
              <w:top w:val="nil"/>
              <w:left w:val="nil"/>
              <w:bottom w:val="single" w:sz="8" w:space="0" w:color="7F7F7F"/>
              <w:right w:val="nil"/>
            </w:tcBorders>
            <w:vAlign w:val="center"/>
            <w:hideMark/>
          </w:tcPr>
          <w:p w14:paraId="5EEA3F28" w14:textId="463056EF" w:rsidR="0040702B" w:rsidRPr="0040702B" w:rsidRDefault="0040702B" w:rsidP="0040702B">
            <w:pPr>
              <w:pStyle w:val="Body"/>
              <w:rPr>
                <w:rFonts w:ascii="Arial" w:hAnsi="Arial" w:cs="Arial"/>
                <w:lang w:val="fr-FR"/>
              </w:rPr>
            </w:pPr>
            <w:r>
              <w:rPr>
                <w:rFonts w:ascii="Arial" w:hAnsi="Arial" w:cs="Arial"/>
              </w:rPr>
              <w:t xml:space="preserve">       </w:t>
            </w:r>
            <w:r w:rsidRPr="0040702B">
              <w:rPr>
                <w:rFonts w:ascii="Arial" w:hAnsi="Arial" w:cs="Arial"/>
              </w:rPr>
              <w:t>393</w:t>
            </w:r>
          </w:p>
        </w:tc>
      </w:tr>
      <w:tr w:rsidR="0040702B" w:rsidRPr="0040702B" w14:paraId="2E0BC59B" w14:textId="77777777" w:rsidTr="0040702B">
        <w:trPr>
          <w:trHeight w:val="300"/>
        </w:trPr>
        <w:tc>
          <w:tcPr>
            <w:tcW w:w="1460" w:type="dxa"/>
            <w:tcBorders>
              <w:top w:val="nil"/>
              <w:left w:val="nil"/>
              <w:bottom w:val="single" w:sz="8" w:space="0" w:color="7F7F7F"/>
              <w:right w:val="nil"/>
            </w:tcBorders>
            <w:hideMark/>
          </w:tcPr>
          <w:p w14:paraId="34861C48" w14:textId="77777777" w:rsidR="0040702B" w:rsidRPr="0040702B" w:rsidRDefault="0040702B" w:rsidP="0040702B">
            <w:pPr>
              <w:pStyle w:val="Body"/>
              <w:rPr>
                <w:rFonts w:ascii="Arial" w:hAnsi="Arial" w:cs="Arial"/>
                <w:lang w:val="fr-FR"/>
              </w:rPr>
            </w:pPr>
            <w:r w:rsidRPr="0040702B">
              <w:rPr>
                <w:rFonts w:ascii="Arial" w:hAnsi="Arial" w:cs="Arial"/>
                <w:lang w:val="fr-FR"/>
              </w:rPr>
              <w:t> </w:t>
            </w:r>
          </w:p>
        </w:tc>
        <w:tc>
          <w:tcPr>
            <w:tcW w:w="0" w:type="auto"/>
            <w:vMerge/>
            <w:tcBorders>
              <w:top w:val="nil"/>
              <w:left w:val="nil"/>
              <w:bottom w:val="single" w:sz="8" w:space="0" w:color="7F7F7F"/>
              <w:right w:val="nil"/>
            </w:tcBorders>
            <w:vAlign w:val="center"/>
            <w:hideMark/>
          </w:tcPr>
          <w:p w14:paraId="17F7B2B3" w14:textId="77777777" w:rsidR="0040702B" w:rsidRPr="0040702B" w:rsidRDefault="0040702B" w:rsidP="0040702B">
            <w:pPr>
              <w:pStyle w:val="Body"/>
              <w:rPr>
                <w:rFonts w:ascii="Arial" w:hAnsi="Arial" w:cs="Arial"/>
                <w:lang w:val="fr-FR"/>
              </w:rPr>
            </w:pPr>
          </w:p>
        </w:tc>
        <w:tc>
          <w:tcPr>
            <w:tcW w:w="1200" w:type="dxa"/>
            <w:tcBorders>
              <w:top w:val="nil"/>
              <w:left w:val="nil"/>
              <w:bottom w:val="single" w:sz="8" w:space="0" w:color="7F7F7F"/>
              <w:right w:val="nil"/>
            </w:tcBorders>
            <w:vAlign w:val="center"/>
            <w:hideMark/>
          </w:tcPr>
          <w:p w14:paraId="148F4DE1" w14:textId="77777777" w:rsidR="0040702B" w:rsidRPr="0040702B" w:rsidRDefault="0040702B" w:rsidP="0040702B">
            <w:pPr>
              <w:pStyle w:val="Body"/>
              <w:rPr>
                <w:rFonts w:ascii="Arial" w:hAnsi="Arial" w:cs="Arial"/>
                <w:lang w:val="fr-FR"/>
              </w:rPr>
            </w:pPr>
            <w:r w:rsidRPr="0040702B">
              <w:rPr>
                <w:rFonts w:ascii="Arial" w:hAnsi="Arial" w:cs="Arial"/>
              </w:rPr>
              <w:t>MDR1.2_F</w:t>
            </w:r>
          </w:p>
        </w:tc>
        <w:tc>
          <w:tcPr>
            <w:tcW w:w="3620" w:type="dxa"/>
            <w:tcBorders>
              <w:top w:val="nil"/>
              <w:left w:val="nil"/>
              <w:bottom w:val="single" w:sz="8" w:space="0" w:color="7F7F7F"/>
              <w:right w:val="nil"/>
            </w:tcBorders>
            <w:vAlign w:val="center"/>
            <w:hideMark/>
          </w:tcPr>
          <w:p w14:paraId="58AB63D7" w14:textId="77777777" w:rsidR="0040702B" w:rsidRPr="0040702B" w:rsidRDefault="0040702B" w:rsidP="0040702B">
            <w:pPr>
              <w:pStyle w:val="Body"/>
              <w:rPr>
                <w:rFonts w:ascii="Arial" w:hAnsi="Arial" w:cs="Arial"/>
                <w:lang w:val="fr-FR"/>
              </w:rPr>
            </w:pPr>
            <w:r w:rsidRPr="0040702B">
              <w:rPr>
                <w:rFonts w:ascii="Arial" w:hAnsi="Arial" w:cs="Arial"/>
              </w:rPr>
              <w:t>GTAATACATAAAGTCAAACGTGC</w:t>
            </w:r>
          </w:p>
        </w:tc>
        <w:tc>
          <w:tcPr>
            <w:tcW w:w="0" w:type="auto"/>
            <w:vMerge/>
            <w:tcBorders>
              <w:top w:val="nil"/>
              <w:left w:val="nil"/>
              <w:bottom w:val="single" w:sz="8" w:space="0" w:color="7F7F7F"/>
              <w:right w:val="nil"/>
            </w:tcBorders>
            <w:vAlign w:val="center"/>
            <w:hideMark/>
          </w:tcPr>
          <w:p w14:paraId="4222044D" w14:textId="77777777" w:rsidR="0040702B" w:rsidRPr="0040702B" w:rsidRDefault="0040702B" w:rsidP="0040702B">
            <w:pPr>
              <w:pStyle w:val="Body"/>
              <w:rPr>
                <w:rFonts w:ascii="Arial" w:hAnsi="Arial" w:cs="Arial"/>
                <w:lang w:val="fr-FR"/>
              </w:rPr>
            </w:pPr>
          </w:p>
        </w:tc>
      </w:tr>
    </w:tbl>
    <w:p w14:paraId="5C99A71C" w14:textId="465D6E3B" w:rsidR="00DC2EC1" w:rsidRDefault="00DC2EC1" w:rsidP="00604CAA">
      <w:pPr>
        <w:pStyle w:val="Body"/>
        <w:rPr>
          <w:rFonts w:ascii="Arial" w:hAnsi="Arial" w:cs="Arial"/>
        </w:rPr>
      </w:pPr>
    </w:p>
    <w:p w14:paraId="095AAD6C" w14:textId="241C22B2" w:rsidR="004213C0" w:rsidRPr="004213C0" w:rsidRDefault="00333925" w:rsidP="00604CAA">
      <w:pPr>
        <w:pStyle w:val="Body"/>
        <w:numPr>
          <w:ilvl w:val="0"/>
          <w:numId w:val="10"/>
        </w:numPr>
        <w:rPr>
          <w:rFonts w:ascii="Arial" w:hAnsi="Arial" w:cs="Arial"/>
          <w:b/>
          <w:bCs/>
        </w:rPr>
      </w:pPr>
      <w:r>
        <w:rPr>
          <w:rFonts w:ascii="Arial" w:hAnsi="Arial" w:cs="Arial"/>
          <w:b/>
          <w:bCs/>
          <w:i/>
          <w:iCs/>
        </w:rPr>
        <w:t>K13</w:t>
      </w:r>
      <w:r w:rsidR="004213C0" w:rsidRPr="00514BF5">
        <w:rPr>
          <w:rFonts w:ascii="Arial" w:hAnsi="Arial" w:cs="Arial"/>
          <w:b/>
          <w:bCs/>
        </w:rPr>
        <w:t xml:space="preserve"> gene primers</w:t>
      </w:r>
    </w:p>
    <w:tbl>
      <w:tblPr>
        <w:tblStyle w:val="Tableausimple2"/>
        <w:tblW w:w="8980" w:type="dxa"/>
        <w:tblLook w:val="04A0" w:firstRow="1" w:lastRow="0" w:firstColumn="1" w:lastColumn="0" w:noHBand="0" w:noVBand="1"/>
      </w:tblPr>
      <w:tblGrid>
        <w:gridCol w:w="1161"/>
        <w:gridCol w:w="1157"/>
        <w:gridCol w:w="1200"/>
        <w:gridCol w:w="3983"/>
        <w:gridCol w:w="1479"/>
      </w:tblGrid>
      <w:tr w:rsidR="00446A93" w:rsidRPr="00446A93" w14:paraId="32E64881" w14:textId="77777777" w:rsidTr="00446A93">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00" w:type="dxa"/>
            <w:hideMark/>
          </w:tcPr>
          <w:p w14:paraId="21D1759F" w14:textId="77777777" w:rsidR="00446A93" w:rsidRPr="00446A93" w:rsidRDefault="00446A93" w:rsidP="00446A93">
            <w:pPr>
              <w:pStyle w:val="Body"/>
              <w:rPr>
                <w:rFonts w:ascii="Arial" w:hAnsi="Arial" w:cs="Arial"/>
                <w:b w:val="0"/>
                <w:bCs w:val="0"/>
                <w:lang w:val="fr-FR"/>
              </w:rPr>
            </w:pPr>
            <w:r w:rsidRPr="00446A93">
              <w:rPr>
                <w:rFonts w:ascii="Arial" w:hAnsi="Arial" w:cs="Arial"/>
                <w:b w:val="0"/>
                <w:bCs w:val="0"/>
              </w:rPr>
              <w:t>Gene</w:t>
            </w:r>
          </w:p>
        </w:tc>
        <w:tc>
          <w:tcPr>
            <w:tcW w:w="1200" w:type="dxa"/>
            <w:hideMark/>
          </w:tcPr>
          <w:p w14:paraId="7B9A2681" w14:textId="77777777" w:rsidR="00446A93" w:rsidRPr="00446A93" w:rsidRDefault="00446A93" w:rsidP="00446A93">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446A93">
              <w:rPr>
                <w:rFonts w:ascii="Arial" w:hAnsi="Arial" w:cs="Arial"/>
                <w:b w:val="0"/>
                <w:bCs w:val="0"/>
              </w:rPr>
              <w:t>PCR</w:t>
            </w:r>
          </w:p>
        </w:tc>
        <w:tc>
          <w:tcPr>
            <w:tcW w:w="1200" w:type="dxa"/>
            <w:hideMark/>
          </w:tcPr>
          <w:p w14:paraId="63C42995" w14:textId="77777777" w:rsidR="00446A93" w:rsidRPr="00446A93" w:rsidRDefault="00446A93" w:rsidP="00446A93">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446A93">
              <w:rPr>
                <w:rFonts w:ascii="Arial" w:hAnsi="Arial" w:cs="Arial"/>
                <w:b w:val="0"/>
                <w:bCs w:val="0"/>
              </w:rPr>
              <w:t>Primers names</w:t>
            </w:r>
          </w:p>
        </w:tc>
        <w:tc>
          <w:tcPr>
            <w:tcW w:w="3860" w:type="dxa"/>
            <w:hideMark/>
          </w:tcPr>
          <w:p w14:paraId="777C29BE" w14:textId="77777777" w:rsidR="00446A93" w:rsidRPr="00446A93" w:rsidRDefault="00446A93" w:rsidP="00446A93">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446A93">
              <w:rPr>
                <w:rFonts w:ascii="Arial" w:hAnsi="Arial" w:cs="Arial"/>
                <w:b w:val="0"/>
                <w:bCs w:val="0"/>
              </w:rPr>
              <w:t>Primer sequence (5'-3' direction)</w:t>
            </w:r>
          </w:p>
        </w:tc>
        <w:tc>
          <w:tcPr>
            <w:tcW w:w="1520" w:type="dxa"/>
            <w:hideMark/>
          </w:tcPr>
          <w:p w14:paraId="715A5E73" w14:textId="77777777" w:rsidR="00446A93" w:rsidRPr="00446A93" w:rsidRDefault="00446A93" w:rsidP="00446A93">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446A93">
              <w:rPr>
                <w:rFonts w:ascii="Arial" w:hAnsi="Arial" w:cs="Arial"/>
                <w:b w:val="0"/>
                <w:bCs w:val="0"/>
              </w:rPr>
              <w:t>Size of PCR products</w:t>
            </w:r>
          </w:p>
        </w:tc>
      </w:tr>
      <w:tr w:rsidR="00446A93" w:rsidRPr="00446A93" w14:paraId="7E730209" w14:textId="77777777" w:rsidTr="00446A9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hideMark/>
          </w:tcPr>
          <w:p w14:paraId="477857E7" w14:textId="77777777" w:rsidR="00446A93" w:rsidRPr="00446A93" w:rsidRDefault="00446A93" w:rsidP="00446A93">
            <w:pPr>
              <w:pStyle w:val="Body"/>
              <w:rPr>
                <w:rFonts w:ascii="Arial" w:hAnsi="Arial" w:cs="Arial"/>
                <w:i/>
                <w:iCs/>
                <w:lang w:val="fr-FR"/>
              </w:rPr>
            </w:pPr>
            <w:r w:rsidRPr="00446A93">
              <w:rPr>
                <w:rFonts w:ascii="Arial" w:hAnsi="Arial" w:cs="Arial"/>
                <w:i/>
                <w:iCs/>
              </w:rPr>
              <w:t xml:space="preserve">        K13</w:t>
            </w:r>
          </w:p>
        </w:tc>
        <w:tc>
          <w:tcPr>
            <w:tcW w:w="1200" w:type="dxa"/>
            <w:vMerge w:val="restart"/>
            <w:hideMark/>
          </w:tcPr>
          <w:p w14:paraId="6ED106FE"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PCR 1</w:t>
            </w:r>
          </w:p>
        </w:tc>
        <w:tc>
          <w:tcPr>
            <w:tcW w:w="1200" w:type="dxa"/>
            <w:hideMark/>
          </w:tcPr>
          <w:p w14:paraId="64062273"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 xml:space="preserve"> K13_F</w:t>
            </w:r>
          </w:p>
        </w:tc>
        <w:tc>
          <w:tcPr>
            <w:tcW w:w="3860" w:type="dxa"/>
            <w:hideMark/>
          </w:tcPr>
          <w:p w14:paraId="5A64906F"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TTACTTTTGAATTTCCCTTTTTATTTCCA</w:t>
            </w:r>
          </w:p>
        </w:tc>
        <w:tc>
          <w:tcPr>
            <w:tcW w:w="1520" w:type="dxa"/>
            <w:vMerge w:val="restart"/>
            <w:hideMark/>
          </w:tcPr>
          <w:p w14:paraId="5F05D96D"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2049</w:t>
            </w:r>
          </w:p>
        </w:tc>
      </w:tr>
      <w:tr w:rsidR="00446A93" w:rsidRPr="00446A93" w14:paraId="318320FB" w14:textId="77777777" w:rsidTr="00446A93">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1D221280" w14:textId="77777777" w:rsidR="00446A93" w:rsidRPr="00446A93" w:rsidRDefault="00446A93" w:rsidP="00446A93">
            <w:pPr>
              <w:pStyle w:val="Body"/>
              <w:rPr>
                <w:rFonts w:ascii="Arial" w:hAnsi="Arial" w:cs="Arial"/>
                <w:i/>
                <w:iCs/>
                <w:lang w:val="fr-FR"/>
              </w:rPr>
            </w:pPr>
          </w:p>
        </w:tc>
        <w:tc>
          <w:tcPr>
            <w:tcW w:w="0" w:type="auto"/>
            <w:vMerge/>
            <w:hideMark/>
          </w:tcPr>
          <w:p w14:paraId="3F2C7C76"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200" w:type="dxa"/>
            <w:hideMark/>
          </w:tcPr>
          <w:p w14:paraId="28AF8B0B"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46A93">
              <w:rPr>
                <w:rFonts w:ascii="Arial" w:hAnsi="Arial" w:cs="Arial"/>
              </w:rPr>
              <w:t>K13_R</w:t>
            </w:r>
          </w:p>
        </w:tc>
        <w:tc>
          <w:tcPr>
            <w:tcW w:w="3860" w:type="dxa"/>
            <w:hideMark/>
          </w:tcPr>
          <w:p w14:paraId="7175E61B"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46A93">
              <w:rPr>
                <w:rFonts w:ascii="Arial" w:hAnsi="Arial" w:cs="Arial"/>
              </w:rPr>
              <w:t>GGGAATCTGGTGGTAACAGC</w:t>
            </w:r>
          </w:p>
        </w:tc>
        <w:tc>
          <w:tcPr>
            <w:tcW w:w="0" w:type="auto"/>
            <w:vMerge/>
            <w:hideMark/>
          </w:tcPr>
          <w:p w14:paraId="53099417"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r w:rsidR="00446A93" w:rsidRPr="00446A93" w14:paraId="72EA5FB9" w14:textId="77777777" w:rsidTr="00446A9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0E9502DF" w14:textId="77777777" w:rsidR="00446A93" w:rsidRPr="00446A93" w:rsidRDefault="00446A93" w:rsidP="00446A93">
            <w:pPr>
              <w:pStyle w:val="Body"/>
              <w:rPr>
                <w:rFonts w:ascii="Arial" w:hAnsi="Arial" w:cs="Arial"/>
                <w:i/>
                <w:iCs/>
                <w:lang w:val="fr-FR"/>
              </w:rPr>
            </w:pPr>
          </w:p>
        </w:tc>
        <w:tc>
          <w:tcPr>
            <w:tcW w:w="1200" w:type="dxa"/>
            <w:vMerge w:val="restart"/>
            <w:hideMark/>
          </w:tcPr>
          <w:p w14:paraId="059BD5A5"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PCR 2</w:t>
            </w:r>
          </w:p>
        </w:tc>
        <w:tc>
          <w:tcPr>
            <w:tcW w:w="1200" w:type="dxa"/>
            <w:hideMark/>
          </w:tcPr>
          <w:p w14:paraId="465FC9FF"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K13_N1_F</w:t>
            </w:r>
          </w:p>
        </w:tc>
        <w:tc>
          <w:tcPr>
            <w:tcW w:w="3860" w:type="dxa"/>
            <w:hideMark/>
          </w:tcPr>
          <w:p w14:paraId="63D5182C"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GCCAAGCTGCCATTCATTTG</w:t>
            </w:r>
          </w:p>
        </w:tc>
        <w:tc>
          <w:tcPr>
            <w:tcW w:w="1520" w:type="dxa"/>
            <w:vMerge w:val="restart"/>
            <w:hideMark/>
          </w:tcPr>
          <w:p w14:paraId="010D3657"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848</w:t>
            </w:r>
          </w:p>
        </w:tc>
      </w:tr>
      <w:tr w:rsidR="00446A93" w:rsidRPr="00446A93" w14:paraId="286815B3" w14:textId="77777777" w:rsidTr="00446A93">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24673E49" w14:textId="77777777" w:rsidR="00446A93" w:rsidRPr="00446A93" w:rsidRDefault="00446A93" w:rsidP="00446A93">
            <w:pPr>
              <w:pStyle w:val="Body"/>
              <w:rPr>
                <w:rFonts w:ascii="Arial" w:hAnsi="Arial" w:cs="Arial"/>
                <w:i/>
                <w:iCs/>
                <w:lang w:val="fr-FR"/>
              </w:rPr>
            </w:pPr>
          </w:p>
        </w:tc>
        <w:tc>
          <w:tcPr>
            <w:tcW w:w="0" w:type="auto"/>
            <w:vMerge/>
            <w:hideMark/>
          </w:tcPr>
          <w:p w14:paraId="27CD4220"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200" w:type="dxa"/>
            <w:hideMark/>
          </w:tcPr>
          <w:p w14:paraId="086E83AB"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46A93">
              <w:rPr>
                <w:rFonts w:ascii="Arial" w:hAnsi="Arial" w:cs="Arial"/>
              </w:rPr>
              <w:t>K13_N1_R</w:t>
            </w:r>
          </w:p>
        </w:tc>
        <w:tc>
          <w:tcPr>
            <w:tcW w:w="3860" w:type="dxa"/>
            <w:hideMark/>
          </w:tcPr>
          <w:p w14:paraId="12BDF9E3"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46A93">
              <w:rPr>
                <w:rFonts w:ascii="Arial" w:hAnsi="Arial" w:cs="Arial"/>
              </w:rPr>
              <w:t>GTAATACATAAAGTCAAACGTGC</w:t>
            </w:r>
          </w:p>
        </w:tc>
        <w:tc>
          <w:tcPr>
            <w:tcW w:w="0" w:type="auto"/>
            <w:vMerge/>
            <w:hideMark/>
          </w:tcPr>
          <w:p w14:paraId="1D2826E0"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bl>
    <w:p w14:paraId="3AF06ACA" w14:textId="77777777" w:rsidR="004213C0" w:rsidRPr="006D2B48" w:rsidRDefault="004213C0" w:rsidP="00604CAA">
      <w:pPr>
        <w:pStyle w:val="Body"/>
        <w:rPr>
          <w:rFonts w:ascii="Arial" w:hAnsi="Arial" w:cs="Arial"/>
        </w:rPr>
      </w:pPr>
    </w:p>
    <w:p w14:paraId="7365C639" w14:textId="1F97F3B4" w:rsidR="00604CAA" w:rsidRPr="00604CAA" w:rsidRDefault="006D2B48" w:rsidP="00604CAA">
      <w:pPr>
        <w:pStyle w:val="Body"/>
        <w:rPr>
          <w:rFonts w:ascii="Arial" w:hAnsi="Arial" w:cs="Arial"/>
          <w:b/>
          <w:bCs/>
        </w:rPr>
      </w:pPr>
      <w:r>
        <w:rPr>
          <w:rFonts w:ascii="Arial" w:hAnsi="Arial" w:cs="Arial"/>
          <w:b/>
          <w:bCs/>
        </w:rPr>
        <w:t xml:space="preserve">   2.4 </w:t>
      </w:r>
      <w:r w:rsidR="00604CAA" w:rsidRPr="00604CAA">
        <w:rPr>
          <w:rFonts w:ascii="Arial" w:hAnsi="Arial" w:cs="Arial"/>
          <w:b/>
          <w:bCs/>
        </w:rPr>
        <w:t>Data analysis</w:t>
      </w:r>
    </w:p>
    <w:p w14:paraId="22725D56" w14:textId="77777777" w:rsidR="00604CAA" w:rsidRPr="000567B4" w:rsidRDefault="00604CAA" w:rsidP="00604CAA">
      <w:pPr>
        <w:pStyle w:val="Body"/>
        <w:rPr>
          <w:rFonts w:ascii="Arial" w:hAnsi="Arial" w:cs="Arial"/>
        </w:rPr>
      </w:pPr>
      <w:proofErr w:type="spellStart"/>
      <w:r w:rsidRPr="000567B4">
        <w:rPr>
          <w:rFonts w:ascii="Arial" w:hAnsi="Arial" w:cs="Arial"/>
        </w:rPr>
        <w:t>BioEdit</w:t>
      </w:r>
      <w:proofErr w:type="spellEnd"/>
      <w:r w:rsidRPr="000567B4">
        <w:rPr>
          <w:rFonts w:ascii="Arial" w:hAnsi="Arial" w:cs="Arial"/>
        </w:rPr>
        <w:t xml:space="preserve">® was used to search for mutations. Analysis carried out by aligning the sequences with the reference sequences of the corresponding genes available online in the </w:t>
      </w:r>
      <w:r w:rsidRPr="000567B4">
        <w:rPr>
          <w:rFonts w:ascii="Arial" w:hAnsi="Arial" w:cs="Arial"/>
          <w:i/>
        </w:rPr>
        <w:t xml:space="preserve">GenBank </w:t>
      </w:r>
      <w:r w:rsidRPr="000567B4">
        <w:rPr>
          <w:rFonts w:ascii="Arial" w:hAnsi="Arial" w:cs="Arial"/>
        </w:rPr>
        <w:t xml:space="preserve">public database </w:t>
      </w:r>
      <w:hyperlink r:id="rId9">
        <w:r w:rsidRPr="000567B4">
          <w:rPr>
            <w:rStyle w:val="Lienhypertexte"/>
            <w:rFonts w:ascii="Arial" w:hAnsi="Arial" w:cs="Arial"/>
          </w:rPr>
          <w:t>(http://www.ncbi.nlm.nih.gov)</w:t>
        </w:r>
      </w:hyperlink>
      <w:r w:rsidRPr="000567B4">
        <w:rPr>
          <w:rFonts w:ascii="Arial" w:hAnsi="Arial" w:cs="Arial"/>
        </w:rPr>
        <w:t xml:space="preserve">. The area of interest was that containing codons 86 and 184 for the </w:t>
      </w:r>
      <w:r w:rsidRPr="000567B4">
        <w:rPr>
          <w:rFonts w:ascii="Arial" w:hAnsi="Arial" w:cs="Arial"/>
          <w:i/>
        </w:rPr>
        <w:t xml:space="preserve">pfmdr1 </w:t>
      </w:r>
      <w:r w:rsidRPr="000567B4">
        <w:rPr>
          <w:rFonts w:ascii="Arial" w:hAnsi="Arial" w:cs="Arial"/>
        </w:rPr>
        <w:t xml:space="preserve">gene and codons 72, 73, 74, 75 and 76 for the </w:t>
      </w:r>
      <w:r w:rsidRPr="000567B4">
        <w:rPr>
          <w:rFonts w:ascii="Arial" w:hAnsi="Arial" w:cs="Arial"/>
          <w:i/>
        </w:rPr>
        <w:t xml:space="preserve">pfcrt </w:t>
      </w:r>
      <w:r w:rsidRPr="000567B4">
        <w:rPr>
          <w:rFonts w:ascii="Arial" w:hAnsi="Arial" w:cs="Arial"/>
        </w:rPr>
        <w:t xml:space="preserve">gene. For the </w:t>
      </w:r>
      <w:r w:rsidRPr="000567B4">
        <w:rPr>
          <w:rFonts w:ascii="Arial" w:hAnsi="Arial" w:cs="Arial"/>
          <w:i/>
        </w:rPr>
        <w:t xml:space="preserve">K13 propeller </w:t>
      </w:r>
      <w:r w:rsidRPr="000567B4">
        <w:rPr>
          <w:rFonts w:ascii="Arial" w:hAnsi="Arial" w:cs="Arial"/>
        </w:rPr>
        <w:t xml:space="preserve">gene, sequencing focused on the domain comprising codons 458, 476, 493, 539, 543 and 580. However, a portion of 850 bp was sequenced in order to search for possible candidate markers of artemisinin resistance. Strain PF3D7_1343700 was used as a reference. All data were recorded on Microsoft Excel™ version 2016 software. </w:t>
      </w:r>
      <w:proofErr w:type="spellStart"/>
      <w:r w:rsidRPr="000567B4">
        <w:rPr>
          <w:rFonts w:ascii="Arial" w:hAnsi="Arial" w:cs="Arial"/>
        </w:rPr>
        <w:t>Xlstat</w:t>
      </w:r>
      <w:proofErr w:type="spellEnd"/>
      <w:r w:rsidRPr="000567B4">
        <w:rPr>
          <w:rFonts w:ascii="Arial" w:hAnsi="Arial" w:cs="Arial"/>
        </w:rPr>
        <w:t xml:space="preserve"> software was used to analyze the data. Comparison of the different parameters was performed using the Chi 2 test and Fisher's exact test. The significance level was set at 0.05.</w:t>
      </w:r>
    </w:p>
    <w:p w14:paraId="4CADAB7E" w14:textId="33CC368A" w:rsidR="006D2B48" w:rsidRDefault="006D2B48" w:rsidP="006D2B48">
      <w:pPr>
        <w:pStyle w:val="Body"/>
        <w:rPr>
          <w:rFonts w:ascii="Arial" w:hAnsi="Arial" w:cs="Arial"/>
          <w:b/>
          <w:bCs/>
        </w:rPr>
      </w:pPr>
      <w:r>
        <w:rPr>
          <w:rFonts w:ascii="Arial" w:hAnsi="Arial" w:cs="Arial"/>
          <w:b/>
          <w:bCs/>
        </w:rPr>
        <w:t xml:space="preserve">3. </w:t>
      </w:r>
      <w:r w:rsidRPr="00C12DA9">
        <w:rPr>
          <w:rFonts w:ascii="Arial" w:hAnsi="Arial" w:cs="Arial"/>
          <w:b/>
          <w:bCs/>
          <w:sz w:val="22"/>
          <w:szCs w:val="22"/>
        </w:rPr>
        <w:t>RESULTS</w:t>
      </w:r>
    </w:p>
    <w:p w14:paraId="2B891066" w14:textId="0FC46F34" w:rsidR="006D2B48" w:rsidRPr="006D2B48" w:rsidRDefault="0066634B" w:rsidP="006D2B48">
      <w:pPr>
        <w:pStyle w:val="Body"/>
        <w:rPr>
          <w:rFonts w:ascii="Arial" w:hAnsi="Arial" w:cs="Arial"/>
          <w:b/>
          <w:bCs/>
        </w:rPr>
      </w:pPr>
      <w:r>
        <w:rPr>
          <w:rFonts w:ascii="Arial" w:hAnsi="Arial" w:cs="Arial"/>
          <w:b/>
        </w:rPr>
        <w:t xml:space="preserve">   </w:t>
      </w:r>
      <w:r w:rsidR="006D2B48">
        <w:rPr>
          <w:rFonts w:ascii="Arial" w:hAnsi="Arial" w:cs="Arial"/>
          <w:b/>
        </w:rPr>
        <w:t xml:space="preserve">3.1 </w:t>
      </w:r>
      <w:r w:rsidR="006D2B48" w:rsidRPr="006D2B48">
        <w:rPr>
          <w:rFonts w:ascii="Arial" w:hAnsi="Arial" w:cs="Arial"/>
          <w:b/>
        </w:rPr>
        <w:t>Patient demographics and parasitology</w:t>
      </w:r>
    </w:p>
    <w:p w14:paraId="4446E7F4" w14:textId="4F9ED876" w:rsidR="006D2B48" w:rsidRPr="000567B4" w:rsidRDefault="006D2B48" w:rsidP="006D2B48">
      <w:pPr>
        <w:pStyle w:val="Body"/>
        <w:rPr>
          <w:rFonts w:ascii="Arial" w:hAnsi="Arial" w:cs="Arial"/>
        </w:rPr>
      </w:pPr>
      <w:r w:rsidRPr="000567B4">
        <w:rPr>
          <w:rFonts w:ascii="Arial" w:hAnsi="Arial" w:cs="Arial"/>
        </w:rPr>
        <w:t xml:space="preserve">A total of 292 </w:t>
      </w:r>
      <w:r w:rsidRPr="000567B4">
        <w:rPr>
          <w:rFonts w:ascii="Arial" w:hAnsi="Arial" w:cs="Arial"/>
          <w:i/>
        </w:rPr>
        <w:t xml:space="preserve">Plasmodium falciparum-infected </w:t>
      </w:r>
      <w:r w:rsidRPr="000567B4">
        <w:rPr>
          <w:rFonts w:ascii="Arial" w:hAnsi="Arial" w:cs="Arial"/>
        </w:rPr>
        <w:t xml:space="preserve">blood samples were collected from all study sites. This population comprised 139 women (47.6%) and 153 men (52.), giving a sex ratio (M/F) of 1.10. Mean age was 12.88 years (4 months to 65 years). Parasite densities, ranging from 260 to 270000 parasites/µL of blood, were determined by reading the thick drops. The </w:t>
      </w:r>
      <w:r w:rsidRPr="000567B4">
        <w:rPr>
          <w:rFonts w:ascii="Arial" w:hAnsi="Arial" w:cs="Arial"/>
        </w:rPr>
        <w:lastRenderedPageBreak/>
        <w:t xml:space="preserve">geometric mean parasite density was 12654.61 parasites/µL blood. Infestation rates were higher in children under 5 years of age (41.47%) than in other age groups. A significant difference (p = 0.082) was observed between the parasite densities of the different age groups. Details are given in </w:t>
      </w:r>
      <w:r w:rsidRPr="000567B4">
        <w:rPr>
          <w:rFonts w:ascii="Arial" w:hAnsi="Arial" w:cs="Arial"/>
          <w:b/>
          <w:bCs/>
        </w:rPr>
        <w:t>Table IV</w:t>
      </w:r>
      <w:r w:rsidRPr="000567B4">
        <w:rPr>
          <w:rFonts w:ascii="Arial" w:hAnsi="Arial" w:cs="Arial"/>
        </w:rPr>
        <w:t>.</w:t>
      </w:r>
    </w:p>
    <w:p w14:paraId="76DDECD7" w14:textId="77777777" w:rsidR="00796F19" w:rsidRDefault="00796F19" w:rsidP="006D2B48">
      <w:pPr>
        <w:pStyle w:val="Body"/>
        <w:rPr>
          <w:rFonts w:ascii="Arial" w:hAnsi="Arial" w:cs="Arial"/>
          <w:b/>
        </w:rPr>
      </w:pPr>
    </w:p>
    <w:p w14:paraId="38C5A159" w14:textId="400765EC" w:rsidR="00604CAA" w:rsidRDefault="006D2B48" w:rsidP="006D2B48">
      <w:pPr>
        <w:pStyle w:val="Body"/>
        <w:rPr>
          <w:rFonts w:ascii="Arial" w:hAnsi="Arial" w:cs="Arial"/>
        </w:rPr>
      </w:pPr>
      <w:r w:rsidRPr="006D2B48">
        <w:rPr>
          <w:rFonts w:ascii="Arial" w:hAnsi="Arial" w:cs="Arial"/>
          <w:b/>
        </w:rPr>
        <w:t>Table IV</w:t>
      </w:r>
      <w:r w:rsidRPr="006D2B48">
        <w:rPr>
          <w:rFonts w:ascii="Arial" w:hAnsi="Arial" w:cs="Arial"/>
        </w:rPr>
        <w:t>: Patient characteristics</w:t>
      </w:r>
      <w:r>
        <w:rPr>
          <w:rFonts w:ascii="Arial" w:hAnsi="Arial" w:cs="Arial"/>
        </w:rPr>
        <w:t xml:space="preserve"> </w:t>
      </w:r>
    </w:p>
    <w:p w14:paraId="2D13FF8F" w14:textId="77777777" w:rsidR="00796F19" w:rsidRDefault="00796F19" w:rsidP="006D2B48">
      <w:pPr>
        <w:pStyle w:val="Body"/>
        <w:rPr>
          <w:rFonts w:ascii="Arial" w:hAnsi="Arial" w:cs="Arial"/>
        </w:rPr>
      </w:pPr>
    </w:p>
    <w:tbl>
      <w:tblPr>
        <w:tblStyle w:val="Tableausimple2"/>
        <w:tblW w:w="0" w:type="auto"/>
        <w:tblLook w:val="04A0" w:firstRow="1" w:lastRow="0" w:firstColumn="1" w:lastColumn="0" w:noHBand="0" w:noVBand="1"/>
      </w:tblPr>
      <w:tblGrid>
        <w:gridCol w:w="1405"/>
        <w:gridCol w:w="2706"/>
        <w:gridCol w:w="1196"/>
        <w:gridCol w:w="2901"/>
      </w:tblGrid>
      <w:tr w:rsidR="00796F19" w:rsidRPr="00796F19" w14:paraId="2F600880" w14:textId="77777777" w:rsidTr="00796F19">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405" w:type="dxa"/>
            <w:vMerge w:val="restart"/>
            <w:tcBorders>
              <w:top w:val="single" w:sz="4" w:space="0" w:color="7F7F7F" w:themeColor="text1" w:themeTint="80"/>
              <w:left w:val="nil"/>
              <w:right w:val="nil"/>
            </w:tcBorders>
            <w:hideMark/>
          </w:tcPr>
          <w:p w14:paraId="53C9DF03" w14:textId="77777777" w:rsidR="00796F19" w:rsidRPr="00796F19" w:rsidRDefault="00796F19" w:rsidP="00796F19">
            <w:pPr>
              <w:pStyle w:val="Body"/>
              <w:rPr>
                <w:rFonts w:ascii="Arial" w:hAnsi="Arial" w:cs="Arial"/>
                <w:lang w:val="fr-FR"/>
              </w:rPr>
            </w:pPr>
            <w:r w:rsidRPr="00796F19">
              <w:rPr>
                <w:rFonts w:ascii="Arial" w:hAnsi="Arial" w:cs="Arial"/>
              </w:rPr>
              <w:t> </w:t>
            </w:r>
          </w:p>
        </w:tc>
        <w:tc>
          <w:tcPr>
            <w:tcW w:w="2706" w:type="dxa"/>
            <w:vMerge w:val="restart"/>
            <w:tcBorders>
              <w:top w:val="single" w:sz="4" w:space="0" w:color="7F7F7F" w:themeColor="text1" w:themeTint="80"/>
              <w:left w:val="nil"/>
              <w:right w:val="nil"/>
            </w:tcBorders>
            <w:hideMark/>
          </w:tcPr>
          <w:p w14:paraId="027D466B" w14:textId="77777777" w:rsidR="00796F19" w:rsidRPr="00796F19" w:rsidRDefault="00796F19" w:rsidP="00796F1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Parasite density Average (parasite/µL blood)</w:t>
            </w:r>
          </w:p>
        </w:tc>
        <w:tc>
          <w:tcPr>
            <w:tcW w:w="1196" w:type="dxa"/>
            <w:vMerge w:val="restart"/>
            <w:tcBorders>
              <w:top w:val="single" w:sz="4" w:space="0" w:color="7F7F7F" w:themeColor="text1" w:themeTint="80"/>
              <w:left w:val="nil"/>
              <w:right w:val="nil"/>
            </w:tcBorders>
            <w:hideMark/>
          </w:tcPr>
          <w:p w14:paraId="1B031F8F" w14:textId="77777777" w:rsidR="00796F19" w:rsidRPr="00796F19" w:rsidRDefault="00796F19" w:rsidP="00796F1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Total (%)</w:t>
            </w:r>
          </w:p>
        </w:tc>
        <w:tc>
          <w:tcPr>
            <w:tcW w:w="2901" w:type="dxa"/>
            <w:vMerge w:val="restart"/>
            <w:tcBorders>
              <w:top w:val="single" w:sz="4" w:space="0" w:color="7F7F7F" w:themeColor="text1" w:themeTint="80"/>
              <w:left w:val="nil"/>
              <w:right w:val="nil"/>
            </w:tcBorders>
            <w:hideMark/>
          </w:tcPr>
          <w:p w14:paraId="61DE7CA1" w14:textId="2D587CB6" w:rsidR="00796F19" w:rsidRPr="00796F19" w:rsidRDefault="00796F19" w:rsidP="00796F1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796F19">
              <w:rPr>
                <w:rFonts w:ascii="Arial" w:hAnsi="Arial" w:cs="Arial"/>
              </w:rPr>
              <w:t>p. value</w:t>
            </w:r>
          </w:p>
        </w:tc>
      </w:tr>
      <w:tr w:rsidR="00796F19" w:rsidRPr="00796F19" w14:paraId="1295150F" w14:textId="77777777" w:rsidTr="00796F19">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1232F271" w14:textId="77777777" w:rsidR="00796F19" w:rsidRPr="00796F19" w:rsidRDefault="00796F19" w:rsidP="00796F19">
            <w:pPr>
              <w:pStyle w:val="Body"/>
              <w:rPr>
                <w:rFonts w:ascii="Arial" w:hAnsi="Arial" w:cs="Arial"/>
                <w:lang w:val="fr-FR"/>
              </w:rPr>
            </w:pPr>
          </w:p>
        </w:tc>
        <w:tc>
          <w:tcPr>
            <w:tcW w:w="2706" w:type="dxa"/>
            <w:vMerge/>
            <w:tcBorders>
              <w:left w:val="nil"/>
              <w:right w:val="nil"/>
            </w:tcBorders>
            <w:vAlign w:val="center"/>
            <w:hideMark/>
          </w:tcPr>
          <w:p w14:paraId="478B87A8"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196" w:type="dxa"/>
            <w:vMerge/>
            <w:tcBorders>
              <w:left w:val="nil"/>
              <w:right w:val="nil"/>
            </w:tcBorders>
            <w:vAlign w:val="center"/>
            <w:hideMark/>
          </w:tcPr>
          <w:p w14:paraId="4EE0111F"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0" w:type="auto"/>
            <w:vMerge/>
            <w:tcBorders>
              <w:left w:val="nil"/>
              <w:right w:val="nil"/>
            </w:tcBorders>
            <w:vAlign w:val="center"/>
            <w:hideMark/>
          </w:tcPr>
          <w:p w14:paraId="04FDAAFB"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796F19" w:rsidRPr="00796F19" w14:paraId="7D8B3510" w14:textId="77777777" w:rsidTr="00796F19">
        <w:trPr>
          <w:trHeight w:val="300"/>
        </w:trPr>
        <w:tc>
          <w:tcPr>
            <w:cnfStyle w:val="001000000000" w:firstRow="0" w:lastRow="0" w:firstColumn="1" w:lastColumn="0" w:oddVBand="0" w:evenVBand="0" w:oddHBand="0" w:evenHBand="0" w:firstRowFirstColumn="0" w:firstRowLastColumn="0" w:lastRowFirstColumn="0" w:lastRowLastColumn="0"/>
            <w:tcW w:w="8208" w:type="dxa"/>
            <w:gridSpan w:val="4"/>
            <w:tcBorders>
              <w:top w:val="nil"/>
              <w:left w:val="nil"/>
              <w:bottom w:val="nil"/>
              <w:right w:val="nil"/>
            </w:tcBorders>
            <w:hideMark/>
          </w:tcPr>
          <w:p w14:paraId="7C55AAED" w14:textId="77777777" w:rsidR="00796F19" w:rsidRPr="00796F19" w:rsidRDefault="00796F19" w:rsidP="00796F19">
            <w:pPr>
              <w:pStyle w:val="Body"/>
              <w:rPr>
                <w:rFonts w:ascii="Arial" w:hAnsi="Arial" w:cs="Arial"/>
              </w:rPr>
            </w:pPr>
            <w:r w:rsidRPr="00796F19">
              <w:rPr>
                <w:rFonts w:ascii="Arial" w:hAnsi="Arial" w:cs="Arial"/>
              </w:rPr>
              <w:t>Gender</w:t>
            </w:r>
          </w:p>
        </w:tc>
      </w:tr>
      <w:tr w:rsidR="00796F19" w:rsidRPr="00796F19" w14:paraId="324FA162" w14:textId="77777777" w:rsidTr="00796F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5" w:type="dxa"/>
            <w:tcBorders>
              <w:left w:val="nil"/>
              <w:right w:val="nil"/>
            </w:tcBorders>
            <w:hideMark/>
          </w:tcPr>
          <w:p w14:paraId="607FA776" w14:textId="77777777" w:rsidR="00796F19" w:rsidRPr="00796F19" w:rsidRDefault="00796F19" w:rsidP="00796F19">
            <w:pPr>
              <w:pStyle w:val="Body"/>
              <w:rPr>
                <w:rFonts w:ascii="Arial" w:hAnsi="Arial" w:cs="Arial"/>
                <w:b w:val="0"/>
                <w:bCs w:val="0"/>
              </w:rPr>
            </w:pPr>
            <w:r w:rsidRPr="00796F19">
              <w:rPr>
                <w:rFonts w:ascii="Arial" w:hAnsi="Arial" w:cs="Arial"/>
                <w:b w:val="0"/>
                <w:bCs w:val="0"/>
              </w:rPr>
              <w:t>Male</w:t>
            </w:r>
          </w:p>
        </w:tc>
        <w:tc>
          <w:tcPr>
            <w:tcW w:w="2706" w:type="dxa"/>
            <w:tcBorders>
              <w:left w:val="nil"/>
              <w:right w:val="nil"/>
            </w:tcBorders>
            <w:hideMark/>
          </w:tcPr>
          <w:p w14:paraId="1C48556D"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13605,98</w:t>
            </w:r>
          </w:p>
        </w:tc>
        <w:tc>
          <w:tcPr>
            <w:tcW w:w="1196" w:type="dxa"/>
            <w:tcBorders>
              <w:left w:val="nil"/>
              <w:right w:val="nil"/>
            </w:tcBorders>
            <w:hideMark/>
          </w:tcPr>
          <w:p w14:paraId="1E01FE3B"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153 (52,4)</w:t>
            </w:r>
          </w:p>
        </w:tc>
        <w:tc>
          <w:tcPr>
            <w:tcW w:w="2901" w:type="dxa"/>
            <w:vMerge w:val="restart"/>
            <w:tcBorders>
              <w:left w:val="nil"/>
              <w:bottom w:val="nil"/>
              <w:right w:val="nil"/>
            </w:tcBorders>
            <w:hideMark/>
          </w:tcPr>
          <w:p w14:paraId="27071A4C" w14:textId="77777777" w:rsid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4D82E9C9" w14:textId="41A78AD0"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sidRPr="00796F19">
              <w:rPr>
                <w:rFonts w:ascii="Arial" w:hAnsi="Arial" w:cs="Arial"/>
              </w:rPr>
              <w:t>0,002</w:t>
            </w:r>
          </w:p>
        </w:tc>
      </w:tr>
      <w:tr w:rsidR="00796F19" w:rsidRPr="00796F19" w14:paraId="5B4FD226" w14:textId="77777777" w:rsidTr="00796F19">
        <w:trPr>
          <w:trHeight w:val="300"/>
        </w:trPr>
        <w:tc>
          <w:tcPr>
            <w:cnfStyle w:val="001000000000" w:firstRow="0" w:lastRow="0" w:firstColumn="1" w:lastColumn="0" w:oddVBand="0" w:evenVBand="0" w:oddHBand="0" w:evenHBand="0" w:firstRowFirstColumn="0" w:firstRowLastColumn="0" w:lastRowFirstColumn="0" w:lastRowLastColumn="0"/>
            <w:tcW w:w="1405" w:type="dxa"/>
            <w:tcBorders>
              <w:top w:val="nil"/>
              <w:left w:val="nil"/>
              <w:bottom w:val="nil"/>
              <w:right w:val="nil"/>
            </w:tcBorders>
            <w:hideMark/>
          </w:tcPr>
          <w:p w14:paraId="33EEEC84" w14:textId="77777777" w:rsidR="00796F19" w:rsidRPr="00796F19" w:rsidRDefault="00796F19" w:rsidP="00796F19">
            <w:pPr>
              <w:pStyle w:val="Body"/>
              <w:rPr>
                <w:rFonts w:ascii="Arial" w:hAnsi="Arial" w:cs="Arial"/>
                <w:b w:val="0"/>
                <w:bCs w:val="0"/>
              </w:rPr>
            </w:pPr>
            <w:r w:rsidRPr="00796F19">
              <w:rPr>
                <w:rFonts w:ascii="Arial" w:hAnsi="Arial" w:cs="Arial"/>
                <w:b w:val="0"/>
                <w:bCs w:val="0"/>
              </w:rPr>
              <w:t>Female</w:t>
            </w:r>
          </w:p>
        </w:tc>
        <w:tc>
          <w:tcPr>
            <w:tcW w:w="2706" w:type="dxa"/>
            <w:tcBorders>
              <w:top w:val="nil"/>
              <w:left w:val="nil"/>
              <w:bottom w:val="nil"/>
              <w:right w:val="nil"/>
            </w:tcBorders>
            <w:hideMark/>
          </w:tcPr>
          <w:p w14:paraId="6FF45B77"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12307,17</w:t>
            </w:r>
          </w:p>
        </w:tc>
        <w:tc>
          <w:tcPr>
            <w:tcW w:w="1196" w:type="dxa"/>
            <w:tcBorders>
              <w:top w:val="nil"/>
              <w:left w:val="nil"/>
              <w:bottom w:val="nil"/>
              <w:right w:val="nil"/>
            </w:tcBorders>
            <w:hideMark/>
          </w:tcPr>
          <w:p w14:paraId="0C65EA6E"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139 (47,6)</w:t>
            </w:r>
          </w:p>
        </w:tc>
        <w:tc>
          <w:tcPr>
            <w:tcW w:w="0" w:type="auto"/>
            <w:vMerge/>
            <w:tcBorders>
              <w:top w:val="single" w:sz="4" w:space="0" w:color="7F7F7F" w:themeColor="text1" w:themeTint="80"/>
              <w:left w:val="nil"/>
              <w:bottom w:val="nil"/>
              <w:right w:val="nil"/>
            </w:tcBorders>
            <w:vAlign w:val="center"/>
            <w:hideMark/>
          </w:tcPr>
          <w:p w14:paraId="3CDF3DBA"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96F19" w:rsidRPr="00796F19" w14:paraId="0BEDD65A" w14:textId="77777777" w:rsidTr="00796F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gridSpan w:val="2"/>
            <w:tcBorders>
              <w:left w:val="nil"/>
              <w:right w:val="nil"/>
            </w:tcBorders>
            <w:hideMark/>
          </w:tcPr>
          <w:p w14:paraId="203DE3E2" w14:textId="77777777" w:rsidR="00796F19" w:rsidRPr="00796F19" w:rsidRDefault="00796F19" w:rsidP="00796F19">
            <w:pPr>
              <w:pStyle w:val="Body"/>
              <w:rPr>
                <w:rFonts w:ascii="Arial" w:hAnsi="Arial" w:cs="Arial"/>
                <w:b w:val="0"/>
                <w:bCs w:val="0"/>
              </w:rPr>
            </w:pPr>
            <w:r w:rsidRPr="00796F19">
              <w:rPr>
                <w:rFonts w:ascii="Arial" w:hAnsi="Arial" w:cs="Arial"/>
                <w:b w:val="0"/>
                <w:bCs w:val="0"/>
              </w:rPr>
              <w:t>Total</w:t>
            </w:r>
          </w:p>
        </w:tc>
        <w:tc>
          <w:tcPr>
            <w:tcW w:w="1196" w:type="dxa"/>
            <w:tcBorders>
              <w:left w:val="nil"/>
              <w:right w:val="nil"/>
            </w:tcBorders>
            <w:hideMark/>
          </w:tcPr>
          <w:p w14:paraId="015C140C"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292 (100)</w:t>
            </w:r>
          </w:p>
        </w:tc>
        <w:tc>
          <w:tcPr>
            <w:tcW w:w="2901" w:type="dxa"/>
            <w:tcBorders>
              <w:left w:val="nil"/>
              <w:right w:val="nil"/>
            </w:tcBorders>
            <w:hideMark/>
          </w:tcPr>
          <w:p w14:paraId="4479B3A7"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 </w:t>
            </w:r>
          </w:p>
        </w:tc>
      </w:tr>
      <w:tr w:rsidR="00796F19" w:rsidRPr="00796F19" w14:paraId="78435F31" w14:textId="77777777" w:rsidTr="00796F19">
        <w:trPr>
          <w:trHeight w:val="300"/>
        </w:trPr>
        <w:tc>
          <w:tcPr>
            <w:cnfStyle w:val="001000000000" w:firstRow="0" w:lastRow="0" w:firstColumn="1" w:lastColumn="0" w:oddVBand="0" w:evenVBand="0" w:oddHBand="0" w:evenHBand="0" w:firstRowFirstColumn="0" w:firstRowLastColumn="0" w:lastRowFirstColumn="0" w:lastRowLastColumn="0"/>
            <w:tcW w:w="8208" w:type="dxa"/>
            <w:gridSpan w:val="4"/>
            <w:tcBorders>
              <w:top w:val="nil"/>
              <w:left w:val="nil"/>
              <w:bottom w:val="nil"/>
              <w:right w:val="nil"/>
            </w:tcBorders>
            <w:hideMark/>
          </w:tcPr>
          <w:p w14:paraId="3E4500FA" w14:textId="77777777" w:rsidR="00796F19" w:rsidRPr="00796F19" w:rsidRDefault="00796F19" w:rsidP="00796F19">
            <w:pPr>
              <w:pStyle w:val="Body"/>
              <w:rPr>
                <w:rFonts w:ascii="Arial" w:hAnsi="Arial" w:cs="Arial"/>
              </w:rPr>
            </w:pPr>
            <w:r w:rsidRPr="00796F19">
              <w:rPr>
                <w:rFonts w:ascii="Arial" w:hAnsi="Arial" w:cs="Arial"/>
              </w:rPr>
              <w:t>Age (years)</w:t>
            </w:r>
          </w:p>
        </w:tc>
      </w:tr>
      <w:tr w:rsidR="00796F19" w:rsidRPr="00796F19" w14:paraId="3C468851" w14:textId="77777777" w:rsidTr="00796F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5" w:type="dxa"/>
            <w:tcBorders>
              <w:left w:val="nil"/>
              <w:right w:val="nil"/>
            </w:tcBorders>
            <w:hideMark/>
          </w:tcPr>
          <w:p w14:paraId="4BA7DBFA" w14:textId="77777777" w:rsidR="00796F19" w:rsidRPr="00796F19" w:rsidRDefault="00796F19" w:rsidP="00796F19">
            <w:pPr>
              <w:pStyle w:val="Body"/>
              <w:rPr>
                <w:rFonts w:ascii="Arial" w:hAnsi="Arial" w:cs="Arial"/>
                <w:b w:val="0"/>
                <w:bCs w:val="0"/>
              </w:rPr>
            </w:pPr>
            <w:r w:rsidRPr="00796F19">
              <w:rPr>
                <w:rFonts w:ascii="Arial" w:hAnsi="Arial" w:cs="Arial"/>
                <w:b w:val="0"/>
                <w:bCs w:val="0"/>
              </w:rPr>
              <w:t xml:space="preserve">01-04 </w:t>
            </w:r>
          </w:p>
        </w:tc>
        <w:tc>
          <w:tcPr>
            <w:tcW w:w="2706" w:type="dxa"/>
            <w:tcBorders>
              <w:left w:val="nil"/>
              <w:right w:val="nil"/>
            </w:tcBorders>
            <w:hideMark/>
          </w:tcPr>
          <w:p w14:paraId="01AEE55C"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21633,48</w:t>
            </w:r>
          </w:p>
        </w:tc>
        <w:tc>
          <w:tcPr>
            <w:tcW w:w="1196" w:type="dxa"/>
            <w:tcBorders>
              <w:left w:val="nil"/>
              <w:right w:val="nil"/>
            </w:tcBorders>
            <w:hideMark/>
          </w:tcPr>
          <w:p w14:paraId="2DA19E3D"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74 (25,34)</w:t>
            </w:r>
          </w:p>
        </w:tc>
        <w:tc>
          <w:tcPr>
            <w:tcW w:w="2901" w:type="dxa"/>
            <w:vMerge w:val="restart"/>
            <w:tcBorders>
              <w:left w:val="nil"/>
              <w:right w:val="nil"/>
            </w:tcBorders>
            <w:hideMark/>
          </w:tcPr>
          <w:p w14:paraId="3FA06441" w14:textId="77777777" w:rsid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2C405D42" w14:textId="5E7E3205"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sidRPr="00796F19">
              <w:rPr>
                <w:rFonts w:ascii="Arial" w:hAnsi="Arial" w:cs="Arial"/>
              </w:rPr>
              <w:t>0,0079</w:t>
            </w:r>
          </w:p>
        </w:tc>
      </w:tr>
      <w:tr w:rsidR="00796F19" w:rsidRPr="00796F19" w14:paraId="3EF9FB84" w14:textId="77777777" w:rsidTr="00796F19">
        <w:trPr>
          <w:trHeight w:val="300"/>
        </w:trPr>
        <w:tc>
          <w:tcPr>
            <w:cnfStyle w:val="001000000000" w:firstRow="0" w:lastRow="0" w:firstColumn="1" w:lastColumn="0" w:oddVBand="0" w:evenVBand="0" w:oddHBand="0" w:evenHBand="0" w:firstRowFirstColumn="0" w:firstRowLastColumn="0" w:lastRowFirstColumn="0" w:lastRowLastColumn="0"/>
            <w:tcW w:w="1405" w:type="dxa"/>
            <w:tcBorders>
              <w:top w:val="nil"/>
              <w:left w:val="nil"/>
              <w:bottom w:val="nil"/>
              <w:right w:val="nil"/>
            </w:tcBorders>
            <w:hideMark/>
          </w:tcPr>
          <w:p w14:paraId="78E84F02" w14:textId="77777777" w:rsidR="00796F19" w:rsidRPr="00796F19" w:rsidRDefault="00796F19" w:rsidP="00796F19">
            <w:pPr>
              <w:pStyle w:val="Body"/>
              <w:rPr>
                <w:rFonts w:ascii="Arial" w:hAnsi="Arial" w:cs="Arial"/>
                <w:b w:val="0"/>
                <w:bCs w:val="0"/>
              </w:rPr>
            </w:pPr>
            <w:r w:rsidRPr="00796F19">
              <w:rPr>
                <w:rFonts w:ascii="Arial" w:hAnsi="Arial" w:cs="Arial"/>
                <w:b w:val="0"/>
                <w:bCs w:val="0"/>
              </w:rPr>
              <w:t>05-14</w:t>
            </w:r>
          </w:p>
        </w:tc>
        <w:tc>
          <w:tcPr>
            <w:tcW w:w="2706" w:type="dxa"/>
            <w:tcBorders>
              <w:top w:val="nil"/>
              <w:left w:val="nil"/>
              <w:bottom w:val="nil"/>
              <w:right w:val="nil"/>
            </w:tcBorders>
            <w:hideMark/>
          </w:tcPr>
          <w:p w14:paraId="032BF9CA"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10579,64</w:t>
            </w:r>
          </w:p>
        </w:tc>
        <w:tc>
          <w:tcPr>
            <w:tcW w:w="1196" w:type="dxa"/>
            <w:tcBorders>
              <w:top w:val="nil"/>
              <w:left w:val="nil"/>
              <w:bottom w:val="nil"/>
              <w:right w:val="nil"/>
            </w:tcBorders>
            <w:hideMark/>
          </w:tcPr>
          <w:p w14:paraId="491A69D0"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82 (28.08)</w:t>
            </w: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155A2995"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96F19" w:rsidRPr="00796F19" w14:paraId="2855D6E2" w14:textId="77777777" w:rsidTr="00796F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5" w:type="dxa"/>
            <w:tcBorders>
              <w:left w:val="nil"/>
              <w:right w:val="nil"/>
            </w:tcBorders>
            <w:hideMark/>
          </w:tcPr>
          <w:p w14:paraId="1732CE3F" w14:textId="77777777" w:rsidR="00796F19" w:rsidRPr="00796F19" w:rsidRDefault="00796F19" w:rsidP="00796F19">
            <w:pPr>
              <w:pStyle w:val="Body"/>
              <w:rPr>
                <w:rFonts w:ascii="Arial" w:hAnsi="Arial" w:cs="Arial"/>
                <w:b w:val="0"/>
                <w:bCs w:val="0"/>
              </w:rPr>
            </w:pPr>
            <w:r w:rsidRPr="00796F19">
              <w:rPr>
                <w:rFonts w:ascii="Arial" w:hAnsi="Arial" w:cs="Arial"/>
                <w:b w:val="0"/>
                <w:bCs w:val="0"/>
              </w:rPr>
              <w:t>15 and over</w:t>
            </w:r>
          </w:p>
        </w:tc>
        <w:tc>
          <w:tcPr>
            <w:tcW w:w="2706" w:type="dxa"/>
            <w:tcBorders>
              <w:left w:val="nil"/>
              <w:right w:val="nil"/>
            </w:tcBorders>
            <w:hideMark/>
          </w:tcPr>
          <w:p w14:paraId="131F11D1"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5216,06</w:t>
            </w:r>
          </w:p>
        </w:tc>
        <w:tc>
          <w:tcPr>
            <w:tcW w:w="1196" w:type="dxa"/>
            <w:tcBorders>
              <w:left w:val="nil"/>
              <w:right w:val="nil"/>
            </w:tcBorders>
            <w:hideMark/>
          </w:tcPr>
          <w:p w14:paraId="29FB4AFB"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136 (46,57)</w:t>
            </w:r>
          </w:p>
        </w:tc>
        <w:tc>
          <w:tcPr>
            <w:tcW w:w="0" w:type="auto"/>
            <w:vMerge/>
            <w:tcBorders>
              <w:left w:val="nil"/>
              <w:right w:val="nil"/>
            </w:tcBorders>
            <w:vAlign w:val="center"/>
            <w:hideMark/>
          </w:tcPr>
          <w:p w14:paraId="287840AC"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96F19" w:rsidRPr="00796F19" w14:paraId="5467E55A" w14:textId="77777777" w:rsidTr="00796F19">
        <w:trPr>
          <w:trHeight w:val="300"/>
        </w:trPr>
        <w:tc>
          <w:tcPr>
            <w:cnfStyle w:val="001000000000" w:firstRow="0" w:lastRow="0" w:firstColumn="1" w:lastColumn="0" w:oddVBand="0" w:evenVBand="0" w:oddHBand="0" w:evenHBand="0" w:firstRowFirstColumn="0" w:firstRowLastColumn="0" w:lastRowFirstColumn="0" w:lastRowLastColumn="0"/>
            <w:tcW w:w="4111" w:type="dxa"/>
            <w:gridSpan w:val="2"/>
            <w:tcBorders>
              <w:top w:val="nil"/>
              <w:left w:val="nil"/>
              <w:bottom w:val="single" w:sz="4" w:space="0" w:color="7F7F7F" w:themeColor="text1" w:themeTint="80"/>
              <w:right w:val="nil"/>
            </w:tcBorders>
            <w:hideMark/>
          </w:tcPr>
          <w:p w14:paraId="00217220" w14:textId="77777777" w:rsidR="00796F19" w:rsidRPr="00796F19" w:rsidRDefault="00796F19" w:rsidP="00796F19">
            <w:pPr>
              <w:pStyle w:val="Body"/>
              <w:rPr>
                <w:rFonts w:ascii="Arial" w:hAnsi="Arial" w:cs="Arial"/>
              </w:rPr>
            </w:pPr>
            <w:r w:rsidRPr="00796F19">
              <w:rPr>
                <w:rFonts w:ascii="Arial" w:hAnsi="Arial" w:cs="Arial"/>
              </w:rPr>
              <w:t>Total</w:t>
            </w:r>
          </w:p>
        </w:tc>
        <w:tc>
          <w:tcPr>
            <w:tcW w:w="1196" w:type="dxa"/>
            <w:tcBorders>
              <w:top w:val="nil"/>
              <w:left w:val="nil"/>
              <w:bottom w:val="single" w:sz="4" w:space="0" w:color="7F7F7F" w:themeColor="text1" w:themeTint="80"/>
              <w:right w:val="nil"/>
            </w:tcBorders>
            <w:hideMark/>
          </w:tcPr>
          <w:p w14:paraId="1E23D6D2"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292 (100)</w:t>
            </w:r>
          </w:p>
        </w:tc>
        <w:tc>
          <w:tcPr>
            <w:tcW w:w="2901" w:type="dxa"/>
            <w:tcBorders>
              <w:top w:val="nil"/>
              <w:left w:val="nil"/>
              <w:bottom w:val="single" w:sz="4" w:space="0" w:color="7F7F7F" w:themeColor="text1" w:themeTint="80"/>
              <w:right w:val="nil"/>
            </w:tcBorders>
            <w:hideMark/>
          </w:tcPr>
          <w:p w14:paraId="5FF4FBAC"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 </w:t>
            </w:r>
          </w:p>
        </w:tc>
      </w:tr>
    </w:tbl>
    <w:p w14:paraId="4C63630B" w14:textId="3284108B" w:rsidR="00604CAA" w:rsidRDefault="00604CAA" w:rsidP="00A47EC6">
      <w:pPr>
        <w:pStyle w:val="Body"/>
        <w:spacing w:after="0"/>
        <w:rPr>
          <w:rFonts w:ascii="Arial" w:hAnsi="Arial" w:cs="Arial"/>
        </w:rPr>
      </w:pPr>
    </w:p>
    <w:p w14:paraId="0F7B6A68" w14:textId="22DDF806" w:rsidR="006D2B48" w:rsidRDefault="006D2B48" w:rsidP="00A47EC6">
      <w:pPr>
        <w:pStyle w:val="Body"/>
        <w:spacing w:after="0"/>
        <w:rPr>
          <w:rFonts w:ascii="Arial" w:hAnsi="Arial" w:cs="Arial"/>
        </w:rPr>
      </w:pPr>
    </w:p>
    <w:p w14:paraId="3880C7AF" w14:textId="0747DDF0" w:rsidR="000567B4" w:rsidRDefault="000567B4" w:rsidP="00A47EC6">
      <w:pPr>
        <w:pStyle w:val="Body"/>
        <w:spacing w:after="0"/>
        <w:rPr>
          <w:rFonts w:ascii="Arial" w:hAnsi="Arial" w:cs="Arial"/>
        </w:rPr>
      </w:pPr>
    </w:p>
    <w:p w14:paraId="6B1A0079" w14:textId="5359ACB3" w:rsidR="000567B4" w:rsidRDefault="000567B4" w:rsidP="00A47EC6">
      <w:pPr>
        <w:pStyle w:val="Body"/>
        <w:spacing w:after="0"/>
        <w:rPr>
          <w:rFonts w:ascii="Arial" w:hAnsi="Arial" w:cs="Arial"/>
        </w:rPr>
      </w:pPr>
    </w:p>
    <w:p w14:paraId="32433588" w14:textId="77777777" w:rsidR="000567B4" w:rsidRDefault="000567B4" w:rsidP="00A47EC6">
      <w:pPr>
        <w:pStyle w:val="Body"/>
        <w:spacing w:after="0"/>
        <w:rPr>
          <w:rFonts w:ascii="Arial" w:hAnsi="Arial" w:cs="Arial"/>
        </w:rPr>
      </w:pPr>
    </w:p>
    <w:p w14:paraId="1E6FD2C8" w14:textId="02C94D9B" w:rsidR="006350D7" w:rsidRPr="006350D7" w:rsidRDefault="0066634B" w:rsidP="006350D7">
      <w:pPr>
        <w:pStyle w:val="Body"/>
        <w:rPr>
          <w:rFonts w:ascii="Arial" w:hAnsi="Arial" w:cs="Arial"/>
          <w:b/>
          <w:bCs/>
        </w:rPr>
      </w:pPr>
      <w:r>
        <w:rPr>
          <w:rFonts w:ascii="Arial" w:hAnsi="Arial" w:cs="Arial"/>
          <w:b/>
          <w:bCs/>
        </w:rPr>
        <w:t xml:space="preserve">    3.2 </w:t>
      </w:r>
      <w:r w:rsidR="006350D7" w:rsidRPr="006350D7">
        <w:rPr>
          <w:rFonts w:ascii="Arial" w:hAnsi="Arial" w:cs="Arial"/>
          <w:b/>
          <w:bCs/>
        </w:rPr>
        <w:t xml:space="preserve">Study of haplotypes associating codons 72-76 of the </w:t>
      </w:r>
      <w:r w:rsidR="006350D7" w:rsidRPr="006350D7">
        <w:rPr>
          <w:rFonts w:ascii="Arial" w:hAnsi="Arial" w:cs="Arial"/>
          <w:b/>
          <w:bCs/>
          <w:i/>
        </w:rPr>
        <w:t xml:space="preserve">pfcrt </w:t>
      </w:r>
      <w:r w:rsidR="006350D7" w:rsidRPr="006350D7">
        <w:rPr>
          <w:rFonts w:ascii="Arial" w:hAnsi="Arial" w:cs="Arial"/>
          <w:b/>
          <w:bCs/>
        </w:rPr>
        <w:t>gene</w:t>
      </w:r>
    </w:p>
    <w:p w14:paraId="365B416E" w14:textId="3B190EAF" w:rsidR="006350D7" w:rsidRPr="006350D7" w:rsidRDefault="006350D7" w:rsidP="006350D7">
      <w:pPr>
        <w:pStyle w:val="Body"/>
        <w:rPr>
          <w:rFonts w:ascii="Arial" w:hAnsi="Arial" w:cs="Arial"/>
        </w:rPr>
      </w:pPr>
      <w:r w:rsidRPr="006350D7">
        <w:rPr>
          <w:rFonts w:ascii="Arial" w:hAnsi="Arial" w:cs="Arial"/>
        </w:rPr>
        <w:t xml:space="preserve">The 145-bp PCR products of the </w:t>
      </w:r>
      <w:r w:rsidRPr="006350D7">
        <w:rPr>
          <w:rFonts w:ascii="Arial" w:hAnsi="Arial" w:cs="Arial"/>
          <w:i/>
        </w:rPr>
        <w:t xml:space="preserve">pfcrt </w:t>
      </w:r>
      <w:r w:rsidRPr="006350D7">
        <w:rPr>
          <w:rFonts w:ascii="Arial" w:hAnsi="Arial" w:cs="Arial"/>
        </w:rPr>
        <w:t>gene covering codons 72-76 were successfully sequenced in 98.7% (153/155) of cases, distributed as follows: 24 in Bouaflé, 60 in Bondoukou and 69 in Séguéla. The CVMNK wild-type haplotype was observed at a prevalence of 66.66% in Bouaflé (16/24), 95% in Bondoukou (57/60) and 95.6% in Séguéla (66/69). The CVIET, CVMET, CVMDT, CVMDK and CVMEK mutant haplotypes have also been described. Among these mutants, the CVIET type (isolates with M74I, N75E and K76T mutations) was detected at a proportion of 12.5% (n=3) in Bouaflé, compared with 2.89% (n=2) and 1.66% (n=1) in Séguéla and Bondoukou respectively. These data are not significantly different (P</w:t>
      </w:r>
      <w:r>
        <w:rPr>
          <w:rFonts w:ascii="Arial" w:hAnsi="Arial" w:cs="Arial"/>
        </w:rPr>
        <w:t>=</w:t>
      </w:r>
      <w:r w:rsidRPr="006350D7">
        <w:rPr>
          <w:rFonts w:ascii="Arial" w:hAnsi="Arial" w:cs="Arial"/>
        </w:rPr>
        <w:t xml:space="preserve">0.05). CVMET and CVMDT types (isolates with N75E, N75D and K76T mutations) were described in proportions of 4.16% (n=1) in Bouaflé and 1.14% (n=1) in Séguéla for CVMET, and 8.33% (n=2) in Bouaflé and 3.33% (n=2) in Bondoukou. The CVMET and CVMDT were not observed in Bondoukou and Séguéla respectively. New haplotypes including only N75D and N75E mutations were found. CVMDK and CVMEK were reported only in Bouaflé, at a proportion of 4.16% (n=2). </w:t>
      </w:r>
      <w:r w:rsidRPr="006350D7">
        <w:rPr>
          <w:rFonts w:ascii="Arial" w:hAnsi="Arial" w:cs="Arial"/>
          <w:b/>
          <w:bCs/>
        </w:rPr>
        <w:t>(</w:t>
      </w:r>
      <w:r w:rsidR="000567B4">
        <w:rPr>
          <w:rFonts w:ascii="Arial" w:hAnsi="Arial" w:cs="Arial"/>
          <w:b/>
          <w:bCs/>
        </w:rPr>
        <w:t>F</w:t>
      </w:r>
      <w:r w:rsidRPr="006350D7">
        <w:rPr>
          <w:rFonts w:ascii="Arial" w:hAnsi="Arial" w:cs="Arial"/>
          <w:b/>
          <w:bCs/>
        </w:rPr>
        <w:t>igure 2).</w:t>
      </w:r>
    </w:p>
    <w:p w14:paraId="22322119" w14:textId="0A4966C4" w:rsidR="006D2B48" w:rsidRDefault="006350D7" w:rsidP="006350D7">
      <w:pPr>
        <w:pStyle w:val="Body"/>
        <w:rPr>
          <w:rFonts w:ascii="Arial" w:hAnsi="Arial" w:cs="Arial"/>
        </w:rPr>
      </w:pPr>
      <w:r>
        <w:rPr>
          <w:rFonts w:ascii="Arial" w:hAnsi="Arial" w:cs="Arial"/>
          <w:noProof/>
        </w:rPr>
        <w:lastRenderedPageBreak/>
        <w:drawing>
          <wp:inline distT="0" distB="0" distL="0" distR="0" wp14:anchorId="5C1ACD31" wp14:editId="24484845">
            <wp:extent cx="5036185" cy="2890911"/>
            <wp:effectExtent l="0" t="0" r="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7399" cy="2914569"/>
                    </a:xfrm>
                    <a:prstGeom prst="rect">
                      <a:avLst/>
                    </a:prstGeom>
                    <a:noFill/>
                  </pic:spPr>
                </pic:pic>
              </a:graphicData>
            </a:graphic>
          </wp:inline>
        </w:drawing>
      </w:r>
    </w:p>
    <w:p w14:paraId="45A3B44D" w14:textId="77777777" w:rsidR="006350D7" w:rsidRPr="006350D7" w:rsidRDefault="006350D7" w:rsidP="006350D7">
      <w:pPr>
        <w:pStyle w:val="Body"/>
        <w:rPr>
          <w:rFonts w:ascii="Arial" w:hAnsi="Arial" w:cs="Arial"/>
        </w:rPr>
      </w:pPr>
      <w:r w:rsidRPr="006350D7">
        <w:rPr>
          <w:rFonts w:ascii="Arial" w:hAnsi="Arial" w:cs="Arial"/>
          <w:b/>
        </w:rPr>
        <w:t>Figure 2</w:t>
      </w:r>
      <w:r w:rsidRPr="006350D7">
        <w:rPr>
          <w:rFonts w:ascii="Arial" w:hAnsi="Arial" w:cs="Arial"/>
        </w:rPr>
        <w:t xml:space="preserve">: Prevalence </w:t>
      </w:r>
      <w:r w:rsidRPr="006350D7">
        <w:rPr>
          <w:rFonts w:ascii="Arial" w:hAnsi="Arial" w:cs="Arial"/>
          <w:i/>
        </w:rPr>
        <w:t xml:space="preserve">pfcrt </w:t>
      </w:r>
      <w:r w:rsidRPr="006350D7">
        <w:rPr>
          <w:rFonts w:ascii="Arial" w:hAnsi="Arial" w:cs="Arial"/>
        </w:rPr>
        <w:t>gene haplotypes</w:t>
      </w:r>
    </w:p>
    <w:p w14:paraId="55EEC0E4" w14:textId="36ABD239" w:rsidR="006350D7" w:rsidRPr="006350D7" w:rsidRDefault="0066634B" w:rsidP="006350D7">
      <w:pPr>
        <w:pStyle w:val="Body"/>
        <w:rPr>
          <w:rFonts w:ascii="Arial" w:hAnsi="Arial" w:cs="Arial"/>
          <w:b/>
        </w:rPr>
      </w:pPr>
      <w:r>
        <w:rPr>
          <w:rFonts w:ascii="Arial" w:hAnsi="Arial" w:cs="Arial"/>
          <w:b/>
        </w:rPr>
        <w:t xml:space="preserve">   3.3 </w:t>
      </w:r>
      <w:r w:rsidR="006350D7" w:rsidRPr="006350D7">
        <w:rPr>
          <w:rFonts w:ascii="Arial" w:hAnsi="Arial" w:cs="Arial"/>
          <w:b/>
        </w:rPr>
        <w:t xml:space="preserve">Frequency of </w:t>
      </w:r>
      <w:r w:rsidR="006350D7" w:rsidRPr="006350D7">
        <w:rPr>
          <w:rFonts w:ascii="Arial" w:hAnsi="Arial" w:cs="Arial"/>
          <w:b/>
          <w:i/>
        </w:rPr>
        <w:t xml:space="preserve">Pfmdr-1 </w:t>
      </w:r>
      <w:r w:rsidR="006350D7" w:rsidRPr="006350D7">
        <w:rPr>
          <w:rFonts w:ascii="Arial" w:hAnsi="Arial" w:cs="Arial"/>
          <w:b/>
        </w:rPr>
        <w:t>gene mutations</w:t>
      </w:r>
    </w:p>
    <w:p w14:paraId="436AD2AE" w14:textId="77777777" w:rsidR="006350D7" w:rsidRPr="006350D7" w:rsidRDefault="006350D7" w:rsidP="006350D7">
      <w:pPr>
        <w:pStyle w:val="Body"/>
        <w:rPr>
          <w:rFonts w:ascii="Arial" w:hAnsi="Arial" w:cs="Arial"/>
          <w:b/>
        </w:rPr>
      </w:pPr>
      <w:r w:rsidRPr="006350D7">
        <w:rPr>
          <w:rFonts w:ascii="Arial" w:hAnsi="Arial" w:cs="Arial"/>
        </w:rPr>
        <w:t xml:space="preserve">For the </w:t>
      </w:r>
      <w:r w:rsidRPr="006350D7">
        <w:rPr>
          <w:rFonts w:ascii="Arial" w:hAnsi="Arial" w:cs="Arial"/>
          <w:i/>
        </w:rPr>
        <w:t xml:space="preserve">pfmdr-1 </w:t>
      </w:r>
      <w:r w:rsidRPr="006350D7">
        <w:rPr>
          <w:rFonts w:ascii="Arial" w:hAnsi="Arial" w:cs="Arial"/>
        </w:rPr>
        <w:t xml:space="preserve">gene, 74 </w:t>
      </w:r>
      <w:r w:rsidRPr="006350D7">
        <w:rPr>
          <w:rFonts w:ascii="Arial" w:hAnsi="Arial" w:cs="Arial"/>
          <w:i/>
        </w:rPr>
        <w:t xml:space="preserve">P. falciparum </w:t>
      </w:r>
      <w:r w:rsidRPr="006350D7">
        <w:rPr>
          <w:rFonts w:ascii="Arial" w:hAnsi="Arial" w:cs="Arial"/>
        </w:rPr>
        <w:t xml:space="preserve">isolates were successfully genotyped, including 11 from Bouaflé, 27 from Bondoukou and 36 from Séguéla. The wild-type </w:t>
      </w:r>
      <w:r w:rsidRPr="006350D7">
        <w:rPr>
          <w:rFonts w:ascii="Arial" w:hAnsi="Arial" w:cs="Arial"/>
          <w:vertAlign w:val="subscript"/>
        </w:rPr>
        <w:t>N86Y184</w:t>
      </w:r>
      <w:r w:rsidRPr="006350D7">
        <w:rPr>
          <w:rFonts w:ascii="Arial" w:hAnsi="Arial" w:cs="Arial"/>
        </w:rPr>
        <w:t xml:space="preserve"> genotype was observed in 45.45% of isolates in Bouaflé, 48.18% in Bondoukou and 27.77% in Séguéla. The </w:t>
      </w:r>
      <w:r w:rsidRPr="006350D7">
        <w:rPr>
          <w:rFonts w:ascii="Arial" w:hAnsi="Arial" w:cs="Arial"/>
          <w:b/>
          <w:vertAlign w:val="subscript"/>
        </w:rPr>
        <w:t>N86F184</w:t>
      </w:r>
      <w:r w:rsidRPr="006350D7">
        <w:rPr>
          <w:rFonts w:ascii="Arial" w:hAnsi="Arial" w:cs="Arial"/>
          <w:b/>
        </w:rPr>
        <w:t xml:space="preserve"> </w:t>
      </w:r>
      <w:r w:rsidRPr="006350D7">
        <w:rPr>
          <w:rFonts w:ascii="Arial" w:hAnsi="Arial" w:cs="Arial"/>
        </w:rPr>
        <w:t xml:space="preserve">mutant genotype was detected at 36% (n=3) in Bouaflé, 48% (n=13) in Bondoukou and 58% (n=21) in Séguéla. Comparison of these data using the Fisher exact test revealed they were not statically different (P&gt;0.05). The </w:t>
      </w:r>
      <w:r w:rsidRPr="006350D7">
        <w:rPr>
          <w:rFonts w:ascii="Arial" w:hAnsi="Arial" w:cs="Arial"/>
          <w:b/>
          <w:vertAlign w:val="subscript"/>
        </w:rPr>
        <w:t>Y86F184</w:t>
      </w:r>
      <w:r w:rsidRPr="006350D7">
        <w:rPr>
          <w:rFonts w:ascii="Arial" w:hAnsi="Arial" w:cs="Arial"/>
          <w:b/>
        </w:rPr>
        <w:t xml:space="preserve"> </w:t>
      </w:r>
      <w:r w:rsidRPr="006350D7">
        <w:rPr>
          <w:rFonts w:ascii="Arial" w:hAnsi="Arial" w:cs="Arial"/>
        </w:rPr>
        <w:t xml:space="preserve">double mutant genotype was observed in 9.1% (n=1) in Bouaflé, 3.70% (n=1) in Bondoukou and 11% (n=4) in Séguéla. The </w:t>
      </w:r>
      <w:r w:rsidRPr="006350D7">
        <w:rPr>
          <w:rFonts w:ascii="Arial" w:hAnsi="Arial" w:cs="Arial"/>
          <w:b/>
          <w:vertAlign w:val="subscript"/>
        </w:rPr>
        <w:t>Y86Y184</w:t>
      </w:r>
      <w:r w:rsidRPr="006350D7">
        <w:rPr>
          <w:rFonts w:ascii="Arial" w:hAnsi="Arial" w:cs="Arial"/>
          <w:b/>
        </w:rPr>
        <w:t xml:space="preserve"> </w:t>
      </w:r>
      <w:r w:rsidRPr="006350D7">
        <w:rPr>
          <w:rFonts w:ascii="Arial" w:hAnsi="Arial" w:cs="Arial"/>
        </w:rPr>
        <w:t xml:space="preserve">double mutant was detected only in Séguéla, at 2.77% (n=1). On the other hand, this genotype was not observed in Bouaflé and Bondoukou. Non-synonymous mutations S112L (single mutant) and D156Y/Y184F (double mutant) were also detected in Bouaflé isolates (see figure </w:t>
      </w:r>
      <w:r w:rsidRPr="006350D7">
        <w:rPr>
          <w:rFonts w:ascii="Arial" w:hAnsi="Arial" w:cs="Arial"/>
          <w:b/>
        </w:rPr>
        <w:t>3</w:t>
      </w:r>
      <w:r w:rsidRPr="006350D7">
        <w:rPr>
          <w:rFonts w:ascii="Arial" w:hAnsi="Arial" w:cs="Arial"/>
        </w:rPr>
        <w:t>)</w:t>
      </w:r>
      <w:r w:rsidRPr="006350D7">
        <w:rPr>
          <w:rFonts w:ascii="Arial" w:hAnsi="Arial" w:cs="Arial"/>
          <w:b/>
        </w:rPr>
        <w:t>.</w:t>
      </w:r>
    </w:p>
    <w:p w14:paraId="3CF814B1" w14:textId="5318E936" w:rsidR="006350D7" w:rsidRDefault="006350D7" w:rsidP="006350D7">
      <w:pPr>
        <w:pStyle w:val="Body"/>
        <w:rPr>
          <w:rFonts w:ascii="Arial" w:hAnsi="Arial" w:cs="Arial"/>
        </w:rPr>
      </w:pPr>
      <w:r w:rsidRPr="006350D7">
        <w:rPr>
          <w:noProof/>
        </w:rPr>
        <w:drawing>
          <wp:inline distT="0" distB="0" distL="0" distR="0" wp14:anchorId="762CEFC7" wp14:editId="1CB75D74">
            <wp:extent cx="5212080" cy="29527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lum bright="-20000" contrast="40000"/>
                      <a:extLst>
                        <a:ext uri="{28A0092B-C50C-407E-A947-70E740481C1C}">
                          <a14:useLocalDpi xmlns:a14="http://schemas.microsoft.com/office/drawing/2010/main" val="0"/>
                        </a:ext>
                      </a:extLst>
                    </a:blip>
                    <a:srcRect/>
                    <a:stretch>
                      <a:fillRect/>
                    </a:stretch>
                  </pic:blipFill>
                  <pic:spPr bwMode="auto">
                    <a:xfrm>
                      <a:off x="0" y="0"/>
                      <a:ext cx="5212080" cy="2952750"/>
                    </a:xfrm>
                    <a:prstGeom prst="rect">
                      <a:avLst/>
                    </a:prstGeom>
                    <a:noFill/>
                    <a:ln>
                      <a:noFill/>
                    </a:ln>
                  </pic:spPr>
                </pic:pic>
              </a:graphicData>
            </a:graphic>
          </wp:inline>
        </w:drawing>
      </w:r>
    </w:p>
    <w:p w14:paraId="67790420" w14:textId="0ACB6FC9" w:rsidR="0066634B" w:rsidRPr="0066634B" w:rsidRDefault="0066634B" w:rsidP="0066634B">
      <w:pPr>
        <w:pStyle w:val="Body"/>
        <w:rPr>
          <w:rFonts w:ascii="Arial" w:hAnsi="Arial" w:cs="Arial"/>
          <w:b/>
          <w:bCs/>
        </w:rPr>
      </w:pPr>
      <w:r w:rsidRPr="0066634B">
        <w:rPr>
          <w:rFonts w:ascii="Arial" w:hAnsi="Arial" w:cs="Arial"/>
          <w:b/>
          <w:bCs/>
        </w:rPr>
        <w:t xml:space="preserve">Figure 3: </w:t>
      </w:r>
      <w:r w:rsidRPr="0065139E">
        <w:rPr>
          <w:rFonts w:ascii="Arial" w:hAnsi="Arial" w:cs="Arial"/>
        </w:rPr>
        <w:t xml:space="preserve">Prevalence of </w:t>
      </w:r>
      <w:r w:rsidRPr="0065139E">
        <w:rPr>
          <w:rFonts w:ascii="Arial" w:hAnsi="Arial" w:cs="Arial"/>
          <w:i/>
        </w:rPr>
        <w:t xml:space="preserve">pfmdr-1 </w:t>
      </w:r>
      <w:r w:rsidRPr="0065139E">
        <w:rPr>
          <w:rFonts w:ascii="Arial" w:hAnsi="Arial" w:cs="Arial"/>
        </w:rPr>
        <w:t>gene haplotypes</w:t>
      </w:r>
      <w:r w:rsidR="0065139E">
        <w:rPr>
          <w:rFonts w:ascii="Arial" w:hAnsi="Arial" w:cs="Arial"/>
        </w:rPr>
        <w:t xml:space="preserve"> in the </w:t>
      </w:r>
      <w:proofErr w:type="spellStart"/>
      <w:r w:rsidR="0065139E">
        <w:rPr>
          <w:rFonts w:ascii="Arial" w:hAnsi="Arial" w:cs="Arial"/>
        </w:rPr>
        <w:t>differents</w:t>
      </w:r>
      <w:proofErr w:type="spellEnd"/>
      <w:r w:rsidR="0065139E">
        <w:rPr>
          <w:rFonts w:ascii="Arial" w:hAnsi="Arial" w:cs="Arial"/>
        </w:rPr>
        <w:t xml:space="preserve"> area</w:t>
      </w:r>
    </w:p>
    <w:p w14:paraId="70EC5731" w14:textId="4D981921" w:rsidR="0066634B" w:rsidRPr="0066634B" w:rsidRDefault="0066634B" w:rsidP="0066634B">
      <w:pPr>
        <w:pStyle w:val="Body"/>
        <w:rPr>
          <w:rFonts w:ascii="Arial" w:hAnsi="Arial" w:cs="Arial"/>
          <w:b/>
        </w:rPr>
      </w:pPr>
      <w:r>
        <w:rPr>
          <w:rFonts w:ascii="Arial" w:hAnsi="Arial" w:cs="Arial"/>
          <w:b/>
        </w:rPr>
        <w:t xml:space="preserve">   3.4 </w:t>
      </w:r>
      <w:r w:rsidRPr="0066634B">
        <w:rPr>
          <w:rFonts w:ascii="Arial" w:hAnsi="Arial" w:cs="Arial"/>
          <w:b/>
        </w:rPr>
        <w:t xml:space="preserve">Frequency of </w:t>
      </w:r>
      <w:r w:rsidRPr="0066634B">
        <w:rPr>
          <w:rFonts w:ascii="Arial" w:hAnsi="Arial" w:cs="Arial"/>
          <w:b/>
          <w:i/>
        </w:rPr>
        <w:t xml:space="preserve">PfK13 </w:t>
      </w:r>
      <w:proofErr w:type="spellStart"/>
      <w:r w:rsidRPr="0066634B">
        <w:rPr>
          <w:rFonts w:ascii="Arial" w:hAnsi="Arial" w:cs="Arial"/>
          <w:b/>
          <w:i/>
        </w:rPr>
        <w:t>proppeler</w:t>
      </w:r>
      <w:proofErr w:type="spellEnd"/>
      <w:r w:rsidRPr="0066634B">
        <w:rPr>
          <w:rFonts w:ascii="Arial" w:hAnsi="Arial" w:cs="Arial"/>
          <w:b/>
          <w:i/>
        </w:rPr>
        <w:t xml:space="preserve"> </w:t>
      </w:r>
      <w:r w:rsidRPr="0066634B">
        <w:rPr>
          <w:rFonts w:ascii="Arial" w:hAnsi="Arial" w:cs="Arial"/>
          <w:b/>
        </w:rPr>
        <w:t>gene mutations</w:t>
      </w:r>
    </w:p>
    <w:p w14:paraId="1292148C" w14:textId="41B36A15" w:rsidR="0066634B" w:rsidRPr="000567B4" w:rsidRDefault="0066634B" w:rsidP="0066634B">
      <w:pPr>
        <w:pStyle w:val="Body"/>
        <w:rPr>
          <w:rFonts w:ascii="Arial" w:hAnsi="Arial" w:cs="Arial"/>
        </w:rPr>
      </w:pPr>
      <w:r w:rsidRPr="000567B4">
        <w:rPr>
          <w:rFonts w:ascii="Arial" w:hAnsi="Arial" w:cs="Arial"/>
        </w:rPr>
        <w:lastRenderedPageBreak/>
        <w:t xml:space="preserve">Sequence analysis of the K13 </w:t>
      </w:r>
      <w:proofErr w:type="spellStart"/>
      <w:r w:rsidRPr="000567B4">
        <w:rPr>
          <w:rFonts w:ascii="Arial" w:hAnsi="Arial" w:cs="Arial"/>
          <w:i/>
        </w:rPr>
        <w:t>proppeler</w:t>
      </w:r>
      <w:proofErr w:type="spellEnd"/>
      <w:r w:rsidRPr="000567B4">
        <w:rPr>
          <w:rFonts w:ascii="Arial" w:hAnsi="Arial" w:cs="Arial"/>
          <w:i/>
        </w:rPr>
        <w:t xml:space="preserve"> </w:t>
      </w:r>
      <w:r w:rsidRPr="000567B4">
        <w:rPr>
          <w:rFonts w:ascii="Arial" w:hAnsi="Arial" w:cs="Arial"/>
        </w:rPr>
        <w:t>gene showed that the allelic form giving the sensitive NYRIC haplotype (N458, Y493, R539, I543 and C580) was predominant, with frequencies of 85.71%, 81.25% and 65.21% respectively in Bouaflé, Bondoukou and Séguéla. No significant difference was observed between the frequencies of the sensitive haplotype (p&gt;0.05). In addition, 12 SNPs were detected at all three sites, including 8 non-synonymous mutations and 4</w:t>
      </w:r>
      <w:r w:rsidR="00C42DB4">
        <w:rPr>
          <w:rFonts w:ascii="Arial" w:hAnsi="Arial" w:cs="Arial"/>
        </w:rPr>
        <w:t xml:space="preserve"> synonymous mutations (Table V</w:t>
      </w:r>
      <w:r w:rsidRPr="000567B4">
        <w:rPr>
          <w:rFonts w:ascii="Arial" w:hAnsi="Arial" w:cs="Arial"/>
        </w:rPr>
        <w:t>). The distribution of non-synonymous mutations was described as follows: G674Y (n=1), S681F (n=1) at Bouaflé; P443S (n=1), T685P (n=1) at Bondoukou; L663V (n=1), A675D (n=1), D680E (n=1), N689K (n=1) in Séguéla. Synonymous mutations were distributed as follows: Y616Y (n=1) in Bondoukou and L663L (n=1), V666V (n=1) and P667P (n=2) in Séguéla. The frequency of mutations was higher in Séguéla, with 50% of non-synonymous mutations and 80% of synonymous mutations. On the other hand, these mutations were less frequent in Bondoukou and Bouaflé, each with 25% non-synonymous mutations and 20% synonymous mutations in Bondoukou. On the other hand, no mutations involving codons 458, 493, 539, 543 and 580, described as responsible for artemisinin resistance, were observed.</w:t>
      </w:r>
    </w:p>
    <w:p w14:paraId="0276D46C" w14:textId="77777777" w:rsidR="004A457A" w:rsidRDefault="004A457A" w:rsidP="0066634B">
      <w:pPr>
        <w:pStyle w:val="Body"/>
        <w:rPr>
          <w:rFonts w:ascii="Arial" w:hAnsi="Arial" w:cs="Arial"/>
          <w:b/>
        </w:rPr>
      </w:pPr>
    </w:p>
    <w:p w14:paraId="403E6626" w14:textId="229D2A91" w:rsidR="0066634B" w:rsidRPr="0066634B" w:rsidRDefault="0066634B" w:rsidP="0066634B">
      <w:pPr>
        <w:pStyle w:val="Body"/>
        <w:rPr>
          <w:rFonts w:ascii="Arial" w:hAnsi="Arial" w:cs="Arial"/>
        </w:rPr>
      </w:pPr>
      <w:r w:rsidRPr="0066634B">
        <w:rPr>
          <w:rFonts w:ascii="Arial" w:hAnsi="Arial" w:cs="Arial"/>
          <w:b/>
        </w:rPr>
        <w:t xml:space="preserve">Table V: </w:t>
      </w:r>
      <w:r w:rsidRPr="0066634B">
        <w:rPr>
          <w:rFonts w:ascii="Arial" w:hAnsi="Arial" w:cs="Arial"/>
        </w:rPr>
        <w:t xml:space="preserve">Prevalence of </w:t>
      </w:r>
      <w:r w:rsidRPr="0066634B">
        <w:rPr>
          <w:rFonts w:ascii="Arial" w:hAnsi="Arial" w:cs="Arial"/>
          <w:i/>
        </w:rPr>
        <w:t xml:space="preserve">pfK13 propeller </w:t>
      </w:r>
      <w:r w:rsidRPr="0066634B">
        <w:rPr>
          <w:rFonts w:ascii="Arial" w:hAnsi="Arial" w:cs="Arial"/>
        </w:rPr>
        <w:t>gene haplotypes</w:t>
      </w:r>
    </w:p>
    <w:tbl>
      <w:tblPr>
        <w:tblW w:w="9010" w:type="dxa"/>
        <w:tblInd w:w="-412" w:type="dxa"/>
        <w:tblLayout w:type="fixed"/>
        <w:tblLook w:val="01E0" w:firstRow="1" w:lastRow="1" w:firstColumn="1" w:lastColumn="1" w:noHBand="0" w:noVBand="0"/>
      </w:tblPr>
      <w:tblGrid>
        <w:gridCol w:w="1051"/>
        <w:gridCol w:w="1560"/>
        <w:gridCol w:w="1086"/>
        <w:gridCol w:w="1548"/>
        <w:gridCol w:w="1181"/>
        <w:gridCol w:w="1347"/>
        <w:gridCol w:w="1237"/>
      </w:tblGrid>
      <w:tr w:rsidR="0066634B" w:rsidRPr="0066634B" w14:paraId="20391472" w14:textId="77777777" w:rsidTr="0066634B">
        <w:trPr>
          <w:trHeight w:val="633"/>
        </w:trPr>
        <w:tc>
          <w:tcPr>
            <w:tcW w:w="1051" w:type="dxa"/>
            <w:tcBorders>
              <w:top w:val="single" w:sz="4" w:space="0" w:color="7E7E7E"/>
              <w:bottom w:val="single" w:sz="4" w:space="0" w:color="7E7E7E"/>
            </w:tcBorders>
          </w:tcPr>
          <w:p w14:paraId="258EE17C" w14:textId="77777777" w:rsidR="0066634B" w:rsidRPr="0066634B" w:rsidRDefault="0066634B" w:rsidP="0066634B">
            <w:pPr>
              <w:pStyle w:val="Body"/>
              <w:rPr>
                <w:rFonts w:ascii="Arial" w:hAnsi="Arial" w:cs="Arial"/>
                <w:b/>
              </w:rPr>
            </w:pPr>
            <w:r w:rsidRPr="0066634B">
              <w:rPr>
                <w:rFonts w:ascii="Arial" w:hAnsi="Arial" w:cs="Arial"/>
                <w:b/>
              </w:rPr>
              <w:t>Codons' position</w:t>
            </w:r>
          </w:p>
        </w:tc>
        <w:tc>
          <w:tcPr>
            <w:tcW w:w="1560" w:type="dxa"/>
            <w:tcBorders>
              <w:top w:val="single" w:sz="4" w:space="0" w:color="7E7E7E"/>
              <w:bottom w:val="single" w:sz="4" w:space="0" w:color="7E7E7E"/>
            </w:tcBorders>
          </w:tcPr>
          <w:p w14:paraId="756D21EB" w14:textId="77777777" w:rsidR="0066634B" w:rsidRPr="0066634B" w:rsidRDefault="0066634B" w:rsidP="0066634B">
            <w:pPr>
              <w:pStyle w:val="Body"/>
              <w:rPr>
                <w:rFonts w:ascii="Arial" w:hAnsi="Arial" w:cs="Arial"/>
                <w:b/>
              </w:rPr>
            </w:pPr>
            <w:r w:rsidRPr="0066634B">
              <w:rPr>
                <w:rFonts w:ascii="Arial" w:hAnsi="Arial" w:cs="Arial"/>
                <w:b/>
              </w:rPr>
              <w:t>Wild Amino Acids</w:t>
            </w:r>
          </w:p>
        </w:tc>
        <w:tc>
          <w:tcPr>
            <w:tcW w:w="1086" w:type="dxa"/>
            <w:tcBorders>
              <w:top w:val="single" w:sz="4" w:space="0" w:color="7E7E7E"/>
              <w:bottom w:val="single" w:sz="4" w:space="0" w:color="7E7E7E"/>
            </w:tcBorders>
          </w:tcPr>
          <w:p w14:paraId="76BB2656" w14:textId="77777777" w:rsidR="0066634B" w:rsidRPr="0066634B" w:rsidRDefault="0066634B" w:rsidP="0066634B">
            <w:pPr>
              <w:pStyle w:val="Body"/>
              <w:rPr>
                <w:rFonts w:ascii="Arial" w:hAnsi="Arial" w:cs="Arial"/>
                <w:b/>
              </w:rPr>
            </w:pPr>
            <w:r w:rsidRPr="0066634B">
              <w:rPr>
                <w:rFonts w:ascii="Arial" w:hAnsi="Arial" w:cs="Arial"/>
                <w:b/>
              </w:rPr>
              <w:t>Wild codons</w:t>
            </w:r>
          </w:p>
        </w:tc>
        <w:tc>
          <w:tcPr>
            <w:tcW w:w="1548" w:type="dxa"/>
            <w:tcBorders>
              <w:top w:val="single" w:sz="4" w:space="0" w:color="7E7E7E"/>
              <w:bottom w:val="single" w:sz="4" w:space="0" w:color="7E7E7E"/>
            </w:tcBorders>
          </w:tcPr>
          <w:p w14:paraId="04BA95BA" w14:textId="77777777" w:rsidR="0066634B" w:rsidRPr="0066634B" w:rsidRDefault="0066634B" w:rsidP="0066634B">
            <w:pPr>
              <w:pStyle w:val="Body"/>
              <w:rPr>
                <w:rFonts w:ascii="Arial" w:hAnsi="Arial" w:cs="Arial"/>
                <w:b/>
              </w:rPr>
            </w:pPr>
            <w:r w:rsidRPr="0066634B">
              <w:rPr>
                <w:rFonts w:ascii="Arial" w:hAnsi="Arial" w:cs="Arial"/>
                <w:b/>
              </w:rPr>
              <w:t>Mutant Amino Acid</w:t>
            </w:r>
          </w:p>
        </w:tc>
        <w:tc>
          <w:tcPr>
            <w:tcW w:w="1181" w:type="dxa"/>
            <w:tcBorders>
              <w:top w:val="single" w:sz="4" w:space="0" w:color="7E7E7E"/>
              <w:bottom w:val="single" w:sz="4" w:space="0" w:color="7E7E7E"/>
            </w:tcBorders>
          </w:tcPr>
          <w:p w14:paraId="050EA404" w14:textId="77777777" w:rsidR="0066634B" w:rsidRPr="0066634B" w:rsidRDefault="0066634B" w:rsidP="0066634B">
            <w:pPr>
              <w:pStyle w:val="Body"/>
              <w:rPr>
                <w:rFonts w:ascii="Arial" w:hAnsi="Arial" w:cs="Arial"/>
                <w:b/>
              </w:rPr>
            </w:pPr>
            <w:r w:rsidRPr="0066634B">
              <w:rPr>
                <w:rFonts w:ascii="Arial" w:hAnsi="Arial" w:cs="Arial"/>
                <w:b/>
              </w:rPr>
              <w:t>Mutant codons</w:t>
            </w:r>
          </w:p>
        </w:tc>
        <w:tc>
          <w:tcPr>
            <w:tcW w:w="1347" w:type="dxa"/>
            <w:tcBorders>
              <w:top w:val="single" w:sz="4" w:space="0" w:color="7E7E7E"/>
              <w:bottom w:val="single" w:sz="4" w:space="0" w:color="7E7E7E"/>
            </w:tcBorders>
          </w:tcPr>
          <w:p w14:paraId="1DB6DDB6" w14:textId="77777777" w:rsidR="0066634B" w:rsidRPr="0066634B" w:rsidRDefault="0066634B" w:rsidP="0066634B">
            <w:pPr>
              <w:pStyle w:val="Body"/>
              <w:rPr>
                <w:rFonts w:ascii="Arial" w:hAnsi="Arial" w:cs="Arial"/>
                <w:b/>
              </w:rPr>
            </w:pPr>
            <w:r w:rsidRPr="0066634B">
              <w:rPr>
                <w:rFonts w:ascii="Arial" w:hAnsi="Arial" w:cs="Arial"/>
                <w:b/>
              </w:rPr>
              <w:t>Workforce N</w:t>
            </w:r>
          </w:p>
        </w:tc>
        <w:tc>
          <w:tcPr>
            <w:tcW w:w="1237" w:type="dxa"/>
            <w:tcBorders>
              <w:top w:val="single" w:sz="4" w:space="0" w:color="7E7E7E"/>
              <w:bottom w:val="single" w:sz="4" w:space="0" w:color="7E7E7E"/>
            </w:tcBorders>
          </w:tcPr>
          <w:p w14:paraId="0B6441B3" w14:textId="77777777" w:rsidR="0066634B" w:rsidRPr="0066634B" w:rsidRDefault="0066634B" w:rsidP="0066634B">
            <w:pPr>
              <w:pStyle w:val="Body"/>
              <w:rPr>
                <w:rFonts w:ascii="Arial" w:hAnsi="Arial" w:cs="Arial"/>
                <w:b/>
              </w:rPr>
            </w:pPr>
            <w:r w:rsidRPr="0066634B">
              <w:rPr>
                <w:rFonts w:ascii="Arial" w:hAnsi="Arial" w:cs="Arial"/>
                <w:b/>
              </w:rPr>
              <w:t>Sites</w:t>
            </w:r>
          </w:p>
        </w:tc>
      </w:tr>
      <w:tr w:rsidR="0066634B" w:rsidRPr="0066634B" w14:paraId="3F90BF60" w14:textId="77777777" w:rsidTr="0066634B">
        <w:trPr>
          <w:trHeight w:val="381"/>
        </w:trPr>
        <w:tc>
          <w:tcPr>
            <w:tcW w:w="1051" w:type="dxa"/>
            <w:tcBorders>
              <w:top w:val="single" w:sz="4" w:space="0" w:color="7E7E7E"/>
              <w:bottom w:val="single" w:sz="4" w:space="0" w:color="7E7E7E"/>
            </w:tcBorders>
          </w:tcPr>
          <w:p w14:paraId="48D21788" w14:textId="77777777" w:rsidR="0066634B" w:rsidRPr="0066634B" w:rsidRDefault="0066634B" w:rsidP="0066634B">
            <w:pPr>
              <w:pStyle w:val="Body"/>
              <w:rPr>
                <w:rFonts w:ascii="Arial" w:hAnsi="Arial" w:cs="Arial"/>
                <w:b/>
              </w:rPr>
            </w:pPr>
            <w:r w:rsidRPr="0066634B">
              <w:rPr>
                <w:rFonts w:ascii="Arial" w:hAnsi="Arial" w:cs="Arial"/>
                <w:b/>
              </w:rPr>
              <w:t>443</w:t>
            </w:r>
          </w:p>
        </w:tc>
        <w:tc>
          <w:tcPr>
            <w:tcW w:w="1560" w:type="dxa"/>
            <w:tcBorders>
              <w:top w:val="single" w:sz="4" w:space="0" w:color="7E7E7E"/>
              <w:bottom w:val="single" w:sz="4" w:space="0" w:color="7E7E7E"/>
            </w:tcBorders>
          </w:tcPr>
          <w:p w14:paraId="3EDD8623" w14:textId="77777777" w:rsidR="0066634B" w:rsidRPr="0066634B" w:rsidRDefault="0066634B" w:rsidP="0066634B">
            <w:pPr>
              <w:pStyle w:val="Body"/>
              <w:rPr>
                <w:rFonts w:ascii="Arial" w:hAnsi="Arial" w:cs="Arial"/>
              </w:rPr>
            </w:pPr>
            <w:r w:rsidRPr="0066634B">
              <w:rPr>
                <w:rFonts w:ascii="Arial" w:hAnsi="Arial" w:cs="Arial"/>
              </w:rPr>
              <w:t>P</w:t>
            </w:r>
          </w:p>
        </w:tc>
        <w:tc>
          <w:tcPr>
            <w:tcW w:w="1086" w:type="dxa"/>
            <w:tcBorders>
              <w:top w:val="single" w:sz="4" w:space="0" w:color="7E7E7E"/>
              <w:bottom w:val="single" w:sz="4" w:space="0" w:color="7E7E7E"/>
            </w:tcBorders>
          </w:tcPr>
          <w:p w14:paraId="536FBC5D" w14:textId="77777777" w:rsidR="0066634B" w:rsidRPr="0066634B" w:rsidRDefault="0066634B" w:rsidP="0066634B">
            <w:pPr>
              <w:pStyle w:val="Body"/>
              <w:rPr>
                <w:rFonts w:ascii="Arial" w:hAnsi="Arial" w:cs="Arial"/>
              </w:rPr>
            </w:pPr>
            <w:r w:rsidRPr="0066634B">
              <w:rPr>
                <w:rFonts w:ascii="Arial" w:hAnsi="Arial" w:cs="Arial"/>
              </w:rPr>
              <w:t>(CCA)</w:t>
            </w:r>
          </w:p>
        </w:tc>
        <w:tc>
          <w:tcPr>
            <w:tcW w:w="1548" w:type="dxa"/>
            <w:tcBorders>
              <w:top w:val="single" w:sz="4" w:space="0" w:color="7E7E7E"/>
              <w:bottom w:val="single" w:sz="4" w:space="0" w:color="7E7E7E"/>
            </w:tcBorders>
          </w:tcPr>
          <w:p w14:paraId="009A18DA" w14:textId="77777777" w:rsidR="0066634B" w:rsidRPr="0066634B" w:rsidRDefault="0066634B" w:rsidP="0066634B">
            <w:pPr>
              <w:pStyle w:val="Body"/>
              <w:rPr>
                <w:rFonts w:ascii="Arial" w:hAnsi="Arial" w:cs="Arial"/>
              </w:rPr>
            </w:pPr>
            <w:r w:rsidRPr="0066634B">
              <w:rPr>
                <w:rFonts w:ascii="Arial" w:hAnsi="Arial" w:cs="Arial"/>
              </w:rPr>
              <w:t>S</w:t>
            </w:r>
          </w:p>
        </w:tc>
        <w:tc>
          <w:tcPr>
            <w:tcW w:w="1181" w:type="dxa"/>
            <w:tcBorders>
              <w:top w:val="single" w:sz="4" w:space="0" w:color="7E7E7E"/>
              <w:bottom w:val="single" w:sz="4" w:space="0" w:color="7E7E7E"/>
            </w:tcBorders>
          </w:tcPr>
          <w:p w14:paraId="32B8073D"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TCA</w:t>
            </w:r>
            <w:r w:rsidRPr="0066634B">
              <w:rPr>
                <w:rFonts w:ascii="Arial" w:hAnsi="Arial" w:cs="Arial"/>
              </w:rPr>
              <w:t>)</w:t>
            </w:r>
          </w:p>
        </w:tc>
        <w:tc>
          <w:tcPr>
            <w:tcW w:w="1347" w:type="dxa"/>
            <w:tcBorders>
              <w:top w:val="single" w:sz="4" w:space="0" w:color="7E7E7E"/>
              <w:bottom w:val="single" w:sz="4" w:space="0" w:color="7E7E7E"/>
            </w:tcBorders>
          </w:tcPr>
          <w:p w14:paraId="58FA70CC"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1AC62BF3" w14:textId="77777777" w:rsidR="0066634B" w:rsidRPr="0066634B" w:rsidRDefault="0066634B" w:rsidP="0066634B">
            <w:pPr>
              <w:pStyle w:val="Body"/>
              <w:rPr>
                <w:rFonts w:ascii="Arial" w:hAnsi="Arial" w:cs="Arial"/>
              </w:rPr>
            </w:pPr>
            <w:r w:rsidRPr="0066634B">
              <w:rPr>
                <w:rFonts w:ascii="Arial" w:hAnsi="Arial" w:cs="Arial"/>
              </w:rPr>
              <w:t>Bondoukou</w:t>
            </w:r>
          </w:p>
        </w:tc>
      </w:tr>
      <w:tr w:rsidR="0066634B" w:rsidRPr="0066634B" w14:paraId="5A20BCBA" w14:textId="77777777" w:rsidTr="0066634B">
        <w:trPr>
          <w:trHeight w:val="377"/>
        </w:trPr>
        <w:tc>
          <w:tcPr>
            <w:tcW w:w="1051" w:type="dxa"/>
            <w:tcBorders>
              <w:top w:val="single" w:sz="4" w:space="0" w:color="7E7E7E"/>
              <w:bottom w:val="single" w:sz="4" w:space="0" w:color="7E7E7E"/>
            </w:tcBorders>
          </w:tcPr>
          <w:p w14:paraId="2F0AA543" w14:textId="77777777" w:rsidR="0066634B" w:rsidRPr="0066634B" w:rsidRDefault="0066634B" w:rsidP="0066634B">
            <w:pPr>
              <w:pStyle w:val="Body"/>
              <w:rPr>
                <w:rFonts w:ascii="Arial" w:hAnsi="Arial" w:cs="Arial"/>
                <w:b/>
              </w:rPr>
            </w:pPr>
            <w:r w:rsidRPr="0066634B">
              <w:rPr>
                <w:rFonts w:ascii="Arial" w:hAnsi="Arial" w:cs="Arial"/>
                <w:b/>
              </w:rPr>
              <w:t>663</w:t>
            </w:r>
          </w:p>
        </w:tc>
        <w:tc>
          <w:tcPr>
            <w:tcW w:w="1560" w:type="dxa"/>
            <w:tcBorders>
              <w:top w:val="single" w:sz="4" w:space="0" w:color="7E7E7E"/>
              <w:bottom w:val="single" w:sz="4" w:space="0" w:color="7E7E7E"/>
            </w:tcBorders>
          </w:tcPr>
          <w:p w14:paraId="4672B795" w14:textId="77777777" w:rsidR="0066634B" w:rsidRPr="0066634B" w:rsidRDefault="0066634B" w:rsidP="0066634B">
            <w:pPr>
              <w:pStyle w:val="Body"/>
              <w:rPr>
                <w:rFonts w:ascii="Arial" w:hAnsi="Arial" w:cs="Arial"/>
              </w:rPr>
            </w:pPr>
            <w:r w:rsidRPr="0066634B">
              <w:rPr>
                <w:rFonts w:ascii="Arial" w:hAnsi="Arial" w:cs="Arial"/>
              </w:rPr>
              <w:t>L</w:t>
            </w:r>
          </w:p>
        </w:tc>
        <w:tc>
          <w:tcPr>
            <w:tcW w:w="1086" w:type="dxa"/>
            <w:tcBorders>
              <w:top w:val="single" w:sz="4" w:space="0" w:color="7E7E7E"/>
              <w:bottom w:val="single" w:sz="4" w:space="0" w:color="7E7E7E"/>
            </w:tcBorders>
          </w:tcPr>
          <w:p w14:paraId="39F9AA78" w14:textId="77777777" w:rsidR="0066634B" w:rsidRPr="0066634B" w:rsidRDefault="0066634B" w:rsidP="0066634B">
            <w:pPr>
              <w:pStyle w:val="Body"/>
              <w:rPr>
                <w:rFonts w:ascii="Arial" w:hAnsi="Arial" w:cs="Arial"/>
              </w:rPr>
            </w:pPr>
            <w:r w:rsidRPr="0066634B">
              <w:rPr>
                <w:rFonts w:ascii="Arial" w:hAnsi="Arial" w:cs="Arial"/>
              </w:rPr>
              <w:t>(CTA)</w:t>
            </w:r>
          </w:p>
        </w:tc>
        <w:tc>
          <w:tcPr>
            <w:tcW w:w="1548" w:type="dxa"/>
            <w:tcBorders>
              <w:top w:val="single" w:sz="4" w:space="0" w:color="7E7E7E"/>
              <w:bottom w:val="single" w:sz="4" w:space="0" w:color="7E7E7E"/>
            </w:tcBorders>
          </w:tcPr>
          <w:p w14:paraId="3A0D812E" w14:textId="77777777" w:rsidR="0066634B" w:rsidRPr="0066634B" w:rsidRDefault="0066634B" w:rsidP="0066634B">
            <w:pPr>
              <w:pStyle w:val="Body"/>
              <w:rPr>
                <w:rFonts w:ascii="Arial" w:hAnsi="Arial" w:cs="Arial"/>
              </w:rPr>
            </w:pPr>
            <w:r w:rsidRPr="0066634B">
              <w:rPr>
                <w:rFonts w:ascii="Arial" w:hAnsi="Arial" w:cs="Arial"/>
              </w:rPr>
              <w:t>V</w:t>
            </w:r>
          </w:p>
        </w:tc>
        <w:tc>
          <w:tcPr>
            <w:tcW w:w="1181" w:type="dxa"/>
            <w:tcBorders>
              <w:top w:val="single" w:sz="4" w:space="0" w:color="7E7E7E"/>
              <w:bottom w:val="single" w:sz="4" w:space="0" w:color="7E7E7E"/>
            </w:tcBorders>
          </w:tcPr>
          <w:p w14:paraId="33219568"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GTA</w:t>
            </w:r>
            <w:r w:rsidRPr="0066634B">
              <w:rPr>
                <w:rFonts w:ascii="Arial" w:hAnsi="Arial" w:cs="Arial"/>
              </w:rPr>
              <w:t>)</w:t>
            </w:r>
          </w:p>
        </w:tc>
        <w:tc>
          <w:tcPr>
            <w:tcW w:w="1347" w:type="dxa"/>
            <w:tcBorders>
              <w:top w:val="single" w:sz="4" w:space="0" w:color="7E7E7E"/>
              <w:bottom w:val="single" w:sz="4" w:space="0" w:color="7E7E7E"/>
            </w:tcBorders>
          </w:tcPr>
          <w:p w14:paraId="2A6D8C80"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47B3DC8C" w14:textId="77777777" w:rsidR="0066634B" w:rsidRPr="0066634B" w:rsidRDefault="0066634B" w:rsidP="0066634B">
            <w:pPr>
              <w:pStyle w:val="Body"/>
              <w:rPr>
                <w:rFonts w:ascii="Arial" w:hAnsi="Arial" w:cs="Arial"/>
              </w:rPr>
            </w:pPr>
            <w:r w:rsidRPr="0066634B">
              <w:rPr>
                <w:rFonts w:ascii="Arial" w:hAnsi="Arial" w:cs="Arial"/>
              </w:rPr>
              <w:t>Séguéla</w:t>
            </w:r>
          </w:p>
        </w:tc>
      </w:tr>
      <w:tr w:rsidR="0066634B" w:rsidRPr="0066634B" w14:paraId="5F3A69B6" w14:textId="77777777" w:rsidTr="0066634B">
        <w:trPr>
          <w:trHeight w:val="377"/>
        </w:trPr>
        <w:tc>
          <w:tcPr>
            <w:tcW w:w="1051" w:type="dxa"/>
            <w:tcBorders>
              <w:top w:val="single" w:sz="4" w:space="0" w:color="7E7E7E"/>
              <w:bottom w:val="single" w:sz="4" w:space="0" w:color="7E7E7E"/>
            </w:tcBorders>
          </w:tcPr>
          <w:p w14:paraId="34F50B8E" w14:textId="77777777" w:rsidR="0066634B" w:rsidRPr="0066634B" w:rsidRDefault="0066634B" w:rsidP="0066634B">
            <w:pPr>
              <w:pStyle w:val="Body"/>
              <w:rPr>
                <w:rFonts w:ascii="Arial" w:hAnsi="Arial" w:cs="Arial"/>
                <w:b/>
              </w:rPr>
            </w:pPr>
            <w:r w:rsidRPr="0066634B">
              <w:rPr>
                <w:rFonts w:ascii="Arial" w:hAnsi="Arial" w:cs="Arial"/>
                <w:b/>
              </w:rPr>
              <w:t>674</w:t>
            </w:r>
          </w:p>
        </w:tc>
        <w:tc>
          <w:tcPr>
            <w:tcW w:w="1560" w:type="dxa"/>
            <w:tcBorders>
              <w:top w:val="single" w:sz="4" w:space="0" w:color="7E7E7E"/>
              <w:bottom w:val="single" w:sz="4" w:space="0" w:color="7E7E7E"/>
            </w:tcBorders>
          </w:tcPr>
          <w:p w14:paraId="37C91436" w14:textId="77777777" w:rsidR="0066634B" w:rsidRPr="0066634B" w:rsidRDefault="0066634B" w:rsidP="0066634B">
            <w:pPr>
              <w:pStyle w:val="Body"/>
              <w:rPr>
                <w:rFonts w:ascii="Arial" w:hAnsi="Arial" w:cs="Arial"/>
              </w:rPr>
            </w:pPr>
            <w:r w:rsidRPr="0066634B">
              <w:rPr>
                <w:rFonts w:ascii="Arial" w:hAnsi="Arial" w:cs="Arial"/>
              </w:rPr>
              <w:t>G</w:t>
            </w:r>
          </w:p>
        </w:tc>
        <w:tc>
          <w:tcPr>
            <w:tcW w:w="1086" w:type="dxa"/>
            <w:tcBorders>
              <w:top w:val="single" w:sz="4" w:space="0" w:color="7E7E7E"/>
              <w:bottom w:val="single" w:sz="4" w:space="0" w:color="7E7E7E"/>
            </w:tcBorders>
          </w:tcPr>
          <w:p w14:paraId="38193C5A" w14:textId="77777777" w:rsidR="0066634B" w:rsidRPr="0066634B" w:rsidRDefault="0066634B" w:rsidP="0066634B">
            <w:pPr>
              <w:pStyle w:val="Body"/>
              <w:rPr>
                <w:rFonts w:ascii="Arial" w:hAnsi="Arial" w:cs="Arial"/>
              </w:rPr>
            </w:pPr>
            <w:r w:rsidRPr="0066634B">
              <w:rPr>
                <w:rFonts w:ascii="Arial" w:hAnsi="Arial" w:cs="Arial"/>
              </w:rPr>
              <w:t>(GGA)</w:t>
            </w:r>
          </w:p>
        </w:tc>
        <w:tc>
          <w:tcPr>
            <w:tcW w:w="1548" w:type="dxa"/>
            <w:tcBorders>
              <w:top w:val="single" w:sz="4" w:space="0" w:color="7E7E7E"/>
              <w:bottom w:val="single" w:sz="4" w:space="0" w:color="7E7E7E"/>
            </w:tcBorders>
          </w:tcPr>
          <w:p w14:paraId="3B2D0F47" w14:textId="77777777" w:rsidR="0066634B" w:rsidRPr="0066634B" w:rsidRDefault="0066634B" w:rsidP="0066634B">
            <w:pPr>
              <w:pStyle w:val="Body"/>
              <w:rPr>
                <w:rFonts w:ascii="Arial" w:hAnsi="Arial" w:cs="Arial"/>
              </w:rPr>
            </w:pPr>
            <w:r w:rsidRPr="0066634B">
              <w:rPr>
                <w:rFonts w:ascii="Arial" w:hAnsi="Arial" w:cs="Arial"/>
              </w:rPr>
              <w:t>Y</w:t>
            </w:r>
          </w:p>
        </w:tc>
        <w:tc>
          <w:tcPr>
            <w:tcW w:w="1181" w:type="dxa"/>
            <w:tcBorders>
              <w:top w:val="single" w:sz="4" w:space="0" w:color="7E7E7E"/>
              <w:bottom w:val="single" w:sz="4" w:space="0" w:color="7E7E7E"/>
            </w:tcBorders>
          </w:tcPr>
          <w:p w14:paraId="4AAFF4AE"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TAT</w:t>
            </w:r>
            <w:r w:rsidRPr="0066634B">
              <w:rPr>
                <w:rFonts w:ascii="Arial" w:hAnsi="Arial" w:cs="Arial"/>
              </w:rPr>
              <w:t>)</w:t>
            </w:r>
          </w:p>
        </w:tc>
        <w:tc>
          <w:tcPr>
            <w:tcW w:w="1347" w:type="dxa"/>
            <w:tcBorders>
              <w:top w:val="single" w:sz="4" w:space="0" w:color="7E7E7E"/>
              <w:bottom w:val="single" w:sz="4" w:space="0" w:color="7E7E7E"/>
            </w:tcBorders>
          </w:tcPr>
          <w:p w14:paraId="5B4A818A"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54586C2A" w14:textId="77777777" w:rsidR="0066634B" w:rsidRPr="0066634B" w:rsidRDefault="0066634B" w:rsidP="0066634B">
            <w:pPr>
              <w:pStyle w:val="Body"/>
              <w:rPr>
                <w:rFonts w:ascii="Arial" w:hAnsi="Arial" w:cs="Arial"/>
              </w:rPr>
            </w:pPr>
            <w:r w:rsidRPr="0066634B">
              <w:rPr>
                <w:rFonts w:ascii="Arial" w:hAnsi="Arial" w:cs="Arial"/>
              </w:rPr>
              <w:t>Bouaflé</w:t>
            </w:r>
          </w:p>
        </w:tc>
      </w:tr>
      <w:tr w:rsidR="0066634B" w:rsidRPr="0066634B" w14:paraId="54B3C84D" w14:textId="77777777" w:rsidTr="0066634B">
        <w:trPr>
          <w:trHeight w:val="273"/>
        </w:trPr>
        <w:tc>
          <w:tcPr>
            <w:tcW w:w="1051" w:type="dxa"/>
            <w:tcBorders>
              <w:top w:val="single" w:sz="4" w:space="0" w:color="7E7E7E"/>
            </w:tcBorders>
          </w:tcPr>
          <w:p w14:paraId="5EF65EE1" w14:textId="77777777" w:rsidR="0066634B" w:rsidRPr="0066634B" w:rsidRDefault="0066634B" w:rsidP="0066634B">
            <w:pPr>
              <w:pStyle w:val="Body"/>
              <w:rPr>
                <w:rFonts w:ascii="Arial" w:hAnsi="Arial" w:cs="Arial"/>
                <w:b/>
              </w:rPr>
            </w:pPr>
            <w:r w:rsidRPr="0066634B">
              <w:rPr>
                <w:rFonts w:ascii="Arial" w:hAnsi="Arial" w:cs="Arial"/>
                <w:b/>
              </w:rPr>
              <w:t>675</w:t>
            </w:r>
          </w:p>
        </w:tc>
        <w:tc>
          <w:tcPr>
            <w:tcW w:w="1560" w:type="dxa"/>
            <w:tcBorders>
              <w:top w:val="single" w:sz="4" w:space="0" w:color="7E7E7E"/>
            </w:tcBorders>
          </w:tcPr>
          <w:p w14:paraId="2CA2CFEE" w14:textId="77777777" w:rsidR="0066634B" w:rsidRPr="0066634B" w:rsidRDefault="0066634B" w:rsidP="0066634B">
            <w:pPr>
              <w:pStyle w:val="Body"/>
              <w:rPr>
                <w:rFonts w:ascii="Arial" w:hAnsi="Arial" w:cs="Arial"/>
              </w:rPr>
            </w:pPr>
            <w:r w:rsidRPr="0066634B">
              <w:rPr>
                <w:rFonts w:ascii="Arial" w:hAnsi="Arial" w:cs="Arial"/>
              </w:rPr>
              <w:t>A</w:t>
            </w:r>
          </w:p>
        </w:tc>
        <w:tc>
          <w:tcPr>
            <w:tcW w:w="1086" w:type="dxa"/>
            <w:tcBorders>
              <w:top w:val="single" w:sz="4" w:space="0" w:color="7E7E7E"/>
            </w:tcBorders>
          </w:tcPr>
          <w:p w14:paraId="7D0FB067" w14:textId="77777777" w:rsidR="0066634B" w:rsidRPr="0066634B" w:rsidRDefault="0066634B" w:rsidP="0066634B">
            <w:pPr>
              <w:pStyle w:val="Body"/>
              <w:rPr>
                <w:rFonts w:ascii="Arial" w:hAnsi="Arial" w:cs="Arial"/>
              </w:rPr>
            </w:pPr>
            <w:r w:rsidRPr="0066634B">
              <w:rPr>
                <w:rFonts w:ascii="Arial" w:hAnsi="Arial" w:cs="Arial"/>
              </w:rPr>
              <w:t>(GCT)</w:t>
            </w:r>
          </w:p>
        </w:tc>
        <w:tc>
          <w:tcPr>
            <w:tcW w:w="1548" w:type="dxa"/>
            <w:tcBorders>
              <w:top w:val="single" w:sz="4" w:space="0" w:color="7E7E7E"/>
            </w:tcBorders>
          </w:tcPr>
          <w:p w14:paraId="5DEF628A" w14:textId="77777777" w:rsidR="0066634B" w:rsidRPr="0066634B" w:rsidRDefault="0066634B" w:rsidP="0066634B">
            <w:pPr>
              <w:pStyle w:val="Body"/>
              <w:rPr>
                <w:rFonts w:ascii="Arial" w:hAnsi="Arial" w:cs="Arial"/>
              </w:rPr>
            </w:pPr>
            <w:r w:rsidRPr="0066634B">
              <w:rPr>
                <w:rFonts w:ascii="Arial" w:hAnsi="Arial" w:cs="Arial"/>
              </w:rPr>
              <w:t>D</w:t>
            </w:r>
          </w:p>
        </w:tc>
        <w:tc>
          <w:tcPr>
            <w:tcW w:w="1181" w:type="dxa"/>
            <w:tcBorders>
              <w:top w:val="single" w:sz="4" w:space="0" w:color="7E7E7E"/>
            </w:tcBorders>
          </w:tcPr>
          <w:p w14:paraId="43A4438A"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GAT</w:t>
            </w:r>
            <w:r w:rsidRPr="0066634B">
              <w:rPr>
                <w:rFonts w:ascii="Arial" w:hAnsi="Arial" w:cs="Arial"/>
              </w:rPr>
              <w:t>)</w:t>
            </w:r>
          </w:p>
        </w:tc>
        <w:tc>
          <w:tcPr>
            <w:tcW w:w="1347" w:type="dxa"/>
            <w:tcBorders>
              <w:top w:val="single" w:sz="4" w:space="0" w:color="7E7E7E"/>
            </w:tcBorders>
          </w:tcPr>
          <w:p w14:paraId="0FBFE532"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tcBorders>
          </w:tcPr>
          <w:p w14:paraId="4FC85D65" w14:textId="77777777" w:rsidR="0066634B" w:rsidRPr="0066634B" w:rsidRDefault="0066634B" w:rsidP="0066634B">
            <w:pPr>
              <w:pStyle w:val="Body"/>
              <w:rPr>
                <w:rFonts w:ascii="Arial" w:hAnsi="Arial" w:cs="Arial"/>
              </w:rPr>
            </w:pPr>
          </w:p>
        </w:tc>
      </w:tr>
      <w:tr w:rsidR="0066634B" w:rsidRPr="0066634B" w14:paraId="0B79F57B" w14:textId="77777777" w:rsidTr="0066634B">
        <w:trPr>
          <w:trHeight w:val="379"/>
        </w:trPr>
        <w:tc>
          <w:tcPr>
            <w:tcW w:w="1051" w:type="dxa"/>
          </w:tcPr>
          <w:p w14:paraId="10181F4C" w14:textId="77777777" w:rsidR="0066634B" w:rsidRPr="0066634B" w:rsidRDefault="0066634B" w:rsidP="0066634B">
            <w:pPr>
              <w:pStyle w:val="Body"/>
              <w:rPr>
                <w:rFonts w:ascii="Arial" w:hAnsi="Arial" w:cs="Arial"/>
                <w:b/>
              </w:rPr>
            </w:pPr>
            <w:r w:rsidRPr="0066634B">
              <w:rPr>
                <w:rFonts w:ascii="Arial" w:hAnsi="Arial" w:cs="Arial"/>
                <w:b/>
              </w:rPr>
              <w:t>680</w:t>
            </w:r>
          </w:p>
        </w:tc>
        <w:tc>
          <w:tcPr>
            <w:tcW w:w="1560" w:type="dxa"/>
          </w:tcPr>
          <w:p w14:paraId="08755A9D" w14:textId="77777777" w:rsidR="0066634B" w:rsidRPr="0066634B" w:rsidRDefault="0066634B" w:rsidP="0066634B">
            <w:pPr>
              <w:pStyle w:val="Body"/>
              <w:rPr>
                <w:rFonts w:ascii="Arial" w:hAnsi="Arial" w:cs="Arial"/>
              </w:rPr>
            </w:pPr>
            <w:r w:rsidRPr="0066634B">
              <w:rPr>
                <w:rFonts w:ascii="Arial" w:hAnsi="Arial" w:cs="Arial"/>
              </w:rPr>
              <w:t>D</w:t>
            </w:r>
          </w:p>
        </w:tc>
        <w:tc>
          <w:tcPr>
            <w:tcW w:w="1086" w:type="dxa"/>
          </w:tcPr>
          <w:p w14:paraId="1921EEC3" w14:textId="77777777" w:rsidR="0066634B" w:rsidRPr="0066634B" w:rsidRDefault="0066634B" w:rsidP="0066634B">
            <w:pPr>
              <w:pStyle w:val="Body"/>
              <w:rPr>
                <w:rFonts w:ascii="Arial" w:hAnsi="Arial" w:cs="Arial"/>
              </w:rPr>
            </w:pPr>
            <w:r w:rsidRPr="0066634B">
              <w:rPr>
                <w:rFonts w:ascii="Arial" w:hAnsi="Arial" w:cs="Arial"/>
              </w:rPr>
              <w:t>(GAT)</w:t>
            </w:r>
          </w:p>
        </w:tc>
        <w:tc>
          <w:tcPr>
            <w:tcW w:w="1548" w:type="dxa"/>
          </w:tcPr>
          <w:p w14:paraId="45D16B62" w14:textId="77777777" w:rsidR="0066634B" w:rsidRPr="0066634B" w:rsidRDefault="0066634B" w:rsidP="0066634B">
            <w:pPr>
              <w:pStyle w:val="Body"/>
              <w:rPr>
                <w:rFonts w:ascii="Arial" w:hAnsi="Arial" w:cs="Arial"/>
              </w:rPr>
            </w:pPr>
            <w:r w:rsidRPr="0066634B">
              <w:rPr>
                <w:rFonts w:ascii="Arial" w:hAnsi="Arial" w:cs="Arial"/>
              </w:rPr>
              <w:t>E</w:t>
            </w:r>
          </w:p>
        </w:tc>
        <w:tc>
          <w:tcPr>
            <w:tcW w:w="1181" w:type="dxa"/>
          </w:tcPr>
          <w:p w14:paraId="0E115F74"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GAA</w:t>
            </w:r>
            <w:r w:rsidRPr="0066634B">
              <w:rPr>
                <w:rFonts w:ascii="Arial" w:hAnsi="Arial" w:cs="Arial"/>
              </w:rPr>
              <w:t>)</w:t>
            </w:r>
          </w:p>
        </w:tc>
        <w:tc>
          <w:tcPr>
            <w:tcW w:w="1347" w:type="dxa"/>
          </w:tcPr>
          <w:p w14:paraId="4B87983E"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Pr>
          <w:p w14:paraId="2BE857B8" w14:textId="77777777" w:rsidR="0066634B" w:rsidRPr="0066634B" w:rsidRDefault="0066634B" w:rsidP="0066634B">
            <w:pPr>
              <w:pStyle w:val="Body"/>
              <w:rPr>
                <w:rFonts w:ascii="Arial" w:hAnsi="Arial" w:cs="Arial"/>
              </w:rPr>
            </w:pPr>
            <w:r w:rsidRPr="0066634B">
              <w:rPr>
                <w:rFonts w:ascii="Arial" w:hAnsi="Arial" w:cs="Arial"/>
              </w:rPr>
              <w:t>Séguéla</w:t>
            </w:r>
          </w:p>
        </w:tc>
      </w:tr>
      <w:tr w:rsidR="0066634B" w:rsidRPr="0066634B" w14:paraId="5C603CEE" w14:textId="77777777" w:rsidTr="0066634B">
        <w:trPr>
          <w:trHeight w:val="482"/>
        </w:trPr>
        <w:tc>
          <w:tcPr>
            <w:tcW w:w="1051" w:type="dxa"/>
            <w:tcBorders>
              <w:bottom w:val="single" w:sz="4" w:space="0" w:color="7E7E7E"/>
            </w:tcBorders>
          </w:tcPr>
          <w:p w14:paraId="60CB15AC" w14:textId="77777777" w:rsidR="0066634B" w:rsidRPr="0066634B" w:rsidRDefault="0066634B" w:rsidP="0066634B">
            <w:pPr>
              <w:pStyle w:val="Body"/>
              <w:rPr>
                <w:rFonts w:ascii="Arial" w:hAnsi="Arial" w:cs="Arial"/>
                <w:b/>
              </w:rPr>
            </w:pPr>
            <w:r w:rsidRPr="0066634B">
              <w:rPr>
                <w:rFonts w:ascii="Arial" w:hAnsi="Arial" w:cs="Arial"/>
                <w:b/>
              </w:rPr>
              <w:t>689</w:t>
            </w:r>
          </w:p>
        </w:tc>
        <w:tc>
          <w:tcPr>
            <w:tcW w:w="1560" w:type="dxa"/>
            <w:tcBorders>
              <w:bottom w:val="single" w:sz="4" w:space="0" w:color="7E7E7E"/>
            </w:tcBorders>
          </w:tcPr>
          <w:p w14:paraId="6A0B44D8" w14:textId="77777777" w:rsidR="0066634B" w:rsidRPr="0066634B" w:rsidRDefault="0066634B" w:rsidP="0066634B">
            <w:pPr>
              <w:pStyle w:val="Body"/>
              <w:rPr>
                <w:rFonts w:ascii="Arial" w:hAnsi="Arial" w:cs="Arial"/>
              </w:rPr>
            </w:pPr>
            <w:r w:rsidRPr="0066634B">
              <w:rPr>
                <w:rFonts w:ascii="Arial" w:hAnsi="Arial" w:cs="Arial"/>
              </w:rPr>
              <w:t>N</w:t>
            </w:r>
          </w:p>
        </w:tc>
        <w:tc>
          <w:tcPr>
            <w:tcW w:w="1086" w:type="dxa"/>
            <w:tcBorders>
              <w:bottom w:val="single" w:sz="4" w:space="0" w:color="7E7E7E"/>
            </w:tcBorders>
          </w:tcPr>
          <w:p w14:paraId="4D5CF8BF" w14:textId="77777777" w:rsidR="0066634B" w:rsidRPr="0066634B" w:rsidRDefault="0066634B" w:rsidP="0066634B">
            <w:pPr>
              <w:pStyle w:val="Body"/>
              <w:rPr>
                <w:rFonts w:ascii="Arial" w:hAnsi="Arial" w:cs="Arial"/>
              </w:rPr>
            </w:pPr>
            <w:r w:rsidRPr="0066634B">
              <w:rPr>
                <w:rFonts w:ascii="Arial" w:hAnsi="Arial" w:cs="Arial"/>
              </w:rPr>
              <w:t>(TCG)</w:t>
            </w:r>
          </w:p>
        </w:tc>
        <w:tc>
          <w:tcPr>
            <w:tcW w:w="1548" w:type="dxa"/>
            <w:tcBorders>
              <w:bottom w:val="single" w:sz="4" w:space="0" w:color="7E7E7E"/>
            </w:tcBorders>
          </w:tcPr>
          <w:p w14:paraId="02BF8EE8" w14:textId="77777777" w:rsidR="0066634B" w:rsidRPr="0066634B" w:rsidRDefault="0066634B" w:rsidP="0066634B">
            <w:pPr>
              <w:pStyle w:val="Body"/>
              <w:rPr>
                <w:rFonts w:ascii="Arial" w:hAnsi="Arial" w:cs="Arial"/>
              </w:rPr>
            </w:pPr>
            <w:r w:rsidRPr="0066634B">
              <w:rPr>
                <w:rFonts w:ascii="Arial" w:hAnsi="Arial" w:cs="Arial"/>
              </w:rPr>
              <w:t>K</w:t>
            </w:r>
          </w:p>
        </w:tc>
        <w:tc>
          <w:tcPr>
            <w:tcW w:w="1181" w:type="dxa"/>
            <w:tcBorders>
              <w:bottom w:val="single" w:sz="4" w:space="0" w:color="7E7E7E"/>
            </w:tcBorders>
          </w:tcPr>
          <w:p w14:paraId="09DA13C1"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TTT</w:t>
            </w:r>
            <w:r w:rsidRPr="0066634B">
              <w:rPr>
                <w:rFonts w:ascii="Arial" w:hAnsi="Arial" w:cs="Arial"/>
              </w:rPr>
              <w:t>)</w:t>
            </w:r>
          </w:p>
        </w:tc>
        <w:tc>
          <w:tcPr>
            <w:tcW w:w="1347" w:type="dxa"/>
            <w:tcBorders>
              <w:bottom w:val="single" w:sz="4" w:space="0" w:color="7E7E7E"/>
            </w:tcBorders>
          </w:tcPr>
          <w:p w14:paraId="0E3492CF"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bottom w:val="single" w:sz="4" w:space="0" w:color="7E7E7E"/>
            </w:tcBorders>
          </w:tcPr>
          <w:p w14:paraId="11F0C272" w14:textId="77777777" w:rsidR="0066634B" w:rsidRPr="0066634B" w:rsidRDefault="0066634B" w:rsidP="0066634B">
            <w:pPr>
              <w:pStyle w:val="Body"/>
              <w:rPr>
                <w:rFonts w:ascii="Arial" w:hAnsi="Arial" w:cs="Arial"/>
              </w:rPr>
            </w:pPr>
          </w:p>
        </w:tc>
      </w:tr>
      <w:tr w:rsidR="0066634B" w:rsidRPr="0066634B" w14:paraId="59C6BEC7" w14:textId="77777777" w:rsidTr="0066634B">
        <w:trPr>
          <w:trHeight w:val="377"/>
        </w:trPr>
        <w:tc>
          <w:tcPr>
            <w:tcW w:w="1051" w:type="dxa"/>
            <w:tcBorders>
              <w:top w:val="single" w:sz="4" w:space="0" w:color="7E7E7E"/>
              <w:bottom w:val="single" w:sz="4" w:space="0" w:color="7E7E7E"/>
            </w:tcBorders>
          </w:tcPr>
          <w:p w14:paraId="730E70C7" w14:textId="77777777" w:rsidR="0066634B" w:rsidRPr="0066634B" w:rsidRDefault="0066634B" w:rsidP="0066634B">
            <w:pPr>
              <w:pStyle w:val="Body"/>
              <w:rPr>
                <w:rFonts w:ascii="Arial" w:hAnsi="Arial" w:cs="Arial"/>
                <w:b/>
              </w:rPr>
            </w:pPr>
            <w:r w:rsidRPr="0066634B">
              <w:rPr>
                <w:rFonts w:ascii="Arial" w:hAnsi="Arial" w:cs="Arial"/>
                <w:b/>
              </w:rPr>
              <w:t>681</w:t>
            </w:r>
          </w:p>
        </w:tc>
        <w:tc>
          <w:tcPr>
            <w:tcW w:w="1560" w:type="dxa"/>
            <w:tcBorders>
              <w:top w:val="single" w:sz="4" w:space="0" w:color="7E7E7E"/>
              <w:bottom w:val="single" w:sz="4" w:space="0" w:color="7E7E7E"/>
            </w:tcBorders>
          </w:tcPr>
          <w:p w14:paraId="0C09839F" w14:textId="77777777" w:rsidR="0066634B" w:rsidRPr="0066634B" w:rsidRDefault="0066634B" w:rsidP="0066634B">
            <w:pPr>
              <w:pStyle w:val="Body"/>
              <w:rPr>
                <w:rFonts w:ascii="Arial" w:hAnsi="Arial" w:cs="Arial"/>
              </w:rPr>
            </w:pPr>
            <w:r w:rsidRPr="0066634B">
              <w:rPr>
                <w:rFonts w:ascii="Arial" w:hAnsi="Arial" w:cs="Arial"/>
              </w:rPr>
              <w:t>S</w:t>
            </w:r>
          </w:p>
        </w:tc>
        <w:tc>
          <w:tcPr>
            <w:tcW w:w="1086" w:type="dxa"/>
            <w:tcBorders>
              <w:top w:val="single" w:sz="4" w:space="0" w:color="7E7E7E"/>
              <w:bottom w:val="single" w:sz="4" w:space="0" w:color="7E7E7E"/>
            </w:tcBorders>
          </w:tcPr>
          <w:p w14:paraId="640B3204" w14:textId="77777777" w:rsidR="0066634B" w:rsidRPr="0066634B" w:rsidRDefault="0066634B" w:rsidP="0066634B">
            <w:pPr>
              <w:pStyle w:val="Body"/>
              <w:rPr>
                <w:rFonts w:ascii="Arial" w:hAnsi="Arial" w:cs="Arial"/>
              </w:rPr>
            </w:pPr>
            <w:r w:rsidRPr="0066634B">
              <w:rPr>
                <w:rFonts w:ascii="Arial" w:hAnsi="Arial" w:cs="Arial"/>
              </w:rPr>
              <w:t>(ACA)</w:t>
            </w:r>
          </w:p>
        </w:tc>
        <w:tc>
          <w:tcPr>
            <w:tcW w:w="1548" w:type="dxa"/>
            <w:tcBorders>
              <w:top w:val="single" w:sz="4" w:space="0" w:color="7E7E7E"/>
              <w:bottom w:val="single" w:sz="4" w:space="0" w:color="7E7E7E"/>
            </w:tcBorders>
          </w:tcPr>
          <w:p w14:paraId="1C8AB9B1" w14:textId="77777777" w:rsidR="0066634B" w:rsidRPr="0066634B" w:rsidRDefault="0066634B" w:rsidP="0066634B">
            <w:pPr>
              <w:pStyle w:val="Body"/>
              <w:rPr>
                <w:rFonts w:ascii="Arial" w:hAnsi="Arial" w:cs="Arial"/>
              </w:rPr>
            </w:pPr>
            <w:r w:rsidRPr="0066634B">
              <w:rPr>
                <w:rFonts w:ascii="Arial" w:hAnsi="Arial" w:cs="Arial"/>
              </w:rPr>
              <w:t>F</w:t>
            </w:r>
          </w:p>
        </w:tc>
        <w:tc>
          <w:tcPr>
            <w:tcW w:w="1181" w:type="dxa"/>
            <w:tcBorders>
              <w:top w:val="single" w:sz="4" w:space="0" w:color="7E7E7E"/>
              <w:bottom w:val="single" w:sz="4" w:space="0" w:color="7E7E7E"/>
            </w:tcBorders>
          </w:tcPr>
          <w:p w14:paraId="110286E8"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CCA</w:t>
            </w:r>
            <w:r w:rsidRPr="0066634B">
              <w:rPr>
                <w:rFonts w:ascii="Arial" w:hAnsi="Arial" w:cs="Arial"/>
              </w:rPr>
              <w:t>)</w:t>
            </w:r>
          </w:p>
        </w:tc>
        <w:tc>
          <w:tcPr>
            <w:tcW w:w="1347" w:type="dxa"/>
            <w:tcBorders>
              <w:top w:val="single" w:sz="4" w:space="0" w:color="7E7E7E"/>
              <w:bottom w:val="single" w:sz="4" w:space="0" w:color="7E7E7E"/>
            </w:tcBorders>
          </w:tcPr>
          <w:p w14:paraId="28FE3053"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3A90A2EA" w14:textId="77777777" w:rsidR="0066634B" w:rsidRPr="0066634B" w:rsidRDefault="0066634B" w:rsidP="0066634B">
            <w:pPr>
              <w:pStyle w:val="Body"/>
              <w:rPr>
                <w:rFonts w:ascii="Arial" w:hAnsi="Arial" w:cs="Arial"/>
              </w:rPr>
            </w:pPr>
            <w:r w:rsidRPr="0066634B">
              <w:rPr>
                <w:rFonts w:ascii="Arial" w:hAnsi="Arial" w:cs="Arial"/>
              </w:rPr>
              <w:t>Bouaflé</w:t>
            </w:r>
          </w:p>
        </w:tc>
      </w:tr>
      <w:tr w:rsidR="0066634B" w:rsidRPr="0066634B" w14:paraId="1B2FF347" w14:textId="77777777" w:rsidTr="0066634B">
        <w:trPr>
          <w:trHeight w:val="379"/>
        </w:trPr>
        <w:tc>
          <w:tcPr>
            <w:tcW w:w="1051" w:type="dxa"/>
            <w:tcBorders>
              <w:top w:val="single" w:sz="4" w:space="0" w:color="7E7E7E"/>
              <w:bottom w:val="single" w:sz="4" w:space="0" w:color="7E7E7E"/>
            </w:tcBorders>
          </w:tcPr>
          <w:p w14:paraId="3891B4FB" w14:textId="77777777" w:rsidR="0066634B" w:rsidRPr="0066634B" w:rsidRDefault="0066634B" w:rsidP="0066634B">
            <w:pPr>
              <w:pStyle w:val="Body"/>
              <w:rPr>
                <w:rFonts w:ascii="Arial" w:hAnsi="Arial" w:cs="Arial"/>
                <w:b/>
              </w:rPr>
            </w:pPr>
            <w:r w:rsidRPr="0066634B">
              <w:rPr>
                <w:rFonts w:ascii="Arial" w:hAnsi="Arial" w:cs="Arial"/>
                <w:b/>
              </w:rPr>
              <w:t>685</w:t>
            </w:r>
          </w:p>
        </w:tc>
        <w:tc>
          <w:tcPr>
            <w:tcW w:w="1560" w:type="dxa"/>
            <w:tcBorders>
              <w:top w:val="single" w:sz="4" w:space="0" w:color="7E7E7E"/>
              <w:bottom w:val="single" w:sz="4" w:space="0" w:color="7E7E7E"/>
            </w:tcBorders>
          </w:tcPr>
          <w:p w14:paraId="48D8CF1C" w14:textId="77777777" w:rsidR="0066634B" w:rsidRPr="0066634B" w:rsidRDefault="0066634B" w:rsidP="0066634B">
            <w:pPr>
              <w:pStyle w:val="Body"/>
              <w:rPr>
                <w:rFonts w:ascii="Arial" w:hAnsi="Arial" w:cs="Arial"/>
              </w:rPr>
            </w:pPr>
            <w:r w:rsidRPr="0066634B">
              <w:rPr>
                <w:rFonts w:ascii="Arial" w:hAnsi="Arial" w:cs="Arial"/>
              </w:rPr>
              <w:t>T</w:t>
            </w:r>
          </w:p>
        </w:tc>
        <w:tc>
          <w:tcPr>
            <w:tcW w:w="1086" w:type="dxa"/>
            <w:tcBorders>
              <w:top w:val="single" w:sz="4" w:space="0" w:color="7E7E7E"/>
              <w:bottom w:val="single" w:sz="4" w:space="0" w:color="7E7E7E"/>
            </w:tcBorders>
          </w:tcPr>
          <w:p w14:paraId="408E3B6A" w14:textId="77777777" w:rsidR="0066634B" w:rsidRPr="0066634B" w:rsidRDefault="0066634B" w:rsidP="0066634B">
            <w:pPr>
              <w:pStyle w:val="Body"/>
              <w:rPr>
                <w:rFonts w:ascii="Arial" w:hAnsi="Arial" w:cs="Arial"/>
              </w:rPr>
            </w:pPr>
            <w:r w:rsidRPr="0066634B">
              <w:rPr>
                <w:rFonts w:ascii="Arial" w:hAnsi="Arial" w:cs="Arial"/>
              </w:rPr>
              <w:t>(AAT)</w:t>
            </w:r>
          </w:p>
        </w:tc>
        <w:tc>
          <w:tcPr>
            <w:tcW w:w="1548" w:type="dxa"/>
            <w:tcBorders>
              <w:top w:val="single" w:sz="4" w:space="0" w:color="7E7E7E"/>
              <w:bottom w:val="single" w:sz="4" w:space="0" w:color="7E7E7E"/>
            </w:tcBorders>
          </w:tcPr>
          <w:p w14:paraId="2B8A2DF9" w14:textId="77777777" w:rsidR="0066634B" w:rsidRPr="0066634B" w:rsidRDefault="0066634B" w:rsidP="0066634B">
            <w:pPr>
              <w:pStyle w:val="Body"/>
              <w:rPr>
                <w:rFonts w:ascii="Arial" w:hAnsi="Arial" w:cs="Arial"/>
              </w:rPr>
            </w:pPr>
            <w:r w:rsidRPr="0066634B">
              <w:rPr>
                <w:rFonts w:ascii="Arial" w:hAnsi="Arial" w:cs="Arial"/>
              </w:rPr>
              <w:t>P</w:t>
            </w:r>
          </w:p>
        </w:tc>
        <w:tc>
          <w:tcPr>
            <w:tcW w:w="1181" w:type="dxa"/>
            <w:tcBorders>
              <w:top w:val="single" w:sz="4" w:space="0" w:color="7E7E7E"/>
              <w:bottom w:val="single" w:sz="4" w:space="0" w:color="7E7E7E"/>
            </w:tcBorders>
          </w:tcPr>
          <w:p w14:paraId="6F12627A"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AAG</w:t>
            </w:r>
            <w:r w:rsidRPr="0066634B">
              <w:rPr>
                <w:rFonts w:ascii="Arial" w:hAnsi="Arial" w:cs="Arial"/>
              </w:rPr>
              <w:t>)</w:t>
            </w:r>
          </w:p>
        </w:tc>
        <w:tc>
          <w:tcPr>
            <w:tcW w:w="1347" w:type="dxa"/>
            <w:tcBorders>
              <w:top w:val="single" w:sz="4" w:space="0" w:color="7E7E7E"/>
              <w:bottom w:val="single" w:sz="4" w:space="0" w:color="7E7E7E"/>
            </w:tcBorders>
          </w:tcPr>
          <w:p w14:paraId="2F58C4ED"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7B87936F" w14:textId="77777777" w:rsidR="0066634B" w:rsidRPr="0066634B" w:rsidRDefault="0066634B" w:rsidP="0066634B">
            <w:pPr>
              <w:pStyle w:val="Body"/>
              <w:rPr>
                <w:rFonts w:ascii="Arial" w:hAnsi="Arial" w:cs="Arial"/>
              </w:rPr>
            </w:pPr>
            <w:r w:rsidRPr="0066634B">
              <w:rPr>
                <w:rFonts w:ascii="Arial" w:hAnsi="Arial" w:cs="Arial"/>
              </w:rPr>
              <w:t>Bondoukou</w:t>
            </w:r>
          </w:p>
        </w:tc>
      </w:tr>
      <w:tr w:rsidR="0066634B" w:rsidRPr="0066634B" w14:paraId="11334197" w14:textId="77777777" w:rsidTr="0066634B">
        <w:trPr>
          <w:trHeight w:val="377"/>
        </w:trPr>
        <w:tc>
          <w:tcPr>
            <w:tcW w:w="1051" w:type="dxa"/>
            <w:tcBorders>
              <w:top w:val="single" w:sz="4" w:space="0" w:color="7E7E7E"/>
              <w:bottom w:val="single" w:sz="4" w:space="0" w:color="7E7E7E"/>
            </w:tcBorders>
          </w:tcPr>
          <w:p w14:paraId="19949847" w14:textId="77777777" w:rsidR="0066634B" w:rsidRPr="0066634B" w:rsidRDefault="0066634B" w:rsidP="0066634B">
            <w:pPr>
              <w:pStyle w:val="Body"/>
              <w:rPr>
                <w:rFonts w:ascii="Arial" w:hAnsi="Arial" w:cs="Arial"/>
                <w:b/>
              </w:rPr>
            </w:pPr>
            <w:r w:rsidRPr="0066634B">
              <w:rPr>
                <w:rFonts w:ascii="Arial" w:hAnsi="Arial" w:cs="Arial"/>
                <w:b/>
              </w:rPr>
              <w:t>616</w:t>
            </w:r>
          </w:p>
        </w:tc>
        <w:tc>
          <w:tcPr>
            <w:tcW w:w="1560" w:type="dxa"/>
            <w:tcBorders>
              <w:top w:val="single" w:sz="4" w:space="0" w:color="7E7E7E"/>
              <w:bottom w:val="single" w:sz="4" w:space="0" w:color="7E7E7E"/>
            </w:tcBorders>
          </w:tcPr>
          <w:p w14:paraId="74A29915" w14:textId="77777777" w:rsidR="0066634B" w:rsidRPr="0066634B" w:rsidRDefault="0066634B" w:rsidP="0066634B">
            <w:pPr>
              <w:pStyle w:val="Body"/>
              <w:rPr>
                <w:rFonts w:ascii="Arial" w:hAnsi="Arial" w:cs="Arial"/>
              </w:rPr>
            </w:pPr>
            <w:r w:rsidRPr="0066634B">
              <w:rPr>
                <w:rFonts w:ascii="Arial" w:hAnsi="Arial" w:cs="Arial"/>
              </w:rPr>
              <w:t>Y</w:t>
            </w:r>
          </w:p>
        </w:tc>
        <w:tc>
          <w:tcPr>
            <w:tcW w:w="1086" w:type="dxa"/>
            <w:tcBorders>
              <w:top w:val="single" w:sz="4" w:space="0" w:color="7E7E7E"/>
              <w:bottom w:val="single" w:sz="4" w:space="0" w:color="7E7E7E"/>
            </w:tcBorders>
          </w:tcPr>
          <w:p w14:paraId="1CD7AACD" w14:textId="77777777" w:rsidR="0066634B" w:rsidRPr="0066634B" w:rsidRDefault="0066634B" w:rsidP="0066634B">
            <w:pPr>
              <w:pStyle w:val="Body"/>
              <w:rPr>
                <w:rFonts w:ascii="Arial" w:hAnsi="Arial" w:cs="Arial"/>
              </w:rPr>
            </w:pPr>
            <w:r w:rsidRPr="0066634B">
              <w:rPr>
                <w:rFonts w:ascii="Arial" w:hAnsi="Arial" w:cs="Arial"/>
              </w:rPr>
              <w:t>(TAT)</w:t>
            </w:r>
          </w:p>
        </w:tc>
        <w:tc>
          <w:tcPr>
            <w:tcW w:w="1548" w:type="dxa"/>
            <w:tcBorders>
              <w:top w:val="single" w:sz="4" w:space="0" w:color="7E7E7E"/>
              <w:bottom w:val="single" w:sz="4" w:space="0" w:color="7E7E7E"/>
            </w:tcBorders>
          </w:tcPr>
          <w:p w14:paraId="18C02ACE" w14:textId="77777777" w:rsidR="0066634B" w:rsidRPr="0066634B" w:rsidRDefault="0066634B" w:rsidP="0066634B">
            <w:pPr>
              <w:pStyle w:val="Body"/>
              <w:rPr>
                <w:rFonts w:ascii="Arial" w:hAnsi="Arial" w:cs="Arial"/>
              </w:rPr>
            </w:pPr>
            <w:r w:rsidRPr="0066634B">
              <w:rPr>
                <w:rFonts w:ascii="Arial" w:hAnsi="Arial" w:cs="Arial"/>
              </w:rPr>
              <w:t>Y</w:t>
            </w:r>
          </w:p>
        </w:tc>
        <w:tc>
          <w:tcPr>
            <w:tcW w:w="1181" w:type="dxa"/>
            <w:tcBorders>
              <w:top w:val="single" w:sz="4" w:space="0" w:color="7E7E7E"/>
              <w:bottom w:val="single" w:sz="4" w:space="0" w:color="7E7E7E"/>
            </w:tcBorders>
          </w:tcPr>
          <w:p w14:paraId="1F36DA62"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TAC</w:t>
            </w:r>
            <w:r w:rsidRPr="0066634B">
              <w:rPr>
                <w:rFonts w:ascii="Arial" w:hAnsi="Arial" w:cs="Arial"/>
              </w:rPr>
              <w:t>)</w:t>
            </w:r>
          </w:p>
        </w:tc>
        <w:tc>
          <w:tcPr>
            <w:tcW w:w="1347" w:type="dxa"/>
            <w:tcBorders>
              <w:top w:val="single" w:sz="4" w:space="0" w:color="7E7E7E"/>
              <w:bottom w:val="single" w:sz="4" w:space="0" w:color="7E7E7E"/>
            </w:tcBorders>
          </w:tcPr>
          <w:p w14:paraId="1664A843"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2E97D0D5" w14:textId="77777777" w:rsidR="0066634B" w:rsidRPr="0066634B" w:rsidRDefault="0066634B" w:rsidP="0066634B">
            <w:pPr>
              <w:pStyle w:val="Body"/>
              <w:rPr>
                <w:rFonts w:ascii="Arial" w:hAnsi="Arial" w:cs="Arial"/>
              </w:rPr>
            </w:pPr>
            <w:r w:rsidRPr="0066634B">
              <w:rPr>
                <w:rFonts w:ascii="Arial" w:hAnsi="Arial" w:cs="Arial"/>
              </w:rPr>
              <w:t>Bondoukou</w:t>
            </w:r>
          </w:p>
        </w:tc>
      </w:tr>
      <w:tr w:rsidR="0066634B" w:rsidRPr="0066634B" w14:paraId="5105B085" w14:textId="77777777" w:rsidTr="0066634B">
        <w:trPr>
          <w:trHeight w:val="377"/>
        </w:trPr>
        <w:tc>
          <w:tcPr>
            <w:tcW w:w="1051" w:type="dxa"/>
            <w:tcBorders>
              <w:top w:val="single" w:sz="4" w:space="0" w:color="7E7E7E"/>
              <w:bottom w:val="single" w:sz="4" w:space="0" w:color="7E7E7E"/>
            </w:tcBorders>
          </w:tcPr>
          <w:p w14:paraId="7667F8E5" w14:textId="77777777" w:rsidR="0066634B" w:rsidRPr="0066634B" w:rsidRDefault="0066634B" w:rsidP="0066634B">
            <w:pPr>
              <w:pStyle w:val="Body"/>
              <w:rPr>
                <w:rFonts w:ascii="Arial" w:hAnsi="Arial" w:cs="Arial"/>
                <w:b/>
              </w:rPr>
            </w:pPr>
            <w:r w:rsidRPr="0066634B">
              <w:rPr>
                <w:rFonts w:ascii="Arial" w:hAnsi="Arial" w:cs="Arial"/>
                <w:b/>
              </w:rPr>
              <w:t>663</w:t>
            </w:r>
          </w:p>
        </w:tc>
        <w:tc>
          <w:tcPr>
            <w:tcW w:w="1560" w:type="dxa"/>
            <w:tcBorders>
              <w:top w:val="single" w:sz="4" w:space="0" w:color="7E7E7E"/>
              <w:bottom w:val="single" w:sz="4" w:space="0" w:color="7E7E7E"/>
            </w:tcBorders>
          </w:tcPr>
          <w:p w14:paraId="0DC46E7E" w14:textId="77777777" w:rsidR="0066634B" w:rsidRPr="0066634B" w:rsidRDefault="0066634B" w:rsidP="0066634B">
            <w:pPr>
              <w:pStyle w:val="Body"/>
              <w:rPr>
                <w:rFonts w:ascii="Arial" w:hAnsi="Arial" w:cs="Arial"/>
              </w:rPr>
            </w:pPr>
            <w:r w:rsidRPr="0066634B">
              <w:rPr>
                <w:rFonts w:ascii="Arial" w:hAnsi="Arial" w:cs="Arial"/>
              </w:rPr>
              <w:t>L</w:t>
            </w:r>
          </w:p>
        </w:tc>
        <w:tc>
          <w:tcPr>
            <w:tcW w:w="1086" w:type="dxa"/>
            <w:tcBorders>
              <w:top w:val="single" w:sz="4" w:space="0" w:color="7E7E7E"/>
              <w:bottom w:val="single" w:sz="4" w:space="0" w:color="7E7E7E"/>
            </w:tcBorders>
          </w:tcPr>
          <w:p w14:paraId="43CF90A5" w14:textId="77777777" w:rsidR="0066634B" w:rsidRPr="0066634B" w:rsidRDefault="0066634B" w:rsidP="0066634B">
            <w:pPr>
              <w:pStyle w:val="Body"/>
              <w:rPr>
                <w:rFonts w:ascii="Arial" w:hAnsi="Arial" w:cs="Arial"/>
              </w:rPr>
            </w:pPr>
            <w:r w:rsidRPr="0066634B">
              <w:rPr>
                <w:rFonts w:ascii="Arial" w:hAnsi="Arial" w:cs="Arial"/>
              </w:rPr>
              <w:t>(CTA)</w:t>
            </w:r>
          </w:p>
        </w:tc>
        <w:tc>
          <w:tcPr>
            <w:tcW w:w="1548" w:type="dxa"/>
            <w:tcBorders>
              <w:top w:val="single" w:sz="4" w:space="0" w:color="7E7E7E"/>
              <w:bottom w:val="single" w:sz="4" w:space="0" w:color="7E7E7E"/>
            </w:tcBorders>
          </w:tcPr>
          <w:p w14:paraId="0CECDE9D" w14:textId="77777777" w:rsidR="0066634B" w:rsidRPr="0066634B" w:rsidRDefault="0066634B" w:rsidP="0066634B">
            <w:pPr>
              <w:pStyle w:val="Body"/>
              <w:rPr>
                <w:rFonts w:ascii="Arial" w:hAnsi="Arial" w:cs="Arial"/>
              </w:rPr>
            </w:pPr>
            <w:r w:rsidRPr="0066634B">
              <w:rPr>
                <w:rFonts w:ascii="Arial" w:hAnsi="Arial" w:cs="Arial"/>
              </w:rPr>
              <w:t>L</w:t>
            </w:r>
          </w:p>
        </w:tc>
        <w:tc>
          <w:tcPr>
            <w:tcW w:w="1181" w:type="dxa"/>
            <w:tcBorders>
              <w:top w:val="single" w:sz="4" w:space="0" w:color="7E7E7E"/>
              <w:bottom w:val="single" w:sz="4" w:space="0" w:color="7E7E7E"/>
            </w:tcBorders>
          </w:tcPr>
          <w:p w14:paraId="7624EA40"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TTA</w:t>
            </w:r>
            <w:r w:rsidRPr="0066634B">
              <w:rPr>
                <w:rFonts w:ascii="Arial" w:hAnsi="Arial" w:cs="Arial"/>
              </w:rPr>
              <w:t>)</w:t>
            </w:r>
          </w:p>
        </w:tc>
        <w:tc>
          <w:tcPr>
            <w:tcW w:w="1347" w:type="dxa"/>
            <w:tcBorders>
              <w:top w:val="single" w:sz="4" w:space="0" w:color="7E7E7E"/>
              <w:bottom w:val="single" w:sz="4" w:space="0" w:color="7E7E7E"/>
            </w:tcBorders>
          </w:tcPr>
          <w:p w14:paraId="013B8274"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63085084" w14:textId="77777777" w:rsidR="0066634B" w:rsidRPr="0066634B" w:rsidRDefault="0066634B" w:rsidP="0066634B">
            <w:pPr>
              <w:pStyle w:val="Body"/>
              <w:rPr>
                <w:rFonts w:ascii="Arial" w:hAnsi="Arial" w:cs="Arial"/>
              </w:rPr>
            </w:pPr>
            <w:r w:rsidRPr="0066634B">
              <w:rPr>
                <w:rFonts w:ascii="Arial" w:hAnsi="Arial" w:cs="Arial"/>
              </w:rPr>
              <w:t>Séguéla</w:t>
            </w:r>
          </w:p>
        </w:tc>
      </w:tr>
      <w:tr w:rsidR="0066634B" w:rsidRPr="0066634B" w14:paraId="5368F3C3" w14:textId="77777777" w:rsidTr="0066634B">
        <w:trPr>
          <w:trHeight w:val="377"/>
        </w:trPr>
        <w:tc>
          <w:tcPr>
            <w:tcW w:w="1051" w:type="dxa"/>
            <w:tcBorders>
              <w:top w:val="single" w:sz="4" w:space="0" w:color="7E7E7E"/>
              <w:bottom w:val="single" w:sz="4" w:space="0" w:color="7E7E7E"/>
            </w:tcBorders>
          </w:tcPr>
          <w:p w14:paraId="6251B814" w14:textId="77777777" w:rsidR="0066634B" w:rsidRPr="0066634B" w:rsidRDefault="0066634B" w:rsidP="0066634B">
            <w:pPr>
              <w:pStyle w:val="Body"/>
              <w:rPr>
                <w:rFonts w:ascii="Arial" w:hAnsi="Arial" w:cs="Arial"/>
                <w:b/>
              </w:rPr>
            </w:pPr>
            <w:r w:rsidRPr="0066634B">
              <w:rPr>
                <w:rFonts w:ascii="Arial" w:hAnsi="Arial" w:cs="Arial"/>
                <w:b/>
              </w:rPr>
              <w:t>666</w:t>
            </w:r>
          </w:p>
        </w:tc>
        <w:tc>
          <w:tcPr>
            <w:tcW w:w="1560" w:type="dxa"/>
            <w:tcBorders>
              <w:top w:val="single" w:sz="4" w:space="0" w:color="7E7E7E"/>
              <w:bottom w:val="single" w:sz="4" w:space="0" w:color="7E7E7E"/>
            </w:tcBorders>
          </w:tcPr>
          <w:p w14:paraId="740FC854" w14:textId="77777777" w:rsidR="0066634B" w:rsidRPr="0066634B" w:rsidRDefault="0066634B" w:rsidP="0066634B">
            <w:pPr>
              <w:pStyle w:val="Body"/>
              <w:rPr>
                <w:rFonts w:ascii="Arial" w:hAnsi="Arial" w:cs="Arial"/>
              </w:rPr>
            </w:pPr>
            <w:r w:rsidRPr="0066634B">
              <w:rPr>
                <w:rFonts w:ascii="Arial" w:hAnsi="Arial" w:cs="Arial"/>
              </w:rPr>
              <w:t>V</w:t>
            </w:r>
          </w:p>
        </w:tc>
        <w:tc>
          <w:tcPr>
            <w:tcW w:w="1086" w:type="dxa"/>
            <w:tcBorders>
              <w:top w:val="single" w:sz="4" w:space="0" w:color="7E7E7E"/>
              <w:bottom w:val="single" w:sz="4" w:space="0" w:color="7E7E7E"/>
            </w:tcBorders>
          </w:tcPr>
          <w:p w14:paraId="1C854264" w14:textId="77777777" w:rsidR="0066634B" w:rsidRPr="0066634B" w:rsidRDefault="0066634B" w:rsidP="0066634B">
            <w:pPr>
              <w:pStyle w:val="Body"/>
              <w:rPr>
                <w:rFonts w:ascii="Arial" w:hAnsi="Arial" w:cs="Arial"/>
              </w:rPr>
            </w:pPr>
            <w:r w:rsidRPr="0066634B">
              <w:rPr>
                <w:rFonts w:ascii="Arial" w:hAnsi="Arial" w:cs="Arial"/>
              </w:rPr>
              <w:t>(CCA)</w:t>
            </w:r>
          </w:p>
        </w:tc>
        <w:tc>
          <w:tcPr>
            <w:tcW w:w="1548" w:type="dxa"/>
            <w:tcBorders>
              <w:top w:val="single" w:sz="4" w:space="0" w:color="7E7E7E"/>
              <w:bottom w:val="single" w:sz="4" w:space="0" w:color="7E7E7E"/>
            </w:tcBorders>
          </w:tcPr>
          <w:p w14:paraId="3F50C42E" w14:textId="77777777" w:rsidR="0066634B" w:rsidRPr="0066634B" w:rsidRDefault="0066634B" w:rsidP="0066634B">
            <w:pPr>
              <w:pStyle w:val="Body"/>
              <w:rPr>
                <w:rFonts w:ascii="Arial" w:hAnsi="Arial" w:cs="Arial"/>
              </w:rPr>
            </w:pPr>
            <w:r w:rsidRPr="0066634B">
              <w:rPr>
                <w:rFonts w:ascii="Arial" w:hAnsi="Arial" w:cs="Arial"/>
              </w:rPr>
              <w:t>V</w:t>
            </w:r>
          </w:p>
        </w:tc>
        <w:tc>
          <w:tcPr>
            <w:tcW w:w="1181" w:type="dxa"/>
            <w:tcBorders>
              <w:top w:val="single" w:sz="4" w:space="0" w:color="7E7E7E"/>
              <w:bottom w:val="single" w:sz="4" w:space="0" w:color="7E7E7E"/>
            </w:tcBorders>
          </w:tcPr>
          <w:p w14:paraId="1882E7FD"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CCT</w:t>
            </w:r>
            <w:r w:rsidRPr="0066634B">
              <w:rPr>
                <w:rFonts w:ascii="Arial" w:hAnsi="Arial" w:cs="Arial"/>
              </w:rPr>
              <w:t>)</w:t>
            </w:r>
          </w:p>
        </w:tc>
        <w:tc>
          <w:tcPr>
            <w:tcW w:w="1347" w:type="dxa"/>
            <w:tcBorders>
              <w:top w:val="single" w:sz="4" w:space="0" w:color="7E7E7E"/>
              <w:bottom w:val="single" w:sz="4" w:space="0" w:color="7E7E7E"/>
            </w:tcBorders>
          </w:tcPr>
          <w:p w14:paraId="710A8F20"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3D21C3FF" w14:textId="77777777" w:rsidR="0066634B" w:rsidRPr="0066634B" w:rsidRDefault="0066634B" w:rsidP="0066634B">
            <w:pPr>
              <w:pStyle w:val="Body"/>
              <w:rPr>
                <w:rFonts w:ascii="Arial" w:hAnsi="Arial" w:cs="Arial"/>
              </w:rPr>
            </w:pPr>
            <w:r w:rsidRPr="0066634B">
              <w:rPr>
                <w:rFonts w:ascii="Arial" w:hAnsi="Arial" w:cs="Arial"/>
              </w:rPr>
              <w:t>Séguéla</w:t>
            </w:r>
          </w:p>
        </w:tc>
      </w:tr>
      <w:tr w:rsidR="0066634B" w:rsidRPr="0066634B" w14:paraId="7B0C0DF8" w14:textId="77777777" w:rsidTr="0066634B">
        <w:trPr>
          <w:trHeight w:val="167"/>
        </w:trPr>
        <w:tc>
          <w:tcPr>
            <w:tcW w:w="1051" w:type="dxa"/>
            <w:tcBorders>
              <w:top w:val="single" w:sz="4" w:space="0" w:color="7E7E7E"/>
            </w:tcBorders>
          </w:tcPr>
          <w:p w14:paraId="7C5C6FC8" w14:textId="77777777" w:rsidR="0066634B" w:rsidRPr="0066634B" w:rsidRDefault="0066634B" w:rsidP="0066634B">
            <w:pPr>
              <w:pStyle w:val="Body"/>
              <w:rPr>
                <w:rFonts w:ascii="Arial" w:hAnsi="Arial" w:cs="Arial"/>
                <w:b/>
              </w:rPr>
            </w:pPr>
            <w:r w:rsidRPr="0066634B">
              <w:rPr>
                <w:rFonts w:ascii="Arial" w:hAnsi="Arial" w:cs="Arial"/>
                <w:b/>
              </w:rPr>
              <w:t>667</w:t>
            </w:r>
          </w:p>
        </w:tc>
        <w:tc>
          <w:tcPr>
            <w:tcW w:w="1560" w:type="dxa"/>
            <w:tcBorders>
              <w:top w:val="single" w:sz="4" w:space="0" w:color="7E7E7E"/>
            </w:tcBorders>
          </w:tcPr>
          <w:p w14:paraId="013933BC" w14:textId="77777777" w:rsidR="0066634B" w:rsidRPr="0066634B" w:rsidRDefault="0066634B" w:rsidP="0066634B">
            <w:pPr>
              <w:pStyle w:val="Body"/>
              <w:rPr>
                <w:rFonts w:ascii="Arial" w:hAnsi="Arial" w:cs="Arial"/>
              </w:rPr>
            </w:pPr>
            <w:r w:rsidRPr="0066634B">
              <w:rPr>
                <w:rFonts w:ascii="Arial" w:hAnsi="Arial" w:cs="Arial"/>
              </w:rPr>
              <w:t>P</w:t>
            </w:r>
          </w:p>
        </w:tc>
        <w:tc>
          <w:tcPr>
            <w:tcW w:w="1086" w:type="dxa"/>
            <w:tcBorders>
              <w:top w:val="single" w:sz="4" w:space="0" w:color="7E7E7E"/>
            </w:tcBorders>
          </w:tcPr>
          <w:p w14:paraId="0A827251" w14:textId="77777777" w:rsidR="0066634B" w:rsidRPr="0066634B" w:rsidRDefault="0066634B" w:rsidP="0066634B">
            <w:pPr>
              <w:pStyle w:val="Body"/>
              <w:rPr>
                <w:rFonts w:ascii="Arial" w:hAnsi="Arial" w:cs="Arial"/>
              </w:rPr>
            </w:pPr>
            <w:r w:rsidRPr="0066634B">
              <w:rPr>
                <w:rFonts w:ascii="Arial" w:hAnsi="Arial" w:cs="Arial"/>
              </w:rPr>
              <w:t>(GTA)</w:t>
            </w:r>
          </w:p>
        </w:tc>
        <w:tc>
          <w:tcPr>
            <w:tcW w:w="1548" w:type="dxa"/>
            <w:tcBorders>
              <w:top w:val="single" w:sz="4" w:space="0" w:color="7E7E7E"/>
            </w:tcBorders>
          </w:tcPr>
          <w:p w14:paraId="496837B0" w14:textId="77777777" w:rsidR="0066634B" w:rsidRPr="0066634B" w:rsidRDefault="0066634B" w:rsidP="0066634B">
            <w:pPr>
              <w:pStyle w:val="Body"/>
              <w:rPr>
                <w:rFonts w:ascii="Arial" w:hAnsi="Arial" w:cs="Arial"/>
              </w:rPr>
            </w:pPr>
            <w:r w:rsidRPr="0066634B">
              <w:rPr>
                <w:rFonts w:ascii="Arial" w:hAnsi="Arial" w:cs="Arial"/>
              </w:rPr>
              <w:t>P</w:t>
            </w:r>
          </w:p>
        </w:tc>
        <w:tc>
          <w:tcPr>
            <w:tcW w:w="1181" w:type="dxa"/>
            <w:tcBorders>
              <w:top w:val="single" w:sz="4" w:space="0" w:color="7E7E7E"/>
            </w:tcBorders>
          </w:tcPr>
          <w:p w14:paraId="3E2D2B00"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GTC</w:t>
            </w:r>
            <w:r w:rsidRPr="0066634B">
              <w:rPr>
                <w:rFonts w:ascii="Arial" w:hAnsi="Arial" w:cs="Arial"/>
              </w:rPr>
              <w:t>)</w:t>
            </w:r>
          </w:p>
        </w:tc>
        <w:tc>
          <w:tcPr>
            <w:tcW w:w="1347" w:type="dxa"/>
            <w:tcBorders>
              <w:top w:val="single" w:sz="4" w:space="0" w:color="7E7E7E"/>
            </w:tcBorders>
          </w:tcPr>
          <w:p w14:paraId="65D768E1" w14:textId="77777777" w:rsidR="0066634B" w:rsidRPr="0066634B" w:rsidRDefault="0066634B" w:rsidP="0066634B">
            <w:pPr>
              <w:pStyle w:val="Body"/>
              <w:rPr>
                <w:rFonts w:ascii="Arial" w:hAnsi="Arial" w:cs="Arial"/>
              </w:rPr>
            </w:pPr>
            <w:r w:rsidRPr="0066634B">
              <w:rPr>
                <w:rFonts w:ascii="Arial" w:hAnsi="Arial" w:cs="Arial"/>
              </w:rPr>
              <w:t>2</w:t>
            </w:r>
          </w:p>
        </w:tc>
        <w:tc>
          <w:tcPr>
            <w:tcW w:w="1237" w:type="dxa"/>
            <w:tcBorders>
              <w:top w:val="single" w:sz="4" w:space="0" w:color="7E7E7E"/>
            </w:tcBorders>
          </w:tcPr>
          <w:p w14:paraId="13DF5D54" w14:textId="77777777" w:rsidR="0066634B" w:rsidRPr="0066634B" w:rsidRDefault="0066634B" w:rsidP="0066634B">
            <w:pPr>
              <w:pStyle w:val="Body"/>
              <w:rPr>
                <w:rFonts w:ascii="Arial" w:hAnsi="Arial" w:cs="Arial"/>
              </w:rPr>
            </w:pPr>
            <w:r w:rsidRPr="0066634B">
              <w:rPr>
                <w:rFonts w:ascii="Arial" w:hAnsi="Arial" w:cs="Arial"/>
              </w:rPr>
              <w:t>Séguéla</w:t>
            </w:r>
          </w:p>
        </w:tc>
      </w:tr>
    </w:tbl>
    <w:p w14:paraId="054613A5" w14:textId="02B3BBD6" w:rsidR="0066634B" w:rsidRDefault="0066634B" w:rsidP="006350D7">
      <w:pPr>
        <w:pStyle w:val="Body"/>
        <w:rPr>
          <w:rFonts w:ascii="Arial" w:hAnsi="Arial" w:cs="Arial"/>
        </w:rPr>
      </w:pPr>
    </w:p>
    <w:p w14:paraId="35F7A11A" w14:textId="647E58E3" w:rsidR="0066634B" w:rsidRPr="0066634B" w:rsidRDefault="0066634B" w:rsidP="0066634B">
      <w:pPr>
        <w:pStyle w:val="Body"/>
        <w:rPr>
          <w:rFonts w:ascii="Arial" w:hAnsi="Arial" w:cs="Arial"/>
          <w:b/>
          <w:bCs/>
        </w:rPr>
      </w:pPr>
      <w:r>
        <w:rPr>
          <w:rFonts w:ascii="Arial" w:hAnsi="Arial" w:cs="Arial"/>
          <w:b/>
          <w:bCs/>
        </w:rPr>
        <w:t xml:space="preserve">4. </w:t>
      </w:r>
      <w:r w:rsidRPr="00C12DA9">
        <w:rPr>
          <w:rFonts w:ascii="Arial" w:hAnsi="Arial" w:cs="Arial"/>
          <w:b/>
          <w:bCs/>
          <w:sz w:val="22"/>
          <w:szCs w:val="22"/>
        </w:rPr>
        <w:t>Discussion</w:t>
      </w:r>
    </w:p>
    <w:p w14:paraId="7C5CA26E" w14:textId="77777777" w:rsidR="00417130" w:rsidRPr="000567B4" w:rsidRDefault="0066634B" w:rsidP="00417130">
      <w:pPr>
        <w:pStyle w:val="Body"/>
        <w:ind w:firstLine="708"/>
        <w:rPr>
          <w:rFonts w:ascii="Arial" w:hAnsi="Arial" w:cs="Arial"/>
        </w:rPr>
      </w:pPr>
      <w:r w:rsidRPr="0066634B">
        <w:rPr>
          <w:rFonts w:ascii="Arial" w:hAnsi="Arial" w:cs="Arial"/>
        </w:rPr>
        <w:t xml:space="preserve">Mutations in the chloroquine resistance gene were predominantly associated changes from CVMNK (wild </w:t>
      </w:r>
      <w:r w:rsidRPr="000567B4">
        <w:rPr>
          <w:rFonts w:ascii="Arial" w:hAnsi="Arial" w:cs="Arial"/>
        </w:rPr>
        <w:t xml:space="preserve">haplotype) to CVIET (mutant haplotype). The prevalence of the CVIET type was 8.33% in Bouaflé, 1.7% in Bondoukou and 2.89% in Séguéla. We observed a reduction in chloroquine resistance alleles, which could explained by the decreasing pressure due to the withdrawal of chloroquine several years ago. Similarly, there has been a gradual decrease in CQ-R alleles in Abidjan (33%), San Pedro (15%) and </w:t>
      </w:r>
      <w:proofErr w:type="spellStart"/>
      <w:r w:rsidRPr="000567B4">
        <w:rPr>
          <w:rFonts w:ascii="Arial" w:hAnsi="Arial" w:cs="Arial"/>
        </w:rPr>
        <w:t>Abengourou</w:t>
      </w:r>
      <w:proofErr w:type="spellEnd"/>
      <w:r w:rsidRPr="000567B4">
        <w:rPr>
          <w:rFonts w:ascii="Arial" w:hAnsi="Arial" w:cs="Arial"/>
        </w:rPr>
        <w:t xml:space="preserve"> (9%), as reported by authors on the same subject (</w:t>
      </w:r>
      <w:proofErr w:type="spellStart"/>
      <w:r w:rsidRPr="000567B4">
        <w:rPr>
          <w:rFonts w:ascii="Arial" w:hAnsi="Arial" w:cs="Arial"/>
        </w:rPr>
        <w:t>Konaté</w:t>
      </w:r>
      <w:proofErr w:type="spellEnd"/>
      <w:r w:rsidRPr="000567B4">
        <w:rPr>
          <w:rFonts w:ascii="Arial" w:hAnsi="Arial" w:cs="Arial"/>
        </w:rPr>
        <w:t xml:space="preserve"> </w:t>
      </w:r>
      <w:r w:rsidRPr="000567B4">
        <w:rPr>
          <w:rFonts w:ascii="Arial" w:hAnsi="Arial" w:cs="Arial"/>
          <w:i/>
        </w:rPr>
        <w:t xml:space="preserve">et al., </w:t>
      </w:r>
      <w:r w:rsidRPr="000567B4">
        <w:rPr>
          <w:rFonts w:ascii="Arial" w:hAnsi="Arial" w:cs="Arial"/>
        </w:rPr>
        <w:t xml:space="preserve">2018). Also, this downward trend in CQ-R was confirmed by </w:t>
      </w:r>
      <w:proofErr w:type="spellStart"/>
      <w:r w:rsidRPr="000567B4">
        <w:rPr>
          <w:rFonts w:ascii="Arial" w:hAnsi="Arial" w:cs="Arial"/>
        </w:rPr>
        <w:t>Dagnogo</w:t>
      </w:r>
      <w:proofErr w:type="spellEnd"/>
      <w:r w:rsidRPr="000567B4">
        <w:rPr>
          <w:rFonts w:ascii="Arial" w:hAnsi="Arial" w:cs="Arial"/>
        </w:rPr>
        <w:t xml:space="preserve"> et al. for </w:t>
      </w:r>
      <w:r w:rsidR="00417130" w:rsidRPr="000567B4">
        <w:rPr>
          <w:rFonts w:ascii="Arial" w:hAnsi="Arial" w:cs="Arial"/>
        </w:rPr>
        <w:t>work carried out in various localities (</w:t>
      </w:r>
      <w:proofErr w:type="spellStart"/>
      <w:r w:rsidR="00417130" w:rsidRPr="000567B4">
        <w:rPr>
          <w:rFonts w:ascii="Arial" w:hAnsi="Arial" w:cs="Arial"/>
        </w:rPr>
        <w:t>Dagnogo</w:t>
      </w:r>
      <w:proofErr w:type="spellEnd"/>
      <w:r w:rsidR="00417130" w:rsidRPr="000567B4">
        <w:rPr>
          <w:rFonts w:ascii="Arial" w:hAnsi="Arial" w:cs="Arial"/>
        </w:rPr>
        <w:t xml:space="preserve"> </w:t>
      </w:r>
      <w:r w:rsidR="00417130" w:rsidRPr="000567B4">
        <w:rPr>
          <w:rFonts w:ascii="Arial" w:hAnsi="Arial" w:cs="Arial"/>
          <w:i/>
        </w:rPr>
        <w:t>et al</w:t>
      </w:r>
      <w:r w:rsidR="00417130" w:rsidRPr="000567B4">
        <w:rPr>
          <w:rFonts w:ascii="Arial" w:hAnsi="Arial" w:cs="Arial"/>
        </w:rPr>
        <w:t xml:space="preserve">., 2018). This decline CQ- R strains </w:t>
      </w:r>
      <w:proofErr w:type="gramStart"/>
      <w:r w:rsidR="00417130" w:rsidRPr="000567B4">
        <w:rPr>
          <w:rFonts w:ascii="Arial" w:hAnsi="Arial" w:cs="Arial"/>
        </w:rPr>
        <w:t>is</w:t>
      </w:r>
      <w:proofErr w:type="gramEnd"/>
      <w:r w:rsidR="00417130" w:rsidRPr="000567B4">
        <w:rPr>
          <w:rFonts w:ascii="Arial" w:hAnsi="Arial" w:cs="Arial"/>
        </w:rPr>
        <w:t xml:space="preserve"> thought to be due to the effective withdrawal chloroquine from the therapeutic regimen by the Ivorian authorities (MSHP, 2007). Thus, authors have indicated that when a drug pressure is discontinued, the proportion of susceptible parasites increases while that of resistant parasites decreases (</w:t>
      </w:r>
      <w:proofErr w:type="spellStart"/>
      <w:r w:rsidR="00417130" w:rsidRPr="000567B4">
        <w:rPr>
          <w:rFonts w:ascii="Arial" w:hAnsi="Arial" w:cs="Arial"/>
        </w:rPr>
        <w:t>Kublin</w:t>
      </w:r>
      <w:proofErr w:type="spellEnd"/>
      <w:r w:rsidR="00417130" w:rsidRPr="000567B4">
        <w:rPr>
          <w:rFonts w:ascii="Arial" w:hAnsi="Arial" w:cs="Arial"/>
        </w:rPr>
        <w:t xml:space="preserve"> </w:t>
      </w:r>
      <w:r w:rsidR="00417130" w:rsidRPr="000567B4">
        <w:rPr>
          <w:rFonts w:ascii="Arial" w:hAnsi="Arial" w:cs="Arial"/>
          <w:i/>
        </w:rPr>
        <w:t>et al.</w:t>
      </w:r>
      <w:r w:rsidR="00417130" w:rsidRPr="000567B4">
        <w:rPr>
          <w:rFonts w:ascii="Arial" w:hAnsi="Arial" w:cs="Arial"/>
        </w:rPr>
        <w:t>, 2003); this could lead to the restoration of the efficacy of the antimalarial drug concerned (</w:t>
      </w:r>
      <w:proofErr w:type="spellStart"/>
      <w:r w:rsidR="00417130" w:rsidRPr="000567B4">
        <w:rPr>
          <w:rFonts w:ascii="Arial" w:hAnsi="Arial" w:cs="Arial"/>
        </w:rPr>
        <w:t>Duraisingh</w:t>
      </w:r>
      <w:proofErr w:type="spellEnd"/>
      <w:r w:rsidR="00417130" w:rsidRPr="000567B4">
        <w:rPr>
          <w:rFonts w:ascii="Arial" w:hAnsi="Arial" w:cs="Arial"/>
        </w:rPr>
        <w:t xml:space="preserve">, 2005; Hayward </w:t>
      </w:r>
      <w:r w:rsidR="00417130" w:rsidRPr="000567B4">
        <w:rPr>
          <w:rFonts w:ascii="Arial" w:hAnsi="Arial" w:cs="Arial"/>
          <w:i/>
        </w:rPr>
        <w:t xml:space="preserve">et al., </w:t>
      </w:r>
      <w:r w:rsidR="00417130" w:rsidRPr="000567B4">
        <w:rPr>
          <w:rFonts w:ascii="Arial" w:hAnsi="Arial" w:cs="Arial"/>
        </w:rPr>
        <w:t xml:space="preserve">2005). Thus, replacing CQ with artesunate-amodiaquine (ASAQ) and artemether-lumefantrine (AL) for the management of malaria would </w:t>
      </w:r>
      <w:proofErr w:type="spellStart"/>
      <w:r w:rsidR="00417130" w:rsidRPr="000567B4">
        <w:rPr>
          <w:rFonts w:ascii="Arial" w:hAnsi="Arial" w:cs="Arial"/>
        </w:rPr>
        <w:t>favour</w:t>
      </w:r>
      <w:proofErr w:type="spellEnd"/>
      <w:r w:rsidR="00417130" w:rsidRPr="000567B4">
        <w:rPr>
          <w:rFonts w:ascii="Arial" w:hAnsi="Arial" w:cs="Arial"/>
        </w:rPr>
        <w:t xml:space="preserve"> the reduction of alleles involved in resistance. However, it is advisable to follow the correct procedures </w:t>
      </w:r>
      <w:r w:rsidR="00417130" w:rsidRPr="000567B4">
        <w:rPr>
          <w:rFonts w:ascii="Arial" w:hAnsi="Arial" w:cs="Arial"/>
        </w:rPr>
        <w:lastRenderedPageBreak/>
        <w:t>and prescriptions to avoid selection pressure. For example, in Malawi, the successful implementation of national information campaigns and effective control of drug administration methods led, 10 years later after the adoption of ACTs, to the re-emergence of susceptibility to CQ (</w:t>
      </w:r>
      <w:proofErr w:type="spellStart"/>
      <w:r w:rsidR="00417130" w:rsidRPr="000567B4">
        <w:rPr>
          <w:rFonts w:ascii="Arial" w:hAnsi="Arial" w:cs="Arial"/>
        </w:rPr>
        <w:t>Mwai</w:t>
      </w:r>
      <w:proofErr w:type="spellEnd"/>
      <w:r w:rsidR="00417130" w:rsidRPr="000567B4">
        <w:rPr>
          <w:rFonts w:ascii="Arial" w:hAnsi="Arial" w:cs="Arial"/>
        </w:rPr>
        <w:t xml:space="preserve"> </w:t>
      </w:r>
      <w:r w:rsidR="00417130" w:rsidRPr="000567B4">
        <w:rPr>
          <w:rFonts w:ascii="Arial" w:hAnsi="Arial" w:cs="Arial"/>
          <w:i/>
        </w:rPr>
        <w:t>et al</w:t>
      </w:r>
      <w:r w:rsidR="00417130" w:rsidRPr="000567B4">
        <w:rPr>
          <w:rFonts w:ascii="Arial" w:hAnsi="Arial" w:cs="Arial"/>
        </w:rPr>
        <w:t xml:space="preserve">., 2009). However, it should be noted that the fight </w:t>
      </w:r>
      <w:proofErr w:type="gramStart"/>
      <w:r w:rsidR="00417130" w:rsidRPr="000567B4">
        <w:rPr>
          <w:rFonts w:ascii="Arial" w:hAnsi="Arial" w:cs="Arial"/>
        </w:rPr>
        <w:t>eliminate</w:t>
      </w:r>
      <w:proofErr w:type="gramEnd"/>
      <w:r w:rsidR="00417130" w:rsidRPr="000567B4">
        <w:rPr>
          <w:rFonts w:ascii="Arial" w:hAnsi="Arial" w:cs="Arial"/>
        </w:rPr>
        <w:t xml:space="preserve"> or even control malaria is complex and multifaceted due to the migratory movements of populations, which can transport resistant isolates from one area to another. There is also the recurring problem of self-medication by populations, especially the most disadvantaged. We observed other haplotypes in addition to the CVIET haplotype. Among these haplotypes, those from Bouaflé appear to be the most significant due to their relatively high frequency. This result may be the result of several factors, such as climatic and hydrographic conditions, which are responsible for the intensity of malaria transmission in this area, as well as the maintenance of the parasite's development cycle (</w:t>
      </w:r>
      <w:hyperlink r:id="rId12">
        <w:r w:rsidR="00417130" w:rsidRPr="000567B4">
          <w:rPr>
            <w:rStyle w:val="Lienhypertexte"/>
            <w:rFonts w:ascii="Arial" w:hAnsi="Arial" w:cs="Arial"/>
          </w:rPr>
          <w:t>Myers-Hansen</w:t>
        </w:r>
      </w:hyperlink>
      <w:r w:rsidR="00417130" w:rsidRPr="000567B4">
        <w:rPr>
          <w:rFonts w:ascii="Arial" w:hAnsi="Arial" w:cs="Arial"/>
        </w:rPr>
        <w:t xml:space="preserve"> </w:t>
      </w:r>
      <w:r w:rsidR="00417130" w:rsidRPr="000567B4">
        <w:rPr>
          <w:rFonts w:ascii="Arial" w:hAnsi="Arial" w:cs="Arial"/>
          <w:i/>
        </w:rPr>
        <w:t>et al</w:t>
      </w:r>
      <w:r w:rsidR="00417130" w:rsidRPr="000567B4">
        <w:rPr>
          <w:rFonts w:ascii="Arial" w:hAnsi="Arial" w:cs="Arial"/>
        </w:rPr>
        <w:t>., 2020). Although several previous studies have shown a clear increase in the susceptibility of isolates to CQ after its withdrawal (</w:t>
      </w:r>
      <w:proofErr w:type="spellStart"/>
      <w:r w:rsidR="00417130" w:rsidRPr="000567B4">
        <w:rPr>
          <w:rFonts w:ascii="Arial" w:hAnsi="Arial" w:cs="Arial"/>
        </w:rPr>
        <w:t>Flegg</w:t>
      </w:r>
      <w:proofErr w:type="spellEnd"/>
      <w:r w:rsidR="00417130" w:rsidRPr="000567B4">
        <w:rPr>
          <w:rFonts w:ascii="Arial" w:hAnsi="Arial" w:cs="Arial"/>
        </w:rPr>
        <w:t xml:space="preserve"> </w:t>
      </w:r>
      <w:r w:rsidR="00417130" w:rsidRPr="000567B4">
        <w:rPr>
          <w:rFonts w:ascii="Arial" w:hAnsi="Arial" w:cs="Arial"/>
          <w:i/>
        </w:rPr>
        <w:t>et al</w:t>
      </w:r>
      <w:r w:rsidR="00417130" w:rsidRPr="000567B4">
        <w:rPr>
          <w:rFonts w:ascii="Arial" w:hAnsi="Arial" w:cs="Arial"/>
        </w:rPr>
        <w:t xml:space="preserve">., 2013; Frosch </w:t>
      </w:r>
      <w:r w:rsidR="00417130" w:rsidRPr="000567B4">
        <w:rPr>
          <w:rFonts w:ascii="Arial" w:hAnsi="Arial" w:cs="Arial"/>
          <w:i/>
        </w:rPr>
        <w:t>et al</w:t>
      </w:r>
      <w:r w:rsidR="00417130" w:rsidRPr="000567B4">
        <w:rPr>
          <w:rFonts w:ascii="Arial" w:hAnsi="Arial" w:cs="Arial"/>
        </w:rPr>
        <w:t xml:space="preserve">., 2014), one report noted that the return of susceptibility to CQ across African regions is not a synchronous process (Zhang </w:t>
      </w:r>
      <w:r w:rsidR="00417130" w:rsidRPr="000567B4">
        <w:rPr>
          <w:rFonts w:ascii="Arial" w:hAnsi="Arial" w:cs="Arial"/>
          <w:i/>
        </w:rPr>
        <w:t>et al</w:t>
      </w:r>
      <w:r w:rsidR="00417130" w:rsidRPr="000567B4">
        <w:rPr>
          <w:rFonts w:ascii="Arial" w:hAnsi="Arial" w:cs="Arial"/>
        </w:rPr>
        <w:t>., 2018).</w:t>
      </w:r>
    </w:p>
    <w:p w14:paraId="16EE8885" w14:textId="57F82717" w:rsidR="00417130" w:rsidRPr="000567B4" w:rsidRDefault="00417130" w:rsidP="00417130">
      <w:pPr>
        <w:pStyle w:val="Body"/>
        <w:ind w:firstLine="708"/>
        <w:rPr>
          <w:rFonts w:ascii="Arial" w:hAnsi="Arial" w:cs="Arial"/>
        </w:rPr>
      </w:pPr>
      <w:r w:rsidRPr="000567B4">
        <w:rPr>
          <w:rFonts w:ascii="Arial" w:hAnsi="Arial" w:cs="Arial"/>
        </w:rPr>
        <w:t xml:space="preserve">Analysis of the </w:t>
      </w:r>
      <w:r w:rsidRPr="000567B4">
        <w:rPr>
          <w:rFonts w:ascii="Arial" w:hAnsi="Arial" w:cs="Arial"/>
          <w:i/>
        </w:rPr>
        <w:t xml:space="preserve">pfmdr-1 </w:t>
      </w:r>
      <w:r w:rsidRPr="000567B4">
        <w:rPr>
          <w:rFonts w:ascii="Arial" w:hAnsi="Arial" w:cs="Arial"/>
        </w:rPr>
        <w:t xml:space="preserve">gene focused on amino acids N86 </w:t>
      </w:r>
      <w:r w:rsidRPr="000567B4">
        <w:rPr>
          <w:rFonts w:ascii="Arial" w:hAnsi="Arial" w:cs="Arial"/>
          <w:vertAlign w:val="subscript"/>
        </w:rPr>
        <w:t>and</w:t>
      </w:r>
      <w:r w:rsidRPr="000567B4">
        <w:rPr>
          <w:rFonts w:ascii="Arial" w:hAnsi="Arial" w:cs="Arial"/>
        </w:rPr>
        <w:t xml:space="preserve"> </w:t>
      </w:r>
      <w:r w:rsidRPr="000567B4">
        <w:rPr>
          <w:rFonts w:ascii="Arial" w:hAnsi="Arial" w:cs="Arial"/>
          <w:vertAlign w:val="subscript"/>
        </w:rPr>
        <w:t>Y184</w:t>
      </w:r>
      <w:r w:rsidRPr="000567B4">
        <w:rPr>
          <w:rFonts w:ascii="Arial" w:hAnsi="Arial" w:cs="Arial"/>
        </w:rPr>
        <w:t xml:space="preserve">. The combination of these amino acids forms different haplotypes which are involved in reduced sensitivity to antimalarial drugs such as Lumefantrine and Amodiaquine. The presence of </w:t>
      </w:r>
      <w:r w:rsidRPr="000567B4">
        <w:rPr>
          <w:rFonts w:ascii="Arial" w:hAnsi="Arial" w:cs="Arial"/>
          <w:vertAlign w:val="subscript"/>
        </w:rPr>
        <w:t>Y86</w:t>
      </w:r>
      <w:r w:rsidRPr="000567B4">
        <w:rPr>
          <w:rFonts w:ascii="Arial" w:hAnsi="Arial" w:cs="Arial"/>
        </w:rPr>
        <w:t xml:space="preserve"> single mutant or </w:t>
      </w:r>
      <w:r w:rsidRPr="000567B4">
        <w:rPr>
          <w:rFonts w:ascii="Arial" w:hAnsi="Arial" w:cs="Arial"/>
          <w:vertAlign w:val="subscript"/>
        </w:rPr>
        <w:t>Y86Y184</w:t>
      </w:r>
      <w:r w:rsidRPr="000567B4">
        <w:rPr>
          <w:rFonts w:ascii="Arial" w:hAnsi="Arial" w:cs="Arial"/>
        </w:rPr>
        <w:t xml:space="preserve"> double mutant isolates found in Séguéla (2.77%) could therefore suggest a low level of resistance to amodiaquine, as observed in work in </w:t>
      </w:r>
      <w:proofErr w:type="spellStart"/>
      <w:r w:rsidRPr="000567B4">
        <w:rPr>
          <w:rFonts w:ascii="Arial" w:hAnsi="Arial" w:cs="Arial"/>
        </w:rPr>
        <w:t>Abengourou</w:t>
      </w:r>
      <w:proofErr w:type="spellEnd"/>
      <w:r w:rsidRPr="000567B4">
        <w:rPr>
          <w:rFonts w:ascii="Arial" w:hAnsi="Arial" w:cs="Arial"/>
        </w:rPr>
        <w:t xml:space="preserve"> (8.5%) and San Pedro (4.5%) (</w:t>
      </w:r>
      <w:proofErr w:type="spellStart"/>
      <w:r w:rsidRPr="000567B4">
        <w:rPr>
          <w:rFonts w:ascii="Arial" w:hAnsi="Arial" w:cs="Arial"/>
        </w:rPr>
        <w:t>Konaté</w:t>
      </w:r>
      <w:proofErr w:type="spellEnd"/>
      <w:r w:rsidRPr="000567B4">
        <w:rPr>
          <w:rFonts w:ascii="Arial" w:hAnsi="Arial" w:cs="Arial"/>
        </w:rPr>
        <w:t xml:space="preserve"> </w:t>
      </w:r>
      <w:r w:rsidRPr="000567B4">
        <w:rPr>
          <w:rFonts w:ascii="Arial" w:hAnsi="Arial" w:cs="Arial"/>
          <w:i/>
        </w:rPr>
        <w:t>et al</w:t>
      </w:r>
      <w:r w:rsidRPr="000567B4">
        <w:rPr>
          <w:rFonts w:ascii="Arial" w:hAnsi="Arial" w:cs="Arial"/>
        </w:rPr>
        <w:t xml:space="preserve">., 2018). Also, the presence of the </w:t>
      </w:r>
      <w:r w:rsidRPr="000567B4">
        <w:rPr>
          <w:rFonts w:ascii="Arial" w:hAnsi="Arial" w:cs="Arial"/>
          <w:vertAlign w:val="subscript"/>
        </w:rPr>
        <w:t>N86F184</w:t>
      </w:r>
      <w:r w:rsidRPr="000567B4">
        <w:rPr>
          <w:rFonts w:ascii="Arial" w:hAnsi="Arial" w:cs="Arial"/>
        </w:rPr>
        <w:t xml:space="preserve"> single mutant haplotype or the </w:t>
      </w:r>
      <w:r w:rsidRPr="000567B4">
        <w:rPr>
          <w:rFonts w:ascii="Arial" w:hAnsi="Arial" w:cs="Arial"/>
          <w:vertAlign w:val="subscript"/>
        </w:rPr>
        <w:t>F184</w:t>
      </w:r>
      <w:r w:rsidRPr="000567B4">
        <w:rPr>
          <w:rFonts w:ascii="Arial" w:hAnsi="Arial" w:cs="Arial"/>
        </w:rPr>
        <w:t xml:space="preserve"> allele found in the</w:t>
      </w:r>
      <w:r w:rsidRPr="000567B4">
        <w:rPr>
          <w:rFonts w:ascii="Times New Roman" w:hAnsi="Times New Roman"/>
          <w:sz w:val="24"/>
          <w:szCs w:val="24"/>
        </w:rPr>
        <w:t xml:space="preserve"> </w:t>
      </w:r>
      <w:r w:rsidRPr="000567B4">
        <w:rPr>
          <w:rFonts w:ascii="Arial" w:hAnsi="Arial" w:cs="Arial"/>
        </w:rPr>
        <w:t xml:space="preserve">high proportions could suggest a reduction in lumefantrine sensitivity. These results are similar to those obtained in Abidjan, where the prevalence of the </w:t>
      </w:r>
      <w:r w:rsidRPr="000567B4">
        <w:rPr>
          <w:rFonts w:ascii="Arial" w:hAnsi="Arial" w:cs="Arial"/>
          <w:vertAlign w:val="subscript"/>
        </w:rPr>
        <w:t>F184</w:t>
      </w:r>
      <w:r w:rsidRPr="000567B4">
        <w:rPr>
          <w:rFonts w:ascii="Arial" w:hAnsi="Arial" w:cs="Arial"/>
        </w:rPr>
        <w:t xml:space="preserve"> mutation was 57% (</w:t>
      </w:r>
      <w:proofErr w:type="spellStart"/>
      <w:r w:rsidRPr="000567B4">
        <w:rPr>
          <w:rFonts w:ascii="Arial" w:hAnsi="Arial" w:cs="Arial"/>
        </w:rPr>
        <w:t>Trebisssou</w:t>
      </w:r>
      <w:proofErr w:type="spellEnd"/>
      <w:r w:rsidRPr="000567B4">
        <w:rPr>
          <w:rFonts w:ascii="Arial" w:hAnsi="Arial" w:cs="Arial"/>
        </w:rPr>
        <w:t xml:space="preserve"> </w:t>
      </w:r>
      <w:r w:rsidRPr="000567B4">
        <w:rPr>
          <w:rFonts w:ascii="Arial" w:hAnsi="Arial" w:cs="Arial"/>
          <w:i/>
        </w:rPr>
        <w:t xml:space="preserve">et al., </w:t>
      </w:r>
      <w:r w:rsidRPr="000567B4">
        <w:rPr>
          <w:rFonts w:ascii="Arial" w:hAnsi="Arial" w:cs="Arial"/>
        </w:rPr>
        <w:t xml:space="preserve">2014). Similarly, the results of a recent study conducted </w:t>
      </w:r>
      <w:proofErr w:type="spellStart"/>
      <w:r w:rsidRPr="000567B4">
        <w:rPr>
          <w:rFonts w:ascii="Arial" w:hAnsi="Arial" w:cs="Arial"/>
        </w:rPr>
        <w:t>Abengourou</w:t>
      </w:r>
      <w:proofErr w:type="spellEnd"/>
      <w:r w:rsidRPr="000567B4">
        <w:rPr>
          <w:rFonts w:ascii="Arial" w:hAnsi="Arial" w:cs="Arial"/>
        </w:rPr>
        <w:t xml:space="preserve"> and San-Pedro in 2018 reported an overall prevalence of 64% </w:t>
      </w:r>
      <w:r w:rsidRPr="000567B4">
        <w:rPr>
          <w:rFonts w:ascii="Arial" w:hAnsi="Arial" w:cs="Arial"/>
          <w:i/>
        </w:rPr>
        <w:t xml:space="preserve">for pfmdr-1 </w:t>
      </w:r>
      <w:r w:rsidRPr="000567B4">
        <w:rPr>
          <w:rFonts w:ascii="Arial" w:hAnsi="Arial" w:cs="Arial"/>
        </w:rPr>
        <w:t>F184 mutants (</w:t>
      </w:r>
      <w:proofErr w:type="spellStart"/>
      <w:r w:rsidRPr="000567B4">
        <w:rPr>
          <w:rFonts w:ascii="Arial" w:hAnsi="Arial" w:cs="Arial"/>
        </w:rPr>
        <w:t>Konaté</w:t>
      </w:r>
      <w:proofErr w:type="spellEnd"/>
      <w:r w:rsidRPr="000567B4">
        <w:rPr>
          <w:rFonts w:ascii="Arial" w:hAnsi="Arial" w:cs="Arial"/>
        </w:rPr>
        <w:t xml:space="preserve"> </w:t>
      </w:r>
      <w:r w:rsidRPr="000567B4">
        <w:rPr>
          <w:rFonts w:ascii="Arial" w:hAnsi="Arial" w:cs="Arial"/>
          <w:i/>
        </w:rPr>
        <w:t xml:space="preserve">et al., </w:t>
      </w:r>
      <w:r w:rsidRPr="000567B4">
        <w:rPr>
          <w:rFonts w:ascii="Arial" w:hAnsi="Arial" w:cs="Arial"/>
        </w:rPr>
        <w:t xml:space="preserve">2018). The high frequency of the </w:t>
      </w:r>
      <w:r w:rsidRPr="000567B4">
        <w:rPr>
          <w:rFonts w:ascii="Arial" w:hAnsi="Arial" w:cs="Arial"/>
          <w:vertAlign w:val="subscript"/>
        </w:rPr>
        <w:t>Y184F</w:t>
      </w:r>
      <w:r w:rsidRPr="000567B4">
        <w:rPr>
          <w:rFonts w:ascii="Arial" w:hAnsi="Arial" w:cs="Arial"/>
        </w:rPr>
        <w:t xml:space="preserve"> allele would also indicate increased resistance to piperaquine (PPQ) when associated with N86. Indeed, a previous study showed significant PPQ resistance in </w:t>
      </w:r>
      <w:r w:rsidRPr="000567B4">
        <w:rPr>
          <w:rFonts w:ascii="Arial" w:hAnsi="Arial" w:cs="Arial"/>
          <w:vertAlign w:val="subscript"/>
        </w:rPr>
        <w:t>N86F184D1246</w:t>
      </w:r>
      <w:r w:rsidRPr="000567B4">
        <w:rPr>
          <w:rFonts w:ascii="Arial" w:hAnsi="Arial" w:cs="Arial"/>
        </w:rPr>
        <w:t xml:space="preserve"> parasites with a 74I 75E 76T background in Southeast Asia (</w:t>
      </w:r>
      <w:proofErr w:type="spellStart"/>
      <w:r w:rsidRPr="000567B4">
        <w:rPr>
          <w:rFonts w:ascii="Arial" w:hAnsi="Arial" w:cs="Arial"/>
        </w:rPr>
        <w:t>Veiga</w:t>
      </w:r>
      <w:proofErr w:type="spellEnd"/>
      <w:r w:rsidRPr="000567B4">
        <w:rPr>
          <w:rFonts w:ascii="Arial" w:hAnsi="Arial" w:cs="Arial"/>
        </w:rPr>
        <w:t xml:space="preserve"> </w:t>
      </w:r>
      <w:r w:rsidRPr="000567B4">
        <w:rPr>
          <w:rFonts w:ascii="Arial" w:hAnsi="Arial" w:cs="Arial"/>
          <w:i/>
        </w:rPr>
        <w:t>et al</w:t>
      </w:r>
      <w:r w:rsidRPr="000567B4">
        <w:rPr>
          <w:rFonts w:ascii="Arial" w:hAnsi="Arial" w:cs="Arial"/>
        </w:rPr>
        <w:t xml:space="preserve">., 2016). Therefore, these cases should be monitored in areas where AL and DHA-PPQ are used as first-line antimalarial drugs. According to several authors, ASAQ and AL appear to exert opposing selection pressures on the </w:t>
      </w:r>
      <w:r w:rsidRPr="000567B4">
        <w:rPr>
          <w:rFonts w:ascii="Arial" w:hAnsi="Arial" w:cs="Arial"/>
          <w:i/>
        </w:rPr>
        <w:t xml:space="preserve">pfmdr-1 </w:t>
      </w:r>
      <w:r w:rsidRPr="000567B4">
        <w:rPr>
          <w:rFonts w:ascii="Arial" w:hAnsi="Arial" w:cs="Arial"/>
        </w:rPr>
        <w:t xml:space="preserve">gene polymorphism (She </w:t>
      </w:r>
      <w:r w:rsidRPr="000567B4">
        <w:rPr>
          <w:rFonts w:ascii="Arial" w:hAnsi="Arial" w:cs="Arial"/>
          <w:i/>
        </w:rPr>
        <w:t>et al</w:t>
      </w:r>
      <w:r w:rsidRPr="000567B4">
        <w:rPr>
          <w:rFonts w:ascii="Arial" w:hAnsi="Arial" w:cs="Arial"/>
        </w:rPr>
        <w:t>., 2016). It should also be noted that our study revealed S112L non-synonymous single mutants and D156Y/Y184F double mutants in the Bouaflé locality. The analysis shows that these alleles have been identified for the first time in Côte d'Ivoire and that their modulation should be monitored to see whether or not they are involved in resistance to the usual antimalarial drugs.</w:t>
      </w:r>
    </w:p>
    <w:p w14:paraId="0CC1B3F7" w14:textId="5913CE8B" w:rsidR="00417130" w:rsidRPr="000567B4" w:rsidRDefault="00417130" w:rsidP="00417130">
      <w:pPr>
        <w:pStyle w:val="Body"/>
        <w:ind w:firstLine="708"/>
        <w:rPr>
          <w:rFonts w:ascii="Arial" w:hAnsi="Arial" w:cs="Arial"/>
        </w:rPr>
      </w:pPr>
      <w:r w:rsidRPr="000567B4">
        <w:rPr>
          <w:rFonts w:ascii="Arial" w:hAnsi="Arial" w:cs="Arial"/>
        </w:rPr>
        <w:t xml:space="preserve">In this study, of the major mutations (N458Y, Y493H, R539T, I543T, and C580Y) associated with artemisinin resistance were observed. These results are similar to those work carried out by </w:t>
      </w:r>
      <w:proofErr w:type="spellStart"/>
      <w:r w:rsidRPr="000567B4">
        <w:rPr>
          <w:rFonts w:ascii="Arial" w:hAnsi="Arial" w:cs="Arial"/>
        </w:rPr>
        <w:t>Konaté</w:t>
      </w:r>
      <w:proofErr w:type="spellEnd"/>
      <w:r w:rsidRPr="000567B4">
        <w:rPr>
          <w:rFonts w:ascii="Arial" w:hAnsi="Arial" w:cs="Arial"/>
        </w:rPr>
        <w:t xml:space="preserve"> and colleagues in </w:t>
      </w:r>
      <w:proofErr w:type="spellStart"/>
      <w:r w:rsidRPr="000567B4">
        <w:rPr>
          <w:rFonts w:ascii="Arial" w:hAnsi="Arial" w:cs="Arial"/>
        </w:rPr>
        <w:t>Abengourou</w:t>
      </w:r>
      <w:proofErr w:type="spellEnd"/>
      <w:r w:rsidRPr="000567B4">
        <w:rPr>
          <w:rFonts w:ascii="Arial" w:hAnsi="Arial" w:cs="Arial"/>
        </w:rPr>
        <w:t>, San-</w:t>
      </w:r>
      <w:proofErr w:type="spellStart"/>
      <w:r w:rsidRPr="000567B4">
        <w:rPr>
          <w:rFonts w:ascii="Arial" w:hAnsi="Arial" w:cs="Arial"/>
        </w:rPr>
        <w:t>pedro</w:t>
      </w:r>
      <w:proofErr w:type="spellEnd"/>
      <w:r w:rsidRPr="000567B4">
        <w:rPr>
          <w:rFonts w:ascii="Arial" w:hAnsi="Arial" w:cs="Arial"/>
        </w:rPr>
        <w:t xml:space="preserve"> and Abidjan. These studies described non-synonymous mutations other than those found mainly in Southeast Asia (</w:t>
      </w:r>
      <w:proofErr w:type="spellStart"/>
      <w:r w:rsidRPr="000567B4">
        <w:rPr>
          <w:rFonts w:ascii="Arial" w:hAnsi="Arial" w:cs="Arial"/>
        </w:rPr>
        <w:t>Konaté</w:t>
      </w:r>
      <w:proofErr w:type="spellEnd"/>
      <w:r w:rsidRPr="000567B4">
        <w:rPr>
          <w:rFonts w:ascii="Arial" w:hAnsi="Arial" w:cs="Arial"/>
        </w:rPr>
        <w:t xml:space="preserve"> </w:t>
      </w:r>
      <w:r w:rsidRPr="000567B4">
        <w:rPr>
          <w:rFonts w:ascii="Arial" w:hAnsi="Arial" w:cs="Arial"/>
          <w:i/>
        </w:rPr>
        <w:t>et al</w:t>
      </w:r>
      <w:r w:rsidRPr="000567B4">
        <w:rPr>
          <w:rFonts w:ascii="Arial" w:hAnsi="Arial" w:cs="Arial"/>
        </w:rPr>
        <w:t xml:space="preserve">., 2018). In addition, various studies carried out in several African countries have shown similar results, with none of the polymorphisms associated with resistance to Artemisinin derivatives in sub-Saharan Africa observed (Kamau </w:t>
      </w:r>
      <w:r w:rsidRPr="000567B4">
        <w:rPr>
          <w:rFonts w:ascii="Arial" w:hAnsi="Arial" w:cs="Arial"/>
          <w:i/>
        </w:rPr>
        <w:t xml:space="preserve">et al., </w:t>
      </w:r>
      <w:r w:rsidRPr="000567B4">
        <w:rPr>
          <w:rFonts w:ascii="Arial" w:hAnsi="Arial" w:cs="Arial"/>
        </w:rPr>
        <w:t xml:space="preserve">2015; Taylor </w:t>
      </w:r>
      <w:r w:rsidRPr="000567B4">
        <w:rPr>
          <w:rFonts w:ascii="Arial" w:hAnsi="Arial" w:cs="Arial"/>
          <w:i/>
        </w:rPr>
        <w:t>et al</w:t>
      </w:r>
      <w:r w:rsidRPr="000567B4">
        <w:rPr>
          <w:rFonts w:ascii="Arial" w:hAnsi="Arial" w:cs="Arial"/>
        </w:rPr>
        <w:t xml:space="preserve">., 2014). All these results show that </w:t>
      </w:r>
      <w:r w:rsidRPr="000567B4">
        <w:rPr>
          <w:rFonts w:ascii="Arial" w:hAnsi="Arial" w:cs="Arial"/>
          <w:i/>
        </w:rPr>
        <w:t xml:space="preserve">P. falciparum </w:t>
      </w:r>
      <w:r w:rsidRPr="000567B4">
        <w:rPr>
          <w:rFonts w:ascii="Arial" w:hAnsi="Arial" w:cs="Arial"/>
        </w:rPr>
        <w:t xml:space="preserve">is still susceptible to artemisinin. However, the A675D mutation, described in Southeast Asia and Nigeria (Cheeseman </w:t>
      </w:r>
      <w:r w:rsidRPr="000567B4">
        <w:rPr>
          <w:rFonts w:ascii="Arial" w:hAnsi="Arial" w:cs="Arial"/>
          <w:i/>
        </w:rPr>
        <w:t xml:space="preserve">et al., </w:t>
      </w:r>
      <w:r w:rsidRPr="000567B4">
        <w:rPr>
          <w:rFonts w:ascii="Arial" w:hAnsi="Arial" w:cs="Arial"/>
        </w:rPr>
        <w:t xml:space="preserve">2015; </w:t>
      </w:r>
      <w:proofErr w:type="spellStart"/>
      <w:r w:rsidRPr="000567B4">
        <w:rPr>
          <w:rFonts w:ascii="Arial" w:hAnsi="Arial" w:cs="Arial"/>
        </w:rPr>
        <w:t>Oboh</w:t>
      </w:r>
      <w:proofErr w:type="spellEnd"/>
      <w:r w:rsidRPr="000567B4">
        <w:rPr>
          <w:rFonts w:ascii="Arial" w:hAnsi="Arial" w:cs="Arial"/>
        </w:rPr>
        <w:t xml:space="preserve"> </w:t>
      </w:r>
      <w:r w:rsidRPr="000567B4">
        <w:rPr>
          <w:rFonts w:ascii="Arial" w:hAnsi="Arial" w:cs="Arial"/>
          <w:i/>
        </w:rPr>
        <w:t>et al</w:t>
      </w:r>
      <w:r w:rsidRPr="000567B4">
        <w:rPr>
          <w:rFonts w:ascii="Arial" w:hAnsi="Arial" w:cs="Arial"/>
        </w:rPr>
        <w:t xml:space="preserve">., 2018; </w:t>
      </w:r>
      <w:proofErr w:type="spellStart"/>
      <w:r w:rsidRPr="000567B4">
        <w:rPr>
          <w:rFonts w:ascii="Arial" w:hAnsi="Arial" w:cs="Arial"/>
        </w:rPr>
        <w:t>Igbasi</w:t>
      </w:r>
      <w:proofErr w:type="spellEnd"/>
      <w:r w:rsidRPr="000567B4">
        <w:rPr>
          <w:rFonts w:ascii="Arial" w:hAnsi="Arial" w:cs="Arial"/>
        </w:rPr>
        <w:t xml:space="preserve"> </w:t>
      </w:r>
      <w:r w:rsidRPr="000567B4">
        <w:rPr>
          <w:rFonts w:ascii="Arial" w:hAnsi="Arial" w:cs="Arial"/>
          <w:i/>
        </w:rPr>
        <w:t>et al</w:t>
      </w:r>
      <w:r w:rsidRPr="000567B4">
        <w:rPr>
          <w:rFonts w:ascii="Arial" w:hAnsi="Arial" w:cs="Arial"/>
        </w:rPr>
        <w:t xml:space="preserve">., 2019) as a candidate mutation for delayed parasite clearance to CTAs, was observed at a proportion of 4.34% in Séguéla. The same applies to the non- synonymous L663V mutation. This raises concerns about the emergence of artemisinin resistance alleles in Africa. All these results could suggest that the isolates circulating in Séguéla are less susceptible to artemisinin derivatives. However, these results need to be compared with other </w:t>
      </w:r>
      <w:r w:rsidRPr="000567B4">
        <w:rPr>
          <w:rFonts w:ascii="Arial" w:hAnsi="Arial" w:cs="Arial"/>
          <w:i/>
        </w:rPr>
        <w:t xml:space="preserve">in vivo </w:t>
      </w:r>
      <w:r w:rsidRPr="000567B4">
        <w:rPr>
          <w:rFonts w:ascii="Arial" w:hAnsi="Arial" w:cs="Arial"/>
        </w:rPr>
        <w:t>studies to see if they are correlated. On the other hand, the L663L synonymous mutation observed at a frequency of 4.34% was also described a recent study in Côte d'Ivoire (</w:t>
      </w:r>
      <w:proofErr w:type="spellStart"/>
      <w:r w:rsidRPr="000567B4">
        <w:rPr>
          <w:rFonts w:ascii="Arial" w:hAnsi="Arial" w:cs="Arial"/>
        </w:rPr>
        <w:t>Konaté</w:t>
      </w:r>
      <w:proofErr w:type="spellEnd"/>
      <w:r w:rsidRPr="000567B4">
        <w:rPr>
          <w:rFonts w:ascii="Arial" w:hAnsi="Arial" w:cs="Arial"/>
        </w:rPr>
        <w:t xml:space="preserve"> </w:t>
      </w:r>
      <w:r w:rsidRPr="000567B4">
        <w:rPr>
          <w:rFonts w:ascii="Arial" w:hAnsi="Arial" w:cs="Arial"/>
          <w:i/>
        </w:rPr>
        <w:t>et al</w:t>
      </w:r>
      <w:r w:rsidRPr="000567B4">
        <w:rPr>
          <w:rFonts w:ascii="Arial" w:hAnsi="Arial" w:cs="Arial"/>
        </w:rPr>
        <w:t>., 2018), Equatorial Guinea and in Cameroon (</w:t>
      </w:r>
      <w:proofErr w:type="spellStart"/>
      <w:r w:rsidRPr="000567B4">
        <w:rPr>
          <w:rFonts w:ascii="Arial" w:hAnsi="Arial" w:cs="Arial"/>
        </w:rPr>
        <w:t>Berzosa</w:t>
      </w:r>
      <w:proofErr w:type="spellEnd"/>
      <w:r w:rsidRPr="000567B4">
        <w:rPr>
          <w:rFonts w:ascii="Arial" w:hAnsi="Arial" w:cs="Arial"/>
        </w:rPr>
        <w:t xml:space="preserve"> </w:t>
      </w:r>
      <w:r w:rsidRPr="000567B4">
        <w:rPr>
          <w:rFonts w:ascii="Arial" w:hAnsi="Arial" w:cs="Arial"/>
          <w:i/>
        </w:rPr>
        <w:t>et al</w:t>
      </w:r>
      <w:r w:rsidRPr="000567B4">
        <w:rPr>
          <w:rFonts w:ascii="Arial" w:hAnsi="Arial" w:cs="Arial"/>
        </w:rPr>
        <w:t xml:space="preserve">., 2021; </w:t>
      </w:r>
      <w:proofErr w:type="spellStart"/>
      <w:r w:rsidRPr="000567B4">
        <w:rPr>
          <w:rFonts w:ascii="Arial" w:hAnsi="Arial" w:cs="Arial"/>
        </w:rPr>
        <w:t>Nkemngo</w:t>
      </w:r>
      <w:proofErr w:type="spellEnd"/>
      <w:r w:rsidRPr="000567B4">
        <w:rPr>
          <w:rFonts w:ascii="Arial" w:hAnsi="Arial" w:cs="Arial"/>
        </w:rPr>
        <w:t xml:space="preserve"> </w:t>
      </w:r>
      <w:r w:rsidRPr="000567B4">
        <w:rPr>
          <w:rFonts w:ascii="Arial" w:hAnsi="Arial" w:cs="Arial"/>
          <w:i/>
        </w:rPr>
        <w:t>et al</w:t>
      </w:r>
      <w:r w:rsidRPr="000567B4">
        <w:rPr>
          <w:rFonts w:ascii="Arial" w:hAnsi="Arial" w:cs="Arial"/>
        </w:rPr>
        <w:t xml:space="preserve">., 2022). In addition, the V666V mutation found in Séguéla has been reported in parts of Africa and Southeast Asia (Zhang </w:t>
      </w:r>
      <w:r w:rsidRPr="000567B4">
        <w:rPr>
          <w:rFonts w:ascii="Arial" w:hAnsi="Arial" w:cs="Arial"/>
          <w:i/>
        </w:rPr>
        <w:t>et al</w:t>
      </w:r>
      <w:r w:rsidRPr="000567B4">
        <w:rPr>
          <w:rFonts w:ascii="Arial" w:hAnsi="Arial" w:cs="Arial"/>
        </w:rPr>
        <w:t xml:space="preserve">., 2018; </w:t>
      </w:r>
      <w:proofErr w:type="spellStart"/>
      <w:r w:rsidRPr="000567B4">
        <w:rPr>
          <w:rFonts w:ascii="Arial" w:hAnsi="Arial" w:cs="Arial"/>
        </w:rPr>
        <w:t>Oboh</w:t>
      </w:r>
      <w:proofErr w:type="spellEnd"/>
      <w:r w:rsidRPr="000567B4">
        <w:rPr>
          <w:rFonts w:ascii="Arial" w:hAnsi="Arial" w:cs="Arial"/>
        </w:rPr>
        <w:t xml:space="preserve"> </w:t>
      </w:r>
      <w:r w:rsidRPr="000567B4">
        <w:rPr>
          <w:rFonts w:ascii="Arial" w:hAnsi="Arial" w:cs="Arial"/>
          <w:i/>
        </w:rPr>
        <w:t>et al</w:t>
      </w:r>
      <w:r w:rsidRPr="000567B4">
        <w:rPr>
          <w:rFonts w:ascii="Arial" w:hAnsi="Arial" w:cs="Arial"/>
        </w:rPr>
        <w:t>., 2018). These mutations could increase the risk of emergence and dissemination of artemisinin resistance in Africa. Consequently, more careful monitoring of the evolution of these resistance markers is needed in malaria-endemic regions and particularly in Côte d'Ivoire in order anticipate countermeasures to ensure the efficacy of current antimalarial treatments.</w:t>
      </w:r>
    </w:p>
    <w:p w14:paraId="3DA0A740" w14:textId="12654236" w:rsidR="00417130" w:rsidRDefault="00417130" w:rsidP="00417130">
      <w:pPr>
        <w:pStyle w:val="Body"/>
        <w:ind w:firstLine="708"/>
        <w:rPr>
          <w:rFonts w:ascii="Arial" w:hAnsi="Arial" w:cs="Arial"/>
        </w:rPr>
      </w:pPr>
    </w:p>
    <w:p w14:paraId="70BDE268" w14:textId="249083C1" w:rsidR="00417130" w:rsidRPr="00417130" w:rsidRDefault="00417130" w:rsidP="00417130">
      <w:pPr>
        <w:pStyle w:val="Body"/>
        <w:rPr>
          <w:rFonts w:ascii="Arial" w:hAnsi="Arial" w:cs="Arial"/>
          <w:b/>
          <w:bCs/>
        </w:rPr>
      </w:pPr>
      <w:r>
        <w:rPr>
          <w:rFonts w:ascii="Arial" w:hAnsi="Arial" w:cs="Arial"/>
          <w:b/>
          <w:bCs/>
        </w:rPr>
        <w:t xml:space="preserve">5. </w:t>
      </w:r>
      <w:r w:rsidRPr="00C12DA9">
        <w:rPr>
          <w:rFonts w:ascii="Arial" w:hAnsi="Arial" w:cs="Arial"/>
          <w:b/>
          <w:bCs/>
          <w:sz w:val="22"/>
          <w:szCs w:val="22"/>
        </w:rPr>
        <w:t>Conclusion</w:t>
      </w:r>
    </w:p>
    <w:p w14:paraId="68BF0C92" w14:textId="45EFE2BB" w:rsidR="00167A51" w:rsidRPr="00167A51" w:rsidRDefault="00167A51" w:rsidP="00167A51">
      <w:pPr>
        <w:pStyle w:val="Body"/>
        <w:rPr>
          <w:rFonts w:ascii="Arial" w:hAnsi="Arial" w:cs="Arial"/>
        </w:rPr>
      </w:pPr>
      <w:r w:rsidRPr="00167A51">
        <w:rPr>
          <w:rFonts w:ascii="Arial" w:hAnsi="Arial" w:cs="Arial"/>
        </w:rPr>
        <w:t xml:space="preserve">The present study assessed the frequency of different mutations in the </w:t>
      </w:r>
      <w:r w:rsidRPr="00167A51">
        <w:rPr>
          <w:rFonts w:ascii="Arial" w:hAnsi="Arial" w:cs="Arial"/>
          <w:i/>
        </w:rPr>
        <w:t xml:space="preserve">pfcrt, pfmdr1 </w:t>
      </w:r>
      <w:r w:rsidRPr="00167A51">
        <w:rPr>
          <w:rFonts w:ascii="Arial" w:hAnsi="Arial" w:cs="Arial"/>
        </w:rPr>
        <w:t xml:space="preserve">and </w:t>
      </w:r>
      <w:r w:rsidRPr="00167A51">
        <w:rPr>
          <w:rFonts w:ascii="Arial" w:hAnsi="Arial" w:cs="Arial"/>
          <w:i/>
        </w:rPr>
        <w:t>pfk13 genes</w:t>
      </w:r>
      <w:r w:rsidRPr="00167A51">
        <w:rPr>
          <w:rFonts w:ascii="Arial" w:hAnsi="Arial" w:cs="Arial"/>
        </w:rPr>
        <w:t xml:space="preserve">, molecular markers of resistance to the usual antimalarial drugs in </w:t>
      </w:r>
      <w:r w:rsidRPr="00167A51">
        <w:rPr>
          <w:rFonts w:ascii="Arial" w:hAnsi="Arial" w:cs="Arial"/>
          <w:i/>
        </w:rPr>
        <w:t xml:space="preserve">P. falciparum </w:t>
      </w:r>
      <w:r w:rsidRPr="00167A51">
        <w:rPr>
          <w:rFonts w:ascii="Arial" w:hAnsi="Arial" w:cs="Arial"/>
        </w:rPr>
        <w:t xml:space="preserve">isolates from Bouaflé, Bondoukou and Séguéla. The results showed an increase in the prevalence of the CVMNK haplotype compared with previous studies. With regard to the </w:t>
      </w:r>
      <w:r w:rsidRPr="00167A51">
        <w:rPr>
          <w:rFonts w:ascii="Arial" w:hAnsi="Arial" w:cs="Arial"/>
          <w:i/>
        </w:rPr>
        <w:t xml:space="preserve">pfmdr-1 </w:t>
      </w:r>
      <w:r w:rsidRPr="00167A51">
        <w:rPr>
          <w:rFonts w:ascii="Arial" w:hAnsi="Arial" w:cs="Arial"/>
        </w:rPr>
        <w:t>gene, the high frequency of the</w:t>
      </w:r>
      <w:r w:rsidRPr="00C16261">
        <w:rPr>
          <w:rFonts w:ascii="Arial" w:hAnsi="Arial" w:cs="Arial"/>
          <w:bCs/>
        </w:rPr>
        <w:t xml:space="preserve"> </w:t>
      </w:r>
      <w:r w:rsidRPr="00C16261">
        <w:rPr>
          <w:rFonts w:ascii="Arial" w:hAnsi="Arial" w:cs="Arial"/>
          <w:bCs/>
          <w:sz w:val="22"/>
          <w:szCs w:val="22"/>
        </w:rPr>
        <w:t>N</w:t>
      </w:r>
      <w:r w:rsidRPr="00C16261">
        <w:rPr>
          <w:rFonts w:ascii="Arial" w:hAnsi="Arial" w:cs="Arial"/>
          <w:bCs/>
          <w:sz w:val="22"/>
          <w:szCs w:val="22"/>
          <w:vertAlign w:val="subscript"/>
        </w:rPr>
        <w:t>86</w:t>
      </w:r>
      <w:r w:rsidRPr="00C16261">
        <w:rPr>
          <w:rFonts w:ascii="Arial" w:hAnsi="Arial" w:cs="Arial"/>
          <w:bCs/>
          <w:sz w:val="22"/>
          <w:szCs w:val="22"/>
        </w:rPr>
        <w:t>F</w:t>
      </w:r>
      <w:r w:rsidRPr="00C16261">
        <w:rPr>
          <w:rFonts w:ascii="Arial" w:hAnsi="Arial" w:cs="Arial"/>
          <w:bCs/>
          <w:sz w:val="22"/>
          <w:szCs w:val="22"/>
          <w:vertAlign w:val="subscript"/>
        </w:rPr>
        <w:t>184</w:t>
      </w:r>
      <w:r w:rsidRPr="00C16261">
        <w:rPr>
          <w:rFonts w:ascii="Arial" w:hAnsi="Arial" w:cs="Arial"/>
          <w:b/>
          <w:sz w:val="28"/>
          <w:szCs w:val="28"/>
        </w:rPr>
        <w:t xml:space="preserve"> </w:t>
      </w:r>
      <w:r w:rsidRPr="00167A51">
        <w:rPr>
          <w:rFonts w:ascii="Arial" w:hAnsi="Arial" w:cs="Arial"/>
        </w:rPr>
        <w:t xml:space="preserve">mutant allele suggests a reduced sensitivity to lumefantrine </w:t>
      </w:r>
      <w:r w:rsidRPr="00167A51">
        <w:rPr>
          <w:rFonts w:ascii="Arial" w:hAnsi="Arial" w:cs="Arial"/>
          <w:i/>
        </w:rPr>
        <w:t xml:space="preserve">via </w:t>
      </w:r>
      <w:r w:rsidRPr="00167A51">
        <w:rPr>
          <w:rFonts w:ascii="Arial" w:hAnsi="Arial" w:cs="Arial"/>
        </w:rPr>
        <w:t xml:space="preserve">Lumefantrine </w:t>
      </w:r>
      <w:r w:rsidR="00054DB1" w:rsidRPr="00167A51">
        <w:rPr>
          <w:rFonts w:ascii="Arial" w:hAnsi="Arial" w:cs="Arial"/>
        </w:rPr>
        <w:t>Artemether</w:t>
      </w:r>
      <w:r w:rsidRPr="00167A51">
        <w:rPr>
          <w:rFonts w:ascii="Arial" w:hAnsi="Arial" w:cs="Arial"/>
        </w:rPr>
        <w:t xml:space="preserve"> (LA). Similarly, there is a potential risk of artemisinin resistance in Côte d'Ivoire, even though the mutations described in Southeast Asia and associated with </w:t>
      </w:r>
      <w:r w:rsidRPr="00167A51">
        <w:rPr>
          <w:rFonts w:ascii="Arial" w:hAnsi="Arial" w:cs="Arial"/>
          <w:i/>
        </w:rPr>
        <w:t xml:space="preserve">P. falciparum </w:t>
      </w:r>
      <w:r w:rsidRPr="00167A51">
        <w:rPr>
          <w:rFonts w:ascii="Arial" w:hAnsi="Arial" w:cs="Arial"/>
        </w:rPr>
        <w:t xml:space="preserve">resistance to CTAs have not been reported, as candidate resistance mutations have been observed. It is therefore important to exercise caution when using artemisinin-based </w:t>
      </w:r>
      <w:r w:rsidRPr="00167A51">
        <w:rPr>
          <w:rFonts w:ascii="Arial" w:hAnsi="Arial" w:cs="Arial"/>
        </w:rPr>
        <w:lastRenderedPageBreak/>
        <w:t>combination therapies. Continuous molecular monitoring is necessary to anticipate countermeasures and ensure treatment efficacy.</w:t>
      </w:r>
    </w:p>
    <w:p w14:paraId="59D3E2EB" w14:textId="77777777" w:rsidR="00A47EC6" w:rsidRPr="00FB3A86" w:rsidRDefault="00A47EC6" w:rsidP="00A47EC6">
      <w:pPr>
        <w:pStyle w:val="Body"/>
        <w:spacing w:after="0"/>
        <w:rPr>
          <w:rFonts w:ascii="Arial" w:hAnsi="Arial" w:cs="Arial"/>
        </w:rPr>
      </w:pPr>
    </w:p>
    <w:p w14:paraId="202813B5" w14:textId="77777777" w:rsidR="00A47EC6" w:rsidRDefault="00A47EC6" w:rsidP="00A47EC6">
      <w:pPr>
        <w:pStyle w:val="ReferHead"/>
        <w:spacing w:after="0"/>
        <w:jc w:val="both"/>
        <w:rPr>
          <w:rFonts w:ascii="Arial" w:hAnsi="Arial" w:cs="Arial"/>
          <w:b w:val="0"/>
          <w:caps w:val="0"/>
          <w:sz w:val="20"/>
        </w:rPr>
      </w:pPr>
    </w:p>
    <w:p w14:paraId="2FA1A4FD" w14:textId="2F709980" w:rsidR="00092E5D" w:rsidRDefault="00A47EC6" w:rsidP="00A47EC6">
      <w:pPr>
        <w:pStyle w:val="ReferHead"/>
        <w:spacing w:after="0"/>
        <w:jc w:val="both"/>
        <w:rPr>
          <w:rFonts w:ascii="Arial" w:hAnsi="Arial" w:cs="Arial"/>
        </w:rPr>
      </w:pPr>
      <w:r w:rsidRPr="002B685A">
        <w:rPr>
          <w:rFonts w:ascii="Arial" w:hAnsi="Arial" w:cs="Arial"/>
          <w:bCs/>
        </w:rPr>
        <w:t xml:space="preserve">Consent </w:t>
      </w:r>
    </w:p>
    <w:p w14:paraId="2A4FEA95" w14:textId="213AC1F9" w:rsidR="00A47EC6" w:rsidRDefault="000567B4" w:rsidP="00A47EC6">
      <w:pPr>
        <w:pStyle w:val="ReferHead"/>
        <w:spacing w:after="0"/>
        <w:jc w:val="both"/>
        <w:rPr>
          <w:rFonts w:ascii="Arial" w:hAnsi="Arial" w:cs="Arial"/>
          <w:b w:val="0"/>
          <w:caps w:val="0"/>
          <w:sz w:val="20"/>
        </w:rPr>
      </w:pPr>
      <w:r w:rsidRPr="000567B4">
        <w:rPr>
          <w:rFonts w:ascii="Arial" w:hAnsi="Arial" w:cs="Arial"/>
          <w:b w:val="0"/>
          <w:caps w:val="0"/>
          <w:sz w:val="20"/>
        </w:rPr>
        <w:t>All authors declare that ‘written informed consent was obtained from the patient (or other approved parties) for publication of this study and accompanying images.</w:t>
      </w:r>
    </w:p>
    <w:p w14:paraId="66302FFE" w14:textId="1B8FEA60" w:rsidR="000567B4" w:rsidRPr="009B05DB" w:rsidRDefault="000567B4" w:rsidP="00A47EC6">
      <w:pPr>
        <w:pStyle w:val="ReferHead"/>
        <w:spacing w:after="0"/>
        <w:jc w:val="both"/>
        <w:rPr>
          <w:rFonts w:ascii="Arial" w:hAnsi="Arial" w:cs="Arial"/>
        </w:rPr>
      </w:pPr>
    </w:p>
    <w:p w14:paraId="56D1078F" w14:textId="77777777" w:rsidR="00961730" w:rsidRPr="009B05DB" w:rsidRDefault="00961730" w:rsidP="00961730">
      <w:pPr>
        <w:rPr>
          <w:rFonts w:ascii="Arial" w:eastAsia="Calibri" w:hAnsi="Arial" w:cs="Arial"/>
          <w:b/>
          <w:bCs/>
          <w:kern w:val="2"/>
          <w:sz w:val="22"/>
          <w:szCs w:val="22"/>
          <w:highlight w:val="green"/>
        </w:rPr>
      </w:pPr>
      <w:bookmarkStart w:id="1" w:name="_Hlk201835975"/>
      <w:bookmarkStart w:id="2" w:name="_Hlk193540946"/>
      <w:bookmarkStart w:id="3" w:name="_Hlk180402183"/>
      <w:bookmarkStart w:id="4" w:name="_Hlk183680988"/>
      <w:bookmarkStart w:id="5" w:name="_Hlk197173371"/>
      <w:r w:rsidRPr="009B05DB">
        <w:rPr>
          <w:rFonts w:ascii="Arial" w:eastAsia="Calibri" w:hAnsi="Arial" w:cs="Arial"/>
          <w:b/>
          <w:bCs/>
          <w:kern w:val="2"/>
          <w:sz w:val="22"/>
          <w:szCs w:val="22"/>
          <w:highlight w:val="green"/>
        </w:rPr>
        <w:t>Disclaimer (Artificial intelligence)</w:t>
      </w:r>
    </w:p>
    <w:bookmarkEnd w:id="1"/>
    <w:bookmarkEnd w:id="2"/>
    <w:p w14:paraId="3A4C0A25" w14:textId="0AC12481" w:rsidR="009B05DB" w:rsidRPr="009B05DB" w:rsidRDefault="009B05DB" w:rsidP="00961730">
      <w:pPr>
        <w:rPr>
          <w:rFonts w:ascii="Arial" w:eastAsia="Calibri" w:hAnsi="Arial" w:cs="Arial"/>
          <w:kern w:val="2"/>
        </w:rPr>
      </w:pPr>
      <w:r w:rsidRPr="009B05DB">
        <w:rPr>
          <w:rFonts w:ascii="Arial" w:hAnsi="Arial" w:cs="Arial"/>
          <w:highlight w:val="green"/>
        </w:rPr>
        <w:t>Authors hereby declare that NO generative AI technologies such as Large Language Models (</w:t>
      </w:r>
      <w:proofErr w:type="spellStart"/>
      <w:r w:rsidRPr="009B05DB">
        <w:rPr>
          <w:rFonts w:ascii="Arial" w:hAnsi="Arial" w:cs="Arial"/>
          <w:highlight w:val="green"/>
        </w:rPr>
        <w:t>ChatGPT</w:t>
      </w:r>
      <w:proofErr w:type="spellEnd"/>
      <w:r w:rsidRPr="009B05DB">
        <w:rPr>
          <w:rFonts w:ascii="Arial" w:hAnsi="Arial" w:cs="Arial"/>
          <w:highlight w:val="green"/>
        </w:rPr>
        <w:t xml:space="preserve">, COPILOT, </w:t>
      </w:r>
      <w:proofErr w:type="spellStart"/>
      <w:r w:rsidRPr="009B05DB">
        <w:rPr>
          <w:rFonts w:ascii="Arial" w:hAnsi="Arial" w:cs="Arial"/>
          <w:highlight w:val="green"/>
        </w:rPr>
        <w:t>etc</w:t>
      </w:r>
      <w:proofErr w:type="spellEnd"/>
      <w:r w:rsidRPr="009B05DB">
        <w:rPr>
          <w:rFonts w:ascii="Arial" w:hAnsi="Arial" w:cs="Arial"/>
          <w:highlight w:val="green"/>
        </w:rPr>
        <w:t>) and text-to-image generators have been used during writing or editing of this manuscript.</w:t>
      </w:r>
    </w:p>
    <w:bookmarkEnd w:id="3"/>
    <w:bookmarkEnd w:id="4"/>
    <w:bookmarkEnd w:id="5"/>
    <w:p w14:paraId="1B8BE9E5" w14:textId="1CFAA678" w:rsidR="00961730" w:rsidRDefault="00961730" w:rsidP="00A47EC6">
      <w:pPr>
        <w:pStyle w:val="ReferHead"/>
        <w:spacing w:after="0"/>
        <w:jc w:val="both"/>
        <w:rPr>
          <w:rFonts w:ascii="Arial" w:hAnsi="Arial" w:cs="Arial"/>
        </w:rPr>
      </w:pPr>
    </w:p>
    <w:p w14:paraId="56E723C1" w14:textId="3642CF76" w:rsidR="00A47EC6" w:rsidRDefault="00A47EC6" w:rsidP="00A47EC6">
      <w:pPr>
        <w:pStyle w:val="ReferHead"/>
        <w:spacing w:after="0"/>
        <w:jc w:val="both"/>
        <w:rPr>
          <w:rFonts w:ascii="Arial" w:hAnsi="Arial" w:cs="Arial"/>
        </w:rPr>
      </w:pPr>
      <w:r w:rsidRPr="00FB3A86">
        <w:rPr>
          <w:rFonts w:ascii="Arial" w:hAnsi="Arial" w:cs="Arial"/>
        </w:rPr>
        <w:t>Références</w:t>
      </w:r>
      <w:r w:rsidR="00F71FCB">
        <w:rPr>
          <w:rFonts w:ascii="Arial" w:hAnsi="Arial" w:cs="Arial"/>
        </w:rPr>
        <w:t xml:space="preserve"> bibliographiques</w:t>
      </w:r>
      <w:bookmarkStart w:id="6" w:name="_GoBack"/>
      <w:bookmarkEnd w:id="6"/>
    </w:p>
    <w:p w14:paraId="277115DD" w14:textId="77777777" w:rsidR="00F71FCB" w:rsidRPr="00F71FCB" w:rsidRDefault="00F71FCB" w:rsidP="00A47EC6">
      <w:pPr>
        <w:pStyle w:val="ReferHead"/>
        <w:spacing w:after="0"/>
        <w:jc w:val="both"/>
        <w:rPr>
          <w:rFonts w:ascii="Arial" w:hAnsi="Arial" w:cs="Arial"/>
          <w:b w:val="0"/>
          <w:bCs/>
          <w:sz w:val="20"/>
          <w:szCs w:val="18"/>
        </w:rPr>
      </w:pPr>
    </w:p>
    <w:p w14:paraId="4B9428D4" w14:textId="77777777" w:rsidR="00F71FCB" w:rsidRPr="0071277D" w:rsidRDefault="00F71FCB" w:rsidP="0071277D">
      <w:pPr>
        <w:tabs>
          <w:tab w:val="left" w:pos="2261"/>
        </w:tabs>
        <w:spacing w:before="1" w:line="362" w:lineRule="auto"/>
        <w:ind w:left="993" w:right="1268" w:hanging="993"/>
        <w:rPr>
          <w:rFonts w:ascii="Arial" w:hAnsi="Arial" w:cs="Arial"/>
          <w:bCs/>
          <w:szCs w:val="18"/>
        </w:rPr>
      </w:pPr>
      <w:bookmarkStart w:id="7" w:name="_Hlk204287163"/>
      <w:proofErr w:type="spellStart"/>
      <w:r w:rsidRPr="0071277D">
        <w:rPr>
          <w:rFonts w:ascii="Arial" w:hAnsi="Arial" w:cs="Arial"/>
          <w:bCs/>
          <w:szCs w:val="18"/>
        </w:rPr>
        <w:t>Ako</w:t>
      </w:r>
      <w:proofErr w:type="spellEnd"/>
      <w:r w:rsidRPr="0071277D">
        <w:rPr>
          <w:rFonts w:ascii="Arial" w:hAnsi="Arial" w:cs="Arial"/>
          <w:bCs/>
          <w:szCs w:val="18"/>
        </w:rPr>
        <w:t xml:space="preserve"> B.A., </w:t>
      </w:r>
      <w:proofErr w:type="spellStart"/>
      <w:r w:rsidRPr="0071277D">
        <w:rPr>
          <w:rFonts w:ascii="Arial" w:hAnsi="Arial" w:cs="Arial"/>
          <w:bCs/>
          <w:szCs w:val="18"/>
        </w:rPr>
        <w:t>Offianan</w:t>
      </w:r>
      <w:proofErr w:type="spellEnd"/>
      <w:r w:rsidRPr="0071277D">
        <w:rPr>
          <w:rFonts w:ascii="Arial" w:hAnsi="Arial" w:cs="Arial"/>
          <w:bCs/>
          <w:szCs w:val="18"/>
        </w:rPr>
        <w:t xml:space="preserve"> A.T., Johansson M., </w:t>
      </w:r>
      <w:proofErr w:type="spellStart"/>
      <w:r w:rsidRPr="0071277D">
        <w:rPr>
          <w:rFonts w:ascii="Arial" w:hAnsi="Arial" w:cs="Arial"/>
          <w:bCs/>
          <w:szCs w:val="18"/>
        </w:rPr>
        <w:t>Penali</w:t>
      </w:r>
      <w:proofErr w:type="spellEnd"/>
      <w:r w:rsidRPr="0071277D">
        <w:rPr>
          <w:rFonts w:ascii="Arial" w:hAnsi="Arial" w:cs="Arial"/>
          <w:bCs/>
          <w:szCs w:val="18"/>
        </w:rPr>
        <w:t xml:space="preserve"> L.K., </w:t>
      </w:r>
      <w:proofErr w:type="spellStart"/>
      <w:r w:rsidRPr="0071277D">
        <w:rPr>
          <w:rFonts w:ascii="Arial" w:hAnsi="Arial" w:cs="Arial"/>
          <w:bCs/>
          <w:szCs w:val="18"/>
        </w:rPr>
        <w:t>Nguetta</w:t>
      </w:r>
      <w:proofErr w:type="spellEnd"/>
      <w:r w:rsidRPr="0071277D">
        <w:rPr>
          <w:rFonts w:ascii="Arial" w:hAnsi="Arial" w:cs="Arial"/>
          <w:bCs/>
          <w:szCs w:val="18"/>
        </w:rPr>
        <w:t xml:space="preserve"> S.P.A &amp; Sibley C.H., 2012.- Molecular analysis of markers associated with chloroquine and </w:t>
      </w:r>
      <w:proofErr w:type="spellStart"/>
      <w:r w:rsidRPr="0071277D">
        <w:rPr>
          <w:rFonts w:ascii="Arial" w:hAnsi="Arial" w:cs="Arial"/>
          <w:bCs/>
          <w:szCs w:val="18"/>
        </w:rPr>
        <w:t>sulfadoxine</w:t>
      </w:r>
      <w:proofErr w:type="spellEnd"/>
      <w:r w:rsidRPr="0071277D">
        <w:rPr>
          <w:rFonts w:ascii="Arial" w:hAnsi="Arial" w:cs="Arial"/>
          <w:bCs/>
          <w:szCs w:val="18"/>
        </w:rPr>
        <w:t>/pyrimethamine</w:t>
      </w:r>
      <w:r w:rsidRPr="0071277D">
        <w:rPr>
          <w:rFonts w:ascii="Arial" w:hAnsi="Arial" w:cs="Arial"/>
          <w:bCs/>
          <w:spacing w:val="-5"/>
          <w:szCs w:val="18"/>
        </w:rPr>
        <w:t xml:space="preserve"> </w:t>
      </w:r>
      <w:r w:rsidRPr="0071277D">
        <w:rPr>
          <w:rFonts w:ascii="Arial" w:hAnsi="Arial" w:cs="Arial"/>
          <w:bCs/>
          <w:szCs w:val="18"/>
        </w:rPr>
        <w:t>resistance</w:t>
      </w:r>
      <w:r w:rsidRPr="0071277D">
        <w:rPr>
          <w:rFonts w:ascii="Arial" w:hAnsi="Arial" w:cs="Arial"/>
          <w:bCs/>
          <w:spacing w:val="-5"/>
          <w:szCs w:val="18"/>
        </w:rPr>
        <w:t xml:space="preserve"> </w:t>
      </w:r>
      <w:r w:rsidRPr="0071277D">
        <w:rPr>
          <w:rFonts w:ascii="Arial" w:hAnsi="Arial" w:cs="Arial"/>
          <w:bCs/>
          <w:szCs w:val="18"/>
        </w:rPr>
        <w:t>in</w:t>
      </w:r>
      <w:r w:rsidRPr="0071277D">
        <w:rPr>
          <w:rFonts w:ascii="Arial" w:hAnsi="Arial" w:cs="Arial"/>
          <w:bCs/>
          <w:spacing w:val="-5"/>
          <w:szCs w:val="18"/>
        </w:rPr>
        <w:t xml:space="preserve"> </w:t>
      </w:r>
      <w:r w:rsidRPr="0071277D">
        <w:rPr>
          <w:rFonts w:ascii="Arial" w:hAnsi="Arial" w:cs="Arial"/>
          <w:bCs/>
          <w:i/>
          <w:szCs w:val="18"/>
        </w:rPr>
        <w:t>Plasmodium</w:t>
      </w:r>
      <w:r w:rsidRPr="0071277D">
        <w:rPr>
          <w:rFonts w:ascii="Arial" w:hAnsi="Arial" w:cs="Arial"/>
          <w:bCs/>
          <w:i/>
          <w:spacing w:val="-5"/>
          <w:szCs w:val="18"/>
        </w:rPr>
        <w:t xml:space="preserve"> </w:t>
      </w:r>
      <w:r w:rsidRPr="0071277D">
        <w:rPr>
          <w:rFonts w:ascii="Arial" w:hAnsi="Arial" w:cs="Arial"/>
          <w:bCs/>
          <w:i/>
          <w:szCs w:val="18"/>
        </w:rPr>
        <w:t>falciparum</w:t>
      </w:r>
      <w:r w:rsidRPr="0071277D">
        <w:rPr>
          <w:rFonts w:ascii="Arial" w:hAnsi="Arial" w:cs="Arial"/>
          <w:bCs/>
          <w:i/>
          <w:spacing w:val="-5"/>
          <w:szCs w:val="18"/>
        </w:rPr>
        <w:t xml:space="preserve"> </w:t>
      </w:r>
      <w:r w:rsidRPr="0071277D">
        <w:rPr>
          <w:rFonts w:ascii="Arial" w:hAnsi="Arial" w:cs="Arial"/>
          <w:bCs/>
          <w:szCs w:val="18"/>
        </w:rPr>
        <w:t>malaria</w:t>
      </w:r>
      <w:r w:rsidRPr="0071277D">
        <w:rPr>
          <w:rFonts w:ascii="Arial" w:hAnsi="Arial" w:cs="Arial"/>
          <w:bCs/>
          <w:spacing w:val="-5"/>
          <w:szCs w:val="18"/>
        </w:rPr>
        <w:t xml:space="preserve"> </w:t>
      </w:r>
      <w:r w:rsidRPr="0071277D">
        <w:rPr>
          <w:rFonts w:ascii="Arial" w:hAnsi="Arial" w:cs="Arial"/>
          <w:bCs/>
          <w:szCs w:val="18"/>
        </w:rPr>
        <w:t xml:space="preserve">parasites from southeastern Côte-d'Ivoire by the time of artemisinin-based combination therapy adoption in 2005. </w:t>
      </w:r>
      <w:r w:rsidRPr="0071277D">
        <w:rPr>
          <w:rFonts w:ascii="Arial" w:hAnsi="Arial" w:cs="Arial"/>
          <w:bCs/>
          <w:i/>
          <w:szCs w:val="18"/>
        </w:rPr>
        <w:t>Infection and drug resistance</w:t>
      </w:r>
      <w:r w:rsidRPr="0071277D">
        <w:rPr>
          <w:rFonts w:ascii="Arial" w:hAnsi="Arial" w:cs="Arial"/>
          <w:bCs/>
          <w:szCs w:val="18"/>
        </w:rPr>
        <w:t>. 5: 113.</w:t>
      </w:r>
    </w:p>
    <w:p w14:paraId="1DC34B67" w14:textId="77777777" w:rsidR="0071277D" w:rsidRPr="0071277D" w:rsidRDefault="00F71FCB" w:rsidP="0071277D">
      <w:pPr>
        <w:tabs>
          <w:tab w:val="left" w:pos="2261"/>
        </w:tabs>
        <w:spacing w:line="360" w:lineRule="auto"/>
        <w:ind w:left="708" w:right="1268" w:hanging="708"/>
        <w:rPr>
          <w:rFonts w:ascii="Arial" w:hAnsi="Arial" w:cs="Arial"/>
          <w:bCs/>
          <w:szCs w:val="18"/>
        </w:rPr>
      </w:pPr>
      <w:r w:rsidRPr="0071277D">
        <w:rPr>
          <w:rFonts w:ascii="Arial" w:hAnsi="Arial" w:cs="Arial"/>
          <w:bCs/>
          <w:szCs w:val="18"/>
        </w:rPr>
        <w:t xml:space="preserve">Ashley E.A., </w:t>
      </w:r>
      <w:proofErr w:type="spellStart"/>
      <w:r w:rsidRPr="0071277D">
        <w:rPr>
          <w:rFonts w:ascii="Arial" w:hAnsi="Arial" w:cs="Arial"/>
          <w:bCs/>
          <w:szCs w:val="18"/>
        </w:rPr>
        <w:t>Dhorda</w:t>
      </w:r>
      <w:proofErr w:type="spellEnd"/>
      <w:r w:rsidRPr="0071277D">
        <w:rPr>
          <w:rFonts w:ascii="Arial" w:hAnsi="Arial" w:cs="Arial"/>
          <w:bCs/>
          <w:szCs w:val="18"/>
        </w:rPr>
        <w:t xml:space="preserve"> M., Fairhurst R.M., </w:t>
      </w:r>
      <w:proofErr w:type="spellStart"/>
      <w:r w:rsidRPr="0071277D">
        <w:rPr>
          <w:rFonts w:ascii="Arial" w:hAnsi="Arial" w:cs="Arial"/>
          <w:bCs/>
          <w:szCs w:val="18"/>
        </w:rPr>
        <w:t>Amaratunga</w:t>
      </w:r>
      <w:proofErr w:type="spellEnd"/>
      <w:r w:rsidRPr="0071277D">
        <w:rPr>
          <w:rFonts w:ascii="Arial" w:hAnsi="Arial" w:cs="Arial"/>
          <w:bCs/>
          <w:szCs w:val="18"/>
        </w:rPr>
        <w:t xml:space="preserve"> C., Lim P </w:t>
      </w:r>
      <w:r w:rsidRPr="0071277D">
        <w:rPr>
          <w:rFonts w:ascii="Arial" w:hAnsi="Arial" w:cs="Arial"/>
          <w:bCs/>
          <w:i/>
          <w:szCs w:val="18"/>
        </w:rPr>
        <w:t>et al</w:t>
      </w:r>
      <w:r w:rsidRPr="0071277D">
        <w:rPr>
          <w:rFonts w:ascii="Arial" w:hAnsi="Arial" w:cs="Arial"/>
          <w:bCs/>
          <w:szCs w:val="18"/>
        </w:rPr>
        <w:t>, 2014.- Tracking Resistance to Artemisinin Collaboration (TRAC). Spread of artemisinin</w:t>
      </w:r>
      <w:r w:rsidR="00C12DA9" w:rsidRPr="0071277D">
        <w:rPr>
          <w:rFonts w:ascii="Times New Roman" w:hAnsi="Times New Roman"/>
          <w:bCs/>
          <w:sz w:val="24"/>
          <w:szCs w:val="22"/>
        </w:rPr>
        <w:t xml:space="preserve"> </w:t>
      </w:r>
      <w:r w:rsidR="00C12DA9" w:rsidRPr="0071277D">
        <w:rPr>
          <w:rFonts w:ascii="Arial" w:hAnsi="Arial" w:cs="Arial"/>
          <w:bCs/>
          <w:szCs w:val="18"/>
        </w:rPr>
        <w:t xml:space="preserve">resistance in </w:t>
      </w:r>
      <w:r w:rsidR="00C12DA9" w:rsidRPr="0071277D">
        <w:rPr>
          <w:rFonts w:ascii="Arial" w:hAnsi="Arial" w:cs="Arial"/>
          <w:bCs/>
          <w:i/>
          <w:szCs w:val="18"/>
        </w:rPr>
        <w:t xml:space="preserve">Plasmodium falciparum </w:t>
      </w:r>
      <w:r w:rsidR="00C12DA9" w:rsidRPr="0071277D">
        <w:rPr>
          <w:rFonts w:ascii="Arial" w:hAnsi="Arial" w:cs="Arial"/>
          <w:bCs/>
          <w:szCs w:val="18"/>
        </w:rPr>
        <w:t xml:space="preserve">malaria. </w:t>
      </w:r>
      <w:r w:rsidR="00C12DA9" w:rsidRPr="0071277D">
        <w:rPr>
          <w:rFonts w:ascii="Arial" w:hAnsi="Arial" w:cs="Arial"/>
          <w:bCs/>
          <w:i/>
          <w:szCs w:val="18"/>
        </w:rPr>
        <w:t xml:space="preserve">The New England Journal of Medicine. </w:t>
      </w:r>
      <w:r w:rsidR="00C12DA9" w:rsidRPr="0071277D">
        <w:rPr>
          <w:rFonts w:ascii="Arial" w:hAnsi="Arial" w:cs="Arial"/>
          <w:bCs/>
          <w:szCs w:val="18"/>
        </w:rPr>
        <w:t>371: 411-423.</w:t>
      </w:r>
    </w:p>
    <w:p w14:paraId="0BAD2101" w14:textId="77777777" w:rsidR="0071277D" w:rsidRPr="0071277D" w:rsidRDefault="00C12DA9" w:rsidP="0071277D">
      <w:pPr>
        <w:tabs>
          <w:tab w:val="left" w:pos="2261"/>
        </w:tabs>
        <w:spacing w:line="360" w:lineRule="auto"/>
        <w:ind w:left="708" w:right="1268" w:hanging="708"/>
        <w:rPr>
          <w:rFonts w:ascii="Arial" w:hAnsi="Arial" w:cs="Arial"/>
          <w:bCs/>
          <w:szCs w:val="18"/>
        </w:rPr>
      </w:pPr>
      <w:r w:rsidRPr="00C12DA9">
        <w:rPr>
          <w:rFonts w:ascii="Arial" w:hAnsi="Arial" w:cs="Arial"/>
          <w:bCs/>
          <w:szCs w:val="18"/>
        </w:rPr>
        <w:t xml:space="preserve">Awasthi G &amp; Das A., 2013.- Genetics of chloroquine-resistant malaria: a haplotypic view. </w:t>
      </w:r>
      <w:proofErr w:type="spellStart"/>
      <w:r w:rsidRPr="00C12DA9">
        <w:rPr>
          <w:rFonts w:ascii="Arial" w:hAnsi="Arial" w:cs="Arial"/>
          <w:bCs/>
          <w:szCs w:val="18"/>
        </w:rPr>
        <w:t>Memórias</w:t>
      </w:r>
      <w:proofErr w:type="spellEnd"/>
      <w:r w:rsidRPr="00C12DA9">
        <w:rPr>
          <w:rFonts w:ascii="Arial" w:hAnsi="Arial" w:cs="Arial"/>
          <w:bCs/>
          <w:szCs w:val="18"/>
        </w:rPr>
        <w:t xml:space="preserve"> do Instituto Oswaldo Cruz. 108 (8): 947-961 </w:t>
      </w:r>
      <w:proofErr w:type="spellStart"/>
      <w:r w:rsidRPr="00C12DA9">
        <w:rPr>
          <w:rFonts w:ascii="Arial" w:hAnsi="Arial" w:cs="Arial"/>
          <w:bCs/>
          <w:szCs w:val="18"/>
        </w:rPr>
        <w:t>Berzosa</w:t>
      </w:r>
      <w:proofErr w:type="spellEnd"/>
      <w:r w:rsidRPr="00C12DA9">
        <w:rPr>
          <w:rFonts w:ascii="Arial" w:hAnsi="Arial" w:cs="Arial"/>
          <w:bCs/>
          <w:szCs w:val="18"/>
        </w:rPr>
        <w:t xml:space="preserve"> </w:t>
      </w:r>
      <w:r w:rsidRPr="00C12DA9">
        <w:rPr>
          <w:rFonts w:ascii="Arial" w:hAnsi="Arial" w:cs="Arial"/>
          <w:bCs/>
          <w:i/>
          <w:szCs w:val="18"/>
        </w:rPr>
        <w:t>et al</w:t>
      </w:r>
      <w:r w:rsidRPr="00C12DA9">
        <w:rPr>
          <w:rFonts w:ascii="Arial" w:hAnsi="Arial" w:cs="Arial"/>
          <w:bCs/>
          <w:szCs w:val="18"/>
        </w:rPr>
        <w:t>., 2021</w:t>
      </w:r>
    </w:p>
    <w:p w14:paraId="4D51EC0F" w14:textId="77777777" w:rsidR="0071277D" w:rsidRPr="0071277D" w:rsidRDefault="00C12DA9" w:rsidP="0071277D">
      <w:pPr>
        <w:tabs>
          <w:tab w:val="left" w:pos="2259"/>
        </w:tabs>
        <w:spacing w:line="360" w:lineRule="auto"/>
        <w:ind w:left="708" w:right="1268" w:hanging="708"/>
        <w:rPr>
          <w:rFonts w:ascii="Arial" w:hAnsi="Arial" w:cs="Arial"/>
          <w:bCs/>
          <w:szCs w:val="18"/>
        </w:rPr>
      </w:pPr>
      <w:r w:rsidRPr="00C12DA9">
        <w:rPr>
          <w:rFonts w:ascii="Arial" w:hAnsi="Arial" w:cs="Arial"/>
          <w:bCs/>
          <w:szCs w:val="18"/>
        </w:rPr>
        <w:t xml:space="preserve">Cheeseman I. H., </w:t>
      </w:r>
      <w:proofErr w:type="spellStart"/>
      <w:r w:rsidRPr="00C12DA9">
        <w:rPr>
          <w:rFonts w:ascii="Arial" w:hAnsi="Arial" w:cs="Arial"/>
          <w:bCs/>
          <w:szCs w:val="18"/>
        </w:rPr>
        <w:t>McDew</w:t>
      </w:r>
      <w:proofErr w:type="spellEnd"/>
      <w:r w:rsidRPr="00C12DA9">
        <w:rPr>
          <w:rFonts w:ascii="Arial" w:hAnsi="Arial" w:cs="Arial"/>
          <w:bCs/>
          <w:szCs w:val="18"/>
        </w:rPr>
        <w:t xml:space="preserve">-White M., </w:t>
      </w:r>
      <w:proofErr w:type="spellStart"/>
      <w:r w:rsidRPr="00C12DA9">
        <w:rPr>
          <w:rFonts w:ascii="Arial" w:hAnsi="Arial" w:cs="Arial"/>
          <w:bCs/>
          <w:szCs w:val="18"/>
        </w:rPr>
        <w:t>Phyo</w:t>
      </w:r>
      <w:proofErr w:type="spellEnd"/>
      <w:r w:rsidRPr="00C12DA9">
        <w:rPr>
          <w:rFonts w:ascii="Arial" w:hAnsi="Arial" w:cs="Arial"/>
          <w:bCs/>
          <w:szCs w:val="18"/>
        </w:rPr>
        <w:t xml:space="preserve"> A. P., </w:t>
      </w:r>
      <w:proofErr w:type="spellStart"/>
      <w:r w:rsidRPr="00C12DA9">
        <w:rPr>
          <w:rFonts w:ascii="Arial" w:hAnsi="Arial" w:cs="Arial"/>
          <w:bCs/>
          <w:szCs w:val="18"/>
        </w:rPr>
        <w:t>Sriprawat</w:t>
      </w:r>
      <w:proofErr w:type="spellEnd"/>
      <w:r w:rsidRPr="00C12DA9">
        <w:rPr>
          <w:rFonts w:ascii="Arial" w:hAnsi="Arial" w:cs="Arial"/>
          <w:bCs/>
          <w:szCs w:val="18"/>
        </w:rPr>
        <w:t xml:space="preserve"> K., </w:t>
      </w:r>
      <w:proofErr w:type="spellStart"/>
      <w:r w:rsidRPr="00C12DA9">
        <w:rPr>
          <w:rFonts w:ascii="Arial" w:hAnsi="Arial" w:cs="Arial"/>
          <w:bCs/>
          <w:szCs w:val="18"/>
        </w:rPr>
        <w:t>Nosten</w:t>
      </w:r>
      <w:proofErr w:type="spellEnd"/>
      <w:r w:rsidRPr="00C12DA9">
        <w:rPr>
          <w:rFonts w:ascii="Arial" w:hAnsi="Arial" w:cs="Arial"/>
          <w:bCs/>
          <w:szCs w:val="18"/>
        </w:rPr>
        <w:t xml:space="preserve"> F. &amp; Anderson T. J., 2015.- Pooled sequencing and rare variant association tests for identifying the determinants of emerging drug resistance in malaria parasites. </w:t>
      </w:r>
      <w:r w:rsidRPr="00C12DA9">
        <w:rPr>
          <w:rFonts w:ascii="Arial" w:hAnsi="Arial" w:cs="Arial"/>
          <w:bCs/>
          <w:i/>
          <w:szCs w:val="18"/>
        </w:rPr>
        <w:t>Molecular Biology and Evolution</w:t>
      </w:r>
      <w:r w:rsidRPr="00C12DA9">
        <w:rPr>
          <w:rFonts w:ascii="Arial" w:hAnsi="Arial" w:cs="Arial"/>
          <w:bCs/>
          <w:szCs w:val="18"/>
        </w:rPr>
        <w:t>. 32 (4): 1080-1090.</w:t>
      </w:r>
    </w:p>
    <w:p w14:paraId="2B151359" w14:textId="77777777" w:rsidR="0071277D" w:rsidRPr="0071277D" w:rsidRDefault="00C12DA9" w:rsidP="0071277D">
      <w:pPr>
        <w:tabs>
          <w:tab w:val="left" w:pos="2261"/>
        </w:tabs>
        <w:spacing w:line="360" w:lineRule="auto"/>
        <w:ind w:left="708" w:right="1268" w:hanging="708"/>
        <w:rPr>
          <w:rFonts w:ascii="Arial" w:hAnsi="Arial" w:cs="Arial"/>
          <w:bCs/>
          <w:szCs w:val="18"/>
        </w:rPr>
      </w:pPr>
      <w:proofErr w:type="spellStart"/>
      <w:r w:rsidRPr="00C12DA9">
        <w:rPr>
          <w:rFonts w:ascii="Arial" w:hAnsi="Arial" w:cs="Arial"/>
          <w:bCs/>
          <w:szCs w:val="18"/>
        </w:rPr>
        <w:t>Dagnogo</w:t>
      </w:r>
      <w:proofErr w:type="spellEnd"/>
      <w:r w:rsidRPr="00C12DA9">
        <w:rPr>
          <w:rFonts w:ascii="Arial" w:hAnsi="Arial" w:cs="Arial"/>
          <w:bCs/>
          <w:szCs w:val="18"/>
        </w:rPr>
        <w:t xml:space="preserve"> O., </w:t>
      </w:r>
      <w:proofErr w:type="spellStart"/>
      <w:r w:rsidRPr="00C12DA9">
        <w:rPr>
          <w:rFonts w:ascii="Arial" w:hAnsi="Arial" w:cs="Arial"/>
          <w:bCs/>
          <w:szCs w:val="18"/>
        </w:rPr>
        <w:t>Ako</w:t>
      </w:r>
      <w:proofErr w:type="spellEnd"/>
      <w:r w:rsidRPr="00C12DA9">
        <w:rPr>
          <w:rFonts w:ascii="Arial" w:hAnsi="Arial" w:cs="Arial"/>
          <w:bCs/>
          <w:szCs w:val="18"/>
        </w:rPr>
        <w:t xml:space="preserve"> A.B., Dago N.D., Coulibaly B., </w:t>
      </w:r>
      <w:proofErr w:type="spellStart"/>
      <w:r w:rsidRPr="00C12DA9">
        <w:rPr>
          <w:rFonts w:ascii="Arial" w:hAnsi="Arial" w:cs="Arial"/>
          <w:bCs/>
          <w:szCs w:val="18"/>
        </w:rPr>
        <w:t>Ngazoa-Kakou</w:t>
      </w:r>
      <w:proofErr w:type="spellEnd"/>
      <w:r w:rsidRPr="00C12DA9">
        <w:rPr>
          <w:rFonts w:ascii="Arial" w:hAnsi="Arial" w:cs="Arial"/>
          <w:bCs/>
          <w:szCs w:val="18"/>
        </w:rPr>
        <w:t xml:space="preserve"> S.O., </w:t>
      </w:r>
      <w:proofErr w:type="spellStart"/>
      <w:r w:rsidRPr="00C12DA9">
        <w:rPr>
          <w:rFonts w:ascii="Arial" w:hAnsi="Arial" w:cs="Arial"/>
          <w:bCs/>
          <w:szCs w:val="18"/>
        </w:rPr>
        <w:t>ToureA.O</w:t>
      </w:r>
      <w:proofErr w:type="spellEnd"/>
      <w:r w:rsidRPr="00C12DA9">
        <w:rPr>
          <w:rFonts w:ascii="Arial" w:hAnsi="Arial" w:cs="Arial"/>
          <w:bCs/>
          <w:szCs w:val="18"/>
        </w:rPr>
        <w:t xml:space="preserve">. &amp; </w:t>
      </w:r>
      <w:proofErr w:type="spellStart"/>
      <w:r w:rsidRPr="00C12DA9">
        <w:rPr>
          <w:rFonts w:ascii="Arial" w:hAnsi="Arial" w:cs="Arial"/>
          <w:bCs/>
          <w:szCs w:val="18"/>
        </w:rPr>
        <w:t>Djaman</w:t>
      </w:r>
      <w:proofErr w:type="spellEnd"/>
      <w:r w:rsidRPr="00C12DA9">
        <w:rPr>
          <w:rFonts w:ascii="Arial" w:hAnsi="Arial" w:cs="Arial"/>
          <w:bCs/>
          <w:szCs w:val="18"/>
        </w:rPr>
        <w:t xml:space="preserve"> J.A., 2018.- Comparative analysis of genomic DNA amplification yield for </w:t>
      </w:r>
      <w:r w:rsidRPr="00C12DA9">
        <w:rPr>
          <w:rFonts w:ascii="Arial" w:hAnsi="Arial" w:cs="Arial"/>
          <w:bCs/>
          <w:i/>
          <w:szCs w:val="18"/>
        </w:rPr>
        <w:t xml:space="preserve">Plasmodium falciparum </w:t>
      </w:r>
      <w:r w:rsidRPr="00C12DA9">
        <w:rPr>
          <w:rFonts w:ascii="Arial" w:hAnsi="Arial" w:cs="Arial"/>
          <w:bCs/>
          <w:szCs w:val="18"/>
        </w:rPr>
        <w:t xml:space="preserve">extracted from urine, saliva and blood. </w:t>
      </w:r>
      <w:r w:rsidRPr="00C12DA9">
        <w:rPr>
          <w:rFonts w:ascii="Arial" w:hAnsi="Arial" w:cs="Arial"/>
          <w:bCs/>
          <w:i/>
          <w:szCs w:val="18"/>
        </w:rPr>
        <w:t xml:space="preserve">Journal of Parasitology and Vector </w:t>
      </w:r>
      <w:r w:rsidRPr="00C12DA9">
        <w:rPr>
          <w:rFonts w:ascii="Arial" w:hAnsi="Arial" w:cs="Arial"/>
          <w:bCs/>
          <w:szCs w:val="18"/>
        </w:rPr>
        <w:t>Biology. 9 (7): 95-105.</w:t>
      </w:r>
    </w:p>
    <w:p w14:paraId="5FD7FBB9" w14:textId="6AD29117" w:rsidR="00C12DA9" w:rsidRPr="00C12DA9" w:rsidRDefault="00C12DA9" w:rsidP="0071277D">
      <w:pPr>
        <w:tabs>
          <w:tab w:val="left" w:pos="2261"/>
        </w:tabs>
        <w:spacing w:line="360" w:lineRule="auto"/>
        <w:ind w:left="708" w:right="1268" w:hanging="708"/>
        <w:rPr>
          <w:rFonts w:ascii="Arial" w:hAnsi="Arial" w:cs="Arial"/>
          <w:bCs/>
          <w:szCs w:val="18"/>
        </w:rPr>
      </w:pPr>
      <w:proofErr w:type="spellStart"/>
      <w:r w:rsidRPr="00C12DA9">
        <w:rPr>
          <w:rFonts w:ascii="Arial" w:hAnsi="Arial" w:cs="Arial"/>
          <w:bCs/>
          <w:szCs w:val="18"/>
        </w:rPr>
        <w:t>Dokomajilar</w:t>
      </w:r>
      <w:proofErr w:type="spellEnd"/>
      <w:r w:rsidRPr="00C12DA9">
        <w:rPr>
          <w:rFonts w:ascii="Arial" w:hAnsi="Arial" w:cs="Arial"/>
          <w:bCs/>
          <w:szCs w:val="18"/>
        </w:rPr>
        <w:t xml:space="preserve"> C., </w:t>
      </w:r>
      <w:proofErr w:type="spellStart"/>
      <w:r w:rsidRPr="00C12DA9">
        <w:rPr>
          <w:rFonts w:ascii="Arial" w:hAnsi="Arial" w:cs="Arial"/>
          <w:bCs/>
          <w:szCs w:val="18"/>
        </w:rPr>
        <w:t>Nsobya</w:t>
      </w:r>
      <w:proofErr w:type="spellEnd"/>
      <w:r w:rsidRPr="00C12DA9">
        <w:rPr>
          <w:rFonts w:ascii="Arial" w:hAnsi="Arial" w:cs="Arial"/>
          <w:bCs/>
          <w:szCs w:val="18"/>
        </w:rPr>
        <w:t xml:space="preserve"> S., Greenhouse B., Rosenthal P. &amp; Dorsey G., 2006 - Selection of </w:t>
      </w:r>
      <w:r w:rsidRPr="00C12DA9">
        <w:rPr>
          <w:rFonts w:ascii="Arial" w:hAnsi="Arial" w:cs="Arial"/>
          <w:bCs/>
          <w:i/>
          <w:szCs w:val="18"/>
        </w:rPr>
        <w:t xml:space="preserve">Plasmodium falciparum pfmdr-1 </w:t>
      </w:r>
      <w:r w:rsidRPr="00C12DA9">
        <w:rPr>
          <w:rFonts w:ascii="Arial" w:hAnsi="Arial" w:cs="Arial"/>
          <w:bCs/>
          <w:szCs w:val="18"/>
        </w:rPr>
        <w:t xml:space="preserve">alleles following therapy with artemether-lumefantrine in an area of Uganda where malaria is highly endemic. </w:t>
      </w:r>
      <w:proofErr w:type="spellStart"/>
      <w:r w:rsidRPr="00C12DA9">
        <w:rPr>
          <w:rFonts w:ascii="Arial" w:hAnsi="Arial" w:cs="Arial"/>
          <w:bCs/>
          <w:i/>
          <w:szCs w:val="18"/>
        </w:rPr>
        <w:t>Antimicrobiology</w:t>
      </w:r>
      <w:proofErr w:type="spellEnd"/>
      <w:r w:rsidRPr="00C12DA9">
        <w:rPr>
          <w:rFonts w:ascii="Arial" w:hAnsi="Arial" w:cs="Arial"/>
          <w:bCs/>
          <w:i/>
          <w:szCs w:val="18"/>
        </w:rPr>
        <w:t xml:space="preserve"> Agents Chemotherapy</w:t>
      </w:r>
      <w:r w:rsidRPr="00C12DA9">
        <w:rPr>
          <w:rFonts w:ascii="Arial" w:hAnsi="Arial" w:cs="Arial"/>
          <w:bCs/>
          <w:szCs w:val="18"/>
        </w:rPr>
        <w:t>. 50: 1893-1895</w:t>
      </w:r>
    </w:p>
    <w:p w14:paraId="051373FD" w14:textId="77777777" w:rsidR="0071277D" w:rsidRPr="0071277D" w:rsidRDefault="00C12DA9" w:rsidP="0071277D">
      <w:pPr>
        <w:tabs>
          <w:tab w:val="left" w:pos="2261"/>
        </w:tabs>
        <w:spacing w:line="360" w:lineRule="auto"/>
        <w:ind w:left="708" w:right="1268" w:hanging="708"/>
        <w:jc w:val="both"/>
        <w:rPr>
          <w:rFonts w:ascii="Arial" w:hAnsi="Arial" w:cs="Arial"/>
          <w:bCs/>
          <w:szCs w:val="18"/>
        </w:rPr>
      </w:pPr>
      <w:proofErr w:type="spellStart"/>
      <w:r w:rsidRPr="00C12DA9">
        <w:rPr>
          <w:rFonts w:ascii="Arial" w:hAnsi="Arial" w:cs="Arial"/>
          <w:bCs/>
          <w:szCs w:val="18"/>
        </w:rPr>
        <w:t>Douchet</w:t>
      </w:r>
      <w:proofErr w:type="spellEnd"/>
      <w:r w:rsidRPr="00C12DA9">
        <w:rPr>
          <w:rFonts w:ascii="Arial" w:hAnsi="Arial" w:cs="Arial"/>
          <w:bCs/>
          <w:szCs w:val="18"/>
        </w:rPr>
        <w:t xml:space="preserve"> C.J.J., </w:t>
      </w:r>
      <w:proofErr w:type="spellStart"/>
      <w:r w:rsidRPr="00C12DA9">
        <w:rPr>
          <w:rFonts w:ascii="Arial" w:hAnsi="Arial" w:cs="Arial"/>
          <w:bCs/>
          <w:szCs w:val="18"/>
        </w:rPr>
        <w:t>G'bary</w:t>
      </w:r>
      <w:proofErr w:type="spellEnd"/>
      <w:r w:rsidRPr="00C12DA9">
        <w:rPr>
          <w:rFonts w:ascii="Arial" w:hAnsi="Arial" w:cs="Arial"/>
          <w:bCs/>
          <w:szCs w:val="18"/>
        </w:rPr>
        <w:t xml:space="preserve"> R., </w:t>
      </w:r>
      <w:proofErr w:type="spellStart"/>
      <w:r w:rsidRPr="00C12DA9">
        <w:rPr>
          <w:rFonts w:ascii="Arial" w:hAnsi="Arial" w:cs="Arial"/>
          <w:bCs/>
          <w:szCs w:val="18"/>
        </w:rPr>
        <w:t>Houon</w:t>
      </w:r>
      <w:proofErr w:type="spellEnd"/>
      <w:r w:rsidRPr="00C12DA9">
        <w:rPr>
          <w:rFonts w:ascii="Arial" w:hAnsi="Arial" w:cs="Arial"/>
          <w:bCs/>
          <w:szCs w:val="18"/>
        </w:rPr>
        <w:t xml:space="preserve"> J. &amp; Payne D., 1984 - </w:t>
      </w:r>
      <w:r w:rsidRPr="00C12DA9">
        <w:rPr>
          <w:rFonts w:ascii="Arial" w:hAnsi="Arial" w:cs="Arial"/>
          <w:bCs/>
          <w:i/>
          <w:szCs w:val="18"/>
        </w:rPr>
        <w:t xml:space="preserve">Plasmodium falciparum </w:t>
      </w:r>
      <w:r w:rsidRPr="00C12DA9">
        <w:rPr>
          <w:rFonts w:ascii="Arial" w:hAnsi="Arial" w:cs="Arial"/>
          <w:bCs/>
          <w:szCs w:val="18"/>
        </w:rPr>
        <w:t xml:space="preserve">sensitivity to Chloroquine in the </w:t>
      </w:r>
      <w:proofErr w:type="spellStart"/>
      <w:r w:rsidRPr="00C12DA9">
        <w:rPr>
          <w:rFonts w:ascii="Arial" w:hAnsi="Arial" w:cs="Arial"/>
          <w:bCs/>
          <w:szCs w:val="18"/>
        </w:rPr>
        <w:t>Buyo</w:t>
      </w:r>
      <w:proofErr w:type="spellEnd"/>
      <w:r w:rsidRPr="00C12DA9">
        <w:rPr>
          <w:rFonts w:ascii="Arial" w:hAnsi="Arial" w:cs="Arial"/>
          <w:bCs/>
          <w:szCs w:val="18"/>
        </w:rPr>
        <w:t xml:space="preserve"> Region, Ivory Coast. Bulletin of the World Health Organization. 62: 777-781.</w:t>
      </w:r>
    </w:p>
    <w:p w14:paraId="2C907B5B" w14:textId="77777777" w:rsidR="0071277D" w:rsidRPr="0071277D" w:rsidRDefault="00C12DA9" w:rsidP="0071277D">
      <w:pPr>
        <w:tabs>
          <w:tab w:val="left" w:pos="2261"/>
        </w:tabs>
        <w:spacing w:line="360" w:lineRule="auto"/>
        <w:ind w:left="708" w:right="1268" w:hanging="708"/>
        <w:jc w:val="both"/>
        <w:rPr>
          <w:rFonts w:ascii="Arial" w:hAnsi="Arial" w:cs="Arial"/>
          <w:bCs/>
          <w:szCs w:val="18"/>
        </w:rPr>
      </w:pPr>
      <w:proofErr w:type="spellStart"/>
      <w:r w:rsidRPr="00C12DA9">
        <w:rPr>
          <w:rFonts w:ascii="Arial" w:hAnsi="Arial" w:cs="Arial"/>
          <w:bCs/>
          <w:szCs w:val="18"/>
        </w:rPr>
        <w:t>Duraisingh</w:t>
      </w:r>
      <w:proofErr w:type="spellEnd"/>
      <w:r w:rsidRPr="00C12DA9">
        <w:rPr>
          <w:rFonts w:ascii="Arial" w:hAnsi="Arial" w:cs="Arial"/>
          <w:bCs/>
          <w:szCs w:val="18"/>
        </w:rPr>
        <w:t xml:space="preserve"> M.T. &amp; Cowman A.F., 2005 - Contribution of the </w:t>
      </w:r>
      <w:r w:rsidRPr="00C12DA9">
        <w:rPr>
          <w:rFonts w:ascii="Arial" w:hAnsi="Arial" w:cs="Arial"/>
          <w:bCs/>
          <w:i/>
          <w:szCs w:val="18"/>
        </w:rPr>
        <w:t xml:space="preserve">pfmdr-1 </w:t>
      </w:r>
      <w:r w:rsidRPr="00C12DA9">
        <w:rPr>
          <w:rFonts w:ascii="Arial" w:hAnsi="Arial" w:cs="Arial"/>
          <w:bCs/>
          <w:szCs w:val="18"/>
        </w:rPr>
        <w:t xml:space="preserve">gene to antimalarial drug-resistance. </w:t>
      </w:r>
      <w:r w:rsidRPr="00C12DA9">
        <w:rPr>
          <w:rFonts w:ascii="Arial" w:hAnsi="Arial" w:cs="Arial"/>
          <w:bCs/>
          <w:i/>
          <w:szCs w:val="18"/>
        </w:rPr>
        <w:t xml:space="preserve">Acta </w:t>
      </w:r>
      <w:proofErr w:type="spellStart"/>
      <w:r w:rsidRPr="00C12DA9">
        <w:rPr>
          <w:rFonts w:ascii="Arial" w:hAnsi="Arial" w:cs="Arial"/>
          <w:bCs/>
          <w:i/>
          <w:szCs w:val="18"/>
        </w:rPr>
        <w:t>Tropica</w:t>
      </w:r>
      <w:proofErr w:type="spellEnd"/>
      <w:r w:rsidRPr="00C12DA9">
        <w:rPr>
          <w:rFonts w:ascii="Arial" w:hAnsi="Arial" w:cs="Arial"/>
          <w:bCs/>
          <w:szCs w:val="18"/>
        </w:rPr>
        <w:t>. 94: 181-190.</w:t>
      </w:r>
    </w:p>
    <w:p w14:paraId="34FE759C" w14:textId="77777777" w:rsidR="0071277D" w:rsidRPr="0071277D" w:rsidRDefault="00C12DA9" w:rsidP="0071277D">
      <w:pPr>
        <w:tabs>
          <w:tab w:val="left" w:pos="2261"/>
        </w:tabs>
        <w:spacing w:line="360" w:lineRule="auto"/>
        <w:ind w:left="708" w:right="1268" w:hanging="708"/>
        <w:jc w:val="both"/>
        <w:rPr>
          <w:rFonts w:ascii="Arial" w:hAnsi="Arial" w:cs="Arial"/>
          <w:bCs/>
          <w:szCs w:val="18"/>
        </w:rPr>
      </w:pPr>
      <w:r w:rsidRPr="00C12DA9">
        <w:rPr>
          <w:rFonts w:ascii="Arial" w:hAnsi="Arial" w:cs="Arial"/>
          <w:bCs/>
          <w:szCs w:val="18"/>
        </w:rPr>
        <w:t xml:space="preserve">Frosch A.E., Laufer M.K., </w:t>
      </w:r>
      <w:proofErr w:type="spellStart"/>
      <w:r w:rsidRPr="00C12DA9">
        <w:rPr>
          <w:rFonts w:ascii="Arial" w:hAnsi="Arial" w:cs="Arial"/>
          <w:bCs/>
          <w:szCs w:val="18"/>
        </w:rPr>
        <w:t>Mathanga</w:t>
      </w:r>
      <w:proofErr w:type="spellEnd"/>
      <w:r w:rsidRPr="00C12DA9">
        <w:rPr>
          <w:rFonts w:ascii="Arial" w:hAnsi="Arial" w:cs="Arial"/>
          <w:bCs/>
          <w:szCs w:val="18"/>
        </w:rPr>
        <w:t xml:space="preserve"> D.P., </w:t>
      </w:r>
      <w:proofErr w:type="spellStart"/>
      <w:r w:rsidRPr="00C12DA9">
        <w:rPr>
          <w:rFonts w:ascii="Arial" w:hAnsi="Arial" w:cs="Arial"/>
          <w:bCs/>
          <w:szCs w:val="18"/>
        </w:rPr>
        <w:t>Takala</w:t>
      </w:r>
      <w:proofErr w:type="spellEnd"/>
      <w:r w:rsidRPr="00C12DA9">
        <w:rPr>
          <w:rFonts w:ascii="Arial" w:hAnsi="Arial" w:cs="Arial"/>
          <w:bCs/>
          <w:szCs w:val="18"/>
        </w:rPr>
        <w:t xml:space="preserve">-Harrison S., </w:t>
      </w:r>
      <w:proofErr w:type="spellStart"/>
      <w:r w:rsidRPr="00C12DA9">
        <w:rPr>
          <w:rFonts w:ascii="Arial" w:hAnsi="Arial" w:cs="Arial"/>
          <w:bCs/>
          <w:szCs w:val="18"/>
        </w:rPr>
        <w:t>Skarbinski</w:t>
      </w:r>
      <w:proofErr w:type="spellEnd"/>
      <w:r w:rsidRPr="00C12DA9">
        <w:rPr>
          <w:rFonts w:ascii="Arial" w:hAnsi="Arial" w:cs="Arial"/>
          <w:bCs/>
          <w:szCs w:val="18"/>
        </w:rPr>
        <w:t xml:space="preserve"> J., Claassen C.W., </w:t>
      </w:r>
      <w:proofErr w:type="spellStart"/>
      <w:r w:rsidRPr="00C12DA9">
        <w:rPr>
          <w:rFonts w:ascii="Arial" w:hAnsi="Arial" w:cs="Arial"/>
          <w:bCs/>
          <w:szCs w:val="18"/>
        </w:rPr>
        <w:t>Dzinjalamala</w:t>
      </w:r>
      <w:proofErr w:type="spellEnd"/>
      <w:r w:rsidRPr="00C12DA9">
        <w:rPr>
          <w:rFonts w:ascii="Arial" w:hAnsi="Arial" w:cs="Arial"/>
          <w:bCs/>
          <w:szCs w:val="18"/>
        </w:rPr>
        <w:t xml:space="preserve"> F.K. &amp; </w:t>
      </w:r>
      <w:proofErr w:type="spellStart"/>
      <w:r w:rsidRPr="00C12DA9">
        <w:rPr>
          <w:rFonts w:ascii="Arial" w:hAnsi="Arial" w:cs="Arial"/>
          <w:bCs/>
          <w:szCs w:val="18"/>
        </w:rPr>
        <w:t>Plowe</w:t>
      </w:r>
      <w:proofErr w:type="spellEnd"/>
      <w:r w:rsidRPr="00C12DA9">
        <w:rPr>
          <w:rFonts w:ascii="Arial" w:hAnsi="Arial" w:cs="Arial"/>
          <w:bCs/>
          <w:szCs w:val="18"/>
        </w:rPr>
        <w:t xml:space="preserve"> C.V., 2014.- Return of widespread </w:t>
      </w:r>
      <w:proofErr w:type="spellStart"/>
      <w:r w:rsidRPr="00C12DA9">
        <w:rPr>
          <w:rFonts w:ascii="Arial" w:hAnsi="Arial" w:cs="Arial"/>
          <w:bCs/>
          <w:szCs w:val="18"/>
        </w:rPr>
        <w:t>chloroquinesensitive</w:t>
      </w:r>
      <w:proofErr w:type="spellEnd"/>
      <w:r w:rsidRPr="00C12DA9">
        <w:rPr>
          <w:rFonts w:ascii="Arial" w:hAnsi="Arial" w:cs="Arial"/>
          <w:bCs/>
          <w:szCs w:val="18"/>
        </w:rPr>
        <w:t xml:space="preserve"> </w:t>
      </w:r>
      <w:r w:rsidRPr="00C12DA9">
        <w:rPr>
          <w:rFonts w:ascii="Arial" w:hAnsi="Arial" w:cs="Arial"/>
          <w:bCs/>
          <w:i/>
          <w:szCs w:val="18"/>
        </w:rPr>
        <w:t xml:space="preserve">Plasmodium falciparum </w:t>
      </w:r>
      <w:r w:rsidRPr="00C12DA9">
        <w:rPr>
          <w:rFonts w:ascii="Arial" w:hAnsi="Arial" w:cs="Arial"/>
          <w:bCs/>
          <w:szCs w:val="18"/>
        </w:rPr>
        <w:t xml:space="preserve">to Malawi. </w:t>
      </w:r>
      <w:r w:rsidRPr="00C12DA9">
        <w:rPr>
          <w:rFonts w:ascii="Arial" w:hAnsi="Arial" w:cs="Arial"/>
          <w:bCs/>
          <w:i/>
          <w:szCs w:val="18"/>
        </w:rPr>
        <w:t>The Journal of Infectious Diseases</w:t>
      </w:r>
      <w:r w:rsidRPr="00C12DA9">
        <w:rPr>
          <w:rFonts w:ascii="Arial" w:hAnsi="Arial" w:cs="Arial"/>
          <w:bCs/>
          <w:szCs w:val="18"/>
        </w:rPr>
        <w:t>. 210: 1110-1114.</w:t>
      </w:r>
    </w:p>
    <w:p w14:paraId="757E6476" w14:textId="77777777" w:rsidR="0071277D" w:rsidRPr="0071277D" w:rsidRDefault="00C12DA9" w:rsidP="0071277D">
      <w:pPr>
        <w:tabs>
          <w:tab w:val="left" w:pos="2260"/>
        </w:tabs>
        <w:spacing w:line="360" w:lineRule="auto"/>
        <w:ind w:left="708" w:right="1268" w:hanging="708"/>
        <w:jc w:val="both"/>
        <w:rPr>
          <w:rFonts w:ascii="Arial" w:hAnsi="Arial" w:cs="Arial"/>
          <w:bCs/>
          <w:szCs w:val="18"/>
        </w:rPr>
      </w:pPr>
      <w:r w:rsidRPr="00C12DA9">
        <w:rPr>
          <w:rFonts w:ascii="Arial" w:hAnsi="Arial" w:cs="Arial"/>
          <w:bCs/>
          <w:szCs w:val="18"/>
        </w:rPr>
        <w:t xml:space="preserve">Hayward R., </w:t>
      </w:r>
      <w:proofErr w:type="spellStart"/>
      <w:r w:rsidRPr="00C12DA9">
        <w:rPr>
          <w:rFonts w:ascii="Arial" w:hAnsi="Arial" w:cs="Arial"/>
          <w:bCs/>
          <w:szCs w:val="18"/>
        </w:rPr>
        <w:t>Saliba</w:t>
      </w:r>
      <w:proofErr w:type="spellEnd"/>
      <w:r w:rsidRPr="00C12DA9">
        <w:rPr>
          <w:rFonts w:ascii="Arial" w:hAnsi="Arial" w:cs="Arial"/>
          <w:bCs/>
          <w:szCs w:val="18"/>
        </w:rPr>
        <w:t xml:space="preserve"> K.J. &amp; Kirk K., 2005 - </w:t>
      </w:r>
      <w:r w:rsidRPr="00C12DA9">
        <w:rPr>
          <w:rFonts w:ascii="Arial" w:hAnsi="Arial" w:cs="Arial"/>
          <w:bCs/>
          <w:i/>
          <w:szCs w:val="18"/>
        </w:rPr>
        <w:t xml:space="preserve">Pfmdr-1 </w:t>
      </w:r>
      <w:r w:rsidRPr="00C12DA9">
        <w:rPr>
          <w:rFonts w:ascii="Arial" w:hAnsi="Arial" w:cs="Arial"/>
          <w:bCs/>
          <w:szCs w:val="18"/>
        </w:rPr>
        <w:t xml:space="preserve">mutation associated with chloroquine resistance incur a fitness cost in </w:t>
      </w:r>
      <w:r w:rsidRPr="00C12DA9">
        <w:rPr>
          <w:rFonts w:ascii="Arial" w:hAnsi="Arial" w:cs="Arial"/>
          <w:bCs/>
          <w:i/>
          <w:szCs w:val="18"/>
        </w:rPr>
        <w:t>Plasmodium falciparum</w:t>
      </w:r>
      <w:r w:rsidRPr="00C12DA9">
        <w:rPr>
          <w:rFonts w:ascii="Arial" w:hAnsi="Arial" w:cs="Arial"/>
          <w:bCs/>
          <w:szCs w:val="18"/>
        </w:rPr>
        <w:t xml:space="preserve">. </w:t>
      </w:r>
      <w:r w:rsidRPr="00C12DA9">
        <w:rPr>
          <w:rFonts w:ascii="Arial" w:hAnsi="Arial" w:cs="Arial"/>
          <w:bCs/>
          <w:i/>
          <w:szCs w:val="18"/>
        </w:rPr>
        <w:t>Molecular Microbiology</w:t>
      </w:r>
      <w:r w:rsidRPr="00C12DA9">
        <w:rPr>
          <w:rFonts w:ascii="Arial" w:hAnsi="Arial" w:cs="Arial"/>
          <w:bCs/>
          <w:szCs w:val="18"/>
        </w:rPr>
        <w:t>. 55: 1285-1295.</w:t>
      </w:r>
    </w:p>
    <w:p w14:paraId="72E40BAF" w14:textId="77777777" w:rsidR="0071277D" w:rsidRPr="0071277D" w:rsidRDefault="00C12DA9" w:rsidP="0071277D">
      <w:pPr>
        <w:tabs>
          <w:tab w:val="left" w:pos="2261"/>
        </w:tabs>
        <w:spacing w:line="360" w:lineRule="auto"/>
        <w:ind w:left="708" w:right="1268" w:hanging="708"/>
        <w:jc w:val="both"/>
        <w:rPr>
          <w:rFonts w:ascii="Arial" w:hAnsi="Arial" w:cs="Arial"/>
          <w:bCs/>
          <w:szCs w:val="18"/>
        </w:rPr>
      </w:pPr>
      <w:proofErr w:type="spellStart"/>
      <w:r w:rsidRPr="00C12DA9">
        <w:rPr>
          <w:rFonts w:ascii="Arial" w:hAnsi="Arial" w:cs="Arial"/>
          <w:bCs/>
          <w:szCs w:val="18"/>
        </w:rPr>
        <w:t>Igbasi</w:t>
      </w:r>
      <w:proofErr w:type="spellEnd"/>
      <w:r w:rsidRPr="00C12DA9">
        <w:rPr>
          <w:rFonts w:ascii="Arial" w:hAnsi="Arial" w:cs="Arial"/>
          <w:bCs/>
          <w:szCs w:val="18"/>
        </w:rPr>
        <w:t xml:space="preserve"> U., Oyibo W., </w:t>
      </w:r>
      <w:proofErr w:type="spellStart"/>
      <w:r w:rsidRPr="00C12DA9">
        <w:rPr>
          <w:rFonts w:ascii="Arial" w:hAnsi="Arial" w:cs="Arial"/>
          <w:bCs/>
          <w:szCs w:val="18"/>
        </w:rPr>
        <w:t>Omilabu</w:t>
      </w:r>
      <w:proofErr w:type="spellEnd"/>
      <w:r w:rsidRPr="00C12DA9">
        <w:rPr>
          <w:rFonts w:ascii="Arial" w:hAnsi="Arial" w:cs="Arial"/>
          <w:bCs/>
          <w:szCs w:val="18"/>
        </w:rPr>
        <w:t xml:space="preserve"> S., Quan, H., Chen S. B., Shen H. M. &amp; Zhou</w:t>
      </w:r>
      <w:r w:rsidR="0071277D" w:rsidRPr="0071277D">
        <w:rPr>
          <w:rFonts w:ascii="Arial" w:hAnsi="Arial" w:cs="Arial"/>
          <w:bCs/>
          <w:szCs w:val="18"/>
        </w:rPr>
        <w:t xml:space="preserve"> </w:t>
      </w:r>
      <w:r w:rsidRPr="00C12DA9">
        <w:rPr>
          <w:rFonts w:ascii="Arial" w:hAnsi="Arial" w:cs="Arial"/>
          <w:bCs/>
          <w:szCs w:val="18"/>
        </w:rPr>
        <w:t xml:space="preserve">X. N., 2019.- K13 </w:t>
      </w:r>
      <w:r w:rsidRPr="00C12DA9">
        <w:rPr>
          <w:rFonts w:ascii="Arial" w:hAnsi="Arial" w:cs="Arial"/>
          <w:bCs/>
          <w:i/>
          <w:szCs w:val="18"/>
        </w:rPr>
        <w:t xml:space="preserve">propeller </w:t>
      </w:r>
      <w:r w:rsidRPr="00C12DA9">
        <w:rPr>
          <w:rFonts w:ascii="Arial" w:hAnsi="Arial" w:cs="Arial"/>
          <w:bCs/>
          <w:szCs w:val="18"/>
        </w:rPr>
        <w:t xml:space="preserve">gene polymorphism among </w:t>
      </w:r>
      <w:r w:rsidRPr="00C12DA9">
        <w:rPr>
          <w:rFonts w:ascii="Arial" w:hAnsi="Arial" w:cs="Arial"/>
          <w:bCs/>
          <w:i/>
          <w:szCs w:val="18"/>
        </w:rPr>
        <w:t xml:space="preserve">Plasmodium falciparum </w:t>
      </w:r>
      <w:r w:rsidRPr="00C12DA9">
        <w:rPr>
          <w:rFonts w:ascii="Arial" w:hAnsi="Arial" w:cs="Arial"/>
          <w:bCs/>
          <w:szCs w:val="18"/>
        </w:rPr>
        <w:t xml:space="preserve">isolates in Lagos, Nigeria: Molecular Epidemiologic Study. </w:t>
      </w:r>
      <w:r w:rsidRPr="00C12DA9">
        <w:rPr>
          <w:rFonts w:ascii="Arial" w:hAnsi="Arial" w:cs="Arial"/>
          <w:bCs/>
          <w:i/>
          <w:szCs w:val="18"/>
        </w:rPr>
        <w:t>Tropical Medicine and International Health</w:t>
      </w:r>
      <w:r w:rsidRPr="00C12DA9">
        <w:rPr>
          <w:rFonts w:ascii="Arial" w:hAnsi="Arial" w:cs="Arial"/>
          <w:bCs/>
          <w:szCs w:val="18"/>
        </w:rPr>
        <w:t>. 24 (8): 1011-1017.</w:t>
      </w:r>
    </w:p>
    <w:p w14:paraId="7E626539"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lastRenderedPageBreak/>
        <w:t xml:space="preserve">Kamau E., </w:t>
      </w:r>
      <w:proofErr w:type="spellStart"/>
      <w:r w:rsidRPr="0071277D">
        <w:rPr>
          <w:rFonts w:ascii="Arial" w:hAnsi="Arial" w:cs="Arial"/>
          <w:bCs/>
          <w:szCs w:val="18"/>
        </w:rPr>
        <w:t>Campino</w:t>
      </w:r>
      <w:proofErr w:type="spellEnd"/>
      <w:r w:rsidRPr="0071277D">
        <w:rPr>
          <w:rFonts w:ascii="Arial" w:hAnsi="Arial" w:cs="Arial"/>
          <w:bCs/>
          <w:szCs w:val="18"/>
        </w:rPr>
        <w:t xml:space="preserve"> S., </w:t>
      </w:r>
      <w:proofErr w:type="spellStart"/>
      <w:r w:rsidRPr="0071277D">
        <w:rPr>
          <w:rFonts w:ascii="Arial" w:hAnsi="Arial" w:cs="Arial"/>
          <w:bCs/>
          <w:szCs w:val="18"/>
        </w:rPr>
        <w:t>Amenga-Etego</w:t>
      </w:r>
      <w:proofErr w:type="spellEnd"/>
      <w:r w:rsidRPr="0071277D">
        <w:rPr>
          <w:rFonts w:ascii="Arial" w:hAnsi="Arial" w:cs="Arial"/>
          <w:bCs/>
          <w:szCs w:val="18"/>
        </w:rPr>
        <w:t xml:space="preserve"> L., Drury E., </w:t>
      </w:r>
      <w:proofErr w:type="spellStart"/>
      <w:r w:rsidRPr="0071277D">
        <w:rPr>
          <w:rFonts w:ascii="Arial" w:hAnsi="Arial" w:cs="Arial"/>
          <w:bCs/>
          <w:szCs w:val="18"/>
        </w:rPr>
        <w:t>Ishengoma</w:t>
      </w:r>
      <w:proofErr w:type="spellEnd"/>
      <w:r w:rsidRPr="0071277D">
        <w:rPr>
          <w:rFonts w:ascii="Arial" w:hAnsi="Arial" w:cs="Arial"/>
          <w:bCs/>
          <w:szCs w:val="18"/>
        </w:rPr>
        <w:t xml:space="preserve"> D., Johnson K., Mumba D., </w:t>
      </w:r>
      <w:proofErr w:type="spellStart"/>
      <w:r w:rsidRPr="0071277D">
        <w:rPr>
          <w:rFonts w:ascii="Arial" w:hAnsi="Arial" w:cs="Arial"/>
          <w:bCs/>
          <w:szCs w:val="18"/>
        </w:rPr>
        <w:t>Kekre</w:t>
      </w:r>
      <w:proofErr w:type="spellEnd"/>
      <w:r w:rsidRPr="0071277D">
        <w:rPr>
          <w:rFonts w:ascii="Arial" w:hAnsi="Arial" w:cs="Arial"/>
          <w:bCs/>
          <w:szCs w:val="18"/>
        </w:rPr>
        <w:t xml:space="preserve"> M., </w:t>
      </w:r>
      <w:proofErr w:type="spellStart"/>
      <w:r w:rsidRPr="0071277D">
        <w:rPr>
          <w:rFonts w:ascii="Arial" w:hAnsi="Arial" w:cs="Arial"/>
          <w:bCs/>
          <w:szCs w:val="18"/>
        </w:rPr>
        <w:t>Yavo</w:t>
      </w:r>
      <w:proofErr w:type="spellEnd"/>
      <w:r w:rsidRPr="0071277D">
        <w:rPr>
          <w:rFonts w:ascii="Arial" w:hAnsi="Arial" w:cs="Arial"/>
          <w:bCs/>
          <w:szCs w:val="18"/>
        </w:rPr>
        <w:t xml:space="preserve"> W., Mead D., </w:t>
      </w:r>
      <w:proofErr w:type="spellStart"/>
      <w:r w:rsidRPr="0071277D">
        <w:rPr>
          <w:rFonts w:ascii="Arial" w:hAnsi="Arial" w:cs="Arial"/>
          <w:bCs/>
          <w:szCs w:val="18"/>
        </w:rPr>
        <w:t>Bouyou-Akotet</w:t>
      </w:r>
      <w:proofErr w:type="spellEnd"/>
      <w:r w:rsidRPr="0071277D">
        <w:rPr>
          <w:rFonts w:ascii="Arial" w:hAnsi="Arial" w:cs="Arial"/>
          <w:bCs/>
          <w:szCs w:val="18"/>
        </w:rPr>
        <w:t xml:space="preserve"> M., </w:t>
      </w:r>
      <w:proofErr w:type="spellStart"/>
      <w:r w:rsidRPr="0071277D">
        <w:rPr>
          <w:rFonts w:ascii="Arial" w:hAnsi="Arial" w:cs="Arial"/>
          <w:bCs/>
          <w:szCs w:val="18"/>
        </w:rPr>
        <w:t>Apinjoh</w:t>
      </w:r>
      <w:proofErr w:type="spellEnd"/>
      <w:r w:rsidRPr="0071277D">
        <w:rPr>
          <w:rFonts w:ascii="Arial" w:hAnsi="Arial" w:cs="Arial"/>
          <w:bCs/>
          <w:szCs w:val="18"/>
        </w:rPr>
        <w:t xml:space="preserve"> T., </w:t>
      </w:r>
      <w:proofErr w:type="spellStart"/>
      <w:r w:rsidRPr="0071277D">
        <w:rPr>
          <w:rFonts w:ascii="Arial" w:hAnsi="Arial" w:cs="Arial"/>
          <w:bCs/>
          <w:szCs w:val="18"/>
        </w:rPr>
        <w:t>Golassa</w:t>
      </w:r>
      <w:proofErr w:type="spellEnd"/>
      <w:r w:rsidRPr="0071277D">
        <w:rPr>
          <w:rFonts w:ascii="Arial" w:hAnsi="Arial" w:cs="Arial"/>
          <w:bCs/>
          <w:szCs w:val="18"/>
        </w:rPr>
        <w:t xml:space="preserve"> L., </w:t>
      </w:r>
      <w:proofErr w:type="spellStart"/>
      <w:r w:rsidRPr="0071277D">
        <w:rPr>
          <w:rFonts w:ascii="Arial" w:hAnsi="Arial" w:cs="Arial"/>
          <w:bCs/>
          <w:szCs w:val="18"/>
        </w:rPr>
        <w:t>Randrianarivelojosia</w:t>
      </w:r>
      <w:proofErr w:type="spellEnd"/>
      <w:r w:rsidRPr="0071277D">
        <w:rPr>
          <w:rFonts w:ascii="Arial" w:hAnsi="Arial" w:cs="Arial"/>
          <w:bCs/>
          <w:szCs w:val="18"/>
        </w:rPr>
        <w:t xml:space="preserve"> M., </w:t>
      </w:r>
      <w:proofErr w:type="spellStart"/>
      <w:r w:rsidRPr="0071277D">
        <w:rPr>
          <w:rFonts w:ascii="Arial" w:hAnsi="Arial" w:cs="Arial"/>
          <w:bCs/>
          <w:szCs w:val="18"/>
        </w:rPr>
        <w:t>Andagalu</w:t>
      </w:r>
      <w:proofErr w:type="spellEnd"/>
      <w:r w:rsidRPr="0071277D">
        <w:rPr>
          <w:rFonts w:ascii="Arial" w:hAnsi="Arial" w:cs="Arial"/>
          <w:bCs/>
          <w:szCs w:val="18"/>
        </w:rPr>
        <w:t xml:space="preserve"> B., </w:t>
      </w:r>
      <w:proofErr w:type="spellStart"/>
      <w:r w:rsidRPr="0071277D">
        <w:rPr>
          <w:rFonts w:ascii="Arial" w:hAnsi="Arial" w:cs="Arial"/>
          <w:bCs/>
          <w:szCs w:val="18"/>
        </w:rPr>
        <w:t>Maiga-Ascofare</w:t>
      </w:r>
      <w:proofErr w:type="spellEnd"/>
      <w:r w:rsidRPr="0071277D">
        <w:rPr>
          <w:rFonts w:ascii="Arial" w:hAnsi="Arial" w:cs="Arial"/>
          <w:bCs/>
          <w:szCs w:val="18"/>
        </w:rPr>
        <w:t xml:space="preserve"> O., </w:t>
      </w:r>
      <w:proofErr w:type="spellStart"/>
      <w:r w:rsidRPr="0071277D">
        <w:rPr>
          <w:rFonts w:ascii="Arial" w:hAnsi="Arial" w:cs="Arial"/>
          <w:bCs/>
          <w:szCs w:val="18"/>
        </w:rPr>
        <w:t>Amambua-Ngwa</w:t>
      </w:r>
      <w:proofErr w:type="spellEnd"/>
      <w:r w:rsidRPr="0071277D">
        <w:rPr>
          <w:rFonts w:ascii="Arial" w:hAnsi="Arial" w:cs="Arial"/>
          <w:bCs/>
          <w:szCs w:val="18"/>
        </w:rPr>
        <w:t xml:space="preserve"> A., </w:t>
      </w:r>
      <w:proofErr w:type="spellStart"/>
      <w:r w:rsidRPr="0071277D">
        <w:rPr>
          <w:rFonts w:ascii="Arial" w:hAnsi="Arial" w:cs="Arial"/>
          <w:bCs/>
          <w:szCs w:val="18"/>
        </w:rPr>
        <w:t>Tindana</w:t>
      </w:r>
      <w:proofErr w:type="spellEnd"/>
      <w:r w:rsidRPr="0071277D">
        <w:rPr>
          <w:rFonts w:ascii="Arial" w:hAnsi="Arial" w:cs="Arial"/>
          <w:bCs/>
          <w:szCs w:val="18"/>
        </w:rPr>
        <w:t xml:space="preserve"> P., Ghansah A., </w:t>
      </w:r>
      <w:proofErr w:type="spellStart"/>
      <w:r w:rsidRPr="0071277D">
        <w:rPr>
          <w:rFonts w:ascii="Arial" w:hAnsi="Arial" w:cs="Arial"/>
          <w:bCs/>
          <w:szCs w:val="18"/>
        </w:rPr>
        <w:t>MacInnis</w:t>
      </w:r>
      <w:proofErr w:type="spellEnd"/>
      <w:r w:rsidRPr="0071277D">
        <w:rPr>
          <w:rFonts w:ascii="Arial" w:hAnsi="Arial" w:cs="Arial"/>
          <w:bCs/>
          <w:szCs w:val="18"/>
        </w:rPr>
        <w:t xml:space="preserve"> B., Kwiatkowski D. &amp; </w:t>
      </w:r>
      <w:proofErr w:type="spellStart"/>
      <w:r w:rsidRPr="0071277D">
        <w:rPr>
          <w:rFonts w:ascii="Arial" w:hAnsi="Arial" w:cs="Arial"/>
          <w:bCs/>
          <w:szCs w:val="18"/>
        </w:rPr>
        <w:t>Djimdé</w:t>
      </w:r>
      <w:proofErr w:type="spellEnd"/>
      <w:r w:rsidRPr="0071277D">
        <w:rPr>
          <w:rFonts w:ascii="Arial" w:hAnsi="Arial" w:cs="Arial"/>
          <w:bCs/>
          <w:szCs w:val="18"/>
        </w:rPr>
        <w:t xml:space="preserve"> A.A., 2015.- K13- propeller polymorphisms in </w:t>
      </w:r>
      <w:r w:rsidRPr="0071277D">
        <w:rPr>
          <w:rFonts w:ascii="Arial" w:hAnsi="Arial" w:cs="Arial"/>
          <w:bCs/>
          <w:i/>
          <w:szCs w:val="18"/>
        </w:rPr>
        <w:t xml:space="preserve">Plasmodium falciparum </w:t>
      </w:r>
      <w:r w:rsidRPr="0071277D">
        <w:rPr>
          <w:rFonts w:ascii="Arial" w:hAnsi="Arial" w:cs="Arial"/>
          <w:bCs/>
          <w:szCs w:val="18"/>
        </w:rPr>
        <w:t xml:space="preserve">parasites from sub-Saharan Africa. </w:t>
      </w:r>
      <w:r w:rsidRPr="0071277D">
        <w:rPr>
          <w:rFonts w:ascii="Arial" w:hAnsi="Arial" w:cs="Arial"/>
          <w:bCs/>
          <w:i/>
          <w:szCs w:val="18"/>
        </w:rPr>
        <w:t>The Journal of Infectious Diseases</w:t>
      </w:r>
      <w:r w:rsidRPr="0071277D">
        <w:rPr>
          <w:rFonts w:ascii="Arial" w:hAnsi="Arial" w:cs="Arial"/>
          <w:bCs/>
          <w:szCs w:val="18"/>
        </w:rPr>
        <w:t>. 211: 1352- 1355.</w:t>
      </w:r>
    </w:p>
    <w:p w14:paraId="2FD71361" w14:textId="77777777" w:rsidR="0071277D" w:rsidRPr="0071277D" w:rsidRDefault="0071277D" w:rsidP="0071277D">
      <w:pPr>
        <w:tabs>
          <w:tab w:val="left" w:pos="2259"/>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Konaté</w:t>
      </w:r>
      <w:proofErr w:type="spellEnd"/>
      <w:r w:rsidRPr="0071277D">
        <w:rPr>
          <w:rFonts w:ascii="Arial" w:hAnsi="Arial" w:cs="Arial"/>
          <w:bCs/>
          <w:szCs w:val="18"/>
        </w:rPr>
        <w:t xml:space="preserve"> A., 2018.- Étude </w:t>
      </w:r>
      <w:proofErr w:type="spellStart"/>
      <w:r w:rsidRPr="0071277D">
        <w:rPr>
          <w:rFonts w:ascii="Arial" w:hAnsi="Arial" w:cs="Arial"/>
          <w:bCs/>
          <w:szCs w:val="18"/>
        </w:rPr>
        <w:t>phénotypique</w:t>
      </w:r>
      <w:proofErr w:type="spellEnd"/>
      <w:r w:rsidRPr="0071277D">
        <w:rPr>
          <w:rFonts w:ascii="Arial" w:hAnsi="Arial" w:cs="Arial"/>
          <w:bCs/>
          <w:szCs w:val="18"/>
        </w:rPr>
        <w:t xml:space="preserve"> et </w:t>
      </w:r>
      <w:proofErr w:type="spellStart"/>
      <w:r w:rsidRPr="0071277D">
        <w:rPr>
          <w:rFonts w:ascii="Arial" w:hAnsi="Arial" w:cs="Arial"/>
          <w:bCs/>
          <w:szCs w:val="18"/>
        </w:rPr>
        <w:t>génotypique</w:t>
      </w:r>
      <w:proofErr w:type="spellEnd"/>
      <w:r w:rsidRPr="0071277D">
        <w:rPr>
          <w:rFonts w:ascii="Arial" w:hAnsi="Arial" w:cs="Arial"/>
          <w:bCs/>
          <w:szCs w:val="18"/>
        </w:rPr>
        <w:t xml:space="preserve"> de la résistance de </w:t>
      </w:r>
      <w:r w:rsidRPr="0071277D">
        <w:rPr>
          <w:rFonts w:ascii="Arial" w:hAnsi="Arial" w:cs="Arial"/>
          <w:bCs/>
          <w:i/>
          <w:szCs w:val="18"/>
        </w:rPr>
        <w:t xml:space="preserve">plasmodium falciparum </w:t>
      </w:r>
      <w:r w:rsidRPr="0071277D">
        <w:rPr>
          <w:rFonts w:ascii="Arial" w:hAnsi="Arial" w:cs="Arial"/>
          <w:bCs/>
          <w:szCs w:val="18"/>
        </w:rPr>
        <w:t xml:space="preserve">a </w:t>
      </w:r>
      <w:proofErr w:type="spellStart"/>
      <w:r w:rsidRPr="0071277D">
        <w:rPr>
          <w:rFonts w:ascii="Arial" w:hAnsi="Arial" w:cs="Arial"/>
          <w:bCs/>
          <w:szCs w:val="18"/>
        </w:rPr>
        <w:t>l'artésunate</w:t>
      </w:r>
      <w:proofErr w:type="spellEnd"/>
      <w:r w:rsidRPr="0071277D">
        <w:rPr>
          <w:rFonts w:ascii="Arial" w:hAnsi="Arial" w:cs="Arial"/>
          <w:bCs/>
          <w:szCs w:val="18"/>
        </w:rPr>
        <w:t xml:space="preserve">-amodiaquine et </w:t>
      </w:r>
      <w:proofErr w:type="spellStart"/>
      <w:r w:rsidRPr="0071277D">
        <w:rPr>
          <w:rFonts w:ascii="Arial" w:hAnsi="Arial" w:cs="Arial"/>
          <w:bCs/>
          <w:szCs w:val="18"/>
        </w:rPr>
        <w:t>l'Artéméther</w:t>
      </w:r>
      <w:proofErr w:type="spellEnd"/>
      <w:r w:rsidRPr="0071277D">
        <w:rPr>
          <w:rFonts w:ascii="Arial" w:hAnsi="Arial" w:cs="Arial"/>
          <w:bCs/>
          <w:szCs w:val="18"/>
        </w:rPr>
        <w:t xml:space="preserve">-lumefantrine dans trois sites </w:t>
      </w:r>
      <w:proofErr w:type="spellStart"/>
      <w:r w:rsidRPr="0071277D">
        <w:rPr>
          <w:rFonts w:ascii="Arial" w:hAnsi="Arial" w:cs="Arial"/>
          <w:bCs/>
          <w:szCs w:val="18"/>
        </w:rPr>
        <w:t>sentinelles</w:t>
      </w:r>
      <w:proofErr w:type="spellEnd"/>
      <w:r w:rsidRPr="0071277D">
        <w:rPr>
          <w:rFonts w:ascii="Arial" w:hAnsi="Arial" w:cs="Arial"/>
          <w:bCs/>
          <w:szCs w:val="18"/>
        </w:rPr>
        <w:t xml:space="preserve"> de Côte d'Ivoire, </w:t>
      </w:r>
      <w:proofErr w:type="spellStart"/>
      <w:r w:rsidRPr="0071277D">
        <w:rPr>
          <w:rFonts w:ascii="Arial" w:hAnsi="Arial" w:cs="Arial"/>
          <w:bCs/>
          <w:i/>
          <w:szCs w:val="18"/>
        </w:rPr>
        <w:t>Thèse</w:t>
      </w:r>
      <w:proofErr w:type="spellEnd"/>
      <w:r w:rsidRPr="0071277D">
        <w:rPr>
          <w:rFonts w:ascii="Arial" w:hAnsi="Arial" w:cs="Arial"/>
          <w:bCs/>
          <w:i/>
          <w:szCs w:val="18"/>
        </w:rPr>
        <w:t xml:space="preserve"> de </w:t>
      </w:r>
      <w:proofErr w:type="spellStart"/>
      <w:r w:rsidRPr="0071277D">
        <w:rPr>
          <w:rFonts w:ascii="Arial" w:hAnsi="Arial" w:cs="Arial"/>
          <w:bCs/>
          <w:i/>
          <w:szCs w:val="18"/>
        </w:rPr>
        <w:t>Doctorat</w:t>
      </w:r>
      <w:proofErr w:type="spellEnd"/>
      <w:r w:rsidRPr="0071277D">
        <w:rPr>
          <w:rFonts w:ascii="Arial" w:hAnsi="Arial" w:cs="Arial"/>
          <w:bCs/>
          <w:i/>
          <w:szCs w:val="18"/>
        </w:rPr>
        <w:t xml:space="preserve"> de </w:t>
      </w:r>
      <w:proofErr w:type="spellStart"/>
      <w:r w:rsidRPr="0071277D">
        <w:rPr>
          <w:rFonts w:ascii="Arial" w:hAnsi="Arial" w:cs="Arial"/>
          <w:bCs/>
          <w:i/>
          <w:szCs w:val="18"/>
        </w:rPr>
        <w:t>Biologie</w:t>
      </w:r>
      <w:proofErr w:type="spellEnd"/>
      <w:r w:rsidRPr="0071277D">
        <w:rPr>
          <w:rFonts w:ascii="Arial" w:hAnsi="Arial" w:cs="Arial"/>
          <w:bCs/>
          <w:i/>
          <w:szCs w:val="18"/>
        </w:rPr>
        <w:t xml:space="preserve"> </w:t>
      </w:r>
      <w:proofErr w:type="spellStart"/>
      <w:r w:rsidRPr="0071277D">
        <w:rPr>
          <w:rFonts w:ascii="Arial" w:hAnsi="Arial" w:cs="Arial"/>
          <w:bCs/>
          <w:i/>
          <w:szCs w:val="18"/>
        </w:rPr>
        <w:t>Humaine</w:t>
      </w:r>
      <w:proofErr w:type="spellEnd"/>
      <w:r w:rsidRPr="0071277D">
        <w:rPr>
          <w:rFonts w:ascii="Arial" w:hAnsi="Arial" w:cs="Arial"/>
          <w:bCs/>
          <w:szCs w:val="18"/>
        </w:rPr>
        <w:t>, UFHB. 218p.</w:t>
      </w:r>
    </w:p>
    <w:p w14:paraId="030E87DD"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Kouakou</w:t>
      </w:r>
      <w:proofErr w:type="spellEnd"/>
      <w:r w:rsidRPr="0071277D">
        <w:rPr>
          <w:rFonts w:ascii="Arial" w:hAnsi="Arial" w:cs="Arial"/>
          <w:bCs/>
          <w:szCs w:val="18"/>
        </w:rPr>
        <w:t xml:space="preserve"> A.J., </w:t>
      </w:r>
      <w:proofErr w:type="spellStart"/>
      <w:r w:rsidRPr="0071277D">
        <w:rPr>
          <w:rFonts w:ascii="Arial" w:hAnsi="Arial" w:cs="Arial"/>
          <w:bCs/>
          <w:szCs w:val="18"/>
        </w:rPr>
        <w:t>Bla</w:t>
      </w:r>
      <w:proofErr w:type="spellEnd"/>
      <w:r w:rsidRPr="0071277D">
        <w:rPr>
          <w:rFonts w:ascii="Arial" w:hAnsi="Arial" w:cs="Arial"/>
          <w:bCs/>
          <w:szCs w:val="18"/>
        </w:rPr>
        <w:t xml:space="preserve"> K. B., </w:t>
      </w:r>
      <w:proofErr w:type="spellStart"/>
      <w:r w:rsidRPr="0071277D">
        <w:rPr>
          <w:rFonts w:ascii="Arial" w:hAnsi="Arial" w:cs="Arial"/>
          <w:bCs/>
          <w:szCs w:val="18"/>
        </w:rPr>
        <w:t>Konaté</w:t>
      </w:r>
      <w:proofErr w:type="spellEnd"/>
      <w:r w:rsidRPr="0071277D">
        <w:rPr>
          <w:rFonts w:ascii="Arial" w:hAnsi="Arial" w:cs="Arial"/>
          <w:bCs/>
          <w:szCs w:val="18"/>
        </w:rPr>
        <w:t xml:space="preserve">- Touré A., </w:t>
      </w:r>
      <w:proofErr w:type="spellStart"/>
      <w:r w:rsidRPr="0071277D">
        <w:rPr>
          <w:rFonts w:ascii="Arial" w:hAnsi="Arial" w:cs="Arial"/>
          <w:bCs/>
          <w:szCs w:val="18"/>
        </w:rPr>
        <w:t>Gnagne</w:t>
      </w:r>
      <w:proofErr w:type="spellEnd"/>
      <w:r w:rsidRPr="0071277D">
        <w:rPr>
          <w:rFonts w:ascii="Arial" w:hAnsi="Arial" w:cs="Arial"/>
          <w:bCs/>
          <w:szCs w:val="18"/>
        </w:rPr>
        <w:t xml:space="preserve"> A. P., </w:t>
      </w:r>
      <w:proofErr w:type="spellStart"/>
      <w:r w:rsidRPr="0071277D">
        <w:rPr>
          <w:rFonts w:ascii="Arial" w:hAnsi="Arial" w:cs="Arial"/>
          <w:bCs/>
          <w:szCs w:val="18"/>
        </w:rPr>
        <w:t>Bedia</w:t>
      </w:r>
      <w:proofErr w:type="spellEnd"/>
      <w:r w:rsidRPr="0071277D">
        <w:rPr>
          <w:rFonts w:ascii="Arial" w:hAnsi="Arial" w:cs="Arial"/>
          <w:bCs/>
          <w:szCs w:val="18"/>
        </w:rPr>
        <w:t xml:space="preserve"> A. V., </w:t>
      </w:r>
      <w:proofErr w:type="spellStart"/>
      <w:r w:rsidRPr="0071277D">
        <w:rPr>
          <w:rFonts w:ascii="Arial" w:hAnsi="Arial" w:cs="Arial"/>
          <w:bCs/>
          <w:szCs w:val="18"/>
        </w:rPr>
        <w:t>AssanvoA.N</w:t>
      </w:r>
      <w:proofErr w:type="spellEnd"/>
      <w:r w:rsidRPr="0071277D">
        <w:rPr>
          <w:rFonts w:ascii="Arial" w:hAnsi="Arial" w:cs="Arial"/>
          <w:bCs/>
          <w:szCs w:val="18"/>
        </w:rPr>
        <w:t xml:space="preserve">. S. &amp; </w:t>
      </w:r>
      <w:proofErr w:type="spellStart"/>
      <w:r w:rsidRPr="0071277D">
        <w:rPr>
          <w:rFonts w:ascii="Arial" w:hAnsi="Arial" w:cs="Arial"/>
          <w:bCs/>
          <w:szCs w:val="18"/>
        </w:rPr>
        <w:t>Yavo</w:t>
      </w:r>
      <w:proofErr w:type="spellEnd"/>
      <w:r w:rsidRPr="0071277D">
        <w:rPr>
          <w:rFonts w:ascii="Arial" w:hAnsi="Arial" w:cs="Arial"/>
          <w:bCs/>
          <w:szCs w:val="18"/>
        </w:rPr>
        <w:t xml:space="preserve"> W., 2022. - Epidemiological profile of uncomplicated malaria in patients received in 2019 at the Regional Hospital of Séguéla (Côte d'Ivoire). International journal of current research, 14, 320948-320952, 5p</w:t>
      </w:r>
    </w:p>
    <w:p w14:paraId="035749D0"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Kublin</w:t>
      </w:r>
      <w:proofErr w:type="spellEnd"/>
      <w:r w:rsidRPr="0071277D">
        <w:rPr>
          <w:rFonts w:ascii="Arial" w:hAnsi="Arial" w:cs="Arial"/>
          <w:bCs/>
          <w:szCs w:val="18"/>
        </w:rPr>
        <w:t xml:space="preserve"> J.G., Cortese J.F., </w:t>
      </w:r>
      <w:proofErr w:type="spellStart"/>
      <w:r w:rsidRPr="0071277D">
        <w:rPr>
          <w:rFonts w:ascii="Arial" w:hAnsi="Arial" w:cs="Arial"/>
          <w:bCs/>
          <w:szCs w:val="18"/>
        </w:rPr>
        <w:t>Njunju</w:t>
      </w:r>
      <w:proofErr w:type="spellEnd"/>
      <w:r w:rsidRPr="0071277D">
        <w:rPr>
          <w:rFonts w:ascii="Arial" w:hAnsi="Arial" w:cs="Arial"/>
          <w:bCs/>
          <w:szCs w:val="18"/>
        </w:rPr>
        <w:t xml:space="preserve"> E.M., </w:t>
      </w:r>
      <w:proofErr w:type="spellStart"/>
      <w:r w:rsidRPr="0071277D">
        <w:rPr>
          <w:rFonts w:ascii="Arial" w:hAnsi="Arial" w:cs="Arial"/>
          <w:bCs/>
          <w:szCs w:val="18"/>
        </w:rPr>
        <w:t>Mukadam</w:t>
      </w:r>
      <w:proofErr w:type="spellEnd"/>
      <w:r w:rsidRPr="0071277D">
        <w:rPr>
          <w:rFonts w:ascii="Arial" w:hAnsi="Arial" w:cs="Arial"/>
          <w:bCs/>
          <w:szCs w:val="18"/>
        </w:rPr>
        <w:t xml:space="preserve"> R.A.G., </w:t>
      </w:r>
      <w:proofErr w:type="spellStart"/>
      <w:r w:rsidRPr="0071277D">
        <w:rPr>
          <w:rFonts w:ascii="Arial" w:hAnsi="Arial" w:cs="Arial"/>
          <w:bCs/>
          <w:szCs w:val="18"/>
        </w:rPr>
        <w:t>Wirima</w:t>
      </w:r>
      <w:proofErr w:type="spellEnd"/>
      <w:r w:rsidRPr="0071277D">
        <w:rPr>
          <w:rFonts w:ascii="Arial" w:hAnsi="Arial" w:cs="Arial"/>
          <w:bCs/>
          <w:szCs w:val="18"/>
        </w:rPr>
        <w:t xml:space="preserve"> J.J., Kazembe P.N., </w:t>
      </w:r>
      <w:proofErr w:type="spellStart"/>
      <w:r w:rsidRPr="0071277D">
        <w:rPr>
          <w:rFonts w:ascii="Arial" w:hAnsi="Arial" w:cs="Arial"/>
          <w:bCs/>
          <w:szCs w:val="18"/>
        </w:rPr>
        <w:t>Djimdé</w:t>
      </w:r>
      <w:proofErr w:type="spellEnd"/>
      <w:r w:rsidRPr="0071277D">
        <w:rPr>
          <w:rFonts w:ascii="Arial" w:hAnsi="Arial" w:cs="Arial"/>
          <w:bCs/>
          <w:szCs w:val="18"/>
        </w:rPr>
        <w:t xml:space="preserve"> A.A., </w:t>
      </w:r>
      <w:proofErr w:type="spellStart"/>
      <w:r w:rsidRPr="0071277D">
        <w:rPr>
          <w:rFonts w:ascii="Arial" w:hAnsi="Arial" w:cs="Arial"/>
          <w:bCs/>
          <w:szCs w:val="18"/>
        </w:rPr>
        <w:t>Kouriba</w:t>
      </w:r>
      <w:proofErr w:type="spellEnd"/>
      <w:r w:rsidRPr="0071277D">
        <w:rPr>
          <w:rFonts w:ascii="Arial" w:hAnsi="Arial" w:cs="Arial"/>
          <w:bCs/>
          <w:szCs w:val="18"/>
        </w:rPr>
        <w:t xml:space="preserve"> B., Taylor T.E. &amp; </w:t>
      </w:r>
      <w:proofErr w:type="spellStart"/>
      <w:r w:rsidRPr="0071277D">
        <w:rPr>
          <w:rFonts w:ascii="Arial" w:hAnsi="Arial" w:cs="Arial"/>
          <w:bCs/>
          <w:szCs w:val="18"/>
        </w:rPr>
        <w:t>Plowe</w:t>
      </w:r>
      <w:proofErr w:type="spellEnd"/>
      <w:r w:rsidRPr="0071277D">
        <w:rPr>
          <w:rFonts w:ascii="Arial" w:hAnsi="Arial" w:cs="Arial"/>
          <w:bCs/>
          <w:szCs w:val="18"/>
        </w:rPr>
        <w:t xml:space="preserve"> C.V., 2003 - Reemergence of chloroquine-sensitive </w:t>
      </w:r>
      <w:r w:rsidRPr="0071277D">
        <w:rPr>
          <w:rFonts w:ascii="Arial" w:hAnsi="Arial" w:cs="Arial"/>
          <w:bCs/>
          <w:i/>
          <w:szCs w:val="18"/>
        </w:rPr>
        <w:t xml:space="preserve">Plasmodium falciparum </w:t>
      </w:r>
      <w:r w:rsidRPr="0071277D">
        <w:rPr>
          <w:rFonts w:ascii="Arial" w:hAnsi="Arial" w:cs="Arial"/>
          <w:bCs/>
          <w:szCs w:val="18"/>
        </w:rPr>
        <w:t xml:space="preserve">malaria after cessation of chloroquine use in Malawi. </w:t>
      </w:r>
      <w:r w:rsidRPr="0071277D">
        <w:rPr>
          <w:rFonts w:ascii="Arial" w:hAnsi="Arial" w:cs="Arial"/>
          <w:bCs/>
          <w:i/>
          <w:szCs w:val="18"/>
        </w:rPr>
        <w:t>The Journal of Infectious Diseases</w:t>
      </w:r>
      <w:r w:rsidRPr="0071277D">
        <w:rPr>
          <w:rFonts w:ascii="Arial" w:hAnsi="Arial" w:cs="Arial"/>
          <w:bCs/>
          <w:szCs w:val="18"/>
        </w:rPr>
        <w:t>. 187: 1870-1875.</w:t>
      </w:r>
    </w:p>
    <w:p w14:paraId="1AEA51B2"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Menan</w:t>
      </w:r>
      <w:proofErr w:type="spellEnd"/>
      <w:r w:rsidRPr="0071277D">
        <w:rPr>
          <w:rFonts w:ascii="Arial" w:hAnsi="Arial" w:cs="Arial"/>
          <w:bCs/>
          <w:szCs w:val="18"/>
        </w:rPr>
        <w:t xml:space="preserve"> E., </w:t>
      </w:r>
      <w:proofErr w:type="spellStart"/>
      <w:r w:rsidRPr="0071277D">
        <w:rPr>
          <w:rFonts w:ascii="Arial" w:hAnsi="Arial" w:cs="Arial"/>
          <w:bCs/>
          <w:szCs w:val="18"/>
        </w:rPr>
        <w:t>Yavo</w:t>
      </w:r>
      <w:proofErr w:type="spellEnd"/>
      <w:r w:rsidRPr="0071277D">
        <w:rPr>
          <w:rFonts w:ascii="Arial" w:hAnsi="Arial" w:cs="Arial"/>
          <w:bCs/>
          <w:szCs w:val="18"/>
        </w:rPr>
        <w:t xml:space="preserve"> W., </w:t>
      </w:r>
      <w:proofErr w:type="spellStart"/>
      <w:r w:rsidRPr="0071277D">
        <w:rPr>
          <w:rFonts w:ascii="Arial" w:hAnsi="Arial" w:cs="Arial"/>
          <w:bCs/>
          <w:szCs w:val="18"/>
        </w:rPr>
        <w:t>Oga</w:t>
      </w:r>
      <w:proofErr w:type="spellEnd"/>
      <w:r w:rsidRPr="0071277D">
        <w:rPr>
          <w:rFonts w:ascii="Arial" w:hAnsi="Arial" w:cs="Arial"/>
          <w:bCs/>
          <w:szCs w:val="18"/>
        </w:rPr>
        <w:t xml:space="preserve"> S., </w:t>
      </w:r>
      <w:proofErr w:type="spellStart"/>
      <w:r w:rsidRPr="0071277D">
        <w:rPr>
          <w:rFonts w:ascii="Arial" w:hAnsi="Arial" w:cs="Arial"/>
          <w:bCs/>
          <w:szCs w:val="18"/>
        </w:rPr>
        <w:t>Evi</w:t>
      </w:r>
      <w:proofErr w:type="spellEnd"/>
      <w:r w:rsidRPr="0071277D">
        <w:rPr>
          <w:rFonts w:ascii="Arial" w:hAnsi="Arial" w:cs="Arial"/>
          <w:bCs/>
          <w:szCs w:val="18"/>
        </w:rPr>
        <w:t xml:space="preserve"> J., Kiki-Barro P., </w:t>
      </w:r>
      <w:proofErr w:type="spellStart"/>
      <w:r w:rsidRPr="0071277D">
        <w:rPr>
          <w:rFonts w:ascii="Arial" w:hAnsi="Arial" w:cs="Arial"/>
          <w:bCs/>
          <w:szCs w:val="18"/>
        </w:rPr>
        <w:t>Kassi</w:t>
      </w:r>
      <w:proofErr w:type="spellEnd"/>
      <w:r w:rsidRPr="0071277D">
        <w:rPr>
          <w:rFonts w:ascii="Arial" w:hAnsi="Arial" w:cs="Arial"/>
          <w:bCs/>
          <w:szCs w:val="18"/>
        </w:rPr>
        <w:t xml:space="preserve"> R., </w:t>
      </w:r>
      <w:proofErr w:type="spellStart"/>
      <w:r w:rsidRPr="0071277D">
        <w:rPr>
          <w:rFonts w:ascii="Arial" w:hAnsi="Arial" w:cs="Arial"/>
          <w:bCs/>
          <w:szCs w:val="18"/>
        </w:rPr>
        <w:t>Atissou</w:t>
      </w:r>
      <w:proofErr w:type="spellEnd"/>
      <w:r w:rsidRPr="0071277D">
        <w:rPr>
          <w:rFonts w:ascii="Arial" w:hAnsi="Arial" w:cs="Arial"/>
          <w:bCs/>
          <w:szCs w:val="18"/>
        </w:rPr>
        <w:t xml:space="preserve"> J. &amp; Kone M., 2007 - Open-</w:t>
      </w:r>
      <w:proofErr w:type="spellStart"/>
      <w:r w:rsidRPr="0071277D">
        <w:rPr>
          <w:rFonts w:ascii="Arial" w:hAnsi="Arial" w:cs="Arial"/>
          <w:bCs/>
          <w:szCs w:val="18"/>
        </w:rPr>
        <w:t>radomized</w:t>
      </w:r>
      <w:proofErr w:type="spellEnd"/>
      <w:r w:rsidRPr="0071277D">
        <w:rPr>
          <w:rFonts w:ascii="Arial" w:hAnsi="Arial" w:cs="Arial"/>
          <w:bCs/>
          <w:szCs w:val="18"/>
        </w:rPr>
        <w:t xml:space="preserve"> study comparing chloroquine and amodiaquine for treatment of uncomplicated </w:t>
      </w:r>
      <w:r w:rsidRPr="0071277D">
        <w:rPr>
          <w:rFonts w:ascii="Arial" w:hAnsi="Arial" w:cs="Arial"/>
          <w:bCs/>
          <w:i/>
          <w:szCs w:val="18"/>
        </w:rPr>
        <w:t xml:space="preserve">Plasmodium falciparum </w:t>
      </w:r>
      <w:r w:rsidRPr="0071277D">
        <w:rPr>
          <w:rFonts w:ascii="Arial" w:hAnsi="Arial" w:cs="Arial"/>
          <w:bCs/>
          <w:szCs w:val="18"/>
        </w:rPr>
        <w:t xml:space="preserve">malaria in children in </w:t>
      </w:r>
      <w:proofErr w:type="spellStart"/>
      <w:r w:rsidRPr="0071277D">
        <w:rPr>
          <w:rFonts w:ascii="Arial" w:hAnsi="Arial" w:cs="Arial"/>
          <w:bCs/>
          <w:szCs w:val="18"/>
        </w:rPr>
        <w:t>Aboisso</w:t>
      </w:r>
      <w:proofErr w:type="spellEnd"/>
      <w:r w:rsidRPr="0071277D">
        <w:rPr>
          <w:rFonts w:ascii="Arial" w:hAnsi="Arial" w:cs="Arial"/>
          <w:bCs/>
          <w:szCs w:val="18"/>
        </w:rPr>
        <w:t xml:space="preserve">, Ivory Coast. </w:t>
      </w:r>
      <w:r w:rsidRPr="0071277D">
        <w:rPr>
          <w:rFonts w:ascii="Arial" w:hAnsi="Arial" w:cs="Arial"/>
          <w:bCs/>
          <w:i/>
          <w:szCs w:val="18"/>
        </w:rPr>
        <w:t xml:space="preserve">Tropical Medicine. </w:t>
      </w:r>
      <w:r w:rsidRPr="0071277D">
        <w:rPr>
          <w:rFonts w:ascii="Arial" w:hAnsi="Arial" w:cs="Arial"/>
          <w:bCs/>
          <w:szCs w:val="18"/>
        </w:rPr>
        <w:t>67: 309-310.</w:t>
      </w:r>
    </w:p>
    <w:p w14:paraId="3287AF93"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Mwai</w:t>
      </w:r>
      <w:proofErr w:type="spellEnd"/>
      <w:r w:rsidRPr="0071277D">
        <w:rPr>
          <w:rFonts w:ascii="Arial" w:hAnsi="Arial" w:cs="Arial"/>
          <w:bCs/>
          <w:szCs w:val="18"/>
        </w:rPr>
        <w:t xml:space="preserve"> L., </w:t>
      </w:r>
      <w:proofErr w:type="spellStart"/>
      <w:r w:rsidRPr="0071277D">
        <w:rPr>
          <w:rFonts w:ascii="Arial" w:hAnsi="Arial" w:cs="Arial"/>
          <w:bCs/>
          <w:szCs w:val="18"/>
        </w:rPr>
        <w:t>Ochong</w:t>
      </w:r>
      <w:proofErr w:type="spellEnd"/>
      <w:r w:rsidRPr="0071277D">
        <w:rPr>
          <w:rFonts w:ascii="Arial" w:hAnsi="Arial" w:cs="Arial"/>
          <w:bCs/>
          <w:szCs w:val="18"/>
        </w:rPr>
        <w:t xml:space="preserve"> E., Abdirahman A., Kiara SM., Ward S. &amp; </w:t>
      </w:r>
      <w:proofErr w:type="spellStart"/>
      <w:r w:rsidRPr="0071277D">
        <w:rPr>
          <w:rFonts w:ascii="Arial" w:hAnsi="Arial" w:cs="Arial"/>
          <w:bCs/>
          <w:szCs w:val="18"/>
        </w:rPr>
        <w:t>Kokwaro</w:t>
      </w:r>
      <w:proofErr w:type="spellEnd"/>
      <w:r w:rsidRPr="0071277D">
        <w:rPr>
          <w:rFonts w:ascii="Arial" w:hAnsi="Arial" w:cs="Arial"/>
          <w:bCs/>
          <w:szCs w:val="18"/>
        </w:rPr>
        <w:t xml:space="preserve"> G., 2009 - Chloroquine resistance before and after its withdrawal in Kenya. </w:t>
      </w:r>
      <w:r w:rsidRPr="0071277D">
        <w:rPr>
          <w:rFonts w:ascii="Arial" w:hAnsi="Arial" w:cs="Arial"/>
          <w:bCs/>
          <w:i/>
          <w:szCs w:val="18"/>
        </w:rPr>
        <w:t xml:space="preserve">Malaria Journal. </w:t>
      </w:r>
      <w:r w:rsidRPr="0071277D">
        <w:rPr>
          <w:rFonts w:ascii="Arial" w:hAnsi="Arial" w:cs="Arial"/>
          <w:bCs/>
          <w:szCs w:val="18"/>
        </w:rPr>
        <w:t>8 (1) :1-10.</w:t>
      </w:r>
    </w:p>
    <w:p w14:paraId="2B421561"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Myers-Hansen J.L., </w:t>
      </w:r>
      <w:proofErr w:type="spellStart"/>
      <w:r w:rsidRPr="0071277D">
        <w:rPr>
          <w:rFonts w:ascii="Arial" w:hAnsi="Arial" w:cs="Arial"/>
          <w:bCs/>
          <w:szCs w:val="18"/>
        </w:rPr>
        <w:t>Abuaku</w:t>
      </w:r>
      <w:proofErr w:type="spellEnd"/>
      <w:r w:rsidRPr="0071277D">
        <w:rPr>
          <w:rFonts w:ascii="Arial" w:hAnsi="Arial" w:cs="Arial"/>
          <w:bCs/>
          <w:szCs w:val="18"/>
        </w:rPr>
        <w:t xml:space="preserve"> B., </w:t>
      </w:r>
      <w:proofErr w:type="spellStart"/>
      <w:r w:rsidRPr="0071277D">
        <w:rPr>
          <w:rFonts w:ascii="Arial" w:hAnsi="Arial" w:cs="Arial"/>
          <w:bCs/>
          <w:szCs w:val="18"/>
        </w:rPr>
        <w:t>Oyebola</w:t>
      </w:r>
      <w:proofErr w:type="spellEnd"/>
      <w:r w:rsidRPr="0071277D">
        <w:rPr>
          <w:rFonts w:ascii="Arial" w:hAnsi="Arial" w:cs="Arial"/>
          <w:bCs/>
          <w:szCs w:val="18"/>
        </w:rPr>
        <w:t xml:space="preserve"> M.K., Mensah B.A., </w:t>
      </w:r>
      <w:proofErr w:type="spellStart"/>
      <w:r w:rsidRPr="0071277D">
        <w:rPr>
          <w:rFonts w:ascii="Arial" w:hAnsi="Arial" w:cs="Arial"/>
          <w:bCs/>
          <w:szCs w:val="18"/>
        </w:rPr>
        <w:t>Ahorlu</w:t>
      </w:r>
      <w:proofErr w:type="spellEnd"/>
      <w:r w:rsidRPr="0071277D">
        <w:rPr>
          <w:rFonts w:ascii="Arial" w:hAnsi="Arial" w:cs="Arial"/>
          <w:bCs/>
          <w:szCs w:val="18"/>
        </w:rPr>
        <w:t xml:space="preserve"> C., Wilson M.D., </w:t>
      </w:r>
      <w:proofErr w:type="spellStart"/>
      <w:r w:rsidRPr="0071277D">
        <w:rPr>
          <w:rFonts w:ascii="Arial" w:hAnsi="Arial" w:cs="Arial"/>
          <w:bCs/>
          <w:szCs w:val="18"/>
        </w:rPr>
        <w:t>Awandare</w:t>
      </w:r>
      <w:proofErr w:type="spellEnd"/>
      <w:r w:rsidRPr="0071277D">
        <w:rPr>
          <w:rFonts w:ascii="Arial" w:hAnsi="Arial" w:cs="Arial"/>
          <w:bCs/>
          <w:szCs w:val="18"/>
        </w:rPr>
        <w:t xml:space="preserve"> G., </w:t>
      </w:r>
      <w:proofErr w:type="spellStart"/>
      <w:r w:rsidRPr="0071277D">
        <w:rPr>
          <w:rFonts w:ascii="Arial" w:hAnsi="Arial" w:cs="Arial"/>
          <w:bCs/>
          <w:szCs w:val="18"/>
        </w:rPr>
        <w:t>Koram</w:t>
      </w:r>
      <w:proofErr w:type="spellEnd"/>
      <w:r w:rsidRPr="0071277D">
        <w:rPr>
          <w:rFonts w:ascii="Arial" w:hAnsi="Arial" w:cs="Arial"/>
          <w:bCs/>
          <w:szCs w:val="18"/>
        </w:rPr>
        <w:t xml:space="preserve"> K.A., </w:t>
      </w:r>
      <w:proofErr w:type="spellStart"/>
      <w:r w:rsidRPr="0071277D">
        <w:rPr>
          <w:rFonts w:ascii="Arial" w:hAnsi="Arial" w:cs="Arial"/>
          <w:bCs/>
          <w:szCs w:val="18"/>
        </w:rPr>
        <w:t>Ngwa</w:t>
      </w:r>
      <w:proofErr w:type="spellEnd"/>
      <w:r w:rsidRPr="0071277D">
        <w:rPr>
          <w:rFonts w:ascii="Arial" w:hAnsi="Arial" w:cs="Arial"/>
          <w:bCs/>
          <w:szCs w:val="18"/>
        </w:rPr>
        <w:t xml:space="preserve"> A.A. &amp; Ghansah A., 2020.- Assessment of antimalarial drug resistant markers in asymptomatic Plasmodium falciparum infections after 4 years of indoor residual spraying in Northern Ghana. </w:t>
      </w:r>
      <w:proofErr w:type="spellStart"/>
      <w:r w:rsidRPr="0071277D">
        <w:rPr>
          <w:rFonts w:ascii="Arial" w:hAnsi="Arial" w:cs="Arial"/>
          <w:bCs/>
          <w:szCs w:val="18"/>
        </w:rPr>
        <w:t>PLoS</w:t>
      </w:r>
      <w:proofErr w:type="spellEnd"/>
      <w:r w:rsidRPr="0071277D">
        <w:rPr>
          <w:rFonts w:ascii="Arial" w:hAnsi="Arial" w:cs="Arial"/>
          <w:bCs/>
          <w:szCs w:val="18"/>
        </w:rPr>
        <w:t xml:space="preserve"> One. 15 (12): 1-20.</w:t>
      </w:r>
    </w:p>
    <w:p w14:paraId="51080FEA"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Nicoulet</w:t>
      </w:r>
      <w:proofErr w:type="spellEnd"/>
      <w:r w:rsidRPr="0071277D">
        <w:rPr>
          <w:rFonts w:ascii="Arial" w:hAnsi="Arial" w:cs="Arial"/>
          <w:bCs/>
          <w:szCs w:val="18"/>
        </w:rPr>
        <w:t xml:space="preserve"> I., Simon F. &amp; </w:t>
      </w:r>
      <w:proofErr w:type="spellStart"/>
      <w:r w:rsidRPr="0071277D">
        <w:rPr>
          <w:rFonts w:ascii="Arial" w:hAnsi="Arial" w:cs="Arial"/>
          <w:bCs/>
          <w:szCs w:val="18"/>
        </w:rPr>
        <w:t>LeBras</w:t>
      </w:r>
      <w:proofErr w:type="spellEnd"/>
      <w:r w:rsidRPr="0071277D">
        <w:rPr>
          <w:rFonts w:ascii="Arial" w:hAnsi="Arial" w:cs="Arial"/>
          <w:bCs/>
          <w:szCs w:val="18"/>
        </w:rPr>
        <w:t xml:space="preserve"> J., 1987 - Appearance of chloroquine resistance to Plasmodium falciparum in Côte d'Ivoire. Bulletin </w:t>
      </w:r>
      <w:proofErr w:type="spellStart"/>
      <w:r w:rsidRPr="0071277D">
        <w:rPr>
          <w:rFonts w:ascii="Arial" w:hAnsi="Arial" w:cs="Arial"/>
          <w:bCs/>
          <w:szCs w:val="18"/>
        </w:rPr>
        <w:t>épidémiologique</w:t>
      </w:r>
      <w:proofErr w:type="spellEnd"/>
      <w:r w:rsidRPr="0071277D">
        <w:rPr>
          <w:rFonts w:ascii="Arial" w:hAnsi="Arial" w:cs="Arial"/>
          <w:bCs/>
          <w:szCs w:val="18"/>
        </w:rPr>
        <w:t xml:space="preserve"> </w:t>
      </w:r>
      <w:proofErr w:type="spellStart"/>
      <w:r w:rsidRPr="0071277D">
        <w:rPr>
          <w:rFonts w:ascii="Arial" w:hAnsi="Arial" w:cs="Arial"/>
          <w:bCs/>
          <w:szCs w:val="18"/>
        </w:rPr>
        <w:t>hebdomadaire</w:t>
      </w:r>
      <w:proofErr w:type="spellEnd"/>
      <w:r w:rsidRPr="0071277D">
        <w:rPr>
          <w:rFonts w:ascii="Arial" w:hAnsi="Arial" w:cs="Arial"/>
          <w:bCs/>
          <w:szCs w:val="18"/>
        </w:rPr>
        <w:t>. 41: 163.</w:t>
      </w:r>
    </w:p>
    <w:p w14:paraId="1A3A04AC" w14:textId="77777777" w:rsidR="0071277D" w:rsidRPr="0071277D" w:rsidRDefault="0071277D" w:rsidP="0071277D">
      <w:pPr>
        <w:tabs>
          <w:tab w:val="left" w:pos="2260"/>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Nkemngo</w:t>
      </w:r>
      <w:proofErr w:type="spellEnd"/>
      <w:r w:rsidRPr="0071277D">
        <w:rPr>
          <w:rFonts w:ascii="Arial" w:hAnsi="Arial" w:cs="Arial"/>
          <w:bCs/>
          <w:szCs w:val="18"/>
        </w:rPr>
        <w:t xml:space="preserve"> F.N., </w:t>
      </w:r>
      <w:proofErr w:type="spellStart"/>
      <w:r w:rsidRPr="0071277D">
        <w:rPr>
          <w:rFonts w:ascii="Arial" w:hAnsi="Arial" w:cs="Arial"/>
          <w:bCs/>
          <w:szCs w:val="18"/>
        </w:rPr>
        <w:t>Mugenzi</w:t>
      </w:r>
      <w:proofErr w:type="spellEnd"/>
      <w:r w:rsidRPr="0071277D">
        <w:rPr>
          <w:rFonts w:ascii="Arial" w:hAnsi="Arial" w:cs="Arial"/>
          <w:bCs/>
          <w:szCs w:val="18"/>
        </w:rPr>
        <w:t xml:space="preserve"> L.M., </w:t>
      </w:r>
      <w:proofErr w:type="spellStart"/>
      <w:r w:rsidRPr="0071277D">
        <w:rPr>
          <w:rFonts w:ascii="Arial" w:hAnsi="Arial" w:cs="Arial"/>
          <w:bCs/>
          <w:szCs w:val="18"/>
        </w:rPr>
        <w:t>Tchouakui</w:t>
      </w:r>
      <w:proofErr w:type="spellEnd"/>
      <w:r w:rsidRPr="0071277D">
        <w:rPr>
          <w:rFonts w:ascii="Arial" w:hAnsi="Arial" w:cs="Arial"/>
          <w:bCs/>
          <w:szCs w:val="18"/>
        </w:rPr>
        <w:t xml:space="preserve"> M., </w:t>
      </w:r>
      <w:proofErr w:type="spellStart"/>
      <w:r w:rsidRPr="0071277D">
        <w:rPr>
          <w:rFonts w:ascii="Arial" w:hAnsi="Arial" w:cs="Arial"/>
          <w:bCs/>
          <w:szCs w:val="18"/>
        </w:rPr>
        <w:t>Nguiffo-Nguete</w:t>
      </w:r>
      <w:proofErr w:type="spellEnd"/>
      <w:r w:rsidRPr="0071277D">
        <w:rPr>
          <w:rFonts w:ascii="Arial" w:hAnsi="Arial" w:cs="Arial"/>
          <w:bCs/>
          <w:szCs w:val="18"/>
        </w:rPr>
        <w:t xml:space="preserve"> D., </w:t>
      </w:r>
      <w:proofErr w:type="spellStart"/>
      <w:r w:rsidRPr="0071277D">
        <w:rPr>
          <w:rFonts w:ascii="Arial" w:hAnsi="Arial" w:cs="Arial"/>
          <w:bCs/>
          <w:szCs w:val="18"/>
        </w:rPr>
        <w:t>Wondji</w:t>
      </w:r>
      <w:proofErr w:type="spellEnd"/>
      <w:r w:rsidRPr="0071277D">
        <w:rPr>
          <w:rFonts w:ascii="Arial" w:hAnsi="Arial" w:cs="Arial"/>
          <w:bCs/>
          <w:szCs w:val="18"/>
        </w:rPr>
        <w:t xml:space="preserve"> M.J., </w:t>
      </w:r>
      <w:proofErr w:type="spellStart"/>
      <w:r w:rsidRPr="0071277D">
        <w:rPr>
          <w:rFonts w:ascii="Arial" w:hAnsi="Arial" w:cs="Arial"/>
          <w:bCs/>
          <w:szCs w:val="18"/>
        </w:rPr>
        <w:t>Mbakam</w:t>
      </w:r>
      <w:proofErr w:type="spellEnd"/>
      <w:r w:rsidRPr="0071277D">
        <w:rPr>
          <w:rFonts w:ascii="Arial" w:hAnsi="Arial" w:cs="Arial"/>
          <w:bCs/>
          <w:szCs w:val="18"/>
        </w:rPr>
        <w:t xml:space="preserve"> B. &amp; </w:t>
      </w:r>
      <w:proofErr w:type="spellStart"/>
      <w:r w:rsidRPr="0071277D">
        <w:rPr>
          <w:rFonts w:ascii="Arial" w:hAnsi="Arial" w:cs="Arial"/>
          <w:bCs/>
          <w:szCs w:val="18"/>
        </w:rPr>
        <w:t>Wondji</w:t>
      </w:r>
      <w:proofErr w:type="spellEnd"/>
      <w:r w:rsidRPr="0071277D">
        <w:rPr>
          <w:rFonts w:ascii="Arial" w:hAnsi="Arial" w:cs="Arial"/>
          <w:bCs/>
          <w:szCs w:val="18"/>
        </w:rPr>
        <w:t xml:space="preserve"> C.S., 2022. - </w:t>
      </w:r>
      <w:proofErr w:type="spellStart"/>
      <w:r w:rsidRPr="0071277D">
        <w:rPr>
          <w:rFonts w:ascii="Arial" w:hAnsi="Arial" w:cs="Arial"/>
          <w:bCs/>
          <w:szCs w:val="18"/>
        </w:rPr>
        <w:t>Xeno</w:t>
      </w:r>
      <w:proofErr w:type="spellEnd"/>
      <w:r w:rsidRPr="0071277D">
        <w:rPr>
          <w:rFonts w:ascii="Arial" w:hAnsi="Arial" w:cs="Arial"/>
          <w:bCs/>
          <w:szCs w:val="18"/>
        </w:rPr>
        <w:t xml:space="preserve">-monitoring of molecular drivers of artemisinin and partner drug resistance in </w:t>
      </w:r>
      <w:r w:rsidRPr="0071277D">
        <w:rPr>
          <w:rFonts w:ascii="Arial" w:hAnsi="Arial" w:cs="Arial"/>
          <w:bCs/>
          <w:i/>
          <w:szCs w:val="18"/>
        </w:rPr>
        <w:t xml:space="preserve">P. falciparum </w:t>
      </w:r>
      <w:r w:rsidRPr="0071277D">
        <w:rPr>
          <w:rFonts w:ascii="Arial" w:hAnsi="Arial" w:cs="Arial"/>
          <w:bCs/>
          <w:szCs w:val="18"/>
        </w:rPr>
        <w:t xml:space="preserve">populations in malaria vectors across </w:t>
      </w:r>
      <w:r w:rsidRPr="0071277D">
        <w:rPr>
          <w:rFonts w:ascii="Arial" w:hAnsi="Arial" w:cs="Arial"/>
          <w:bCs/>
          <w:i/>
          <w:szCs w:val="18"/>
        </w:rPr>
        <w:t>Cameroon Gene</w:t>
      </w:r>
      <w:r w:rsidRPr="0071277D">
        <w:rPr>
          <w:rFonts w:ascii="Arial" w:hAnsi="Arial" w:cs="Arial"/>
          <w:bCs/>
          <w:szCs w:val="18"/>
        </w:rPr>
        <w:t>. 821: 1-13.</w:t>
      </w:r>
    </w:p>
    <w:p w14:paraId="1314E66F"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Nyarango</w:t>
      </w:r>
      <w:proofErr w:type="spellEnd"/>
      <w:r w:rsidRPr="0071277D">
        <w:rPr>
          <w:rFonts w:ascii="Arial" w:hAnsi="Arial" w:cs="Arial"/>
          <w:bCs/>
          <w:szCs w:val="18"/>
        </w:rPr>
        <w:t xml:space="preserve"> P.M., </w:t>
      </w:r>
      <w:proofErr w:type="spellStart"/>
      <w:r w:rsidRPr="0071277D">
        <w:rPr>
          <w:rFonts w:ascii="Arial" w:hAnsi="Arial" w:cs="Arial"/>
          <w:bCs/>
          <w:szCs w:val="18"/>
        </w:rPr>
        <w:t>Gebremeskel</w:t>
      </w:r>
      <w:proofErr w:type="spellEnd"/>
      <w:r w:rsidRPr="0071277D">
        <w:rPr>
          <w:rFonts w:ascii="Arial" w:hAnsi="Arial" w:cs="Arial"/>
          <w:bCs/>
          <w:szCs w:val="18"/>
        </w:rPr>
        <w:t xml:space="preserve"> T., </w:t>
      </w:r>
      <w:proofErr w:type="spellStart"/>
      <w:r w:rsidRPr="0071277D">
        <w:rPr>
          <w:rFonts w:ascii="Arial" w:hAnsi="Arial" w:cs="Arial"/>
          <w:bCs/>
          <w:szCs w:val="18"/>
        </w:rPr>
        <w:t>Mebrahtu</w:t>
      </w:r>
      <w:proofErr w:type="spellEnd"/>
      <w:r w:rsidRPr="0071277D">
        <w:rPr>
          <w:rFonts w:ascii="Arial" w:hAnsi="Arial" w:cs="Arial"/>
          <w:bCs/>
          <w:szCs w:val="18"/>
        </w:rPr>
        <w:t xml:space="preserve"> G., </w:t>
      </w:r>
      <w:proofErr w:type="spellStart"/>
      <w:r w:rsidRPr="0071277D">
        <w:rPr>
          <w:rFonts w:ascii="Arial" w:hAnsi="Arial" w:cs="Arial"/>
          <w:bCs/>
          <w:szCs w:val="18"/>
        </w:rPr>
        <w:t>Mufunda</w:t>
      </w:r>
      <w:proofErr w:type="spellEnd"/>
      <w:r w:rsidRPr="0071277D">
        <w:rPr>
          <w:rFonts w:ascii="Arial" w:hAnsi="Arial" w:cs="Arial"/>
          <w:bCs/>
          <w:szCs w:val="18"/>
        </w:rPr>
        <w:t xml:space="preserve"> J., </w:t>
      </w:r>
      <w:proofErr w:type="spellStart"/>
      <w:r w:rsidRPr="0071277D">
        <w:rPr>
          <w:rFonts w:ascii="Arial" w:hAnsi="Arial" w:cs="Arial"/>
          <w:bCs/>
          <w:szCs w:val="18"/>
        </w:rPr>
        <w:t>Abdulmumini</w:t>
      </w:r>
      <w:proofErr w:type="spellEnd"/>
      <w:r w:rsidRPr="0071277D">
        <w:rPr>
          <w:rFonts w:ascii="Arial" w:hAnsi="Arial" w:cs="Arial"/>
          <w:bCs/>
          <w:szCs w:val="18"/>
        </w:rPr>
        <w:t xml:space="preserve"> U. &amp; </w:t>
      </w:r>
      <w:proofErr w:type="spellStart"/>
      <w:r w:rsidRPr="0071277D">
        <w:rPr>
          <w:rFonts w:ascii="Arial" w:hAnsi="Arial" w:cs="Arial"/>
          <w:bCs/>
          <w:szCs w:val="18"/>
        </w:rPr>
        <w:t>Ogbamariam</w:t>
      </w:r>
      <w:proofErr w:type="spellEnd"/>
      <w:r w:rsidRPr="0071277D">
        <w:rPr>
          <w:rFonts w:ascii="Arial" w:hAnsi="Arial" w:cs="Arial"/>
          <w:bCs/>
          <w:szCs w:val="18"/>
        </w:rPr>
        <w:t xml:space="preserve"> A., 2006. &amp; </w:t>
      </w:r>
      <w:proofErr w:type="spellStart"/>
      <w:r w:rsidRPr="0071277D">
        <w:rPr>
          <w:rFonts w:ascii="Arial" w:hAnsi="Arial" w:cs="Arial"/>
          <w:bCs/>
          <w:szCs w:val="18"/>
        </w:rPr>
        <w:t>Ogbamariam</w:t>
      </w:r>
      <w:proofErr w:type="spellEnd"/>
      <w:r w:rsidRPr="0071277D">
        <w:rPr>
          <w:rFonts w:ascii="Arial" w:hAnsi="Arial" w:cs="Arial"/>
          <w:bCs/>
          <w:szCs w:val="18"/>
        </w:rPr>
        <w:t xml:space="preserve"> A., 2006 - A steep decline of malaria morbidity and mortality trends in Eritrea between 2000 and 2004: the effect of combination of control methods. </w:t>
      </w:r>
      <w:r w:rsidRPr="0071277D">
        <w:rPr>
          <w:rFonts w:ascii="Arial" w:hAnsi="Arial" w:cs="Arial"/>
          <w:bCs/>
          <w:i/>
          <w:szCs w:val="18"/>
        </w:rPr>
        <w:t>Malaria Journal</w:t>
      </w:r>
      <w:r w:rsidRPr="0071277D">
        <w:rPr>
          <w:rFonts w:ascii="Arial" w:hAnsi="Arial" w:cs="Arial"/>
          <w:bCs/>
          <w:szCs w:val="18"/>
        </w:rPr>
        <w:t>. 5: 1-13.</w:t>
      </w:r>
    </w:p>
    <w:p w14:paraId="6E6F2A9B"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Oboh</w:t>
      </w:r>
      <w:proofErr w:type="spellEnd"/>
      <w:r w:rsidRPr="0071277D">
        <w:rPr>
          <w:rFonts w:ascii="Arial" w:hAnsi="Arial" w:cs="Arial"/>
          <w:bCs/>
          <w:szCs w:val="18"/>
        </w:rPr>
        <w:t xml:space="preserve"> M. A., Ndiaye D., Antony H. A., Badiane A. S., Singh U. S., Ali N. A. &amp; Das A., 2018.- Status of artemisinin resistance in malaria parasite </w:t>
      </w:r>
      <w:r w:rsidRPr="0071277D">
        <w:rPr>
          <w:rFonts w:ascii="Arial" w:hAnsi="Arial" w:cs="Arial"/>
          <w:bCs/>
          <w:i/>
          <w:szCs w:val="18"/>
        </w:rPr>
        <w:t xml:space="preserve">Plasmodium falciparum </w:t>
      </w:r>
      <w:r w:rsidRPr="0071277D">
        <w:rPr>
          <w:rFonts w:ascii="Arial" w:hAnsi="Arial" w:cs="Arial"/>
          <w:bCs/>
          <w:szCs w:val="18"/>
        </w:rPr>
        <w:t xml:space="preserve">from molecular analyses of the Kelch13 gene in Southwestern Nigeria. </w:t>
      </w:r>
      <w:proofErr w:type="spellStart"/>
      <w:r w:rsidRPr="0071277D">
        <w:rPr>
          <w:rFonts w:ascii="Arial" w:hAnsi="Arial" w:cs="Arial"/>
          <w:bCs/>
          <w:i/>
          <w:szCs w:val="18"/>
        </w:rPr>
        <w:t>BioMedical</w:t>
      </w:r>
      <w:proofErr w:type="spellEnd"/>
      <w:r w:rsidRPr="0071277D">
        <w:rPr>
          <w:rFonts w:ascii="Arial" w:hAnsi="Arial" w:cs="Arial"/>
          <w:bCs/>
          <w:i/>
          <w:szCs w:val="18"/>
        </w:rPr>
        <w:t xml:space="preserve"> Research International</w:t>
      </w:r>
      <w:r w:rsidRPr="0071277D">
        <w:rPr>
          <w:rFonts w:ascii="Arial" w:hAnsi="Arial" w:cs="Arial"/>
          <w:bCs/>
          <w:szCs w:val="18"/>
        </w:rPr>
        <w:t>. 1-6.</w:t>
      </w:r>
    </w:p>
    <w:p w14:paraId="2E222F22" w14:textId="6F96AAF4"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Picot S., Bienvenu A.L., </w:t>
      </w:r>
      <w:proofErr w:type="spellStart"/>
      <w:r w:rsidRPr="0071277D">
        <w:rPr>
          <w:rFonts w:ascii="Arial" w:hAnsi="Arial" w:cs="Arial"/>
          <w:bCs/>
          <w:szCs w:val="18"/>
        </w:rPr>
        <w:t>Konate</w:t>
      </w:r>
      <w:proofErr w:type="spellEnd"/>
      <w:r w:rsidRPr="0071277D">
        <w:rPr>
          <w:rFonts w:ascii="Arial" w:hAnsi="Arial" w:cs="Arial"/>
          <w:bCs/>
          <w:szCs w:val="18"/>
        </w:rPr>
        <w:t xml:space="preserve"> S., Sissoko S., Barry A., </w:t>
      </w:r>
      <w:proofErr w:type="spellStart"/>
      <w:r w:rsidRPr="0071277D">
        <w:rPr>
          <w:rFonts w:ascii="Arial" w:hAnsi="Arial" w:cs="Arial"/>
          <w:bCs/>
          <w:szCs w:val="18"/>
        </w:rPr>
        <w:t>Diarra</w:t>
      </w:r>
      <w:proofErr w:type="spellEnd"/>
      <w:r w:rsidRPr="0071277D">
        <w:rPr>
          <w:rFonts w:ascii="Arial" w:hAnsi="Arial" w:cs="Arial"/>
          <w:bCs/>
          <w:szCs w:val="18"/>
        </w:rPr>
        <w:t xml:space="preserve"> E., </w:t>
      </w:r>
      <w:proofErr w:type="spellStart"/>
      <w:r w:rsidRPr="0071277D">
        <w:rPr>
          <w:rFonts w:ascii="Arial" w:hAnsi="Arial" w:cs="Arial"/>
          <w:bCs/>
          <w:szCs w:val="18"/>
        </w:rPr>
        <w:t>Bamba</w:t>
      </w:r>
      <w:proofErr w:type="spellEnd"/>
      <w:r w:rsidRPr="0071277D">
        <w:rPr>
          <w:rFonts w:ascii="Arial" w:hAnsi="Arial" w:cs="Arial"/>
          <w:bCs/>
          <w:szCs w:val="18"/>
        </w:rPr>
        <w:t xml:space="preserve"> K., </w:t>
      </w:r>
      <w:proofErr w:type="spellStart"/>
      <w:r w:rsidRPr="0071277D">
        <w:rPr>
          <w:rFonts w:ascii="Arial" w:hAnsi="Arial" w:cs="Arial"/>
          <w:bCs/>
          <w:szCs w:val="18"/>
        </w:rPr>
        <w:t>Djimdé</w:t>
      </w:r>
      <w:proofErr w:type="spellEnd"/>
      <w:r w:rsidRPr="0071277D">
        <w:rPr>
          <w:rFonts w:ascii="Arial" w:hAnsi="Arial" w:cs="Arial"/>
          <w:bCs/>
          <w:szCs w:val="18"/>
        </w:rPr>
        <w:t xml:space="preserve"> A. &amp; </w:t>
      </w:r>
      <w:proofErr w:type="spellStart"/>
      <w:r w:rsidRPr="0071277D">
        <w:rPr>
          <w:rFonts w:ascii="Arial" w:hAnsi="Arial" w:cs="Arial"/>
          <w:bCs/>
          <w:szCs w:val="18"/>
        </w:rPr>
        <w:t>Doumbo</w:t>
      </w:r>
      <w:proofErr w:type="spellEnd"/>
      <w:r w:rsidRPr="0071277D">
        <w:rPr>
          <w:rFonts w:ascii="Arial" w:hAnsi="Arial" w:cs="Arial"/>
          <w:bCs/>
          <w:szCs w:val="18"/>
        </w:rPr>
        <w:t xml:space="preserve"> O.K., 2009 - Safety of </w:t>
      </w:r>
      <w:proofErr w:type="spellStart"/>
      <w:r w:rsidRPr="0071277D">
        <w:rPr>
          <w:rFonts w:ascii="Arial" w:hAnsi="Arial" w:cs="Arial"/>
          <w:bCs/>
          <w:szCs w:val="18"/>
        </w:rPr>
        <w:t>epoietin</w:t>
      </w:r>
      <w:proofErr w:type="spellEnd"/>
      <w:r w:rsidRPr="0071277D">
        <w:rPr>
          <w:rFonts w:ascii="Arial" w:hAnsi="Arial" w:cs="Arial"/>
          <w:bCs/>
          <w:szCs w:val="18"/>
        </w:rPr>
        <w:t xml:space="preserve"> beta-quinine drug combination in children with cerebral malaria in Mali. </w:t>
      </w:r>
      <w:r w:rsidRPr="0071277D">
        <w:rPr>
          <w:rFonts w:ascii="Arial" w:hAnsi="Arial" w:cs="Arial"/>
          <w:bCs/>
          <w:i/>
          <w:szCs w:val="18"/>
        </w:rPr>
        <w:t>Malaria Journal</w:t>
      </w:r>
      <w:r w:rsidRPr="0071277D">
        <w:rPr>
          <w:rFonts w:ascii="Arial" w:hAnsi="Arial" w:cs="Arial"/>
          <w:bCs/>
          <w:szCs w:val="18"/>
        </w:rPr>
        <w:t>. 8 (169): 8.</w:t>
      </w:r>
    </w:p>
    <w:p w14:paraId="069B7FD0"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Reed M.B., </w:t>
      </w:r>
      <w:proofErr w:type="spellStart"/>
      <w:r w:rsidRPr="0071277D">
        <w:rPr>
          <w:rFonts w:ascii="Arial" w:hAnsi="Arial" w:cs="Arial"/>
          <w:bCs/>
          <w:szCs w:val="18"/>
        </w:rPr>
        <w:t>Saliba</w:t>
      </w:r>
      <w:proofErr w:type="spellEnd"/>
      <w:r w:rsidRPr="0071277D">
        <w:rPr>
          <w:rFonts w:ascii="Arial" w:hAnsi="Arial" w:cs="Arial"/>
          <w:bCs/>
          <w:szCs w:val="18"/>
        </w:rPr>
        <w:t xml:space="preserve"> K.J., Caruana S.R., Kirk K. &amp; Cowman A.F., 2000. &amp; Cowman A.F., 2000 - Pgh1 modulates sensitivity and resistance to multiple antimalarials in </w:t>
      </w:r>
      <w:r w:rsidRPr="0071277D">
        <w:rPr>
          <w:rFonts w:ascii="Arial" w:hAnsi="Arial" w:cs="Arial"/>
          <w:bCs/>
          <w:i/>
          <w:szCs w:val="18"/>
        </w:rPr>
        <w:t>Plasmodium falciparum</w:t>
      </w:r>
      <w:r w:rsidRPr="0071277D">
        <w:rPr>
          <w:rFonts w:ascii="Arial" w:hAnsi="Arial" w:cs="Arial"/>
          <w:bCs/>
          <w:szCs w:val="18"/>
        </w:rPr>
        <w:t xml:space="preserve">. </w:t>
      </w:r>
      <w:r w:rsidRPr="0071277D">
        <w:rPr>
          <w:rFonts w:ascii="Arial" w:hAnsi="Arial" w:cs="Arial"/>
          <w:bCs/>
          <w:i/>
          <w:szCs w:val="18"/>
        </w:rPr>
        <w:t xml:space="preserve">Nature. </w:t>
      </w:r>
      <w:r w:rsidRPr="0071277D">
        <w:rPr>
          <w:rFonts w:ascii="Arial" w:hAnsi="Arial" w:cs="Arial"/>
          <w:bCs/>
          <w:szCs w:val="18"/>
        </w:rPr>
        <w:t>403: 906-909.</w:t>
      </w:r>
    </w:p>
    <w:p w14:paraId="340F410D" w14:textId="043E939D"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lastRenderedPageBreak/>
        <w:t xml:space="preserve">She D., Wang Z., Liang Q., Lu L., Huang Y., Zhang K., An D. &amp; </w:t>
      </w:r>
      <w:proofErr w:type="spellStart"/>
      <w:r w:rsidRPr="0071277D">
        <w:rPr>
          <w:rFonts w:ascii="Arial" w:hAnsi="Arial" w:cs="Arial"/>
          <w:bCs/>
          <w:szCs w:val="18"/>
        </w:rPr>
        <w:t>Jiahong</w:t>
      </w:r>
      <w:proofErr w:type="spellEnd"/>
      <w:r w:rsidRPr="0071277D">
        <w:rPr>
          <w:rFonts w:ascii="Arial" w:hAnsi="Arial" w:cs="Arial"/>
          <w:bCs/>
          <w:szCs w:val="18"/>
        </w:rPr>
        <w:t xml:space="preserve"> Wu J., 2016.- Polymorphisms of </w:t>
      </w:r>
      <w:r w:rsidRPr="0071277D">
        <w:rPr>
          <w:rFonts w:ascii="Arial" w:hAnsi="Arial" w:cs="Arial"/>
          <w:bCs/>
          <w:i/>
          <w:szCs w:val="18"/>
        </w:rPr>
        <w:t>pfcrt, pfmdr-1</w:t>
      </w:r>
      <w:r w:rsidRPr="0071277D">
        <w:rPr>
          <w:rFonts w:ascii="Arial" w:hAnsi="Arial" w:cs="Arial"/>
          <w:bCs/>
          <w:szCs w:val="18"/>
        </w:rPr>
        <w:t xml:space="preserve">, and </w:t>
      </w:r>
      <w:r w:rsidRPr="0071277D">
        <w:rPr>
          <w:rFonts w:ascii="Arial" w:hAnsi="Arial" w:cs="Arial"/>
          <w:bCs/>
          <w:i/>
          <w:szCs w:val="18"/>
        </w:rPr>
        <w:t xml:space="preserve">K13-propeller </w:t>
      </w:r>
      <w:r w:rsidRPr="0071277D">
        <w:rPr>
          <w:rFonts w:ascii="Arial" w:hAnsi="Arial" w:cs="Arial"/>
          <w:bCs/>
          <w:szCs w:val="18"/>
        </w:rPr>
        <w:t xml:space="preserve">genes in imported </w:t>
      </w:r>
      <w:r w:rsidRPr="0071277D">
        <w:rPr>
          <w:rFonts w:ascii="Arial" w:hAnsi="Arial" w:cs="Arial"/>
          <w:bCs/>
          <w:i/>
          <w:szCs w:val="18"/>
        </w:rPr>
        <w:t xml:space="preserve">falciparum </w:t>
      </w:r>
      <w:r w:rsidRPr="0071277D">
        <w:rPr>
          <w:rFonts w:ascii="Arial" w:hAnsi="Arial" w:cs="Arial"/>
          <w:bCs/>
          <w:szCs w:val="18"/>
        </w:rPr>
        <w:t>malaria isolates from Africa in Guizhou province, China. BMC Infectious Diseases. 20 (1): 1-8.</w:t>
      </w:r>
      <w:r w:rsidR="000567B4">
        <w:rPr>
          <w:rFonts w:ascii="Arial" w:hAnsi="Arial" w:cs="Arial"/>
          <w:bCs/>
          <w:szCs w:val="18"/>
        </w:rPr>
        <w:t xml:space="preserve"> </w:t>
      </w:r>
      <w:r w:rsidRPr="0071277D">
        <w:rPr>
          <w:rFonts w:ascii="Arial" w:hAnsi="Arial" w:cs="Arial"/>
          <w:bCs/>
          <w:szCs w:val="18"/>
        </w:rPr>
        <w:t>Sow, 2010</w:t>
      </w:r>
    </w:p>
    <w:p w14:paraId="18C32DFE" w14:textId="79780822"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Takala</w:t>
      </w:r>
      <w:proofErr w:type="spellEnd"/>
      <w:r w:rsidRPr="0071277D">
        <w:rPr>
          <w:rFonts w:ascii="Arial" w:hAnsi="Arial" w:cs="Arial"/>
          <w:bCs/>
          <w:szCs w:val="18"/>
        </w:rPr>
        <w:t xml:space="preserve">-Harrison S., Clark T.G., Jacob C.G., Cummings M.P., </w:t>
      </w:r>
      <w:proofErr w:type="spellStart"/>
      <w:r w:rsidRPr="0071277D">
        <w:rPr>
          <w:rFonts w:ascii="Arial" w:hAnsi="Arial" w:cs="Arial"/>
          <w:bCs/>
          <w:szCs w:val="18"/>
        </w:rPr>
        <w:t>Miotto</w:t>
      </w:r>
      <w:proofErr w:type="spellEnd"/>
      <w:r w:rsidRPr="0071277D">
        <w:rPr>
          <w:rFonts w:ascii="Arial" w:hAnsi="Arial" w:cs="Arial"/>
          <w:bCs/>
          <w:szCs w:val="18"/>
        </w:rPr>
        <w:t xml:space="preserve"> O., </w:t>
      </w:r>
      <w:proofErr w:type="spellStart"/>
      <w:r w:rsidRPr="0071277D">
        <w:rPr>
          <w:rFonts w:ascii="Arial" w:hAnsi="Arial" w:cs="Arial"/>
          <w:bCs/>
          <w:szCs w:val="18"/>
        </w:rPr>
        <w:t>Dondorp</w:t>
      </w:r>
      <w:proofErr w:type="spellEnd"/>
      <w:r w:rsidRPr="0071277D">
        <w:rPr>
          <w:rFonts w:ascii="Arial" w:hAnsi="Arial" w:cs="Arial"/>
          <w:bCs/>
          <w:szCs w:val="18"/>
        </w:rPr>
        <w:t xml:space="preserve"> A.M., </w:t>
      </w:r>
      <w:proofErr w:type="spellStart"/>
      <w:r w:rsidRPr="0071277D">
        <w:rPr>
          <w:rFonts w:ascii="Arial" w:hAnsi="Arial" w:cs="Arial"/>
          <w:bCs/>
          <w:szCs w:val="18"/>
        </w:rPr>
        <w:t>Plowe</w:t>
      </w:r>
      <w:proofErr w:type="spellEnd"/>
      <w:r w:rsidRPr="0071277D">
        <w:rPr>
          <w:rFonts w:ascii="Arial" w:hAnsi="Arial" w:cs="Arial"/>
          <w:bCs/>
          <w:szCs w:val="18"/>
        </w:rPr>
        <w:t xml:space="preserve"> C.V., 2013.- Genetic loci associated with delayed clearance of </w:t>
      </w:r>
      <w:r w:rsidRPr="0071277D">
        <w:rPr>
          <w:rFonts w:ascii="Arial" w:hAnsi="Arial" w:cs="Arial"/>
          <w:bCs/>
          <w:i/>
          <w:szCs w:val="18"/>
        </w:rPr>
        <w:t xml:space="preserve">Plasmodium falciparum </w:t>
      </w:r>
      <w:r w:rsidRPr="0071277D">
        <w:rPr>
          <w:rFonts w:ascii="Arial" w:hAnsi="Arial" w:cs="Arial"/>
          <w:bCs/>
          <w:szCs w:val="18"/>
        </w:rPr>
        <w:t xml:space="preserve">after artemisinin treatment in Southeast Asia. </w:t>
      </w:r>
      <w:r w:rsidRPr="0071277D">
        <w:rPr>
          <w:rFonts w:ascii="Arial" w:hAnsi="Arial" w:cs="Arial"/>
          <w:bCs/>
          <w:i/>
          <w:szCs w:val="18"/>
        </w:rPr>
        <w:t>Proceedings of the National Academy of Sciences</w:t>
      </w:r>
      <w:r w:rsidRPr="0071277D">
        <w:rPr>
          <w:rFonts w:ascii="Arial" w:hAnsi="Arial" w:cs="Arial"/>
          <w:bCs/>
          <w:szCs w:val="18"/>
        </w:rPr>
        <w:t xml:space="preserve">, </w:t>
      </w:r>
      <w:r w:rsidRPr="0071277D">
        <w:rPr>
          <w:rFonts w:ascii="Arial" w:hAnsi="Arial" w:cs="Arial"/>
          <w:bCs/>
          <w:i/>
          <w:szCs w:val="18"/>
        </w:rPr>
        <w:t xml:space="preserve">110 </w:t>
      </w:r>
      <w:r w:rsidRPr="0071277D">
        <w:rPr>
          <w:rFonts w:ascii="Arial" w:hAnsi="Arial" w:cs="Arial"/>
          <w:bCs/>
          <w:szCs w:val="18"/>
        </w:rPr>
        <w:t>(1), 240-245.</w:t>
      </w:r>
    </w:p>
    <w:p w14:paraId="5B1A70C0"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Taylor S.M., </w:t>
      </w:r>
      <w:proofErr w:type="spellStart"/>
      <w:r w:rsidRPr="0071277D">
        <w:rPr>
          <w:rFonts w:ascii="Arial" w:hAnsi="Arial" w:cs="Arial"/>
          <w:bCs/>
          <w:szCs w:val="18"/>
        </w:rPr>
        <w:t>Parobek</w:t>
      </w:r>
      <w:proofErr w:type="spellEnd"/>
      <w:r w:rsidRPr="0071277D">
        <w:rPr>
          <w:rFonts w:ascii="Arial" w:hAnsi="Arial" w:cs="Arial"/>
          <w:bCs/>
          <w:szCs w:val="18"/>
        </w:rPr>
        <w:t xml:space="preserve"> C.M., </w:t>
      </w:r>
      <w:proofErr w:type="spellStart"/>
      <w:r w:rsidRPr="0071277D">
        <w:rPr>
          <w:rFonts w:ascii="Arial" w:hAnsi="Arial" w:cs="Arial"/>
          <w:bCs/>
          <w:szCs w:val="18"/>
        </w:rPr>
        <w:t>DeConti</w:t>
      </w:r>
      <w:proofErr w:type="spellEnd"/>
      <w:r w:rsidRPr="0071277D">
        <w:rPr>
          <w:rFonts w:ascii="Arial" w:hAnsi="Arial" w:cs="Arial"/>
          <w:bCs/>
          <w:szCs w:val="18"/>
        </w:rPr>
        <w:t xml:space="preserve"> D.K., </w:t>
      </w:r>
      <w:proofErr w:type="spellStart"/>
      <w:r w:rsidRPr="0071277D">
        <w:rPr>
          <w:rFonts w:ascii="Arial" w:hAnsi="Arial" w:cs="Arial"/>
          <w:bCs/>
          <w:szCs w:val="18"/>
        </w:rPr>
        <w:t>Kayentao</w:t>
      </w:r>
      <w:proofErr w:type="spellEnd"/>
      <w:r w:rsidRPr="0071277D">
        <w:rPr>
          <w:rFonts w:ascii="Arial" w:hAnsi="Arial" w:cs="Arial"/>
          <w:bCs/>
          <w:szCs w:val="18"/>
        </w:rPr>
        <w:t xml:space="preserve"> K., Coulibaly S.O </w:t>
      </w:r>
      <w:r w:rsidRPr="0071277D">
        <w:rPr>
          <w:rFonts w:ascii="Arial" w:hAnsi="Arial" w:cs="Arial"/>
          <w:bCs/>
          <w:i/>
          <w:szCs w:val="18"/>
        </w:rPr>
        <w:t>et al</w:t>
      </w:r>
      <w:r w:rsidRPr="0071277D">
        <w:rPr>
          <w:rFonts w:ascii="Arial" w:hAnsi="Arial" w:cs="Arial"/>
          <w:bCs/>
          <w:szCs w:val="18"/>
        </w:rPr>
        <w:t xml:space="preserve">, 2015.- Absence of putative artemisinin resistance mutations among </w:t>
      </w:r>
      <w:r w:rsidRPr="0071277D">
        <w:rPr>
          <w:rFonts w:ascii="Arial" w:hAnsi="Arial" w:cs="Arial"/>
          <w:bCs/>
          <w:i/>
          <w:szCs w:val="18"/>
        </w:rPr>
        <w:t xml:space="preserve">Plasmodium falciparum </w:t>
      </w:r>
      <w:r w:rsidRPr="0071277D">
        <w:rPr>
          <w:rFonts w:ascii="Arial" w:hAnsi="Arial" w:cs="Arial"/>
          <w:bCs/>
          <w:szCs w:val="18"/>
        </w:rPr>
        <w:t xml:space="preserve">in Sub-Saharan Africa: a molecular epidemiologic study. </w:t>
      </w:r>
      <w:r w:rsidRPr="0071277D">
        <w:rPr>
          <w:rFonts w:ascii="Arial" w:hAnsi="Arial" w:cs="Arial"/>
          <w:bCs/>
          <w:i/>
          <w:szCs w:val="18"/>
        </w:rPr>
        <w:t>The Journal of Infectious Diseases</w:t>
      </w:r>
      <w:r w:rsidRPr="0071277D">
        <w:rPr>
          <w:rFonts w:ascii="Arial" w:hAnsi="Arial" w:cs="Arial"/>
          <w:bCs/>
          <w:szCs w:val="18"/>
        </w:rPr>
        <w:t>. 211: 680-688.</w:t>
      </w:r>
    </w:p>
    <w:p w14:paraId="7688E1E5"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Trebisssou</w:t>
      </w:r>
      <w:proofErr w:type="spellEnd"/>
      <w:r w:rsidRPr="0071277D">
        <w:rPr>
          <w:rFonts w:ascii="Arial" w:hAnsi="Arial" w:cs="Arial"/>
          <w:bCs/>
          <w:szCs w:val="18"/>
        </w:rPr>
        <w:t xml:space="preserve"> J.ND., </w:t>
      </w:r>
      <w:proofErr w:type="spellStart"/>
      <w:r w:rsidRPr="0071277D">
        <w:rPr>
          <w:rFonts w:ascii="Arial" w:hAnsi="Arial" w:cs="Arial"/>
          <w:bCs/>
          <w:szCs w:val="18"/>
        </w:rPr>
        <w:t>Yavo</w:t>
      </w:r>
      <w:proofErr w:type="spellEnd"/>
      <w:r w:rsidRPr="0071277D">
        <w:rPr>
          <w:rFonts w:ascii="Arial" w:hAnsi="Arial" w:cs="Arial"/>
          <w:bCs/>
          <w:szCs w:val="18"/>
        </w:rPr>
        <w:t xml:space="preserve"> W., Tano K.D., </w:t>
      </w:r>
      <w:proofErr w:type="spellStart"/>
      <w:r w:rsidRPr="0071277D">
        <w:rPr>
          <w:rFonts w:ascii="Arial" w:hAnsi="Arial" w:cs="Arial"/>
          <w:bCs/>
          <w:szCs w:val="18"/>
        </w:rPr>
        <w:t>Monsan</w:t>
      </w:r>
      <w:proofErr w:type="spellEnd"/>
      <w:r w:rsidRPr="0071277D">
        <w:rPr>
          <w:rFonts w:ascii="Arial" w:hAnsi="Arial" w:cs="Arial"/>
          <w:bCs/>
          <w:szCs w:val="18"/>
        </w:rPr>
        <w:t xml:space="preserve"> N., </w:t>
      </w:r>
      <w:proofErr w:type="spellStart"/>
      <w:r w:rsidRPr="0071277D">
        <w:rPr>
          <w:rFonts w:ascii="Arial" w:hAnsi="Arial" w:cs="Arial"/>
          <w:bCs/>
          <w:szCs w:val="18"/>
        </w:rPr>
        <w:t>Yapi</w:t>
      </w:r>
      <w:proofErr w:type="spellEnd"/>
      <w:r w:rsidRPr="0071277D">
        <w:rPr>
          <w:rFonts w:ascii="Arial" w:hAnsi="Arial" w:cs="Arial"/>
          <w:bCs/>
          <w:szCs w:val="18"/>
        </w:rPr>
        <w:t xml:space="preserve"> H.F. &amp; </w:t>
      </w:r>
      <w:proofErr w:type="spellStart"/>
      <w:r w:rsidRPr="0071277D">
        <w:rPr>
          <w:rFonts w:ascii="Arial" w:hAnsi="Arial" w:cs="Arial"/>
          <w:bCs/>
          <w:szCs w:val="18"/>
        </w:rPr>
        <w:t>Djaman</w:t>
      </w:r>
      <w:proofErr w:type="spellEnd"/>
      <w:r w:rsidRPr="0071277D">
        <w:rPr>
          <w:rFonts w:ascii="Arial" w:hAnsi="Arial" w:cs="Arial"/>
          <w:bCs/>
          <w:szCs w:val="18"/>
        </w:rPr>
        <w:t xml:space="preserve"> A.J., 2014.- </w:t>
      </w:r>
      <w:r w:rsidRPr="0071277D">
        <w:rPr>
          <w:rFonts w:ascii="Arial" w:hAnsi="Arial" w:cs="Arial"/>
          <w:bCs/>
          <w:i/>
          <w:szCs w:val="18"/>
        </w:rPr>
        <w:t xml:space="preserve">In vitro </w:t>
      </w:r>
      <w:r w:rsidRPr="0071277D">
        <w:rPr>
          <w:rFonts w:ascii="Arial" w:hAnsi="Arial" w:cs="Arial"/>
          <w:bCs/>
          <w:szCs w:val="18"/>
        </w:rPr>
        <w:t xml:space="preserve">susceptibility of </w:t>
      </w:r>
      <w:r w:rsidRPr="0071277D">
        <w:rPr>
          <w:rFonts w:ascii="Arial" w:hAnsi="Arial" w:cs="Arial"/>
          <w:bCs/>
          <w:i/>
          <w:szCs w:val="18"/>
        </w:rPr>
        <w:t xml:space="preserve">Plasmodium falciparum </w:t>
      </w:r>
      <w:r w:rsidRPr="0071277D">
        <w:rPr>
          <w:rFonts w:ascii="Arial" w:hAnsi="Arial" w:cs="Arial"/>
          <w:bCs/>
          <w:szCs w:val="18"/>
        </w:rPr>
        <w:t xml:space="preserve">to lumefantrine and analysis of </w:t>
      </w:r>
      <w:proofErr w:type="spellStart"/>
      <w:r w:rsidRPr="0071277D">
        <w:rPr>
          <w:rFonts w:ascii="Arial" w:hAnsi="Arial" w:cs="Arial"/>
          <w:bCs/>
          <w:szCs w:val="18"/>
        </w:rPr>
        <w:t>polymophysims</w:t>
      </w:r>
      <w:proofErr w:type="spellEnd"/>
      <w:r w:rsidRPr="0071277D">
        <w:rPr>
          <w:rFonts w:ascii="Arial" w:hAnsi="Arial" w:cs="Arial"/>
          <w:bCs/>
          <w:szCs w:val="18"/>
        </w:rPr>
        <w:t xml:space="preserve"> in pfmdr-1 gene isolates from Abidjan (Côte d'Ivoire). </w:t>
      </w:r>
      <w:r w:rsidRPr="0071277D">
        <w:rPr>
          <w:rFonts w:ascii="Arial" w:hAnsi="Arial" w:cs="Arial"/>
          <w:bCs/>
          <w:i/>
          <w:szCs w:val="18"/>
        </w:rPr>
        <w:t>International Journal of Pharmaceutical Sciences and Research</w:t>
      </w:r>
      <w:r w:rsidRPr="0071277D">
        <w:rPr>
          <w:rFonts w:ascii="Arial" w:hAnsi="Arial" w:cs="Arial"/>
          <w:bCs/>
          <w:szCs w:val="18"/>
        </w:rPr>
        <w:t>. 5 (5): 1732- 1738.</w:t>
      </w:r>
    </w:p>
    <w:p w14:paraId="3F8E60A2"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Veiga</w:t>
      </w:r>
      <w:proofErr w:type="spellEnd"/>
      <w:r w:rsidRPr="0071277D">
        <w:rPr>
          <w:rFonts w:ascii="Arial" w:hAnsi="Arial" w:cs="Arial"/>
          <w:bCs/>
          <w:szCs w:val="18"/>
        </w:rPr>
        <w:t xml:space="preserve"> M.I., Dhingra S.K., Henrich P.P., </w:t>
      </w:r>
      <w:proofErr w:type="spellStart"/>
      <w:r w:rsidRPr="0071277D">
        <w:rPr>
          <w:rFonts w:ascii="Arial" w:hAnsi="Arial" w:cs="Arial"/>
          <w:bCs/>
          <w:szCs w:val="18"/>
        </w:rPr>
        <w:t>Straimer</w:t>
      </w:r>
      <w:proofErr w:type="spellEnd"/>
      <w:r w:rsidRPr="0071277D">
        <w:rPr>
          <w:rFonts w:ascii="Arial" w:hAnsi="Arial" w:cs="Arial"/>
          <w:bCs/>
          <w:szCs w:val="18"/>
        </w:rPr>
        <w:t xml:space="preserve"> J., </w:t>
      </w:r>
      <w:proofErr w:type="spellStart"/>
      <w:r w:rsidRPr="0071277D">
        <w:rPr>
          <w:rFonts w:ascii="Arial" w:hAnsi="Arial" w:cs="Arial"/>
          <w:bCs/>
          <w:szCs w:val="18"/>
        </w:rPr>
        <w:t>Gnädig</w:t>
      </w:r>
      <w:proofErr w:type="spellEnd"/>
      <w:r w:rsidRPr="0071277D">
        <w:rPr>
          <w:rFonts w:ascii="Arial" w:hAnsi="Arial" w:cs="Arial"/>
          <w:bCs/>
          <w:szCs w:val="18"/>
        </w:rPr>
        <w:t xml:space="preserve"> N., </w:t>
      </w:r>
      <w:proofErr w:type="spellStart"/>
      <w:r w:rsidRPr="0071277D">
        <w:rPr>
          <w:rFonts w:ascii="Arial" w:hAnsi="Arial" w:cs="Arial"/>
          <w:bCs/>
          <w:szCs w:val="18"/>
        </w:rPr>
        <w:t>Uhlemann</w:t>
      </w:r>
      <w:proofErr w:type="spellEnd"/>
      <w:r w:rsidRPr="0071277D">
        <w:rPr>
          <w:rFonts w:ascii="Arial" w:hAnsi="Arial" w:cs="Arial"/>
          <w:bCs/>
          <w:szCs w:val="18"/>
        </w:rPr>
        <w:t xml:space="preserve"> A., Martin R.E., </w:t>
      </w:r>
      <w:proofErr w:type="spellStart"/>
      <w:r w:rsidRPr="0071277D">
        <w:rPr>
          <w:rFonts w:ascii="Arial" w:hAnsi="Arial" w:cs="Arial"/>
          <w:bCs/>
          <w:szCs w:val="18"/>
        </w:rPr>
        <w:t>Lehane</w:t>
      </w:r>
      <w:proofErr w:type="spellEnd"/>
      <w:r w:rsidRPr="0071277D">
        <w:rPr>
          <w:rFonts w:ascii="Arial" w:hAnsi="Arial" w:cs="Arial"/>
          <w:bCs/>
          <w:szCs w:val="18"/>
        </w:rPr>
        <w:t xml:space="preserve"> A.M. &amp; Fidock D.A., 2016.- Globally prevalent PfMDR1 mutations modulate Plasmodium falciparum susceptibility to artemisinin-based combination therapies. Nature Communications. 7 (1): 1-12</w:t>
      </w:r>
    </w:p>
    <w:p w14:paraId="7BAF0E67"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WHO, 1984 - Advances in malaria chemotherapy. Geneva: World Health Organization: WHO Technical Report Series: 711. pp. 1-218</w:t>
      </w:r>
    </w:p>
    <w:p w14:paraId="3D55F9B4"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WHO, 2008. - The world malaria report 2008. Geneva: World Health Organization, Report No. WHO/HTM/GMP/2008.</w:t>
      </w:r>
      <w:proofErr w:type="gramStart"/>
      <w:r w:rsidRPr="0071277D">
        <w:rPr>
          <w:rFonts w:ascii="Arial" w:hAnsi="Arial" w:cs="Arial"/>
          <w:bCs/>
          <w:szCs w:val="18"/>
        </w:rPr>
        <w:t>1 :</w:t>
      </w:r>
      <w:proofErr w:type="gramEnd"/>
      <w:r w:rsidRPr="0071277D">
        <w:rPr>
          <w:rFonts w:ascii="Arial" w:hAnsi="Arial" w:cs="Arial"/>
          <w:bCs/>
          <w:szCs w:val="18"/>
        </w:rPr>
        <w:t xml:space="preserve"> 215p.</w:t>
      </w:r>
    </w:p>
    <w:p w14:paraId="0B327FA8"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WHO, 2021 - World Malaria Report 2021, Key messages WHO/UCN/GMP/2021.08. 24p.</w:t>
      </w:r>
    </w:p>
    <w:p w14:paraId="4C64A018"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Wongsrichanalai</w:t>
      </w:r>
      <w:proofErr w:type="spellEnd"/>
      <w:r w:rsidRPr="0071277D">
        <w:rPr>
          <w:rFonts w:ascii="Arial" w:hAnsi="Arial" w:cs="Arial"/>
          <w:bCs/>
          <w:szCs w:val="18"/>
        </w:rPr>
        <w:t xml:space="preserve"> C., Pickard A.L., </w:t>
      </w:r>
      <w:proofErr w:type="spellStart"/>
      <w:r w:rsidRPr="0071277D">
        <w:rPr>
          <w:rFonts w:ascii="Arial" w:hAnsi="Arial" w:cs="Arial"/>
          <w:bCs/>
          <w:szCs w:val="18"/>
        </w:rPr>
        <w:t>Wernsdorfer</w:t>
      </w:r>
      <w:proofErr w:type="spellEnd"/>
      <w:r w:rsidRPr="0071277D">
        <w:rPr>
          <w:rFonts w:ascii="Arial" w:hAnsi="Arial" w:cs="Arial"/>
          <w:bCs/>
          <w:szCs w:val="18"/>
        </w:rPr>
        <w:t xml:space="preserve"> W.H., 2002. Epidemiology of drug-resistant malaria. Lancet Infectious Diseases. 2: 209-218.</w:t>
      </w:r>
    </w:p>
    <w:p w14:paraId="28BE70E3"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Yang C., Zhang H., Zhou R., Qian D., Liu Y., Zhao Y., Li S. &amp; Xu B., 2017.- Polymorphisms of </w:t>
      </w:r>
      <w:r w:rsidRPr="0071277D">
        <w:rPr>
          <w:rFonts w:ascii="Arial" w:hAnsi="Arial" w:cs="Arial"/>
          <w:bCs/>
          <w:i/>
          <w:szCs w:val="18"/>
        </w:rPr>
        <w:t xml:space="preserve">Plasmodium falciparum </w:t>
      </w:r>
      <w:r w:rsidRPr="0071277D">
        <w:rPr>
          <w:rFonts w:ascii="Arial" w:hAnsi="Arial" w:cs="Arial"/>
          <w:bCs/>
          <w:szCs w:val="18"/>
        </w:rPr>
        <w:t xml:space="preserve">k13 </w:t>
      </w:r>
      <w:r w:rsidRPr="0071277D">
        <w:rPr>
          <w:rFonts w:ascii="Arial" w:hAnsi="Arial" w:cs="Arial"/>
          <w:bCs/>
          <w:i/>
          <w:szCs w:val="18"/>
        </w:rPr>
        <w:t xml:space="preserve">propeller </w:t>
      </w:r>
      <w:r w:rsidRPr="0071277D">
        <w:rPr>
          <w:rFonts w:ascii="Arial" w:hAnsi="Arial" w:cs="Arial"/>
          <w:bCs/>
          <w:szCs w:val="18"/>
        </w:rPr>
        <w:t xml:space="preserve">gene among migrant workers returning to Henan Province, China from Africa. Boston Medical Center of </w:t>
      </w:r>
      <w:proofErr w:type="spellStart"/>
      <w:r w:rsidRPr="0071277D">
        <w:rPr>
          <w:rFonts w:ascii="Arial" w:hAnsi="Arial" w:cs="Arial"/>
          <w:bCs/>
          <w:szCs w:val="18"/>
        </w:rPr>
        <w:t>Infectectious</w:t>
      </w:r>
      <w:proofErr w:type="spellEnd"/>
      <w:r w:rsidRPr="0071277D">
        <w:rPr>
          <w:rFonts w:ascii="Arial" w:hAnsi="Arial" w:cs="Arial"/>
          <w:bCs/>
          <w:szCs w:val="18"/>
        </w:rPr>
        <w:t xml:space="preserve"> Diseases. 17 (1): 1-8.</w:t>
      </w:r>
    </w:p>
    <w:p w14:paraId="2EB4132F" w14:textId="77EE066D" w:rsidR="00212DBC"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Zhang T., Xu X., Jiang J., Yu C., Tian C., Li W., 2018.- Surveillance of antimalarial resistance molecular markers in imported </w:t>
      </w:r>
      <w:r w:rsidRPr="0071277D">
        <w:rPr>
          <w:rFonts w:ascii="Arial" w:hAnsi="Arial" w:cs="Arial"/>
          <w:bCs/>
          <w:i/>
          <w:szCs w:val="18"/>
        </w:rPr>
        <w:t xml:space="preserve">Plasmodium falciparum </w:t>
      </w:r>
      <w:r w:rsidRPr="0071277D">
        <w:rPr>
          <w:rFonts w:ascii="Arial" w:hAnsi="Arial" w:cs="Arial"/>
          <w:bCs/>
          <w:szCs w:val="18"/>
        </w:rPr>
        <w:t>malaria cases in Anhui, China, 2012-2016. American Journal of Tropical Medicine and Hygiene. 98(4), 1132-1136.</w:t>
      </w:r>
      <w:bookmarkEnd w:id="7"/>
    </w:p>
    <w:sectPr w:rsidR="00212DBC" w:rsidRPr="0071277D" w:rsidSect="0074478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B23D8" w14:textId="77777777" w:rsidR="007B1806" w:rsidRDefault="007B1806">
      <w:r>
        <w:separator/>
      </w:r>
    </w:p>
  </w:endnote>
  <w:endnote w:type="continuationSeparator" w:id="0">
    <w:p w14:paraId="0EDDCA10" w14:textId="77777777" w:rsidR="007B1806" w:rsidRDefault="007B1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189BC" w14:textId="77777777" w:rsidR="005F7780" w:rsidRDefault="005F77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87499" w14:textId="77777777" w:rsidR="005F7780" w:rsidRPr="00C37E61" w:rsidRDefault="005F7780" w:rsidP="0066634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DAA8" w14:textId="77777777" w:rsidR="005F7780" w:rsidRDefault="005F77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55D2C" w14:textId="77777777" w:rsidR="007B1806" w:rsidRDefault="007B1806">
      <w:r>
        <w:separator/>
      </w:r>
    </w:p>
  </w:footnote>
  <w:footnote w:type="continuationSeparator" w:id="0">
    <w:p w14:paraId="6F8E2612" w14:textId="77777777" w:rsidR="007B1806" w:rsidRDefault="007B1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09136" w14:textId="48D55503" w:rsidR="005F7780" w:rsidRDefault="005F7780">
    <w:pPr>
      <w:pStyle w:val="En-tte"/>
    </w:pPr>
    <w:r>
      <w:rPr>
        <w:noProof/>
      </w:rPr>
      <w:pict w14:anchorId="3BF1D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58242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70CC0" w14:textId="2BA2FF12" w:rsidR="005F7780" w:rsidRDefault="005F7780">
    <w:pPr>
      <w:pStyle w:val="En-tte"/>
    </w:pPr>
    <w:r>
      <w:rPr>
        <w:noProof/>
      </w:rPr>
      <w:pict w14:anchorId="676BB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58242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EC2DB" w14:textId="204F123F" w:rsidR="005F7780" w:rsidRDefault="005F7780">
    <w:pPr>
      <w:pStyle w:val="En-tte"/>
    </w:pPr>
    <w:r>
      <w:rPr>
        <w:noProof/>
      </w:rPr>
      <w:pict w14:anchorId="683DA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582421"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43D12"/>
    <w:multiLevelType w:val="hybridMultilevel"/>
    <w:tmpl w:val="3A181058"/>
    <w:lvl w:ilvl="0" w:tplc="3F448748">
      <w:start w:val="1"/>
      <w:numFmt w:val="decimal"/>
      <w:lvlText w:val="%1-"/>
      <w:lvlJc w:val="left"/>
      <w:pPr>
        <w:ind w:left="2262" w:hanging="360"/>
      </w:pPr>
      <w:rPr>
        <w:rFonts w:ascii="Times New Roman" w:eastAsia="Times New Roman" w:hAnsi="Times New Roman" w:cs="Times New Roman" w:hint="default"/>
        <w:b/>
        <w:bCs/>
        <w:i w:val="0"/>
        <w:iCs w:val="0"/>
        <w:spacing w:val="0"/>
        <w:w w:val="100"/>
        <w:sz w:val="24"/>
        <w:szCs w:val="24"/>
        <w:lang w:val="en-US" w:eastAsia="en-US" w:bidi="ar-SA"/>
      </w:rPr>
    </w:lvl>
    <w:lvl w:ilvl="1" w:tplc="7D0EE3F8">
      <w:numFmt w:val="bullet"/>
      <w:lvlText w:val="•"/>
      <w:lvlJc w:val="left"/>
      <w:pPr>
        <w:ind w:left="3182" w:hanging="360"/>
      </w:pPr>
      <w:rPr>
        <w:rFonts w:hint="default"/>
        <w:lang w:val="en-US" w:eastAsia="en-US" w:bidi="ar-SA"/>
      </w:rPr>
    </w:lvl>
    <w:lvl w:ilvl="2" w:tplc="396684C6">
      <w:numFmt w:val="bullet"/>
      <w:lvlText w:val="•"/>
      <w:lvlJc w:val="left"/>
      <w:pPr>
        <w:ind w:left="4105" w:hanging="360"/>
      </w:pPr>
      <w:rPr>
        <w:rFonts w:hint="default"/>
        <w:lang w:val="en-US" w:eastAsia="en-US" w:bidi="ar-SA"/>
      </w:rPr>
    </w:lvl>
    <w:lvl w:ilvl="3" w:tplc="38E04D04">
      <w:numFmt w:val="bullet"/>
      <w:lvlText w:val="•"/>
      <w:lvlJc w:val="left"/>
      <w:pPr>
        <w:ind w:left="5027" w:hanging="360"/>
      </w:pPr>
      <w:rPr>
        <w:rFonts w:hint="default"/>
        <w:lang w:val="en-US" w:eastAsia="en-US" w:bidi="ar-SA"/>
      </w:rPr>
    </w:lvl>
    <w:lvl w:ilvl="4" w:tplc="FC0018B4">
      <w:numFmt w:val="bullet"/>
      <w:lvlText w:val="•"/>
      <w:lvlJc w:val="left"/>
      <w:pPr>
        <w:ind w:left="5950" w:hanging="360"/>
      </w:pPr>
      <w:rPr>
        <w:rFonts w:hint="default"/>
        <w:lang w:val="en-US" w:eastAsia="en-US" w:bidi="ar-SA"/>
      </w:rPr>
    </w:lvl>
    <w:lvl w:ilvl="5" w:tplc="EFF88102">
      <w:numFmt w:val="bullet"/>
      <w:lvlText w:val="•"/>
      <w:lvlJc w:val="left"/>
      <w:pPr>
        <w:ind w:left="6873" w:hanging="360"/>
      </w:pPr>
      <w:rPr>
        <w:rFonts w:hint="default"/>
        <w:lang w:val="en-US" w:eastAsia="en-US" w:bidi="ar-SA"/>
      </w:rPr>
    </w:lvl>
    <w:lvl w:ilvl="6" w:tplc="A5706384">
      <w:numFmt w:val="bullet"/>
      <w:lvlText w:val="•"/>
      <w:lvlJc w:val="left"/>
      <w:pPr>
        <w:ind w:left="7795" w:hanging="360"/>
      </w:pPr>
      <w:rPr>
        <w:rFonts w:hint="default"/>
        <w:lang w:val="en-US" w:eastAsia="en-US" w:bidi="ar-SA"/>
      </w:rPr>
    </w:lvl>
    <w:lvl w:ilvl="7" w:tplc="396C6972">
      <w:numFmt w:val="bullet"/>
      <w:lvlText w:val="•"/>
      <w:lvlJc w:val="left"/>
      <w:pPr>
        <w:ind w:left="8718" w:hanging="360"/>
      </w:pPr>
      <w:rPr>
        <w:rFonts w:hint="default"/>
        <w:lang w:val="en-US" w:eastAsia="en-US" w:bidi="ar-SA"/>
      </w:rPr>
    </w:lvl>
    <w:lvl w:ilvl="8" w:tplc="B56A4D66">
      <w:numFmt w:val="bullet"/>
      <w:lvlText w:val="•"/>
      <w:lvlJc w:val="left"/>
      <w:pPr>
        <w:ind w:left="9640" w:hanging="360"/>
      </w:pPr>
      <w:rPr>
        <w:rFonts w:hint="default"/>
        <w:lang w:val="en-US" w:eastAsia="en-US" w:bidi="ar-SA"/>
      </w:rPr>
    </w:lvl>
  </w:abstractNum>
  <w:abstractNum w:abstractNumId="1" w15:restartNumberingAfterBreak="0">
    <w:nsid w:val="0DAA7709"/>
    <w:multiLevelType w:val="multilevel"/>
    <w:tmpl w:val="E2FC6880"/>
    <w:lvl w:ilvl="0">
      <w:start w:val="2"/>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8657E79"/>
    <w:multiLevelType w:val="multilevel"/>
    <w:tmpl w:val="E2FC6880"/>
    <w:lvl w:ilvl="0">
      <w:start w:val="2"/>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F537D59"/>
    <w:multiLevelType w:val="hybridMultilevel"/>
    <w:tmpl w:val="31B68D76"/>
    <w:lvl w:ilvl="0" w:tplc="8FE018F0">
      <w:numFmt w:val="bullet"/>
      <w:lvlText w:val="⮚"/>
      <w:lvlJc w:val="left"/>
      <w:pPr>
        <w:ind w:left="2419" w:hanging="359"/>
      </w:pPr>
      <w:rPr>
        <w:rFonts w:ascii="Segoe UI Symbol" w:eastAsia="Segoe UI Symbol" w:hAnsi="Segoe UI Symbol" w:cs="Segoe UI Symbol" w:hint="default"/>
        <w:b w:val="0"/>
        <w:bCs w:val="0"/>
        <w:i w:val="0"/>
        <w:iCs w:val="0"/>
        <w:spacing w:val="0"/>
        <w:w w:val="91"/>
        <w:sz w:val="24"/>
        <w:szCs w:val="24"/>
        <w:lang w:val="en-US" w:eastAsia="en-US" w:bidi="ar-SA"/>
      </w:rPr>
    </w:lvl>
    <w:lvl w:ilvl="1" w:tplc="2696AF46">
      <w:numFmt w:val="bullet"/>
      <w:lvlText w:val="•"/>
      <w:lvlJc w:val="left"/>
      <w:pPr>
        <w:ind w:left="3326" w:hanging="359"/>
      </w:pPr>
      <w:rPr>
        <w:rFonts w:hint="default"/>
        <w:lang w:val="en-US" w:eastAsia="en-US" w:bidi="ar-SA"/>
      </w:rPr>
    </w:lvl>
    <w:lvl w:ilvl="2" w:tplc="81E6CBE6">
      <w:numFmt w:val="bullet"/>
      <w:lvlText w:val="•"/>
      <w:lvlJc w:val="left"/>
      <w:pPr>
        <w:ind w:left="4233" w:hanging="359"/>
      </w:pPr>
      <w:rPr>
        <w:rFonts w:hint="default"/>
        <w:lang w:val="en-US" w:eastAsia="en-US" w:bidi="ar-SA"/>
      </w:rPr>
    </w:lvl>
    <w:lvl w:ilvl="3" w:tplc="C750BA80">
      <w:numFmt w:val="bullet"/>
      <w:lvlText w:val="•"/>
      <w:lvlJc w:val="left"/>
      <w:pPr>
        <w:ind w:left="5139" w:hanging="359"/>
      </w:pPr>
      <w:rPr>
        <w:rFonts w:hint="default"/>
        <w:lang w:val="en-US" w:eastAsia="en-US" w:bidi="ar-SA"/>
      </w:rPr>
    </w:lvl>
    <w:lvl w:ilvl="4" w:tplc="645EEF66">
      <w:numFmt w:val="bullet"/>
      <w:lvlText w:val="•"/>
      <w:lvlJc w:val="left"/>
      <w:pPr>
        <w:ind w:left="6046" w:hanging="359"/>
      </w:pPr>
      <w:rPr>
        <w:rFonts w:hint="default"/>
        <w:lang w:val="en-US" w:eastAsia="en-US" w:bidi="ar-SA"/>
      </w:rPr>
    </w:lvl>
    <w:lvl w:ilvl="5" w:tplc="9CCE2A6C">
      <w:numFmt w:val="bullet"/>
      <w:lvlText w:val="•"/>
      <w:lvlJc w:val="left"/>
      <w:pPr>
        <w:ind w:left="6953" w:hanging="359"/>
      </w:pPr>
      <w:rPr>
        <w:rFonts w:hint="default"/>
        <w:lang w:val="en-US" w:eastAsia="en-US" w:bidi="ar-SA"/>
      </w:rPr>
    </w:lvl>
    <w:lvl w:ilvl="6" w:tplc="CC2C5522">
      <w:numFmt w:val="bullet"/>
      <w:lvlText w:val="•"/>
      <w:lvlJc w:val="left"/>
      <w:pPr>
        <w:ind w:left="7859" w:hanging="359"/>
      </w:pPr>
      <w:rPr>
        <w:rFonts w:hint="default"/>
        <w:lang w:val="en-US" w:eastAsia="en-US" w:bidi="ar-SA"/>
      </w:rPr>
    </w:lvl>
    <w:lvl w:ilvl="7" w:tplc="69E6F5F6">
      <w:numFmt w:val="bullet"/>
      <w:lvlText w:val="•"/>
      <w:lvlJc w:val="left"/>
      <w:pPr>
        <w:ind w:left="8766" w:hanging="359"/>
      </w:pPr>
      <w:rPr>
        <w:rFonts w:hint="default"/>
        <w:lang w:val="en-US" w:eastAsia="en-US" w:bidi="ar-SA"/>
      </w:rPr>
    </w:lvl>
    <w:lvl w:ilvl="8" w:tplc="62EC59F4">
      <w:numFmt w:val="bullet"/>
      <w:lvlText w:val="•"/>
      <w:lvlJc w:val="left"/>
      <w:pPr>
        <w:ind w:left="9672" w:hanging="359"/>
      </w:pPr>
      <w:rPr>
        <w:rFonts w:hint="default"/>
        <w:lang w:val="en-US" w:eastAsia="en-US" w:bidi="ar-SA"/>
      </w:rPr>
    </w:lvl>
  </w:abstractNum>
  <w:abstractNum w:abstractNumId="4" w15:restartNumberingAfterBreak="0">
    <w:nsid w:val="2366283B"/>
    <w:multiLevelType w:val="multilevel"/>
    <w:tmpl w:val="2E6C3646"/>
    <w:lvl w:ilvl="0">
      <w:start w:val="3"/>
      <w:numFmt w:val="decimal"/>
      <w:lvlText w:val="%1"/>
      <w:lvlJc w:val="left"/>
      <w:pPr>
        <w:ind w:left="360" w:hanging="360"/>
      </w:pPr>
      <w:rPr>
        <w:rFonts w:hint="default"/>
      </w:rPr>
    </w:lvl>
    <w:lvl w:ilvl="1">
      <w:start w:val="2"/>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5" w15:restartNumberingAfterBreak="0">
    <w:nsid w:val="32220B9A"/>
    <w:multiLevelType w:val="hybridMultilevel"/>
    <w:tmpl w:val="81AC466A"/>
    <w:lvl w:ilvl="0" w:tplc="9EB86514">
      <w:numFmt w:val="bullet"/>
      <w:lvlText w:val="⮚"/>
      <w:lvlJc w:val="left"/>
      <w:pPr>
        <w:ind w:left="2414" w:hanging="359"/>
      </w:pPr>
      <w:rPr>
        <w:rFonts w:ascii="Segoe UI Symbol" w:eastAsia="Segoe UI Symbol" w:hAnsi="Segoe UI Symbol" w:cs="Segoe UI Symbol" w:hint="default"/>
        <w:b w:val="0"/>
        <w:bCs w:val="0"/>
        <w:i w:val="0"/>
        <w:iCs w:val="0"/>
        <w:spacing w:val="0"/>
        <w:w w:val="91"/>
        <w:sz w:val="24"/>
        <w:szCs w:val="24"/>
        <w:lang w:val="en-US" w:eastAsia="en-US" w:bidi="ar-SA"/>
      </w:rPr>
    </w:lvl>
    <w:lvl w:ilvl="1" w:tplc="4DD2C350">
      <w:numFmt w:val="bullet"/>
      <w:lvlText w:val="•"/>
      <w:lvlJc w:val="left"/>
      <w:pPr>
        <w:ind w:left="3326" w:hanging="359"/>
      </w:pPr>
      <w:rPr>
        <w:rFonts w:hint="default"/>
        <w:lang w:val="en-US" w:eastAsia="en-US" w:bidi="ar-SA"/>
      </w:rPr>
    </w:lvl>
    <w:lvl w:ilvl="2" w:tplc="7BAE267E">
      <w:numFmt w:val="bullet"/>
      <w:lvlText w:val="•"/>
      <w:lvlJc w:val="left"/>
      <w:pPr>
        <w:ind w:left="4233" w:hanging="359"/>
      </w:pPr>
      <w:rPr>
        <w:rFonts w:hint="default"/>
        <w:lang w:val="en-US" w:eastAsia="en-US" w:bidi="ar-SA"/>
      </w:rPr>
    </w:lvl>
    <w:lvl w:ilvl="3" w:tplc="1E6A49FE">
      <w:numFmt w:val="bullet"/>
      <w:lvlText w:val="•"/>
      <w:lvlJc w:val="left"/>
      <w:pPr>
        <w:ind w:left="5139" w:hanging="359"/>
      </w:pPr>
      <w:rPr>
        <w:rFonts w:hint="default"/>
        <w:lang w:val="en-US" w:eastAsia="en-US" w:bidi="ar-SA"/>
      </w:rPr>
    </w:lvl>
    <w:lvl w:ilvl="4" w:tplc="F2CC1990">
      <w:numFmt w:val="bullet"/>
      <w:lvlText w:val="•"/>
      <w:lvlJc w:val="left"/>
      <w:pPr>
        <w:ind w:left="6046" w:hanging="359"/>
      </w:pPr>
      <w:rPr>
        <w:rFonts w:hint="default"/>
        <w:lang w:val="en-US" w:eastAsia="en-US" w:bidi="ar-SA"/>
      </w:rPr>
    </w:lvl>
    <w:lvl w:ilvl="5" w:tplc="F5B250B0">
      <w:numFmt w:val="bullet"/>
      <w:lvlText w:val="•"/>
      <w:lvlJc w:val="left"/>
      <w:pPr>
        <w:ind w:left="6953" w:hanging="359"/>
      </w:pPr>
      <w:rPr>
        <w:rFonts w:hint="default"/>
        <w:lang w:val="en-US" w:eastAsia="en-US" w:bidi="ar-SA"/>
      </w:rPr>
    </w:lvl>
    <w:lvl w:ilvl="6" w:tplc="D5E67512">
      <w:numFmt w:val="bullet"/>
      <w:lvlText w:val="•"/>
      <w:lvlJc w:val="left"/>
      <w:pPr>
        <w:ind w:left="7859" w:hanging="359"/>
      </w:pPr>
      <w:rPr>
        <w:rFonts w:hint="default"/>
        <w:lang w:val="en-US" w:eastAsia="en-US" w:bidi="ar-SA"/>
      </w:rPr>
    </w:lvl>
    <w:lvl w:ilvl="7" w:tplc="D2187DC8">
      <w:numFmt w:val="bullet"/>
      <w:lvlText w:val="•"/>
      <w:lvlJc w:val="left"/>
      <w:pPr>
        <w:ind w:left="8766" w:hanging="359"/>
      </w:pPr>
      <w:rPr>
        <w:rFonts w:hint="default"/>
        <w:lang w:val="en-US" w:eastAsia="en-US" w:bidi="ar-SA"/>
      </w:rPr>
    </w:lvl>
    <w:lvl w:ilvl="8" w:tplc="D3EC7BCE">
      <w:numFmt w:val="bullet"/>
      <w:lvlText w:val="•"/>
      <w:lvlJc w:val="left"/>
      <w:pPr>
        <w:ind w:left="9672" w:hanging="359"/>
      </w:pPr>
      <w:rPr>
        <w:rFonts w:hint="default"/>
        <w:lang w:val="en-US" w:eastAsia="en-US" w:bidi="ar-SA"/>
      </w:rPr>
    </w:lvl>
  </w:abstractNum>
  <w:abstractNum w:abstractNumId="6" w15:restartNumberingAfterBreak="0">
    <w:nsid w:val="3D995626"/>
    <w:multiLevelType w:val="hybridMultilevel"/>
    <w:tmpl w:val="8CE0E2FC"/>
    <w:lvl w:ilvl="0" w:tplc="9642FC7A">
      <w:numFmt w:val="bullet"/>
      <w:lvlText w:val="⮚"/>
      <w:lvlJc w:val="left"/>
      <w:pPr>
        <w:ind w:left="2419" w:hanging="359"/>
      </w:pPr>
      <w:rPr>
        <w:rFonts w:ascii="Segoe UI Symbol" w:eastAsia="Segoe UI Symbol" w:hAnsi="Segoe UI Symbol" w:cs="Segoe UI Symbol" w:hint="default"/>
        <w:b w:val="0"/>
        <w:bCs w:val="0"/>
        <w:i w:val="0"/>
        <w:iCs w:val="0"/>
        <w:spacing w:val="0"/>
        <w:w w:val="91"/>
        <w:sz w:val="24"/>
        <w:szCs w:val="24"/>
        <w:lang w:val="en-US" w:eastAsia="en-US" w:bidi="ar-SA"/>
      </w:rPr>
    </w:lvl>
    <w:lvl w:ilvl="1" w:tplc="5A2CD0DC">
      <w:numFmt w:val="bullet"/>
      <w:lvlText w:val="•"/>
      <w:lvlJc w:val="left"/>
      <w:pPr>
        <w:ind w:left="3326" w:hanging="359"/>
      </w:pPr>
      <w:rPr>
        <w:rFonts w:hint="default"/>
        <w:lang w:val="en-US" w:eastAsia="en-US" w:bidi="ar-SA"/>
      </w:rPr>
    </w:lvl>
    <w:lvl w:ilvl="2" w:tplc="2E1E9352">
      <w:numFmt w:val="bullet"/>
      <w:lvlText w:val="•"/>
      <w:lvlJc w:val="left"/>
      <w:pPr>
        <w:ind w:left="4233" w:hanging="359"/>
      </w:pPr>
      <w:rPr>
        <w:rFonts w:hint="default"/>
        <w:lang w:val="en-US" w:eastAsia="en-US" w:bidi="ar-SA"/>
      </w:rPr>
    </w:lvl>
    <w:lvl w:ilvl="3" w:tplc="46C8DD7E">
      <w:numFmt w:val="bullet"/>
      <w:lvlText w:val="•"/>
      <w:lvlJc w:val="left"/>
      <w:pPr>
        <w:ind w:left="5139" w:hanging="359"/>
      </w:pPr>
      <w:rPr>
        <w:rFonts w:hint="default"/>
        <w:lang w:val="en-US" w:eastAsia="en-US" w:bidi="ar-SA"/>
      </w:rPr>
    </w:lvl>
    <w:lvl w:ilvl="4" w:tplc="BA40AC74">
      <w:numFmt w:val="bullet"/>
      <w:lvlText w:val="•"/>
      <w:lvlJc w:val="left"/>
      <w:pPr>
        <w:ind w:left="6046" w:hanging="359"/>
      </w:pPr>
      <w:rPr>
        <w:rFonts w:hint="default"/>
        <w:lang w:val="en-US" w:eastAsia="en-US" w:bidi="ar-SA"/>
      </w:rPr>
    </w:lvl>
    <w:lvl w:ilvl="5" w:tplc="69F8EBBA">
      <w:numFmt w:val="bullet"/>
      <w:lvlText w:val="•"/>
      <w:lvlJc w:val="left"/>
      <w:pPr>
        <w:ind w:left="6953" w:hanging="359"/>
      </w:pPr>
      <w:rPr>
        <w:rFonts w:hint="default"/>
        <w:lang w:val="en-US" w:eastAsia="en-US" w:bidi="ar-SA"/>
      </w:rPr>
    </w:lvl>
    <w:lvl w:ilvl="6" w:tplc="C7E2AE18">
      <w:numFmt w:val="bullet"/>
      <w:lvlText w:val="•"/>
      <w:lvlJc w:val="left"/>
      <w:pPr>
        <w:ind w:left="7859" w:hanging="359"/>
      </w:pPr>
      <w:rPr>
        <w:rFonts w:hint="default"/>
        <w:lang w:val="en-US" w:eastAsia="en-US" w:bidi="ar-SA"/>
      </w:rPr>
    </w:lvl>
    <w:lvl w:ilvl="7" w:tplc="5C0C98A4">
      <w:numFmt w:val="bullet"/>
      <w:lvlText w:val="•"/>
      <w:lvlJc w:val="left"/>
      <w:pPr>
        <w:ind w:left="8766" w:hanging="359"/>
      </w:pPr>
      <w:rPr>
        <w:rFonts w:hint="default"/>
        <w:lang w:val="en-US" w:eastAsia="en-US" w:bidi="ar-SA"/>
      </w:rPr>
    </w:lvl>
    <w:lvl w:ilvl="8" w:tplc="78AE30E0">
      <w:numFmt w:val="bullet"/>
      <w:lvlText w:val="•"/>
      <w:lvlJc w:val="left"/>
      <w:pPr>
        <w:ind w:left="9672" w:hanging="359"/>
      </w:pPr>
      <w:rPr>
        <w:rFonts w:hint="default"/>
        <w:lang w:val="en-US" w:eastAsia="en-US" w:bidi="ar-SA"/>
      </w:rPr>
    </w:lvl>
  </w:abstractNum>
  <w:abstractNum w:abstractNumId="7" w15:restartNumberingAfterBreak="0">
    <w:nsid w:val="476B0F3D"/>
    <w:multiLevelType w:val="hybridMultilevel"/>
    <w:tmpl w:val="8C1EE25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1E5B61"/>
    <w:multiLevelType w:val="multilevel"/>
    <w:tmpl w:val="C6F2AA6C"/>
    <w:lvl w:ilvl="0">
      <w:start w:val="16"/>
      <w:numFmt w:val="upperLetter"/>
      <w:lvlText w:val="%1"/>
      <w:lvlJc w:val="left"/>
      <w:pPr>
        <w:ind w:left="450" w:hanging="450"/>
      </w:pPr>
      <w:rPr>
        <w:rFonts w:hint="default"/>
        <w:b w:val="0"/>
        <w:i/>
      </w:rPr>
    </w:lvl>
    <w:lvl w:ilvl="1">
      <w:start w:val="3"/>
      <w:numFmt w:val="decimal"/>
      <w:lvlText w:val="%1.%2"/>
      <w:lvlJc w:val="left"/>
      <w:pPr>
        <w:ind w:left="805" w:hanging="450"/>
      </w:pPr>
      <w:rPr>
        <w:rFonts w:hint="default"/>
        <w:b w:val="0"/>
        <w:i/>
      </w:rPr>
    </w:lvl>
    <w:lvl w:ilvl="2">
      <w:start w:val="1"/>
      <w:numFmt w:val="decimal"/>
      <w:lvlText w:val="%1.%2.%3"/>
      <w:lvlJc w:val="left"/>
      <w:pPr>
        <w:ind w:left="1430" w:hanging="720"/>
      </w:pPr>
      <w:rPr>
        <w:rFonts w:hint="default"/>
        <w:b w:val="0"/>
        <w:i/>
      </w:rPr>
    </w:lvl>
    <w:lvl w:ilvl="3">
      <w:start w:val="1"/>
      <w:numFmt w:val="decimal"/>
      <w:lvlText w:val="%1.%2.%3.%4"/>
      <w:lvlJc w:val="left"/>
      <w:pPr>
        <w:ind w:left="1785" w:hanging="720"/>
      </w:pPr>
      <w:rPr>
        <w:rFonts w:hint="default"/>
        <w:b w:val="0"/>
        <w:i/>
      </w:rPr>
    </w:lvl>
    <w:lvl w:ilvl="4">
      <w:start w:val="1"/>
      <w:numFmt w:val="decimal"/>
      <w:lvlText w:val="%1.%2.%3.%4.%5"/>
      <w:lvlJc w:val="left"/>
      <w:pPr>
        <w:ind w:left="2500" w:hanging="1080"/>
      </w:pPr>
      <w:rPr>
        <w:rFonts w:hint="default"/>
        <w:b w:val="0"/>
        <w:i/>
      </w:rPr>
    </w:lvl>
    <w:lvl w:ilvl="5">
      <w:start w:val="1"/>
      <w:numFmt w:val="decimal"/>
      <w:lvlText w:val="%1.%2.%3.%4.%5.%6"/>
      <w:lvlJc w:val="left"/>
      <w:pPr>
        <w:ind w:left="2855" w:hanging="1080"/>
      </w:pPr>
      <w:rPr>
        <w:rFonts w:hint="default"/>
        <w:b w:val="0"/>
        <w:i/>
      </w:rPr>
    </w:lvl>
    <w:lvl w:ilvl="6">
      <w:start w:val="1"/>
      <w:numFmt w:val="decimal"/>
      <w:lvlText w:val="%1.%2.%3.%4.%5.%6.%7"/>
      <w:lvlJc w:val="left"/>
      <w:pPr>
        <w:ind w:left="3570" w:hanging="1440"/>
      </w:pPr>
      <w:rPr>
        <w:rFonts w:hint="default"/>
        <w:b w:val="0"/>
        <w:i/>
      </w:rPr>
    </w:lvl>
    <w:lvl w:ilvl="7">
      <w:start w:val="1"/>
      <w:numFmt w:val="decimal"/>
      <w:lvlText w:val="%1.%2.%3.%4.%5.%6.%7.%8"/>
      <w:lvlJc w:val="left"/>
      <w:pPr>
        <w:ind w:left="3925" w:hanging="1440"/>
      </w:pPr>
      <w:rPr>
        <w:rFonts w:hint="default"/>
        <w:b w:val="0"/>
        <w:i/>
      </w:rPr>
    </w:lvl>
    <w:lvl w:ilvl="8">
      <w:start w:val="1"/>
      <w:numFmt w:val="decimal"/>
      <w:lvlText w:val="%1.%2.%3.%4.%5.%6.%7.%8.%9"/>
      <w:lvlJc w:val="left"/>
      <w:pPr>
        <w:ind w:left="4640" w:hanging="1800"/>
      </w:pPr>
      <w:rPr>
        <w:rFonts w:hint="default"/>
        <w:b w:val="0"/>
        <w:i/>
      </w:r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9"/>
  </w:num>
  <w:num w:numId="2">
    <w:abstractNumId w:val="6"/>
  </w:num>
  <w:num w:numId="3">
    <w:abstractNumId w:val="5"/>
  </w:num>
  <w:num w:numId="4">
    <w:abstractNumId w:val="4"/>
  </w:num>
  <w:num w:numId="5">
    <w:abstractNumId w:val="3"/>
  </w:num>
  <w:num w:numId="6">
    <w:abstractNumId w:val="8"/>
  </w:num>
  <w:num w:numId="7">
    <w:abstractNumId w:val="1"/>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EC6"/>
    <w:rsid w:val="00012762"/>
    <w:rsid w:val="00027827"/>
    <w:rsid w:val="00054DB1"/>
    <w:rsid w:val="000567B4"/>
    <w:rsid w:val="00092E5D"/>
    <w:rsid w:val="00167A51"/>
    <w:rsid w:val="00193B2B"/>
    <w:rsid w:val="00212DBC"/>
    <w:rsid w:val="00237960"/>
    <w:rsid w:val="002917AC"/>
    <w:rsid w:val="002A7740"/>
    <w:rsid w:val="00323574"/>
    <w:rsid w:val="00333925"/>
    <w:rsid w:val="00381E5E"/>
    <w:rsid w:val="00390295"/>
    <w:rsid w:val="0039209C"/>
    <w:rsid w:val="003E2A97"/>
    <w:rsid w:val="003E3AE1"/>
    <w:rsid w:val="0040702B"/>
    <w:rsid w:val="00417130"/>
    <w:rsid w:val="004213C0"/>
    <w:rsid w:val="00446A93"/>
    <w:rsid w:val="00497F72"/>
    <w:rsid w:val="004A457A"/>
    <w:rsid w:val="00514BF5"/>
    <w:rsid w:val="00584A1B"/>
    <w:rsid w:val="005D004D"/>
    <w:rsid w:val="005D466C"/>
    <w:rsid w:val="005D7C0E"/>
    <w:rsid w:val="005F7780"/>
    <w:rsid w:val="00604CAA"/>
    <w:rsid w:val="006350D7"/>
    <w:rsid w:val="0065139E"/>
    <w:rsid w:val="0066634B"/>
    <w:rsid w:val="00676A66"/>
    <w:rsid w:val="006D2B48"/>
    <w:rsid w:val="0071277D"/>
    <w:rsid w:val="00744788"/>
    <w:rsid w:val="00796F19"/>
    <w:rsid w:val="007B1806"/>
    <w:rsid w:val="00821DD3"/>
    <w:rsid w:val="00827E2B"/>
    <w:rsid w:val="008B67EA"/>
    <w:rsid w:val="009008D3"/>
    <w:rsid w:val="009515B4"/>
    <w:rsid w:val="00961730"/>
    <w:rsid w:val="00966836"/>
    <w:rsid w:val="0097209F"/>
    <w:rsid w:val="009941CF"/>
    <w:rsid w:val="00996B30"/>
    <w:rsid w:val="009B05DB"/>
    <w:rsid w:val="00A47EC6"/>
    <w:rsid w:val="00AB5F08"/>
    <w:rsid w:val="00B37701"/>
    <w:rsid w:val="00B54349"/>
    <w:rsid w:val="00C12DA9"/>
    <w:rsid w:val="00C16261"/>
    <w:rsid w:val="00C42DB4"/>
    <w:rsid w:val="00C75BCA"/>
    <w:rsid w:val="00DC2EC1"/>
    <w:rsid w:val="00DE3BE7"/>
    <w:rsid w:val="00EC792F"/>
    <w:rsid w:val="00EF5759"/>
    <w:rsid w:val="00EF6117"/>
    <w:rsid w:val="00F71FCB"/>
    <w:rsid w:val="00FC2F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73B8D2"/>
  <w15:chartTrackingRefBased/>
  <w15:docId w15:val="{6BDC1193-D4A0-4A40-B44A-33025C6B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EC6"/>
    <w:pPr>
      <w:spacing w:after="0" w:line="240" w:lineRule="auto"/>
    </w:pPr>
    <w:rPr>
      <w:rFonts w:ascii="Helvetica" w:eastAsia="Times New Roman" w:hAnsi="Helvetica" w:cs="Times New Roman"/>
      <w:sz w:val="20"/>
      <w:szCs w:val="20"/>
      <w:lang w:val="en-US"/>
    </w:rPr>
  </w:style>
  <w:style w:type="paragraph" w:styleId="Titre1">
    <w:name w:val="heading 1"/>
    <w:basedOn w:val="Normal"/>
    <w:next w:val="Normal"/>
    <w:link w:val="Titre1Car"/>
    <w:uiPriority w:val="9"/>
    <w:qFormat/>
    <w:rsid w:val="0039029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A47EC6"/>
    <w:pPr>
      <w:spacing w:line="280" w:lineRule="exact"/>
      <w:jc w:val="right"/>
    </w:pPr>
    <w:rPr>
      <w:b/>
      <w:sz w:val="24"/>
    </w:rPr>
  </w:style>
  <w:style w:type="paragraph" w:customStyle="1" w:styleId="Affiliation">
    <w:name w:val="Affiliation"/>
    <w:basedOn w:val="Normal"/>
    <w:rsid w:val="00A47EC6"/>
    <w:pPr>
      <w:spacing w:after="240" w:line="240" w:lineRule="exact"/>
      <w:jc w:val="right"/>
    </w:pPr>
  </w:style>
  <w:style w:type="paragraph" w:customStyle="1" w:styleId="Body">
    <w:name w:val="Body"/>
    <w:basedOn w:val="Normal"/>
    <w:rsid w:val="00A47EC6"/>
    <w:pPr>
      <w:spacing w:after="240"/>
      <w:jc w:val="both"/>
    </w:pPr>
  </w:style>
  <w:style w:type="paragraph" w:customStyle="1" w:styleId="AbstHead">
    <w:name w:val="Abst Head"/>
    <w:basedOn w:val="Normal"/>
    <w:rsid w:val="00A47EC6"/>
    <w:pPr>
      <w:keepNext/>
      <w:spacing w:after="240"/>
    </w:pPr>
    <w:rPr>
      <w:b/>
      <w:caps/>
      <w:sz w:val="22"/>
    </w:rPr>
  </w:style>
  <w:style w:type="paragraph" w:customStyle="1" w:styleId="ConcHead">
    <w:name w:val="Conc Head"/>
    <w:basedOn w:val="Normal"/>
    <w:rsid w:val="00A47EC6"/>
    <w:pPr>
      <w:keepNext/>
      <w:spacing w:after="240"/>
    </w:pPr>
    <w:rPr>
      <w:b/>
      <w:caps/>
      <w:sz w:val="22"/>
    </w:rPr>
  </w:style>
  <w:style w:type="paragraph" w:customStyle="1" w:styleId="AcknHead">
    <w:name w:val="Ackn Head"/>
    <w:basedOn w:val="Normal"/>
    <w:rsid w:val="00A47EC6"/>
    <w:pPr>
      <w:keepNext/>
      <w:spacing w:after="240"/>
    </w:pPr>
    <w:rPr>
      <w:b/>
      <w:caps/>
      <w:sz w:val="22"/>
    </w:rPr>
  </w:style>
  <w:style w:type="paragraph" w:customStyle="1" w:styleId="ReferHead">
    <w:name w:val="Refer Head"/>
    <w:basedOn w:val="Normal"/>
    <w:rsid w:val="00A47EC6"/>
    <w:pPr>
      <w:keepNext/>
      <w:spacing w:after="240"/>
    </w:pPr>
    <w:rPr>
      <w:b/>
      <w:caps/>
      <w:sz w:val="22"/>
    </w:rPr>
  </w:style>
  <w:style w:type="paragraph" w:customStyle="1" w:styleId="DefAcrHead">
    <w:name w:val="DefAcrHead"/>
    <w:basedOn w:val="Normal"/>
    <w:rsid w:val="00A47EC6"/>
    <w:pPr>
      <w:keepNext/>
      <w:spacing w:after="240"/>
    </w:pPr>
    <w:rPr>
      <w:b/>
      <w:caps/>
      <w:sz w:val="22"/>
    </w:rPr>
  </w:style>
  <w:style w:type="paragraph" w:customStyle="1" w:styleId="Copyright">
    <w:name w:val="Copyright"/>
    <w:basedOn w:val="Normal"/>
    <w:rsid w:val="00A47EC6"/>
    <w:pPr>
      <w:spacing w:after="960" w:line="200" w:lineRule="exact"/>
    </w:pPr>
    <w:rPr>
      <w:sz w:val="16"/>
    </w:rPr>
  </w:style>
  <w:style w:type="paragraph" w:styleId="Titre">
    <w:name w:val="Title"/>
    <w:basedOn w:val="Normal"/>
    <w:link w:val="TitreCar"/>
    <w:qFormat/>
    <w:rsid w:val="00A47EC6"/>
    <w:pPr>
      <w:spacing w:after="360"/>
      <w:jc w:val="right"/>
    </w:pPr>
    <w:rPr>
      <w:b/>
      <w:kern w:val="28"/>
      <w:sz w:val="36"/>
    </w:rPr>
  </w:style>
  <w:style w:type="character" w:customStyle="1" w:styleId="TitreCar">
    <w:name w:val="Titre Car"/>
    <w:basedOn w:val="Policepardfaut"/>
    <w:link w:val="Titre"/>
    <w:rsid w:val="00A47EC6"/>
    <w:rPr>
      <w:rFonts w:ascii="Helvetica" w:eastAsia="Times New Roman" w:hAnsi="Helvetica" w:cs="Times New Roman"/>
      <w:b/>
      <w:kern w:val="28"/>
      <w:sz w:val="36"/>
      <w:szCs w:val="20"/>
      <w:lang w:val="en-US"/>
    </w:rPr>
  </w:style>
  <w:style w:type="paragraph" w:customStyle="1" w:styleId="Reference">
    <w:name w:val="Reference"/>
    <w:basedOn w:val="Body"/>
    <w:rsid w:val="00A47EC6"/>
    <w:pPr>
      <w:numPr>
        <w:numId w:val="1"/>
      </w:numPr>
      <w:spacing w:after="0" w:line="240" w:lineRule="exact"/>
    </w:pPr>
  </w:style>
  <w:style w:type="paragraph" w:customStyle="1" w:styleId="Head1">
    <w:name w:val="Head1"/>
    <w:basedOn w:val="Normal"/>
    <w:rsid w:val="00A47EC6"/>
    <w:pPr>
      <w:keepNext/>
      <w:spacing w:after="240"/>
    </w:pPr>
    <w:rPr>
      <w:b/>
      <w:caps/>
      <w:sz w:val="22"/>
    </w:rPr>
  </w:style>
  <w:style w:type="paragraph" w:customStyle="1" w:styleId="Appendix">
    <w:name w:val="Appendix"/>
    <w:basedOn w:val="Normal"/>
    <w:rsid w:val="00A47EC6"/>
    <w:pPr>
      <w:keepNext/>
      <w:spacing w:after="240"/>
    </w:pPr>
    <w:rPr>
      <w:b/>
      <w:caps/>
      <w:sz w:val="22"/>
    </w:rPr>
  </w:style>
  <w:style w:type="paragraph" w:styleId="Pieddepage">
    <w:name w:val="footer"/>
    <w:basedOn w:val="Normal"/>
    <w:link w:val="PieddepageCar"/>
    <w:rsid w:val="00A47EC6"/>
    <w:pPr>
      <w:tabs>
        <w:tab w:val="center" w:pos="4320"/>
        <w:tab w:val="right" w:pos="8640"/>
      </w:tabs>
    </w:pPr>
  </w:style>
  <w:style w:type="character" w:customStyle="1" w:styleId="PieddepageCar">
    <w:name w:val="Pied de page Car"/>
    <w:basedOn w:val="Policepardfaut"/>
    <w:link w:val="Pieddepage"/>
    <w:rsid w:val="00A47EC6"/>
    <w:rPr>
      <w:rFonts w:ascii="Helvetica" w:eastAsia="Times New Roman" w:hAnsi="Helvetica" w:cs="Times New Roman"/>
      <w:sz w:val="20"/>
      <w:szCs w:val="20"/>
      <w:lang w:val="en-US"/>
    </w:rPr>
  </w:style>
  <w:style w:type="paragraph" w:styleId="En-tte">
    <w:name w:val="header"/>
    <w:basedOn w:val="Normal"/>
    <w:link w:val="En-tteCar"/>
    <w:rsid w:val="00A47EC6"/>
    <w:pPr>
      <w:tabs>
        <w:tab w:val="center" w:pos="4320"/>
        <w:tab w:val="right" w:pos="8640"/>
      </w:tabs>
    </w:pPr>
  </w:style>
  <w:style w:type="character" w:customStyle="1" w:styleId="En-tteCar">
    <w:name w:val="En-tête Car"/>
    <w:basedOn w:val="Policepardfaut"/>
    <w:link w:val="En-tte"/>
    <w:rsid w:val="00A47EC6"/>
    <w:rPr>
      <w:rFonts w:ascii="Helvetica" w:eastAsia="Times New Roman" w:hAnsi="Helvetica" w:cs="Times New Roman"/>
      <w:sz w:val="20"/>
      <w:szCs w:val="20"/>
      <w:lang w:val="en-US"/>
    </w:rPr>
  </w:style>
  <w:style w:type="character" w:styleId="Lienhypertexte">
    <w:name w:val="Hyperlink"/>
    <w:basedOn w:val="Policepardfaut"/>
    <w:rsid w:val="00A47EC6"/>
    <w:rPr>
      <w:color w:val="FF0080"/>
      <w:u w:val="single"/>
    </w:rPr>
  </w:style>
  <w:style w:type="paragraph" w:styleId="Corpsdetexte3">
    <w:name w:val="Body Text 3"/>
    <w:basedOn w:val="Normal"/>
    <w:link w:val="Corpsdetexte3Car"/>
    <w:rsid w:val="00A47EC6"/>
    <w:pPr>
      <w:spacing w:after="120"/>
    </w:pPr>
    <w:rPr>
      <w:sz w:val="16"/>
      <w:szCs w:val="16"/>
    </w:rPr>
  </w:style>
  <w:style w:type="character" w:customStyle="1" w:styleId="Corpsdetexte3Car">
    <w:name w:val="Corps de texte 3 Car"/>
    <w:basedOn w:val="Policepardfaut"/>
    <w:link w:val="Corpsdetexte3"/>
    <w:rsid w:val="00A47EC6"/>
    <w:rPr>
      <w:rFonts w:ascii="Helvetica" w:eastAsia="Times New Roman" w:hAnsi="Helvetica" w:cs="Times New Roman"/>
      <w:sz w:val="16"/>
      <w:szCs w:val="16"/>
      <w:lang w:val="en-US"/>
    </w:rPr>
  </w:style>
  <w:style w:type="character" w:styleId="Numrodeligne">
    <w:name w:val="line number"/>
    <w:basedOn w:val="Policepardfaut"/>
    <w:uiPriority w:val="99"/>
    <w:semiHidden/>
    <w:unhideWhenUsed/>
    <w:rsid w:val="00A47EC6"/>
  </w:style>
  <w:style w:type="paragraph" w:styleId="Corpsdetexte">
    <w:name w:val="Body Text"/>
    <w:basedOn w:val="Normal"/>
    <w:link w:val="CorpsdetexteCar"/>
    <w:uiPriority w:val="99"/>
    <w:unhideWhenUsed/>
    <w:rsid w:val="00EF5759"/>
    <w:pPr>
      <w:spacing w:after="120"/>
    </w:pPr>
  </w:style>
  <w:style w:type="character" w:customStyle="1" w:styleId="CorpsdetexteCar">
    <w:name w:val="Corps de texte Car"/>
    <w:basedOn w:val="Policepardfaut"/>
    <w:link w:val="Corpsdetexte"/>
    <w:uiPriority w:val="99"/>
    <w:rsid w:val="00EF5759"/>
    <w:rPr>
      <w:rFonts w:ascii="Helvetica" w:eastAsia="Times New Roman" w:hAnsi="Helvetica" w:cs="Times New Roman"/>
      <w:sz w:val="20"/>
      <w:szCs w:val="20"/>
      <w:lang w:val="en-US"/>
    </w:rPr>
  </w:style>
  <w:style w:type="character" w:customStyle="1" w:styleId="Titre1Car">
    <w:name w:val="Titre 1 Car"/>
    <w:basedOn w:val="Policepardfaut"/>
    <w:link w:val="Titre1"/>
    <w:uiPriority w:val="9"/>
    <w:rsid w:val="00390295"/>
    <w:rPr>
      <w:rFonts w:asciiTheme="majorHAnsi" w:eastAsiaTheme="majorEastAsia" w:hAnsiTheme="majorHAnsi" w:cstheme="majorBidi"/>
      <w:color w:val="2F5496" w:themeColor="accent1" w:themeShade="BF"/>
      <w:sz w:val="32"/>
      <w:szCs w:val="32"/>
      <w:lang w:val="en-US"/>
    </w:rPr>
  </w:style>
  <w:style w:type="character" w:customStyle="1" w:styleId="UnresolvedMention1">
    <w:name w:val="Unresolved Mention1"/>
    <w:basedOn w:val="Policepardfaut"/>
    <w:uiPriority w:val="99"/>
    <w:semiHidden/>
    <w:unhideWhenUsed/>
    <w:rsid w:val="00604CAA"/>
    <w:rPr>
      <w:color w:val="605E5C"/>
      <w:shd w:val="clear" w:color="auto" w:fill="E1DFDD"/>
    </w:rPr>
  </w:style>
  <w:style w:type="paragraph" w:styleId="Paragraphedeliste">
    <w:name w:val="List Paragraph"/>
    <w:basedOn w:val="Normal"/>
    <w:uiPriority w:val="1"/>
    <w:qFormat/>
    <w:rsid w:val="00F71FCB"/>
    <w:pPr>
      <w:widowControl w:val="0"/>
      <w:autoSpaceDE w:val="0"/>
      <w:autoSpaceDN w:val="0"/>
      <w:ind w:left="2261" w:hanging="360"/>
      <w:jc w:val="both"/>
    </w:pPr>
    <w:rPr>
      <w:rFonts w:ascii="Times New Roman" w:hAnsi="Times New Roman"/>
      <w:sz w:val="22"/>
      <w:szCs w:val="22"/>
    </w:rPr>
  </w:style>
  <w:style w:type="table" w:styleId="Tableausimple2">
    <w:name w:val="Plain Table 2"/>
    <w:basedOn w:val="TableauNormal"/>
    <w:uiPriority w:val="42"/>
    <w:rsid w:val="003E2A9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5D00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5">
    <w:name w:val="Plain Table 5"/>
    <w:basedOn w:val="TableauNormal"/>
    <w:uiPriority w:val="45"/>
    <w:rsid w:val="005D004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lledutableau">
    <w:name w:val="Table Grid"/>
    <w:basedOn w:val="TableauNormal"/>
    <w:uiPriority w:val="39"/>
    <w:rsid w:val="00DC2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2616">
      <w:bodyDiv w:val="1"/>
      <w:marLeft w:val="0"/>
      <w:marRight w:val="0"/>
      <w:marTop w:val="0"/>
      <w:marBottom w:val="0"/>
      <w:divBdr>
        <w:top w:val="none" w:sz="0" w:space="0" w:color="auto"/>
        <w:left w:val="none" w:sz="0" w:space="0" w:color="auto"/>
        <w:bottom w:val="none" w:sz="0" w:space="0" w:color="auto"/>
        <w:right w:val="none" w:sz="0" w:space="0" w:color="auto"/>
      </w:divBdr>
    </w:div>
    <w:div w:id="26178621">
      <w:bodyDiv w:val="1"/>
      <w:marLeft w:val="0"/>
      <w:marRight w:val="0"/>
      <w:marTop w:val="0"/>
      <w:marBottom w:val="0"/>
      <w:divBdr>
        <w:top w:val="none" w:sz="0" w:space="0" w:color="auto"/>
        <w:left w:val="none" w:sz="0" w:space="0" w:color="auto"/>
        <w:bottom w:val="none" w:sz="0" w:space="0" w:color="auto"/>
        <w:right w:val="none" w:sz="0" w:space="0" w:color="auto"/>
      </w:divBdr>
    </w:div>
    <w:div w:id="87315089">
      <w:bodyDiv w:val="1"/>
      <w:marLeft w:val="0"/>
      <w:marRight w:val="0"/>
      <w:marTop w:val="0"/>
      <w:marBottom w:val="0"/>
      <w:divBdr>
        <w:top w:val="none" w:sz="0" w:space="0" w:color="auto"/>
        <w:left w:val="none" w:sz="0" w:space="0" w:color="auto"/>
        <w:bottom w:val="none" w:sz="0" w:space="0" w:color="auto"/>
        <w:right w:val="none" w:sz="0" w:space="0" w:color="auto"/>
      </w:divBdr>
    </w:div>
    <w:div w:id="89854347">
      <w:bodyDiv w:val="1"/>
      <w:marLeft w:val="0"/>
      <w:marRight w:val="0"/>
      <w:marTop w:val="0"/>
      <w:marBottom w:val="0"/>
      <w:divBdr>
        <w:top w:val="none" w:sz="0" w:space="0" w:color="auto"/>
        <w:left w:val="none" w:sz="0" w:space="0" w:color="auto"/>
        <w:bottom w:val="none" w:sz="0" w:space="0" w:color="auto"/>
        <w:right w:val="none" w:sz="0" w:space="0" w:color="auto"/>
      </w:divBdr>
    </w:div>
    <w:div w:id="494884176">
      <w:bodyDiv w:val="1"/>
      <w:marLeft w:val="0"/>
      <w:marRight w:val="0"/>
      <w:marTop w:val="0"/>
      <w:marBottom w:val="0"/>
      <w:divBdr>
        <w:top w:val="none" w:sz="0" w:space="0" w:color="auto"/>
        <w:left w:val="none" w:sz="0" w:space="0" w:color="auto"/>
        <w:bottom w:val="none" w:sz="0" w:space="0" w:color="auto"/>
        <w:right w:val="none" w:sz="0" w:space="0" w:color="auto"/>
      </w:divBdr>
    </w:div>
    <w:div w:id="1015689548">
      <w:bodyDiv w:val="1"/>
      <w:marLeft w:val="0"/>
      <w:marRight w:val="0"/>
      <w:marTop w:val="0"/>
      <w:marBottom w:val="0"/>
      <w:divBdr>
        <w:top w:val="none" w:sz="0" w:space="0" w:color="auto"/>
        <w:left w:val="none" w:sz="0" w:space="0" w:color="auto"/>
        <w:bottom w:val="none" w:sz="0" w:space="0" w:color="auto"/>
        <w:right w:val="none" w:sz="0" w:space="0" w:color="auto"/>
      </w:divBdr>
    </w:div>
    <w:div w:id="1049382641">
      <w:bodyDiv w:val="1"/>
      <w:marLeft w:val="0"/>
      <w:marRight w:val="0"/>
      <w:marTop w:val="0"/>
      <w:marBottom w:val="0"/>
      <w:divBdr>
        <w:top w:val="none" w:sz="0" w:space="0" w:color="auto"/>
        <w:left w:val="none" w:sz="0" w:space="0" w:color="auto"/>
        <w:bottom w:val="none" w:sz="0" w:space="0" w:color="auto"/>
        <w:right w:val="none" w:sz="0" w:space="0" w:color="auto"/>
      </w:divBdr>
    </w:div>
    <w:div w:id="1327396803">
      <w:bodyDiv w:val="1"/>
      <w:marLeft w:val="0"/>
      <w:marRight w:val="0"/>
      <w:marTop w:val="0"/>
      <w:marBottom w:val="0"/>
      <w:divBdr>
        <w:top w:val="none" w:sz="0" w:space="0" w:color="auto"/>
        <w:left w:val="none" w:sz="0" w:space="0" w:color="auto"/>
        <w:bottom w:val="none" w:sz="0" w:space="0" w:color="auto"/>
        <w:right w:val="none" w:sz="0" w:space="0" w:color="auto"/>
      </w:divBdr>
    </w:div>
    <w:div w:id="1370372010">
      <w:bodyDiv w:val="1"/>
      <w:marLeft w:val="0"/>
      <w:marRight w:val="0"/>
      <w:marTop w:val="0"/>
      <w:marBottom w:val="0"/>
      <w:divBdr>
        <w:top w:val="none" w:sz="0" w:space="0" w:color="auto"/>
        <w:left w:val="none" w:sz="0" w:space="0" w:color="auto"/>
        <w:bottom w:val="none" w:sz="0" w:space="0" w:color="auto"/>
        <w:right w:val="none" w:sz="0" w:space="0" w:color="auto"/>
      </w:divBdr>
    </w:div>
    <w:div w:id="213335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med.ncbi.nlm.nih.gov/?term=Myers-Hansen%2BJL&amp;cauthor_id=3328480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bi.nlm.nih.gov/"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F9201-E416-4151-A2AC-0D2108953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5408</Words>
  <Characters>29745</Characters>
  <Application>Microsoft Office Word</Application>
  <DocSecurity>0</DocSecurity>
  <Lines>247</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KOUAKOU ABY</dc:creator>
  <cp:keywords/>
  <dc:description/>
  <cp:lastModifiedBy>KOUAKOU ABY</cp:lastModifiedBy>
  <cp:revision>13</cp:revision>
  <dcterms:created xsi:type="dcterms:W3CDTF">2025-07-29T13:05:00Z</dcterms:created>
  <dcterms:modified xsi:type="dcterms:W3CDTF">2025-08-04T18:07:00Z</dcterms:modified>
</cp:coreProperties>
</file>