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419C" w14:textId="67F81DBD" w:rsidR="00806EA8" w:rsidRPr="009407BA" w:rsidRDefault="00153890" w:rsidP="005120A9">
      <w:pPr>
        <w:pStyle w:val="Heading1"/>
        <w:jc w:val="right"/>
        <w:rPr>
          <w:rFonts w:ascii="Times New Roman" w:hAnsi="Times New Roman" w:cs="Times New Roman"/>
          <w:sz w:val="48"/>
          <w:szCs w:val="24"/>
        </w:rPr>
      </w:pPr>
      <w:r w:rsidRPr="009407BA">
        <w:rPr>
          <w:rFonts w:ascii="Times New Roman" w:hAnsi="Times New Roman" w:cs="Times New Roman"/>
          <w:sz w:val="48"/>
          <w:szCs w:val="24"/>
        </w:rPr>
        <w:t xml:space="preserve">Evaluation of the Response Efforts to Foodborne Disease Outbreak in </w:t>
      </w:r>
      <w:r w:rsidR="00052F76">
        <w:rPr>
          <w:rFonts w:ascii="Times New Roman" w:hAnsi="Times New Roman" w:cs="Times New Roman"/>
          <w:sz w:val="48"/>
          <w:szCs w:val="24"/>
        </w:rPr>
        <w:t>the Presbyterian</w:t>
      </w:r>
      <w:r w:rsidRPr="009407BA">
        <w:rPr>
          <w:rFonts w:ascii="Times New Roman" w:hAnsi="Times New Roman" w:cs="Times New Roman"/>
          <w:sz w:val="48"/>
          <w:szCs w:val="24"/>
        </w:rPr>
        <w:t xml:space="preserve"> College of Education</w:t>
      </w:r>
      <w:r w:rsidR="00052F76">
        <w:rPr>
          <w:rFonts w:ascii="Times New Roman" w:hAnsi="Times New Roman" w:cs="Times New Roman"/>
          <w:sz w:val="48"/>
          <w:szCs w:val="24"/>
        </w:rPr>
        <w:t xml:space="preserve">- </w:t>
      </w:r>
      <w:proofErr w:type="spellStart"/>
      <w:r w:rsidR="00052F76">
        <w:rPr>
          <w:rFonts w:ascii="Times New Roman" w:hAnsi="Times New Roman" w:cs="Times New Roman"/>
          <w:sz w:val="48"/>
          <w:szCs w:val="24"/>
        </w:rPr>
        <w:t>Akropong</w:t>
      </w:r>
      <w:proofErr w:type="spellEnd"/>
      <w:r w:rsidR="00052F76">
        <w:rPr>
          <w:rFonts w:ascii="Times New Roman" w:hAnsi="Times New Roman" w:cs="Times New Roman"/>
          <w:sz w:val="48"/>
          <w:szCs w:val="24"/>
        </w:rPr>
        <w:t xml:space="preserve">, </w:t>
      </w:r>
      <w:r w:rsidRPr="009407BA">
        <w:rPr>
          <w:rFonts w:ascii="Times New Roman" w:hAnsi="Times New Roman" w:cs="Times New Roman"/>
          <w:sz w:val="48"/>
          <w:szCs w:val="24"/>
        </w:rPr>
        <w:t xml:space="preserve">Ghana </w:t>
      </w:r>
    </w:p>
    <w:p w14:paraId="1A8BB472" w14:textId="77777777" w:rsidR="006B31FB" w:rsidRPr="009407BA" w:rsidRDefault="006B31FB" w:rsidP="006B31FB">
      <w:pPr>
        <w:rPr>
          <w:rFonts w:ascii="Times New Roman" w:hAnsi="Times New Roman" w:cs="Times New Roman"/>
          <w:sz w:val="24"/>
          <w:szCs w:val="24"/>
        </w:rPr>
      </w:pPr>
    </w:p>
    <w:p w14:paraId="461E8385" w14:textId="1B093BC4" w:rsidR="00806EA8" w:rsidRPr="009407BA" w:rsidRDefault="005E353C">
      <w:pPr>
        <w:spacing w:after="0" w:line="259" w:lineRule="auto"/>
        <w:ind w:left="1419" w:right="0" w:firstLine="0"/>
        <w:jc w:val="left"/>
        <w:rPr>
          <w:rFonts w:ascii="Times New Roman" w:hAnsi="Times New Roman" w:cs="Times New Roman"/>
          <w:sz w:val="24"/>
          <w:szCs w:val="24"/>
        </w:rPr>
      </w:pPr>
      <w:r w:rsidRPr="009407BA">
        <w:rPr>
          <w:rFonts w:ascii="Times New Roman" w:hAnsi="Times New Roman" w:cs="Times New Roman"/>
          <w:b/>
          <w:color w:val="2E74B5"/>
          <w:sz w:val="24"/>
          <w:szCs w:val="24"/>
        </w:rPr>
        <w:tab/>
        <w:t xml:space="preserve"> </w:t>
      </w:r>
      <w:r w:rsidRPr="009407BA">
        <w:rPr>
          <w:rFonts w:ascii="Times New Roman" w:hAnsi="Times New Roman" w:cs="Times New Roman"/>
          <w:b/>
          <w:color w:val="2E74B5"/>
          <w:sz w:val="24"/>
          <w:szCs w:val="24"/>
        </w:rPr>
        <w:tab/>
        <w:t xml:space="preserve"> </w:t>
      </w:r>
      <w:r w:rsidRPr="009407BA">
        <w:rPr>
          <w:rFonts w:ascii="Times New Roman" w:hAnsi="Times New Roman" w:cs="Times New Roman"/>
          <w:b/>
          <w:color w:val="2E74B5"/>
          <w:sz w:val="24"/>
          <w:szCs w:val="24"/>
        </w:rPr>
        <w:tab/>
      </w:r>
      <w:r w:rsidRPr="009407BA">
        <w:rPr>
          <w:rFonts w:ascii="Times New Roman" w:hAnsi="Times New Roman" w:cs="Times New Roman"/>
          <w:b/>
          <w:sz w:val="24"/>
          <w:szCs w:val="24"/>
        </w:rPr>
        <w:t xml:space="preserve"> </w:t>
      </w:r>
    </w:p>
    <w:p w14:paraId="1BA8539E" w14:textId="77777777" w:rsidR="00806EA8" w:rsidRPr="009407BA" w:rsidRDefault="005E353C">
      <w:pPr>
        <w:spacing w:line="259" w:lineRule="auto"/>
        <w:ind w:left="1419" w:right="0" w:firstLine="0"/>
        <w:jc w:val="left"/>
        <w:rPr>
          <w:rFonts w:ascii="Times New Roman" w:hAnsi="Times New Roman" w:cs="Times New Roman"/>
          <w:sz w:val="24"/>
          <w:szCs w:val="24"/>
        </w:rPr>
      </w:pPr>
      <w:r w:rsidRPr="009407BA">
        <w:rPr>
          <w:rFonts w:ascii="Times New Roman" w:hAnsi="Times New Roman" w:cs="Times New Roman"/>
          <w:b/>
          <w:sz w:val="24"/>
          <w:szCs w:val="24"/>
        </w:rPr>
        <w:t xml:space="preserve"> </w:t>
      </w:r>
    </w:p>
    <w:p w14:paraId="239CA71F" w14:textId="77777777" w:rsidR="00806EA8" w:rsidRPr="009407BA" w:rsidRDefault="005E353C" w:rsidP="00153890">
      <w:pPr>
        <w:pStyle w:val="Heading1"/>
        <w:ind w:left="0"/>
        <w:rPr>
          <w:rFonts w:ascii="Times New Roman" w:hAnsi="Times New Roman" w:cs="Times New Roman"/>
          <w:sz w:val="24"/>
          <w:szCs w:val="24"/>
        </w:rPr>
      </w:pPr>
      <w:r w:rsidRPr="009407BA">
        <w:rPr>
          <w:rFonts w:ascii="Times New Roman" w:hAnsi="Times New Roman" w:cs="Times New Roman"/>
          <w:sz w:val="24"/>
          <w:szCs w:val="24"/>
        </w:rPr>
        <w:t xml:space="preserve">Abstract </w:t>
      </w:r>
      <w:r w:rsidRPr="009407BA">
        <w:rPr>
          <w:rFonts w:ascii="Times New Roman" w:hAnsi="Times New Roman" w:cs="Times New Roman"/>
          <w:b w:val="0"/>
          <w:sz w:val="24"/>
          <w:szCs w:val="24"/>
        </w:rPr>
        <w:t xml:space="preserve"> </w:t>
      </w:r>
    </w:p>
    <w:p w14:paraId="4BC4181E"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 xml:space="preserve">Aim: </w:t>
      </w:r>
      <w:r w:rsidRPr="009407BA">
        <w:rPr>
          <w:rFonts w:ascii="Times New Roman" w:hAnsi="Times New Roman" w:cs="Times New Roman"/>
          <w:sz w:val="24"/>
          <w:szCs w:val="24"/>
        </w:rPr>
        <w:t xml:space="preserve">This study aimed to evaluate the emergency response measures implemented by the Presbyterian College of Education, </w:t>
      </w:r>
      <w:proofErr w:type="spellStart"/>
      <w:r w:rsidRPr="009407BA">
        <w:rPr>
          <w:rFonts w:ascii="Times New Roman" w:hAnsi="Times New Roman" w:cs="Times New Roman"/>
          <w:sz w:val="24"/>
          <w:szCs w:val="24"/>
        </w:rPr>
        <w:t>Akropong</w:t>
      </w:r>
      <w:proofErr w:type="spellEnd"/>
      <w:r w:rsidRPr="009407BA">
        <w:rPr>
          <w:rFonts w:ascii="Times New Roman" w:hAnsi="Times New Roman" w:cs="Times New Roman"/>
          <w:sz w:val="24"/>
          <w:szCs w:val="24"/>
        </w:rPr>
        <w:t xml:space="preserve">, following a foodborne disease outbreak in September 2023 that affected 51 students. </w:t>
      </w:r>
    </w:p>
    <w:p w14:paraId="2F518788" w14:textId="60114B19"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 xml:space="preserve">Methodology: </w:t>
      </w:r>
      <w:r w:rsidR="000048EA" w:rsidRPr="00176B7F">
        <w:rPr>
          <w:rFonts w:ascii="Times New Roman" w:hAnsi="Times New Roman" w:cs="Times New Roman"/>
          <w:sz w:val="24"/>
          <w:szCs w:val="24"/>
        </w:rPr>
        <w:t>A mixed-methods approach was used, drawing on key informant interviews, focus group discussions with 22 stakeholders, and analysis of secondary data from the college’s After-Action Report and medical records.</w:t>
      </w:r>
      <w:r w:rsidR="00FB6445" w:rsidRPr="00176B7F">
        <w:rPr>
          <w:rFonts w:ascii="Times New Roman" w:hAnsi="Times New Roman" w:cs="Times New Roman"/>
          <w:sz w:val="24"/>
          <w:szCs w:val="24"/>
        </w:rPr>
        <w:t xml:space="preserve"> Key informant interviews took place in a scheduled office on campus and lasted about 45 minutes. Focus group discussions, also held on campus, lasted approximately 60-90 minutes per session. Interviews were audio-recorded and transcribed word-for-word with participants' informed consent to maintain the accuracy and authenticity of their responses. </w:t>
      </w:r>
      <w:r w:rsidR="000048EA" w:rsidRPr="00176B7F">
        <w:rPr>
          <w:rFonts w:ascii="Times New Roman" w:hAnsi="Times New Roman" w:cs="Times New Roman"/>
          <w:sz w:val="24"/>
          <w:szCs w:val="24"/>
        </w:rPr>
        <w:t xml:space="preserve"> The evaluation was guided by the OECD-DAC criteria and the UNHCR Emergency Handbook.</w:t>
      </w:r>
    </w:p>
    <w:p w14:paraId="65C92D71" w14:textId="3BC67DCF"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 xml:space="preserve">Results: </w:t>
      </w:r>
      <w:r w:rsidR="000048EA" w:rsidRPr="009407BA">
        <w:rPr>
          <w:rFonts w:ascii="Times New Roman" w:hAnsi="Times New Roman" w:cs="Times New Roman"/>
          <w:sz w:val="24"/>
          <w:szCs w:val="24"/>
        </w:rPr>
        <w:t>The College implemented five key interventions: community health education, emergency planning, clinical investigations and referrals, hygiene and safety enforcement, and stockpiling of emergency supplies. The outbreak was contained within four days, with no fatalities. While overall response efforts were timely, effective, and aligned with national health policies, prolonged emergency meetings and resource constraints in stockpiling were noted challenges.</w:t>
      </w:r>
    </w:p>
    <w:p w14:paraId="71E13B5D" w14:textId="63D917CB"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 xml:space="preserve">Conclusion: </w:t>
      </w:r>
      <w:r w:rsidR="000048EA" w:rsidRPr="009407BA">
        <w:rPr>
          <w:rFonts w:ascii="Times New Roman" w:hAnsi="Times New Roman" w:cs="Times New Roman"/>
          <w:sz w:val="24"/>
          <w:szCs w:val="24"/>
        </w:rPr>
        <w:t xml:space="preserve">The study highlights the importance of multi-stakeholder coordination, effective communication, and rapid response planning in managing foodborne disease outbreaks. Recommendations include streamlining emergency planning and enhancing logistical readiness. </w:t>
      </w:r>
      <w:r w:rsidR="000048EA" w:rsidRPr="009407BA">
        <w:rPr>
          <w:rStyle w:val="Strong"/>
          <w:rFonts w:ascii="Times New Roman" w:hAnsi="Times New Roman" w:cs="Times New Roman"/>
          <w:b w:val="0"/>
          <w:sz w:val="24"/>
          <w:szCs w:val="24"/>
        </w:rPr>
        <w:t>These findings have practical implications for policymakers, educational authorities, and public health agencies in developing frameworks that strengthen outbreak preparedness and response in resource-limited academic settings.</w:t>
      </w:r>
    </w:p>
    <w:p w14:paraId="68AF4D87" w14:textId="77777777" w:rsidR="00806EA8" w:rsidRPr="009407BA" w:rsidRDefault="005E353C" w:rsidP="00153890">
      <w:pPr>
        <w:spacing w:after="0"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r w:rsidRPr="009407BA">
        <w:rPr>
          <w:rFonts w:ascii="Times New Roman" w:hAnsi="Times New Roman" w:cs="Times New Roman"/>
          <w:sz w:val="24"/>
          <w:szCs w:val="24"/>
        </w:rPr>
        <w:tab/>
        <w:t xml:space="preserve"> </w:t>
      </w:r>
    </w:p>
    <w:p w14:paraId="283E1FDE"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 xml:space="preserve">Keywords: </w:t>
      </w:r>
      <w:r w:rsidRPr="009407BA">
        <w:rPr>
          <w:rFonts w:ascii="Times New Roman" w:hAnsi="Times New Roman" w:cs="Times New Roman"/>
          <w:sz w:val="24"/>
          <w:szCs w:val="24"/>
        </w:rPr>
        <w:t xml:space="preserve">Foodborne disease, outbreak, response efforts, evaluation, College of Education </w:t>
      </w:r>
    </w:p>
    <w:p w14:paraId="725949BC"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b/>
          <w:sz w:val="24"/>
          <w:szCs w:val="24"/>
        </w:rPr>
        <w:t xml:space="preserve"> </w:t>
      </w:r>
    </w:p>
    <w:p w14:paraId="666E9314" w14:textId="77777777" w:rsidR="00806EA8" w:rsidRPr="009407BA" w:rsidRDefault="005E353C" w:rsidP="00153890">
      <w:pPr>
        <w:pStyle w:val="Heading2"/>
        <w:ind w:left="0"/>
        <w:rPr>
          <w:rFonts w:ascii="Times New Roman" w:hAnsi="Times New Roman" w:cs="Times New Roman"/>
          <w:sz w:val="24"/>
          <w:szCs w:val="24"/>
        </w:rPr>
      </w:pPr>
      <w:r w:rsidRPr="009407BA">
        <w:rPr>
          <w:rFonts w:ascii="Times New Roman" w:hAnsi="Times New Roman" w:cs="Times New Roman"/>
          <w:sz w:val="24"/>
          <w:szCs w:val="24"/>
        </w:rPr>
        <w:t xml:space="preserve">1. Introduction </w:t>
      </w:r>
    </w:p>
    <w:p w14:paraId="3B0D41C1" w14:textId="31E6B4A1"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After an outbreak of a foodborne disease that creates an emergency, it is important to evaluate the response efforts to reflect and identify gaps, best practices, and lessons learned emerging from the emergency, as well as to suggest measures and actions to improve ongoing response or be better prepared for future emergencies (Rural Health Information Hub, 2022). Failure to act on problems identified from past emergency experiences can leave health systems and communities susceptible to the same problems during future events (</w:t>
      </w:r>
      <w:r w:rsidR="00595E4D" w:rsidRPr="009407BA">
        <w:rPr>
          <w:rFonts w:ascii="Times New Roman" w:hAnsi="Times New Roman" w:cs="Times New Roman"/>
          <w:sz w:val="24"/>
          <w:szCs w:val="24"/>
        </w:rPr>
        <w:t>World Bank, 2024</w:t>
      </w:r>
      <w:r w:rsidRPr="009407BA">
        <w:rPr>
          <w:rFonts w:ascii="Times New Roman" w:hAnsi="Times New Roman" w:cs="Times New Roman"/>
          <w:sz w:val="24"/>
          <w:szCs w:val="24"/>
        </w:rPr>
        <w:t xml:space="preserve">; </w:t>
      </w:r>
      <w:proofErr w:type="spellStart"/>
      <w:r w:rsidRPr="009407BA">
        <w:rPr>
          <w:rFonts w:ascii="Times New Roman" w:hAnsi="Times New Roman" w:cs="Times New Roman"/>
          <w:sz w:val="24"/>
          <w:szCs w:val="24"/>
        </w:rPr>
        <w:t>Savioa</w:t>
      </w:r>
      <w:proofErr w:type="spellEnd"/>
      <w:r w:rsidRPr="009407BA">
        <w:rPr>
          <w:rFonts w:ascii="Times New Roman" w:hAnsi="Times New Roman" w:cs="Times New Roman"/>
          <w:sz w:val="24"/>
          <w:szCs w:val="24"/>
        </w:rPr>
        <w:t xml:space="preserve"> </w:t>
      </w:r>
      <w:r w:rsidRPr="009407BA">
        <w:rPr>
          <w:rFonts w:ascii="Times New Roman" w:hAnsi="Times New Roman" w:cs="Times New Roman"/>
          <w:sz w:val="24"/>
          <w:szCs w:val="24"/>
        </w:rPr>
        <w:lastRenderedPageBreak/>
        <w:t xml:space="preserve">et al., 2012). Evaluating a department's response can offer insights into what supports or hinders the successful delivery of health services during an emergency (Adini and Peleg, 2013). Emergency evaluations are conducted for learning and accountability purposes; as a result, timelines for these reports are of great essence (UNCHR, 2024). An evaluation of level 3 emergency operations is to be conducted within 15 months or earlier of response, while evaluation of level 2 and level 1 emergencies may be commissioned at the request of the Senior Executive Team at any time for a real-time review (UNCHR, 2024).  </w:t>
      </w:r>
    </w:p>
    <w:p w14:paraId="06A05AA4" w14:textId="3F70987D"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Foodborne diseases are an important cause of morbidity and mortality and a significant impediment to socioeconomic development worldwide (World Health Organization, </w:t>
      </w:r>
      <w:r w:rsidR="0082070A" w:rsidRPr="009407BA">
        <w:rPr>
          <w:rFonts w:ascii="Times New Roman" w:hAnsi="Times New Roman" w:cs="Times New Roman"/>
          <w:sz w:val="24"/>
          <w:szCs w:val="24"/>
        </w:rPr>
        <w:t>2018</w:t>
      </w:r>
      <w:r w:rsidRPr="009407BA">
        <w:rPr>
          <w:rFonts w:ascii="Times New Roman" w:hAnsi="Times New Roman" w:cs="Times New Roman"/>
          <w:sz w:val="24"/>
          <w:szCs w:val="24"/>
        </w:rPr>
        <w:t>). Globally, foodborne diseases kill an estimated 2.2 million people annually, with children under five years of age being the most at risk (</w:t>
      </w:r>
      <w:proofErr w:type="spellStart"/>
      <w:r w:rsidRPr="009407BA">
        <w:rPr>
          <w:rFonts w:ascii="Times New Roman" w:hAnsi="Times New Roman" w:cs="Times New Roman"/>
          <w:sz w:val="24"/>
          <w:szCs w:val="24"/>
        </w:rPr>
        <w:t>Ameme</w:t>
      </w:r>
      <w:proofErr w:type="spellEnd"/>
      <w:r w:rsidRPr="009407BA">
        <w:rPr>
          <w:rFonts w:ascii="Times New Roman" w:hAnsi="Times New Roman" w:cs="Times New Roman"/>
          <w:sz w:val="24"/>
          <w:szCs w:val="24"/>
        </w:rPr>
        <w:t xml:space="preserve"> et al., 2016; World Health Organization, </w:t>
      </w:r>
      <w:r w:rsidR="0082070A" w:rsidRPr="009407BA">
        <w:rPr>
          <w:rFonts w:ascii="Times New Roman" w:hAnsi="Times New Roman" w:cs="Times New Roman"/>
          <w:sz w:val="24"/>
          <w:szCs w:val="24"/>
        </w:rPr>
        <w:t>2018</w:t>
      </w:r>
      <w:r w:rsidRPr="009407BA">
        <w:rPr>
          <w:rFonts w:ascii="Times New Roman" w:hAnsi="Times New Roman" w:cs="Times New Roman"/>
          <w:sz w:val="24"/>
          <w:szCs w:val="24"/>
        </w:rPr>
        <w:t>). These diseases are acquired by the consumption of food contaminated with toxins, viruses, bacteria, or parasites (</w:t>
      </w:r>
      <w:proofErr w:type="spellStart"/>
      <w:r w:rsidRPr="009407BA">
        <w:rPr>
          <w:rFonts w:ascii="Times New Roman" w:hAnsi="Times New Roman" w:cs="Times New Roman"/>
          <w:sz w:val="24"/>
          <w:szCs w:val="24"/>
        </w:rPr>
        <w:t>Ameme</w:t>
      </w:r>
      <w:proofErr w:type="spellEnd"/>
      <w:r w:rsidRPr="009407BA">
        <w:rPr>
          <w:rFonts w:ascii="Times New Roman" w:hAnsi="Times New Roman" w:cs="Times New Roman"/>
          <w:sz w:val="24"/>
          <w:szCs w:val="24"/>
        </w:rPr>
        <w:t xml:space="preserve"> et al., 2016; </w:t>
      </w:r>
      <w:r w:rsidRPr="009407BA">
        <w:rPr>
          <w:rFonts w:ascii="Times New Roman" w:hAnsi="Times New Roman" w:cs="Times New Roman"/>
          <w:color w:val="222222"/>
          <w:sz w:val="24"/>
          <w:szCs w:val="24"/>
        </w:rPr>
        <w:t xml:space="preserve">Morris &amp; </w:t>
      </w:r>
      <w:proofErr w:type="spellStart"/>
      <w:r w:rsidRPr="009407BA">
        <w:rPr>
          <w:rFonts w:ascii="Times New Roman" w:hAnsi="Times New Roman" w:cs="Times New Roman"/>
          <w:color w:val="222222"/>
          <w:sz w:val="24"/>
          <w:szCs w:val="24"/>
        </w:rPr>
        <w:t>Vugia</w:t>
      </w:r>
      <w:proofErr w:type="spellEnd"/>
      <w:r w:rsidRPr="009407BA">
        <w:rPr>
          <w:rFonts w:ascii="Times New Roman" w:hAnsi="Times New Roman" w:cs="Times New Roman"/>
          <w:color w:val="222222"/>
          <w:sz w:val="24"/>
          <w:szCs w:val="24"/>
        </w:rPr>
        <w:t>, 2021)</w:t>
      </w:r>
      <w:r w:rsidRPr="009407BA">
        <w:rPr>
          <w:rFonts w:ascii="Times New Roman" w:hAnsi="Times New Roman" w:cs="Times New Roman"/>
          <w:sz w:val="24"/>
          <w:szCs w:val="24"/>
        </w:rPr>
        <w:t xml:space="preserve">. The symptoms of foodborne diseases range from mild and self-limiting situations, such as nausea, vomiting, and </w:t>
      </w:r>
      <w:r w:rsidR="001B4CDA" w:rsidRPr="009407BA">
        <w:rPr>
          <w:rFonts w:ascii="Times New Roman" w:hAnsi="Times New Roman" w:cs="Times New Roman"/>
          <w:sz w:val="24"/>
          <w:szCs w:val="24"/>
        </w:rPr>
        <w:t>diarrhea</w:t>
      </w:r>
      <w:r w:rsidRPr="009407BA">
        <w:rPr>
          <w:rFonts w:ascii="Times New Roman" w:hAnsi="Times New Roman" w:cs="Times New Roman"/>
          <w:sz w:val="24"/>
          <w:szCs w:val="24"/>
        </w:rPr>
        <w:t xml:space="preserve">, to debilitating and life-threatening situations such as kidney and liver failure, brain and neural disorders, paralysis, and cancers, leading to long periods of absenteeism and premature death (World Health Organization, </w:t>
      </w:r>
      <w:r w:rsidR="0082070A" w:rsidRPr="009407BA">
        <w:rPr>
          <w:rFonts w:ascii="Times New Roman" w:hAnsi="Times New Roman" w:cs="Times New Roman"/>
          <w:sz w:val="24"/>
          <w:szCs w:val="24"/>
        </w:rPr>
        <w:t>2018</w:t>
      </w:r>
      <w:r w:rsidRPr="009407BA">
        <w:rPr>
          <w:rFonts w:ascii="Times New Roman" w:hAnsi="Times New Roman" w:cs="Times New Roman"/>
          <w:sz w:val="24"/>
          <w:szCs w:val="24"/>
        </w:rPr>
        <w:t xml:space="preserve">). </w:t>
      </w:r>
    </w:p>
    <w:p w14:paraId="50C1EAAB"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There are many causative agents responsible for foodborne diseases, but the most common include Clostridium perfringens and Salmonella species (Clostridium perfringens - Food Safety, 2015). </w:t>
      </w:r>
    </w:p>
    <w:p w14:paraId="3A547897"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Clostridium perfringens often presents with mild symptoms and with a short duration as compared with Salmonella species, which is characterized by serious intestinal complications (Clostridium perfringens - Food Safety, 2015). </w:t>
      </w:r>
    </w:p>
    <w:p w14:paraId="55A303DC"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From 15th September to 18th September 2023, a total of 51 students from the Presbyterian College of Education - </w:t>
      </w:r>
      <w:proofErr w:type="spellStart"/>
      <w:r w:rsidRPr="009407BA">
        <w:rPr>
          <w:rFonts w:ascii="Times New Roman" w:hAnsi="Times New Roman" w:cs="Times New Roman"/>
          <w:sz w:val="24"/>
          <w:szCs w:val="24"/>
        </w:rPr>
        <w:t>Akropong</w:t>
      </w:r>
      <w:proofErr w:type="spellEnd"/>
      <w:r w:rsidRPr="009407BA">
        <w:rPr>
          <w:rFonts w:ascii="Times New Roman" w:hAnsi="Times New Roman" w:cs="Times New Roman"/>
          <w:sz w:val="24"/>
          <w:szCs w:val="24"/>
        </w:rPr>
        <w:t xml:space="preserve"> were rushed to the Emergency Department of Tetteh Quarshie Memorial Hospital in Ghana with complaints of abdominal pain, vomiting, diarrhea, and general body weakness. The students started complaining at around 9:00 pm, and at about midnight, 32 of them had been sent to the hospital for treatment. Between midnight and 6:00 am, an additional 9 students were also sent to the hospital for emergency care. The number of reported cases went down drastically until it ended on the 4th day. None of the students were detained beyond a day at the hospital. All the students were treated and discharged within 3 to 6 hours of their visit to the hospital, and there were no fatalities. </w:t>
      </w:r>
    </w:p>
    <w:p w14:paraId="69D7E1F1"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All the students had eaten from the college’s dining hall. They ate cooked, rich, and groundnut soup with chicken for dinner. The hospital authorities suspected a foodborne disease outbreak and notified the Regional Health Directorate through the District Health Management Team (DHMT) and the Regional Food and Drugs Authority to investigate the outbreak and to offer precautionary as well as preventive measures. One year after the outbreak of the foodborne disease, the college is evaluating its response efforts for learning and accountability purposes. </w:t>
      </w:r>
    </w:p>
    <w:p w14:paraId="1A03BE48"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p>
    <w:p w14:paraId="1CA7A0EE" w14:textId="77777777" w:rsidR="00806EA8" w:rsidRPr="009407BA" w:rsidRDefault="005E353C" w:rsidP="00153890">
      <w:pPr>
        <w:pStyle w:val="Heading2"/>
        <w:ind w:left="0"/>
        <w:rPr>
          <w:rFonts w:ascii="Times New Roman" w:hAnsi="Times New Roman" w:cs="Times New Roman"/>
          <w:sz w:val="24"/>
          <w:szCs w:val="24"/>
        </w:rPr>
      </w:pPr>
      <w:r w:rsidRPr="009407BA">
        <w:rPr>
          <w:rFonts w:ascii="Times New Roman" w:hAnsi="Times New Roman" w:cs="Times New Roman"/>
          <w:sz w:val="24"/>
          <w:szCs w:val="24"/>
        </w:rPr>
        <w:t xml:space="preserve">2. Methods </w:t>
      </w:r>
    </w:p>
    <w:p w14:paraId="65D59CF4" w14:textId="77777777" w:rsidR="00806EA8" w:rsidRPr="009407BA" w:rsidRDefault="005E353C" w:rsidP="00153890">
      <w:pPr>
        <w:pStyle w:val="Heading3"/>
        <w:ind w:left="0"/>
        <w:rPr>
          <w:rFonts w:ascii="Times New Roman" w:hAnsi="Times New Roman" w:cs="Times New Roman"/>
          <w:sz w:val="24"/>
          <w:szCs w:val="24"/>
        </w:rPr>
      </w:pPr>
      <w:r w:rsidRPr="009407BA">
        <w:rPr>
          <w:rFonts w:ascii="Times New Roman" w:hAnsi="Times New Roman" w:cs="Times New Roman"/>
          <w:sz w:val="24"/>
          <w:szCs w:val="24"/>
        </w:rPr>
        <w:t xml:space="preserve">2.1 Outbreak Setting and a Brief History </w:t>
      </w:r>
    </w:p>
    <w:p w14:paraId="4EF33C51"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 outbreak evaluation was carried out at the Presbyterian College of Education in </w:t>
      </w:r>
      <w:proofErr w:type="spellStart"/>
      <w:r w:rsidRPr="009407BA">
        <w:rPr>
          <w:rFonts w:ascii="Times New Roman" w:hAnsi="Times New Roman" w:cs="Times New Roman"/>
          <w:sz w:val="24"/>
          <w:szCs w:val="24"/>
        </w:rPr>
        <w:t>Akropong</w:t>
      </w:r>
      <w:proofErr w:type="spellEnd"/>
      <w:r w:rsidRPr="009407BA">
        <w:rPr>
          <w:rFonts w:ascii="Times New Roman" w:hAnsi="Times New Roman" w:cs="Times New Roman"/>
          <w:sz w:val="24"/>
          <w:szCs w:val="24"/>
        </w:rPr>
        <w:t xml:space="preserve">. The college is situated in the capital of the </w:t>
      </w:r>
      <w:proofErr w:type="spellStart"/>
      <w:r w:rsidRPr="009407BA">
        <w:rPr>
          <w:rFonts w:ascii="Times New Roman" w:hAnsi="Times New Roman" w:cs="Times New Roman"/>
          <w:sz w:val="24"/>
          <w:szCs w:val="24"/>
        </w:rPr>
        <w:t>Akuapem</w:t>
      </w:r>
      <w:proofErr w:type="spellEnd"/>
      <w:r w:rsidRPr="009407BA">
        <w:rPr>
          <w:rFonts w:ascii="Times New Roman" w:hAnsi="Times New Roman" w:cs="Times New Roman"/>
          <w:sz w:val="24"/>
          <w:szCs w:val="24"/>
        </w:rPr>
        <w:t xml:space="preserve"> North Municipality in Ghana's Eastern Region. It has a total of 1,876 students and 125 staff members. Ghana's government policy provides feeding grants to colleges of education nationwide. Accordingly, Presbyterian College </w:t>
      </w:r>
      <w:r w:rsidRPr="009407BA">
        <w:rPr>
          <w:rFonts w:ascii="Times New Roman" w:hAnsi="Times New Roman" w:cs="Times New Roman"/>
          <w:sz w:val="24"/>
          <w:szCs w:val="24"/>
        </w:rPr>
        <w:lastRenderedPageBreak/>
        <w:t xml:space="preserve">of Education, like its sister colleges, offers meals to all students. These meals are prepared in the college's kitchen under the supervision of three domestic bursars, each holding at least a bachelor's degree in hospitality management and at least three years of post-qualification experience in large-scale cooking. In addition to the three supervisors, twelve junior staff assist with kitchen duties. All kitchen personnel are certified by the Ministry of Health to prepare food for public consumption. The kitchen includes three storerooms: one for tubers, another for cereals, and a cold room for storing fresh fish, meat, and other perishable items. </w:t>
      </w:r>
    </w:p>
    <w:p w14:paraId="645DDD0B"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 college depends on two water sources for students' domestic needs: the Ghana Water Company Limited and a mechanized borehole. The primary drinking water for students is bottled water they buy from local vendors. The college has a ten-bed clinic managed by two nurses and other health professionals from the Tetteh Quarshie Memorial Hospital. </w:t>
      </w:r>
    </w:p>
    <w:p w14:paraId="7FF5E53B"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p>
    <w:p w14:paraId="1767FA67" w14:textId="77777777" w:rsidR="00806EA8" w:rsidRPr="009407BA" w:rsidRDefault="005E353C" w:rsidP="00153890">
      <w:pPr>
        <w:pStyle w:val="Heading3"/>
        <w:ind w:left="0"/>
        <w:rPr>
          <w:rFonts w:ascii="Times New Roman" w:hAnsi="Times New Roman" w:cs="Times New Roman"/>
          <w:sz w:val="24"/>
          <w:szCs w:val="24"/>
        </w:rPr>
      </w:pPr>
      <w:r w:rsidRPr="009407BA">
        <w:rPr>
          <w:rFonts w:ascii="Times New Roman" w:hAnsi="Times New Roman" w:cs="Times New Roman"/>
          <w:sz w:val="24"/>
          <w:szCs w:val="24"/>
        </w:rPr>
        <w:t xml:space="preserve">2.2 Study participants </w:t>
      </w:r>
    </w:p>
    <w:p w14:paraId="0AFDFF89"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 study participants consist of staff and students whose duties are directly or indirectly related to maintaining health and safety in the institution. They include the head of the institution (1), the College Nurses (2), the Dean of Student Affairs (1), the Hall Warden (1), the Hall Masters/Mistresses (8), the Quality Assurance Officer (1), the Domestic Bursar (1), and the SRC (7). These respondents made up the key participants for the study, totaling twenty-two (22). </w:t>
      </w:r>
    </w:p>
    <w:p w14:paraId="4D40F480"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p>
    <w:p w14:paraId="4FF0A226" w14:textId="77777777" w:rsidR="00806EA8" w:rsidRPr="00FB6445" w:rsidRDefault="005E353C" w:rsidP="00B655AB">
      <w:pPr>
        <w:pStyle w:val="Heading3"/>
        <w:ind w:left="0"/>
        <w:rPr>
          <w:rFonts w:ascii="Times New Roman" w:hAnsi="Times New Roman" w:cs="Times New Roman"/>
          <w:sz w:val="24"/>
          <w:szCs w:val="24"/>
        </w:rPr>
      </w:pPr>
      <w:r w:rsidRPr="00FB6445">
        <w:rPr>
          <w:rFonts w:ascii="Times New Roman" w:hAnsi="Times New Roman" w:cs="Times New Roman"/>
          <w:sz w:val="24"/>
          <w:szCs w:val="24"/>
        </w:rPr>
        <w:t xml:space="preserve">2.3 Data collection. </w:t>
      </w:r>
    </w:p>
    <w:p w14:paraId="5D8968DD" w14:textId="7A7F65C2" w:rsidR="00806EA8" w:rsidRPr="00536496" w:rsidRDefault="00B655AB" w:rsidP="00153890">
      <w:pPr>
        <w:ind w:left="0" w:right="0"/>
        <w:rPr>
          <w:rFonts w:ascii="Times New Roman" w:hAnsi="Times New Roman" w:cs="Times New Roman"/>
          <w:sz w:val="24"/>
          <w:szCs w:val="24"/>
        </w:rPr>
      </w:pPr>
      <w:r w:rsidRPr="00FB6445">
        <w:rPr>
          <w:rFonts w:ascii="Times New Roman" w:hAnsi="Times New Roman" w:cs="Times New Roman"/>
          <w:sz w:val="24"/>
          <w:szCs w:val="24"/>
        </w:rPr>
        <w:t xml:space="preserve">The study adopted a mixed-method </w:t>
      </w:r>
      <w:r w:rsidR="00427F4C" w:rsidRPr="00FB6445">
        <w:rPr>
          <w:rFonts w:ascii="Times New Roman" w:hAnsi="Times New Roman" w:cs="Times New Roman"/>
          <w:sz w:val="24"/>
          <w:szCs w:val="24"/>
        </w:rPr>
        <w:t>approach</w:t>
      </w:r>
      <w:r w:rsidRPr="00FB6445">
        <w:rPr>
          <w:rFonts w:ascii="Times New Roman" w:hAnsi="Times New Roman" w:cs="Times New Roman"/>
          <w:sz w:val="24"/>
          <w:szCs w:val="24"/>
        </w:rPr>
        <w:t xml:space="preserve">, drawing on various primary and secondary sources as recommended by the UNHCR </w:t>
      </w:r>
      <w:r w:rsidR="005E353C" w:rsidRPr="00FB6445">
        <w:rPr>
          <w:rFonts w:ascii="Times New Roman" w:hAnsi="Times New Roman" w:cs="Times New Roman"/>
          <w:sz w:val="24"/>
          <w:szCs w:val="24"/>
        </w:rPr>
        <w:t>Emergen</w:t>
      </w:r>
      <w:r w:rsidR="00E443FE" w:rsidRPr="00FB6445">
        <w:rPr>
          <w:rFonts w:ascii="Times New Roman" w:hAnsi="Times New Roman" w:cs="Times New Roman"/>
          <w:sz w:val="24"/>
          <w:szCs w:val="24"/>
        </w:rPr>
        <w:t>cy Handbook. The primary source</w:t>
      </w:r>
      <w:r w:rsidR="005E353C" w:rsidRPr="00FB6445">
        <w:rPr>
          <w:rFonts w:ascii="Times New Roman" w:hAnsi="Times New Roman" w:cs="Times New Roman"/>
          <w:sz w:val="24"/>
          <w:szCs w:val="24"/>
        </w:rPr>
        <w:t xml:space="preserve"> </w:t>
      </w:r>
      <w:r w:rsidR="00E443FE" w:rsidRPr="00FB6445">
        <w:rPr>
          <w:rFonts w:ascii="Times New Roman" w:hAnsi="Times New Roman" w:cs="Times New Roman"/>
          <w:sz w:val="24"/>
          <w:szCs w:val="24"/>
        </w:rPr>
        <w:t>was key informant interviews</w:t>
      </w:r>
      <w:r w:rsidR="005E353C" w:rsidRPr="00FB6445">
        <w:rPr>
          <w:rFonts w:ascii="Times New Roman" w:hAnsi="Times New Roman" w:cs="Times New Roman"/>
          <w:sz w:val="24"/>
          <w:szCs w:val="24"/>
        </w:rPr>
        <w:t>.</w:t>
      </w:r>
      <w:r w:rsidR="005E353C" w:rsidRPr="00536496">
        <w:rPr>
          <w:rFonts w:ascii="Times New Roman" w:hAnsi="Times New Roman" w:cs="Times New Roman"/>
          <w:sz w:val="24"/>
          <w:szCs w:val="24"/>
        </w:rPr>
        <w:t xml:space="preserve"> In the case of the secondary sources, the "After Action Report" (AAR) generated by the college management, as well as the report from the college nurses, was used. </w:t>
      </w:r>
      <w:r w:rsidR="00536496" w:rsidRPr="00536496">
        <w:rPr>
          <w:rFonts w:ascii="Times New Roman" w:hAnsi="Times New Roman" w:cs="Times New Roman"/>
          <w:sz w:val="24"/>
          <w:szCs w:val="24"/>
        </w:rPr>
        <w:t>Every interview took place in a scheduled office on campus and lasted about 45 minutes. Interviews were audio-recorded and transcribed word-for-word with participants' informed consent to maintain the accuracy and authenticity of their responses.</w:t>
      </w:r>
    </w:p>
    <w:p w14:paraId="7B88D70D"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 Organization for Economic Co-operation and Development (OECD) Development Assistance Committee (DAC) evaluation criteria, as updated in 2019, were used as a guide in developing the interview guide for the primary sources of data, as well as the search for the secondary data. The six criteria are effectiveness, relevance, efficiency, impact, sustainability, and coherence. These were guided by the corresponding indicative evaluation questions: </w:t>
      </w:r>
    </w:p>
    <w:p w14:paraId="4BAEF5B9"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How responsive was the college strategy to the external environment, including the role of government (Ministry of Education, Ministry of Health, and GTEC) and local actors? </w:t>
      </w:r>
    </w:p>
    <w:p w14:paraId="1215988B"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To what extent was the college’s response meeting the needs of students? </w:t>
      </w:r>
    </w:p>
    <w:p w14:paraId="6189DA45"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To what extent did the college achieve its envisaged outcomes? </w:t>
      </w:r>
    </w:p>
    <w:p w14:paraId="008777BD"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How efficient and timely were the response efforts? </w:t>
      </w:r>
    </w:p>
    <w:p w14:paraId="68094C00"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To what extent were the successes and failures in the response efforts attributed to system-related factors? </w:t>
      </w:r>
    </w:p>
    <w:p w14:paraId="47B57AA3"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What more should be done? </w:t>
      </w:r>
    </w:p>
    <w:p w14:paraId="182E8DF8" w14:textId="77777777" w:rsidR="00806EA8" w:rsidRPr="009407BA" w:rsidRDefault="005E353C" w:rsidP="005C2F37">
      <w:pPr>
        <w:pStyle w:val="ListParagraph"/>
        <w:numPr>
          <w:ilvl w:val="0"/>
          <w:numId w:val="4"/>
        </w:numPr>
        <w:ind w:right="0"/>
        <w:rPr>
          <w:rFonts w:ascii="Times New Roman" w:hAnsi="Times New Roman" w:cs="Times New Roman"/>
          <w:sz w:val="24"/>
          <w:szCs w:val="24"/>
        </w:rPr>
      </w:pPr>
      <w:r w:rsidRPr="009407BA">
        <w:rPr>
          <w:rFonts w:ascii="Times New Roman" w:hAnsi="Times New Roman" w:cs="Times New Roman"/>
          <w:sz w:val="24"/>
          <w:szCs w:val="24"/>
        </w:rPr>
        <w:t xml:space="preserve">What can the college learn from its preparedness efforts? </w:t>
      </w:r>
    </w:p>
    <w:p w14:paraId="4D0912E6"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In the case of the primary sources of data, a total of four (4) key informants in the person of the head of an institution, the senior college nurse, the senior hall warden, and the dean of student affairs were interviewed on the above indicative evaluation questions. The section for each participant lasted for about 35 minutes. </w:t>
      </w:r>
    </w:p>
    <w:p w14:paraId="7026D70C"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lastRenderedPageBreak/>
        <w:t xml:space="preserve">In addition to the key informants’ interviews, focused group discussions were conducted for the SRC and the house masters/mistresses, with each group being seven (7) and eight (8), respectively. With the consent of the respondents, the interview sections were recorded and transcribed verbatim using the content analytic approach. </w:t>
      </w:r>
    </w:p>
    <w:p w14:paraId="1D14CADE" w14:textId="77777777" w:rsidR="00806EA8" w:rsidRDefault="005E353C"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The researcher used secondary sources of data in the form of the After-Action Report (AAR) on the outbreak from the college management and the College Nurse Monthly Report to complement as well as fill in the gap with data supplied by the focus group discussions and the key informants. </w:t>
      </w:r>
    </w:p>
    <w:p w14:paraId="6C254ADA" w14:textId="77777777" w:rsidR="00303B2B" w:rsidRDefault="00303B2B" w:rsidP="00153890">
      <w:pPr>
        <w:ind w:left="0" w:right="0"/>
        <w:rPr>
          <w:rFonts w:ascii="Times New Roman" w:hAnsi="Times New Roman" w:cs="Times New Roman"/>
          <w:sz w:val="24"/>
          <w:szCs w:val="24"/>
        </w:rPr>
      </w:pPr>
    </w:p>
    <w:p w14:paraId="6DB58BE6" w14:textId="0518A779" w:rsidR="00303B2B" w:rsidRPr="004E669B" w:rsidRDefault="00303B2B" w:rsidP="00682821">
      <w:pPr>
        <w:pStyle w:val="Heading4"/>
        <w:ind w:left="0"/>
        <w:rPr>
          <w:rFonts w:ascii="Times New Roman" w:hAnsi="Times New Roman" w:cs="Times New Roman"/>
          <w:b/>
          <w:color w:val="000000" w:themeColor="text1"/>
          <w:sz w:val="24"/>
        </w:rPr>
      </w:pPr>
      <w:r w:rsidRPr="004E669B">
        <w:rPr>
          <w:rFonts w:ascii="Times New Roman" w:hAnsi="Times New Roman" w:cs="Times New Roman"/>
          <w:b/>
          <w:color w:val="000000" w:themeColor="text1"/>
          <w:sz w:val="24"/>
        </w:rPr>
        <w:t xml:space="preserve">2.4 </w:t>
      </w:r>
      <w:r w:rsidR="00AF4B7B">
        <w:rPr>
          <w:rFonts w:ascii="Times New Roman" w:hAnsi="Times New Roman" w:cs="Times New Roman"/>
          <w:b/>
          <w:color w:val="000000" w:themeColor="text1"/>
          <w:sz w:val="24"/>
        </w:rPr>
        <w:t xml:space="preserve">Table 1: </w:t>
      </w:r>
      <w:r w:rsidRPr="004E669B">
        <w:rPr>
          <w:rFonts w:ascii="Times New Roman" w:hAnsi="Times New Roman" w:cs="Times New Roman"/>
          <w:b/>
          <w:color w:val="000000" w:themeColor="text1"/>
          <w:sz w:val="24"/>
        </w:rPr>
        <w:t>Operational Definitions of Evaluation Criteria and Focus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9"/>
        <w:gridCol w:w="3362"/>
        <w:gridCol w:w="4362"/>
      </w:tblGrid>
      <w:tr w:rsidR="00303B2B" w:rsidRPr="00303B2B" w14:paraId="623BDDEB" w14:textId="77777777" w:rsidTr="00303B2B">
        <w:trPr>
          <w:tblHeader/>
          <w:tblCellSpacing w:w="15" w:type="dxa"/>
        </w:trPr>
        <w:tc>
          <w:tcPr>
            <w:tcW w:w="0" w:type="auto"/>
            <w:tcBorders>
              <w:top w:val="single" w:sz="4" w:space="0" w:color="auto"/>
              <w:bottom w:val="single" w:sz="4" w:space="0" w:color="auto"/>
            </w:tcBorders>
            <w:vAlign w:val="center"/>
            <w:hideMark/>
          </w:tcPr>
          <w:p w14:paraId="343631FA" w14:textId="77777777" w:rsidR="00303B2B" w:rsidRPr="00303B2B" w:rsidRDefault="00303B2B" w:rsidP="00303B2B">
            <w:pPr>
              <w:spacing w:after="0" w:line="240" w:lineRule="auto"/>
              <w:ind w:left="0" w:right="0" w:firstLine="0"/>
              <w:jc w:val="center"/>
              <w:rPr>
                <w:rFonts w:ascii="Times New Roman" w:eastAsia="Times New Roman" w:hAnsi="Times New Roman" w:cs="Times New Roman"/>
                <w:b/>
                <w:bCs/>
                <w:color w:val="auto"/>
                <w:sz w:val="24"/>
                <w:szCs w:val="24"/>
              </w:rPr>
            </w:pPr>
            <w:r w:rsidRPr="00303B2B">
              <w:rPr>
                <w:rFonts w:ascii="Times New Roman" w:eastAsia="Times New Roman" w:hAnsi="Times New Roman" w:cs="Times New Roman"/>
                <w:b/>
                <w:bCs/>
                <w:color w:val="auto"/>
                <w:sz w:val="24"/>
                <w:szCs w:val="24"/>
              </w:rPr>
              <w:t>Criteria</w:t>
            </w:r>
          </w:p>
        </w:tc>
        <w:tc>
          <w:tcPr>
            <w:tcW w:w="0" w:type="auto"/>
            <w:tcBorders>
              <w:top w:val="single" w:sz="4" w:space="0" w:color="auto"/>
              <w:bottom w:val="single" w:sz="4" w:space="0" w:color="auto"/>
            </w:tcBorders>
            <w:vAlign w:val="center"/>
            <w:hideMark/>
          </w:tcPr>
          <w:p w14:paraId="1E281532" w14:textId="77777777" w:rsidR="00303B2B" w:rsidRPr="00303B2B" w:rsidRDefault="00303B2B" w:rsidP="00303B2B">
            <w:pPr>
              <w:spacing w:after="0" w:line="240" w:lineRule="auto"/>
              <w:ind w:left="0" w:right="0" w:firstLine="0"/>
              <w:jc w:val="center"/>
              <w:rPr>
                <w:rFonts w:ascii="Times New Roman" w:eastAsia="Times New Roman" w:hAnsi="Times New Roman" w:cs="Times New Roman"/>
                <w:b/>
                <w:bCs/>
                <w:color w:val="auto"/>
                <w:sz w:val="24"/>
                <w:szCs w:val="24"/>
              </w:rPr>
            </w:pPr>
            <w:r w:rsidRPr="00303B2B">
              <w:rPr>
                <w:rFonts w:ascii="Times New Roman" w:eastAsia="Times New Roman" w:hAnsi="Times New Roman" w:cs="Times New Roman"/>
                <w:b/>
                <w:bCs/>
                <w:color w:val="auto"/>
                <w:sz w:val="24"/>
                <w:szCs w:val="24"/>
              </w:rPr>
              <w:t>Definition</w:t>
            </w:r>
          </w:p>
        </w:tc>
        <w:tc>
          <w:tcPr>
            <w:tcW w:w="0" w:type="auto"/>
            <w:tcBorders>
              <w:top w:val="single" w:sz="4" w:space="0" w:color="auto"/>
              <w:bottom w:val="single" w:sz="4" w:space="0" w:color="auto"/>
            </w:tcBorders>
            <w:vAlign w:val="center"/>
            <w:hideMark/>
          </w:tcPr>
          <w:p w14:paraId="02C1DCAF" w14:textId="77777777" w:rsidR="00303B2B" w:rsidRPr="00303B2B" w:rsidRDefault="00303B2B" w:rsidP="00303B2B">
            <w:pPr>
              <w:spacing w:after="0" w:line="240" w:lineRule="auto"/>
              <w:ind w:left="0" w:right="0" w:firstLine="0"/>
              <w:jc w:val="center"/>
              <w:rPr>
                <w:rFonts w:ascii="Times New Roman" w:eastAsia="Times New Roman" w:hAnsi="Times New Roman" w:cs="Times New Roman"/>
                <w:b/>
                <w:bCs/>
                <w:color w:val="auto"/>
                <w:sz w:val="24"/>
                <w:szCs w:val="24"/>
              </w:rPr>
            </w:pPr>
            <w:r w:rsidRPr="00303B2B">
              <w:rPr>
                <w:rFonts w:ascii="Times New Roman" w:eastAsia="Times New Roman" w:hAnsi="Times New Roman" w:cs="Times New Roman"/>
                <w:b/>
                <w:bCs/>
                <w:color w:val="auto"/>
                <w:sz w:val="24"/>
                <w:szCs w:val="24"/>
              </w:rPr>
              <w:t>Operational Focus</w:t>
            </w:r>
          </w:p>
        </w:tc>
      </w:tr>
      <w:tr w:rsidR="00303B2B" w:rsidRPr="00303B2B" w14:paraId="34EC68BB" w14:textId="77777777" w:rsidTr="00303B2B">
        <w:trPr>
          <w:tblCellSpacing w:w="15" w:type="dxa"/>
        </w:trPr>
        <w:tc>
          <w:tcPr>
            <w:tcW w:w="0" w:type="auto"/>
            <w:vAlign w:val="center"/>
            <w:hideMark/>
          </w:tcPr>
          <w:p w14:paraId="2DBD70FE"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Relevance</w:t>
            </w:r>
          </w:p>
        </w:tc>
        <w:tc>
          <w:tcPr>
            <w:tcW w:w="0" w:type="auto"/>
            <w:vAlign w:val="center"/>
            <w:hideMark/>
          </w:tcPr>
          <w:p w14:paraId="57A48AFA" w14:textId="6644AB3A"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extent to which the intervention objectives and design respond to beneficiaries</w:t>
            </w:r>
            <w:r>
              <w:rPr>
                <w:rFonts w:ascii="Times New Roman" w:eastAsia="Times New Roman" w:hAnsi="Times New Roman" w:cs="Times New Roman"/>
                <w:color w:val="auto"/>
                <w:sz w:val="24"/>
                <w:szCs w:val="24"/>
              </w:rPr>
              <w:t>.</w:t>
            </w:r>
          </w:p>
        </w:tc>
        <w:tc>
          <w:tcPr>
            <w:tcW w:w="0" w:type="auto"/>
            <w:vAlign w:val="center"/>
            <w:hideMark/>
          </w:tcPr>
          <w:p w14:paraId="5E747654"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Assesses whether the intervention is doing the right things by examining alignment with needs, policies, and priorities, and the appropriateness of the design.</w:t>
            </w:r>
          </w:p>
        </w:tc>
      </w:tr>
      <w:tr w:rsidR="00303B2B" w:rsidRPr="00303B2B" w14:paraId="06D1E5C0" w14:textId="77777777" w:rsidTr="00303B2B">
        <w:trPr>
          <w:tblCellSpacing w:w="15" w:type="dxa"/>
        </w:trPr>
        <w:tc>
          <w:tcPr>
            <w:tcW w:w="0" w:type="auto"/>
            <w:vAlign w:val="center"/>
            <w:hideMark/>
          </w:tcPr>
          <w:p w14:paraId="6C7A9D35"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Coherence</w:t>
            </w:r>
          </w:p>
        </w:tc>
        <w:tc>
          <w:tcPr>
            <w:tcW w:w="0" w:type="auto"/>
            <w:vAlign w:val="center"/>
            <w:hideMark/>
          </w:tcPr>
          <w:p w14:paraId="36EDDAD6" w14:textId="08BE8598"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compatibility of the intervention with oth</w:t>
            </w:r>
            <w:r>
              <w:rPr>
                <w:rFonts w:ascii="Times New Roman" w:eastAsia="Times New Roman" w:hAnsi="Times New Roman" w:cs="Times New Roman"/>
                <w:color w:val="auto"/>
                <w:sz w:val="24"/>
                <w:szCs w:val="24"/>
              </w:rPr>
              <w:t>er interventions</w:t>
            </w:r>
            <w:r w:rsidRPr="00303B2B">
              <w:rPr>
                <w:rFonts w:ascii="Times New Roman" w:eastAsia="Times New Roman" w:hAnsi="Times New Roman" w:cs="Times New Roman"/>
                <w:color w:val="auto"/>
                <w:sz w:val="24"/>
                <w:szCs w:val="24"/>
              </w:rPr>
              <w:t>.</w:t>
            </w:r>
          </w:p>
        </w:tc>
        <w:tc>
          <w:tcPr>
            <w:tcW w:w="0" w:type="auto"/>
            <w:vAlign w:val="center"/>
            <w:hideMark/>
          </w:tcPr>
          <w:p w14:paraId="5DF122D3" w14:textId="10723E0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Evaluates internal coherence (synergies/contradictions within implementing frameworks) and external coherence (alignm</w:t>
            </w:r>
            <w:r>
              <w:rPr>
                <w:rFonts w:ascii="Times New Roman" w:eastAsia="Times New Roman" w:hAnsi="Times New Roman" w:cs="Times New Roman"/>
                <w:color w:val="auto"/>
                <w:sz w:val="24"/>
                <w:szCs w:val="24"/>
              </w:rPr>
              <w:t>ent with other actors’ programs).</w:t>
            </w:r>
          </w:p>
        </w:tc>
      </w:tr>
      <w:tr w:rsidR="00303B2B" w:rsidRPr="00303B2B" w14:paraId="238A0F66" w14:textId="77777777" w:rsidTr="00303B2B">
        <w:trPr>
          <w:tblCellSpacing w:w="15" w:type="dxa"/>
        </w:trPr>
        <w:tc>
          <w:tcPr>
            <w:tcW w:w="0" w:type="auto"/>
            <w:vAlign w:val="center"/>
            <w:hideMark/>
          </w:tcPr>
          <w:p w14:paraId="3D67BC36"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Effectiveness</w:t>
            </w:r>
          </w:p>
        </w:tc>
        <w:tc>
          <w:tcPr>
            <w:tcW w:w="0" w:type="auto"/>
            <w:vAlign w:val="center"/>
            <w:hideMark/>
          </w:tcPr>
          <w:p w14:paraId="4FAC25B4"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extent to which the intervention achieved, or is expected to achieve, its objectives, and the reasons for and factors contributing to this achievement.</w:t>
            </w:r>
          </w:p>
        </w:tc>
        <w:tc>
          <w:tcPr>
            <w:tcW w:w="0" w:type="auto"/>
            <w:vAlign w:val="center"/>
            <w:hideMark/>
          </w:tcPr>
          <w:p w14:paraId="1A2F4C2D"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Assesses whether intended results were achieved, including understanding causal relationships between activities and observed changes.</w:t>
            </w:r>
          </w:p>
        </w:tc>
      </w:tr>
      <w:tr w:rsidR="00303B2B" w:rsidRPr="00303B2B" w14:paraId="26AB3EB7" w14:textId="77777777" w:rsidTr="00303B2B">
        <w:trPr>
          <w:tblCellSpacing w:w="15" w:type="dxa"/>
        </w:trPr>
        <w:tc>
          <w:tcPr>
            <w:tcW w:w="0" w:type="auto"/>
            <w:vAlign w:val="center"/>
            <w:hideMark/>
          </w:tcPr>
          <w:p w14:paraId="027D869D"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Efficiency</w:t>
            </w:r>
          </w:p>
        </w:tc>
        <w:tc>
          <w:tcPr>
            <w:tcW w:w="0" w:type="auto"/>
            <w:vAlign w:val="center"/>
            <w:hideMark/>
          </w:tcPr>
          <w:p w14:paraId="24A1DE3F"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extent to which the intervention delivers, or is likely to deliver, results in an economical and timely way.</w:t>
            </w:r>
          </w:p>
        </w:tc>
        <w:tc>
          <w:tcPr>
            <w:tcW w:w="0" w:type="auto"/>
            <w:vAlign w:val="center"/>
            <w:hideMark/>
          </w:tcPr>
          <w:p w14:paraId="70D7ECFB"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Evaluates use of resources relative to results, focusing on cost-effectiveness, timeliness, and resource optimization.</w:t>
            </w:r>
          </w:p>
        </w:tc>
      </w:tr>
      <w:tr w:rsidR="00303B2B" w:rsidRPr="00303B2B" w14:paraId="14AFEE71" w14:textId="77777777" w:rsidTr="00303B2B">
        <w:trPr>
          <w:tblCellSpacing w:w="15" w:type="dxa"/>
        </w:trPr>
        <w:tc>
          <w:tcPr>
            <w:tcW w:w="0" w:type="auto"/>
            <w:vAlign w:val="center"/>
            <w:hideMark/>
          </w:tcPr>
          <w:p w14:paraId="1291AAC1"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Impact</w:t>
            </w:r>
          </w:p>
        </w:tc>
        <w:tc>
          <w:tcPr>
            <w:tcW w:w="0" w:type="auto"/>
            <w:vAlign w:val="center"/>
            <w:hideMark/>
          </w:tcPr>
          <w:p w14:paraId="79507165"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extent to which the intervention has generated or is expected to generate significant positive or negative, intended or unintended, higher-level effects.</w:t>
            </w:r>
          </w:p>
        </w:tc>
        <w:tc>
          <w:tcPr>
            <w:tcW w:w="0" w:type="auto"/>
            <w:vAlign w:val="center"/>
            <w:hideMark/>
          </w:tcPr>
          <w:p w14:paraId="1E1B343E"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Assesses long-term, systemic effects (economic, social, environmental, institutional) beyond the intervention’s immediate goals.</w:t>
            </w:r>
          </w:p>
        </w:tc>
      </w:tr>
      <w:tr w:rsidR="00303B2B" w:rsidRPr="00303B2B" w14:paraId="542577F3" w14:textId="77777777" w:rsidTr="00303B2B">
        <w:trPr>
          <w:tblCellSpacing w:w="15" w:type="dxa"/>
        </w:trPr>
        <w:tc>
          <w:tcPr>
            <w:tcW w:w="0" w:type="auto"/>
            <w:tcBorders>
              <w:bottom w:val="single" w:sz="4" w:space="0" w:color="auto"/>
            </w:tcBorders>
            <w:vAlign w:val="center"/>
            <w:hideMark/>
          </w:tcPr>
          <w:p w14:paraId="3C5B1634"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b/>
                <w:bCs/>
                <w:color w:val="auto"/>
                <w:sz w:val="24"/>
                <w:szCs w:val="24"/>
              </w:rPr>
              <w:t>Sustainability</w:t>
            </w:r>
          </w:p>
        </w:tc>
        <w:tc>
          <w:tcPr>
            <w:tcW w:w="0" w:type="auto"/>
            <w:tcBorders>
              <w:bottom w:val="single" w:sz="4" w:space="0" w:color="auto"/>
            </w:tcBorders>
            <w:vAlign w:val="center"/>
            <w:hideMark/>
          </w:tcPr>
          <w:p w14:paraId="0D6FA8BA"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The extent to which the net benefits of the intervention continue or are likely to continue.</w:t>
            </w:r>
          </w:p>
        </w:tc>
        <w:tc>
          <w:tcPr>
            <w:tcW w:w="0" w:type="auto"/>
            <w:tcBorders>
              <w:bottom w:val="single" w:sz="4" w:space="0" w:color="auto"/>
            </w:tcBorders>
            <w:vAlign w:val="center"/>
            <w:hideMark/>
          </w:tcPr>
          <w:p w14:paraId="0FA8A743" w14:textId="77777777" w:rsidR="00303B2B" w:rsidRPr="00303B2B" w:rsidRDefault="00303B2B" w:rsidP="00303B2B">
            <w:pPr>
              <w:spacing w:after="0" w:line="240" w:lineRule="auto"/>
              <w:ind w:left="0" w:right="0" w:firstLine="0"/>
              <w:jc w:val="left"/>
              <w:rPr>
                <w:rFonts w:ascii="Times New Roman" w:eastAsia="Times New Roman" w:hAnsi="Times New Roman" w:cs="Times New Roman"/>
                <w:color w:val="auto"/>
                <w:sz w:val="24"/>
                <w:szCs w:val="24"/>
              </w:rPr>
            </w:pPr>
            <w:r w:rsidRPr="00303B2B">
              <w:rPr>
                <w:rFonts w:ascii="Times New Roman" w:eastAsia="Times New Roman" w:hAnsi="Times New Roman" w:cs="Times New Roman"/>
                <w:color w:val="auto"/>
                <w:sz w:val="24"/>
                <w:szCs w:val="24"/>
              </w:rPr>
              <w:t>Evaluates the durability of results post-intervention, considering financial, institutional, social, and environmental sustainability.</w:t>
            </w:r>
          </w:p>
        </w:tc>
      </w:tr>
    </w:tbl>
    <w:p w14:paraId="41B76284"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p>
    <w:p w14:paraId="334B40D0" w14:textId="77777777" w:rsidR="00806EA8" w:rsidRPr="009407BA" w:rsidRDefault="005E353C" w:rsidP="00153890">
      <w:pPr>
        <w:pStyle w:val="Heading2"/>
        <w:ind w:left="0"/>
        <w:rPr>
          <w:rFonts w:ascii="Times New Roman" w:hAnsi="Times New Roman" w:cs="Times New Roman"/>
          <w:sz w:val="24"/>
          <w:szCs w:val="24"/>
        </w:rPr>
      </w:pPr>
      <w:r w:rsidRPr="009407BA">
        <w:rPr>
          <w:rFonts w:ascii="Times New Roman" w:hAnsi="Times New Roman" w:cs="Times New Roman"/>
          <w:sz w:val="24"/>
          <w:szCs w:val="24"/>
        </w:rPr>
        <w:t xml:space="preserve">3. Analysis </w:t>
      </w:r>
    </w:p>
    <w:p w14:paraId="690243C0" w14:textId="47FAB96D" w:rsidR="00806EA8" w:rsidRPr="009407BA" w:rsidRDefault="00677423" w:rsidP="00153890">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A </w:t>
      </w:r>
      <w:r w:rsidRPr="009407BA">
        <w:rPr>
          <w:rStyle w:val="Strong"/>
          <w:rFonts w:ascii="Times New Roman" w:hAnsi="Times New Roman" w:cs="Times New Roman"/>
          <w:b w:val="0"/>
          <w:sz w:val="24"/>
          <w:szCs w:val="24"/>
        </w:rPr>
        <w:t>reflexive content analysis approach</w:t>
      </w:r>
      <w:r w:rsidRPr="009407BA">
        <w:rPr>
          <w:rFonts w:ascii="Times New Roman" w:hAnsi="Times New Roman" w:cs="Times New Roman"/>
          <w:sz w:val="24"/>
          <w:szCs w:val="24"/>
        </w:rPr>
        <w:t xml:space="preserve"> was adopted to interpret qualitative data from interviews and focus group discussions. This method builds on structured content analysis by integrating researcher reflexivity and thematic interpretation, allowing the development of meaningful subcategories and higher-order themes rooted in both theory and lived experience (</w:t>
      </w:r>
      <w:proofErr w:type="spellStart"/>
      <w:r w:rsidRPr="009407BA">
        <w:rPr>
          <w:rFonts w:ascii="Times New Roman" w:hAnsi="Times New Roman" w:cs="Times New Roman"/>
          <w:sz w:val="24"/>
          <w:szCs w:val="24"/>
        </w:rPr>
        <w:t>Nicmanis</w:t>
      </w:r>
      <w:proofErr w:type="spellEnd"/>
      <w:r w:rsidRPr="009407BA">
        <w:rPr>
          <w:rFonts w:ascii="Times New Roman" w:hAnsi="Times New Roman" w:cs="Times New Roman"/>
          <w:sz w:val="24"/>
          <w:szCs w:val="24"/>
        </w:rPr>
        <w:t xml:space="preserve">, 2024). The OECD-DAC evaluation criteria provided the guiding framework for this analysis, </w:t>
      </w:r>
      <w:r w:rsidRPr="009407BA">
        <w:rPr>
          <w:rFonts w:ascii="Times New Roman" w:hAnsi="Times New Roman" w:cs="Times New Roman"/>
          <w:sz w:val="24"/>
          <w:szCs w:val="24"/>
        </w:rPr>
        <w:lastRenderedPageBreak/>
        <w:t xml:space="preserve">facilitating systematic coding around relevance, coherence, effectiveness, efficiency, impact, and sustainability. </w:t>
      </w:r>
      <w:r w:rsidR="005E353C" w:rsidRPr="009407BA">
        <w:rPr>
          <w:rFonts w:ascii="Times New Roman" w:hAnsi="Times New Roman" w:cs="Times New Roman"/>
          <w:sz w:val="24"/>
          <w:szCs w:val="24"/>
        </w:rPr>
        <w:t xml:space="preserve">The OECD-DAC evaluation criteria, as updated in 2019, were used as a guide in developing the interview guide for the primary sources of data, as well as the secondary sources.  </w:t>
      </w:r>
    </w:p>
    <w:p w14:paraId="16EE14F0"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b/>
          <w:sz w:val="24"/>
          <w:szCs w:val="24"/>
        </w:rPr>
        <w:t xml:space="preserve"> </w:t>
      </w:r>
    </w:p>
    <w:p w14:paraId="46A5FC26" w14:textId="361E4DDA" w:rsidR="00806EA8" w:rsidRPr="009407BA" w:rsidRDefault="005E353C" w:rsidP="009407BA">
      <w:pPr>
        <w:pStyle w:val="Heading2"/>
        <w:spacing w:line="240" w:lineRule="auto"/>
        <w:ind w:left="0"/>
        <w:jc w:val="both"/>
        <w:rPr>
          <w:rFonts w:ascii="Times New Roman" w:hAnsi="Times New Roman" w:cs="Times New Roman"/>
          <w:color w:val="auto"/>
          <w:sz w:val="24"/>
          <w:szCs w:val="24"/>
        </w:rPr>
      </w:pPr>
      <w:r w:rsidRPr="009407BA">
        <w:rPr>
          <w:rFonts w:ascii="Times New Roman" w:hAnsi="Times New Roman" w:cs="Times New Roman"/>
          <w:color w:val="auto"/>
          <w:sz w:val="24"/>
          <w:szCs w:val="24"/>
        </w:rPr>
        <w:t>4. Results</w:t>
      </w:r>
      <w:r w:rsidR="003F2FE4">
        <w:rPr>
          <w:rFonts w:ascii="Times New Roman" w:hAnsi="Times New Roman" w:cs="Times New Roman"/>
          <w:color w:val="auto"/>
          <w:sz w:val="24"/>
          <w:szCs w:val="24"/>
        </w:rPr>
        <w:t>:</w:t>
      </w:r>
      <w:r w:rsidRPr="009407BA">
        <w:rPr>
          <w:rFonts w:ascii="Times New Roman" w:hAnsi="Times New Roman" w:cs="Times New Roman"/>
          <w:color w:val="auto"/>
          <w:sz w:val="24"/>
          <w:szCs w:val="24"/>
        </w:rPr>
        <w:t xml:space="preserve"> </w:t>
      </w:r>
    </w:p>
    <w:p w14:paraId="1233CE0A" w14:textId="77777777" w:rsidR="006961FD" w:rsidRPr="009407BA" w:rsidRDefault="006961FD" w:rsidP="009407BA">
      <w:pPr>
        <w:pStyle w:val="NormalWeb"/>
        <w:spacing w:before="0" w:beforeAutospacing="0" w:after="0" w:afterAutospacing="0"/>
        <w:jc w:val="both"/>
      </w:pPr>
      <w:r w:rsidRPr="009407BA">
        <w:t>The outbreak affected a significant number of students, most of whom were admitted and treated in local health facilities within hours of the onset of symptoms. The swift response from the college health unit and collaboration with external health authorities played a crucial role in minimizing complications. The college nurse, principal, and housemasters coordinated care effectively, facilitating triage, clinical investigation, and hospital referrals.</w:t>
      </w:r>
    </w:p>
    <w:p w14:paraId="4E4A79FB" w14:textId="77777777" w:rsidR="006961FD" w:rsidRPr="009407BA" w:rsidRDefault="006961FD" w:rsidP="009407BA">
      <w:pPr>
        <w:pStyle w:val="NormalWeb"/>
        <w:spacing w:before="0" w:beforeAutospacing="0" w:after="0" w:afterAutospacing="0"/>
        <w:jc w:val="both"/>
      </w:pPr>
    </w:p>
    <w:p w14:paraId="6873FED7" w14:textId="12D20822" w:rsidR="006961FD" w:rsidRPr="009407BA" w:rsidRDefault="0056245F" w:rsidP="009407BA">
      <w:pPr>
        <w:pStyle w:val="Heading3"/>
        <w:spacing w:line="240" w:lineRule="auto"/>
        <w:ind w:left="0"/>
        <w:jc w:val="both"/>
        <w:rPr>
          <w:rFonts w:ascii="Times New Roman" w:hAnsi="Times New Roman" w:cs="Times New Roman"/>
          <w:color w:val="auto"/>
          <w:sz w:val="24"/>
          <w:szCs w:val="24"/>
        </w:rPr>
      </w:pPr>
      <w:r w:rsidRPr="009407BA">
        <w:rPr>
          <w:rStyle w:val="Strong"/>
          <w:rFonts w:ascii="Times New Roman" w:hAnsi="Times New Roman" w:cs="Times New Roman"/>
          <w:b/>
          <w:bCs w:val="0"/>
          <w:color w:val="auto"/>
          <w:sz w:val="24"/>
          <w:szCs w:val="24"/>
        </w:rPr>
        <w:t>4.1</w:t>
      </w:r>
      <w:r w:rsidR="006961FD" w:rsidRPr="009407BA">
        <w:rPr>
          <w:rStyle w:val="Strong"/>
          <w:rFonts w:ascii="Times New Roman" w:hAnsi="Times New Roman" w:cs="Times New Roman"/>
          <w:b/>
          <w:bCs w:val="0"/>
          <w:color w:val="auto"/>
          <w:sz w:val="24"/>
          <w:szCs w:val="24"/>
        </w:rPr>
        <w:t xml:space="preserve"> Demographic Analysis of Affected Students</w:t>
      </w:r>
    </w:p>
    <w:p w14:paraId="45047A90" w14:textId="1BBE8EE5" w:rsidR="006961FD" w:rsidRDefault="006961FD" w:rsidP="009407BA">
      <w:pPr>
        <w:pStyle w:val="NormalWeb"/>
        <w:spacing w:before="0" w:beforeAutospacing="0" w:after="0" w:afterAutospacing="0"/>
        <w:jc w:val="both"/>
      </w:pPr>
      <w:r w:rsidRPr="009407BA">
        <w:t>A total of 51 students were referred to the hospi</w:t>
      </w:r>
      <w:r w:rsidR="00AF4B7B">
        <w:t>tal during the outbreak. Table 2</w:t>
      </w:r>
      <w:r w:rsidRPr="009407BA">
        <w:t xml:space="preserve"> presents the demographic breakdown of these students by sex and age group.</w:t>
      </w:r>
    </w:p>
    <w:p w14:paraId="66681CD2" w14:textId="77777777" w:rsidR="00BC3ABE" w:rsidRPr="009407BA" w:rsidRDefault="00BC3ABE" w:rsidP="009407BA">
      <w:pPr>
        <w:pStyle w:val="NormalWeb"/>
        <w:spacing w:before="0" w:beforeAutospacing="0" w:after="0" w:afterAutospacing="0"/>
        <w:jc w:val="both"/>
      </w:pPr>
    </w:p>
    <w:p w14:paraId="15CC5D5F" w14:textId="56164E2D" w:rsidR="006961FD" w:rsidRPr="009407BA" w:rsidRDefault="00AF4B7B" w:rsidP="009407BA">
      <w:pPr>
        <w:pStyle w:val="Heading4"/>
        <w:spacing w:before="0" w:line="240" w:lineRule="auto"/>
        <w:ind w:left="0"/>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Table 2</w:t>
      </w:r>
      <w:r w:rsidR="006961FD" w:rsidRPr="009407BA">
        <w:rPr>
          <w:rStyle w:val="Strong"/>
          <w:rFonts w:ascii="Times New Roman" w:hAnsi="Times New Roman" w:cs="Times New Roman"/>
          <w:bCs w:val="0"/>
          <w:color w:val="auto"/>
          <w:sz w:val="24"/>
          <w:szCs w:val="24"/>
        </w:rPr>
        <w:t>: Demographic Characteristics of Students Hospitalized During the Outbreak (N = 51)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
        <w:gridCol w:w="33"/>
        <w:gridCol w:w="2332"/>
        <w:gridCol w:w="1698"/>
        <w:gridCol w:w="63"/>
        <w:gridCol w:w="1485"/>
        <w:gridCol w:w="30"/>
        <w:gridCol w:w="1780"/>
        <w:gridCol w:w="126"/>
      </w:tblGrid>
      <w:tr w:rsidR="006961FD" w:rsidRPr="009407BA" w14:paraId="25425666" w14:textId="77777777" w:rsidTr="009407BA">
        <w:trPr>
          <w:gridBefore w:val="1"/>
          <w:gridAfter w:val="1"/>
          <w:wAfter w:w="81" w:type="dxa"/>
          <w:tblCellSpacing w:w="15" w:type="dxa"/>
          <w:jc w:val="center"/>
        </w:trPr>
        <w:tc>
          <w:tcPr>
            <w:tcW w:w="2335" w:type="dxa"/>
            <w:gridSpan w:val="2"/>
            <w:tcBorders>
              <w:top w:val="single" w:sz="4" w:space="0" w:color="auto"/>
              <w:bottom w:val="single" w:sz="4" w:space="0" w:color="auto"/>
            </w:tcBorders>
            <w:vAlign w:val="center"/>
          </w:tcPr>
          <w:p w14:paraId="7104DD3B" w14:textId="167278CF" w:rsidR="006961FD" w:rsidRPr="009407BA" w:rsidRDefault="006961FD" w:rsidP="009407BA">
            <w:pPr>
              <w:spacing w:after="0" w:line="240" w:lineRule="auto"/>
              <w:ind w:left="0" w:right="0" w:firstLine="0"/>
              <w:rPr>
                <w:rFonts w:ascii="Times New Roman" w:eastAsia="Times New Roman" w:hAnsi="Times New Roman" w:cs="Times New Roman"/>
                <w:b/>
                <w:bCs/>
                <w:color w:val="auto"/>
                <w:sz w:val="24"/>
                <w:szCs w:val="24"/>
              </w:rPr>
            </w:pPr>
            <w:r w:rsidRPr="009407BA">
              <w:rPr>
                <w:rFonts w:ascii="Times New Roman" w:eastAsia="Times New Roman" w:hAnsi="Times New Roman" w:cs="Times New Roman"/>
                <w:b/>
                <w:bCs/>
                <w:color w:val="auto"/>
                <w:sz w:val="24"/>
                <w:szCs w:val="24"/>
              </w:rPr>
              <w:t>Variable</w:t>
            </w:r>
          </w:p>
        </w:tc>
        <w:tc>
          <w:tcPr>
            <w:tcW w:w="1731" w:type="dxa"/>
            <w:gridSpan w:val="2"/>
            <w:tcBorders>
              <w:top w:val="single" w:sz="4" w:space="0" w:color="auto"/>
              <w:bottom w:val="single" w:sz="4" w:space="0" w:color="auto"/>
            </w:tcBorders>
            <w:vAlign w:val="center"/>
          </w:tcPr>
          <w:p w14:paraId="62A82667" w14:textId="1C0875FF" w:rsidR="006961FD" w:rsidRPr="009407BA" w:rsidRDefault="006961FD" w:rsidP="009407BA">
            <w:pPr>
              <w:spacing w:after="0" w:line="240" w:lineRule="auto"/>
              <w:ind w:left="0" w:right="0" w:firstLine="0"/>
              <w:rPr>
                <w:rFonts w:ascii="Times New Roman" w:eastAsia="Times New Roman" w:hAnsi="Times New Roman" w:cs="Times New Roman"/>
                <w:b/>
                <w:color w:val="auto"/>
                <w:sz w:val="24"/>
                <w:szCs w:val="24"/>
              </w:rPr>
            </w:pPr>
            <w:r w:rsidRPr="009407BA">
              <w:rPr>
                <w:rFonts w:ascii="Times New Roman" w:eastAsia="Times New Roman" w:hAnsi="Times New Roman" w:cs="Times New Roman"/>
                <w:b/>
                <w:color w:val="auto"/>
                <w:sz w:val="24"/>
                <w:szCs w:val="24"/>
              </w:rPr>
              <w:t>Category</w:t>
            </w:r>
          </w:p>
        </w:tc>
        <w:tc>
          <w:tcPr>
            <w:tcW w:w="1455" w:type="dxa"/>
            <w:tcBorders>
              <w:top w:val="single" w:sz="4" w:space="0" w:color="auto"/>
              <w:bottom w:val="single" w:sz="4" w:space="0" w:color="auto"/>
            </w:tcBorders>
            <w:vAlign w:val="center"/>
          </w:tcPr>
          <w:p w14:paraId="67D634ED" w14:textId="7B50F21C" w:rsidR="006961FD" w:rsidRPr="009407BA" w:rsidRDefault="006961FD" w:rsidP="009407BA">
            <w:pPr>
              <w:spacing w:after="0" w:line="240" w:lineRule="auto"/>
              <w:ind w:left="0" w:right="0" w:firstLine="0"/>
              <w:rPr>
                <w:rFonts w:ascii="Times New Roman" w:eastAsia="Times New Roman" w:hAnsi="Times New Roman" w:cs="Times New Roman"/>
                <w:b/>
                <w:color w:val="auto"/>
                <w:sz w:val="24"/>
                <w:szCs w:val="24"/>
              </w:rPr>
            </w:pPr>
            <w:r w:rsidRPr="009407BA">
              <w:rPr>
                <w:rFonts w:ascii="Times New Roman" w:eastAsia="Times New Roman" w:hAnsi="Times New Roman" w:cs="Times New Roman"/>
                <w:b/>
                <w:color w:val="auto"/>
                <w:sz w:val="24"/>
                <w:szCs w:val="24"/>
              </w:rPr>
              <w:t>Frequency (n)</w:t>
            </w:r>
          </w:p>
        </w:tc>
        <w:tc>
          <w:tcPr>
            <w:tcW w:w="1780" w:type="dxa"/>
            <w:gridSpan w:val="2"/>
            <w:tcBorders>
              <w:top w:val="single" w:sz="4" w:space="0" w:color="auto"/>
              <w:bottom w:val="single" w:sz="4" w:space="0" w:color="auto"/>
            </w:tcBorders>
            <w:vAlign w:val="center"/>
          </w:tcPr>
          <w:p w14:paraId="1FB95D70" w14:textId="2811C6D3" w:rsidR="006961FD" w:rsidRPr="009407BA" w:rsidRDefault="006961FD" w:rsidP="009407BA">
            <w:pPr>
              <w:spacing w:after="0" w:line="240" w:lineRule="auto"/>
              <w:ind w:left="0" w:right="0" w:firstLine="0"/>
              <w:rPr>
                <w:rFonts w:ascii="Times New Roman" w:eastAsia="Times New Roman" w:hAnsi="Times New Roman" w:cs="Times New Roman"/>
                <w:b/>
                <w:color w:val="auto"/>
                <w:sz w:val="24"/>
                <w:szCs w:val="24"/>
              </w:rPr>
            </w:pPr>
            <w:r w:rsidRPr="009407BA">
              <w:rPr>
                <w:rFonts w:ascii="Times New Roman" w:eastAsia="Times New Roman" w:hAnsi="Times New Roman" w:cs="Times New Roman"/>
                <w:b/>
                <w:color w:val="auto"/>
                <w:sz w:val="24"/>
                <w:szCs w:val="24"/>
              </w:rPr>
              <w:t>Percentage (%)</w:t>
            </w:r>
          </w:p>
        </w:tc>
      </w:tr>
      <w:tr w:rsidR="006961FD" w:rsidRPr="009407BA" w14:paraId="24C8FD01" w14:textId="2E291D93" w:rsidTr="009407BA">
        <w:trPr>
          <w:tblCellSpacing w:w="15" w:type="dxa"/>
          <w:jc w:val="center"/>
        </w:trPr>
        <w:tc>
          <w:tcPr>
            <w:tcW w:w="0" w:type="auto"/>
            <w:gridSpan w:val="2"/>
            <w:vAlign w:val="center"/>
          </w:tcPr>
          <w:p w14:paraId="1C46807B" w14:textId="60E2C394"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p>
        </w:tc>
        <w:tc>
          <w:tcPr>
            <w:tcW w:w="2302" w:type="dxa"/>
            <w:vAlign w:val="center"/>
            <w:hideMark/>
          </w:tcPr>
          <w:p w14:paraId="57BBA78E" w14:textId="6CAD14AB"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Sex</w:t>
            </w:r>
          </w:p>
        </w:tc>
        <w:tc>
          <w:tcPr>
            <w:tcW w:w="1668" w:type="dxa"/>
            <w:vAlign w:val="center"/>
            <w:hideMark/>
          </w:tcPr>
          <w:p w14:paraId="5517C741" w14:textId="209C4418"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Female</w:t>
            </w:r>
          </w:p>
        </w:tc>
        <w:tc>
          <w:tcPr>
            <w:tcW w:w="1548" w:type="dxa"/>
            <w:gridSpan w:val="3"/>
            <w:vAlign w:val="center"/>
            <w:hideMark/>
          </w:tcPr>
          <w:p w14:paraId="0C43EC32" w14:textId="56D4962B"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32</w:t>
            </w:r>
          </w:p>
        </w:tc>
        <w:tc>
          <w:tcPr>
            <w:tcW w:w="1861" w:type="dxa"/>
            <w:gridSpan w:val="2"/>
            <w:vAlign w:val="center"/>
          </w:tcPr>
          <w:p w14:paraId="7A6053AF" w14:textId="2DB32D24" w:rsidR="006961FD" w:rsidRPr="009407BA" w:rsidRDefault="006961FD" w:rsidP="009407BA">
            <w:pPr>
              <w:spacing w:after="0" w:line="240" w:lineRule="auto"/>
              <w:ind w:left="0" w:right="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62.7%</w:t>
            </w:r>
          </w:p>
        </w:tc>
      </w:tr>
      <w:tr w:rsidR="006961FD" w:rsidRPr="009407BA" w14:paraId="1D3FF9A8" w14:textId="77777777" w:rsidTr="009407BA">
        <w:trPr>
          <w:gridBefore w:val="1"/>
          <w:gridAfter w:val="1"/>
          <w:wAfter w:w="81" w:type="dxa"/>
          <w:tblCellSpacing w:w="15" w:type="dxa"/>
          <w:jc w:val="center"/>
        </w:trPr>
        <w:tc>
          <w:tcPr>
            <w:tcW w:w="2335" w:type="dxa"/>
            <w:gridSpan w:val="2"/>
            <w:vAlign w:val="center"/>
            <w:hideMark/>
          </w:tcPr>
          <w:p w14:paraId="4D9EC3BD"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p>
        </w:tc>
        <w:tc>
          <w:tcPr>
            <w:tcW w:w="1731" w:type="dxa"/>
            <w:gridSpan w:val="2"/>
            <w:vAlign w:val="center"/>
            <w:hideMark/>
          </w:tcPr>
          <w:p w14:paraId="5EC80239"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Male</w:t>
            </w:r>
          </w:p>
        </w:tc>
        <w:tc>
          <w:tcPr>
            <w:tcW w:w="1455" w:type="dxa"/>
            <w:vAlign w:val="center"/>
            <w:hideMark/>
          </w:tcPr>
          <w:p w14:paraId="3A0A395F"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19</w:t>
            </w:r>
          </w:p>
        </w:tc>
        <w:tc>
          <w:tcPr>
            <w:tcW w:w="1780" w:type="dxa"/>
            <w:gridSpan w:val="2"/>
            <w:vAlign w:val="center"/>
            <w:hideMark/>
          </w:tcPr>
          <w:p w14:paraId="3547C43C"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37.3%</w:t>
            </w:r>
          </w:p>
        </w:tc>
      </w:tr>
      <w:tr w:rsidR="006961FD" w:rsidRPr="009407BA" w14:paraId="661DB55C" w14:textId="77777777" w:rsidTr="009407BA">
        <w:trPr>
          <w:gridBefore w:val="1"/>
          <w:gridAfter w:val="1"/>
          <w:wAfter w:w="81" w:type="dxa"/>
          <w:tblCellSpacing w:w="15" w:type="dxa"/>
          <w:jc w:val="center"/>
        </w:trPr>
        <w:tc>
          <w:tcPr>
            <w:tcW w:w="2335" w:type="dxa"/>
            <w:gridSpan w:val="2"/>
            <w:vAlign w:val="center"/>
            <w:hideMark/>
          </w:tcPr>
          <w:p w14:paraId="3A595CED"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Age Group (years)</w:t>
            </w:r>
          </w:p>
        </w:tc>
        <w:tc>
          <w:tcPr>
            <w:tcW w:w="1731" w:type="dxa"/>
            <w:gridSpan w:val="2"/>
            <w:vAlign w:val="center"/>
            <w:hideMark/>
          </w:tcPr>
          <w:p w14:paraId="114EC119"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&lt; 20</w:t>
            </w:r>
          </w:p>
        </w:tc>
        <w:tc>
          <w:tcPr>
            <w:tcW w:w="1455" w:type="dxa"/>
            <w:vAlign w:val="center"/>
            <w:hideMark/>
          </w:tcPr>
          <w:p w14:paraId="15529D1F"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3</w:t>
            </w:r>
          </w:p>
        </w:tc>
        <w:tc>
          <w:tcPr>
            <w:tcW w:w="1780" w:type="dxa"/>
            <w:gridSpan w:val="2"/>
            <w:vAlign w:val="center"/>
            <w:hideMark/>
          </w:tcPr>
          <w:p w14:paraId="1D627B37"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5.9%</w:t>
            </w:r>
          </w:p>
        </w:tc>
      </w:tr>
      <w:tr w:rsidR="006961FD" w:rsidRPr="009407BA" w14:paraId="54985838" w14:textId="77777777" w:rsidTr="009407BA">
        <w:trPr>
          <w:gridBefore w:val="1"/>
          <w:gridAfter w:val="1"/>
          <w:wAfter w:w="81" w:type="dxa"/>
          <w:tblCellSpacing w:w="15" w:type="dxa"/>
          <w:jc w:val="center"/>
        </w:trPr>
        <w:tc>
          <w:tcPr>
            <w:tcW w:w="2335" w:type="dxa"/>
            <w:gridSpan w:val="2"/>
            <w:vAlign w:val="center"/>
            <w:hideMark/>
          </w:tcPr>
          <w:p w14:paraId="1CC37619"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p>
        </w:tc>
        <w:tc>
          <w:tcPr>
            <w:tcW w:w="1731" w:type="dxa"/>
            <w:gridSpan w:val="2"/>
            <w:vAlign w:val="center"/>
            <w:hideMark/>
          </w:tcPr>
          <w:p w14:paraId="1196513C"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20–25</w:t>
            </w:r>
          </w:p>
        </w:tc>
        <w:tc>
          <w:tcPr>
            <w:tcW w:w="1455" w:type="dxa"/>
            <w:vAlign w:val="center"/>
            <w:hideMark/>
          </w:tcPr>
          <w:p w14:paraId="4EB72E75"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38</w:t>
            </w:r>
          </w:p>
        </w:tc>
        <w:tc>
          <w:tcPr>
            <w:tcW w:w="1780" w:type="dxa"/>
            <w:gridSpan w:val="2"/>
            <w:vAlign w:val="center"/>
            <w:hideMark/>
          </w:tcPr>
          <w:p w14:paraId="647E192A"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74.5%</w:t>
            </w:r>
          </w:p>
        </w:tc>
      </w:tr>
      <w:tr w:rsidR="006961FD" w:rsidRPr="009407BA" w14:paraId="6DCD946D" w14:textId="77777777" w:rsidTr="009407BA">
        <w:trPr>
          <w:gridBefore w:val="1"/>
          <w:gridAfter w:val="1"/>
          <w:wAfter w:w="81" w:type="dxa"/>
          <w:tblCellSpacing w:w="15" w:type="dxa"/>
          <w:jc w:val="center"/>
        </w:trPr>
        <w:tc>
          <w:tcPr>
            <w:tcW w:w="2335" w:type="dxa"/>
            <w:gridSpan w:val="2"/>
            <w:tcBorders>
              <w:bottom w:val="single" w:sz="4" w:space="0" w:color="auto"/>
            </w:tcBorders>
            <w:vAlign w:val="center"/>
            <w:hideMark/>
          </w:tcPr>
          <w:p w14:paraId="737D2EC3"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p>
        </w:tc>
        <w:tc>
          <w:tcPr>
            <w:tcW w:w="1731" w:type="dxa"/>
            <w:gridSpan w:val="2"/>
            <w:tcBorders>
              <w:bottom w:val="single" w:sz="4" w:space="0" w:color="auto"/>
            </w:tcBorders>
            <w:vAlign w:val="center"/>
            <w:hideMark/>
          </w:tcPr>
          <w:p w14:paraId="2477E78D"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&gt; 25</w:t>
            </w:r>
          </w:p>
        </w:tc>
        <w:tc>
          <w:tcPr>
            <w:tcW w:w="1455" w:type="dxa"/>
            <w:tcBorders>
              <w:bottom w:val="single" w:sz="4" w:space="0" w:color="auto"/>
            </w:tcBorders>
            <w:vAlign w:val="center"/>
            <w:hideMark/>
          </w:tcPr>
          <w:p w14:paraId="26FAD7AD"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9</w:t>
            </w:r>
          </w:p>
        </w:tc>
        <w:tc>
          <w:tcPr>
            <w:tcW w:w="1780" w:type="dxa"/>
            <w:gridSpan w:val="2"/>
            <w:tcBorders>
              <w:bottom w:val="single" w:sz="4" w:space="0" w:color="auto"/>
            </w:tcBorders>
            <w:vAlign w:val="center"/>
            <w:hideMark/>
          </w:tcPr>
          <w:p w14:paraId="0030DE52" w14:textId="77777777" w:rsidR="006961FD" w:rsidRPr="009407BA" w:rsidRDefault="006961FD"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17.6%</w:t>
            </w:r>
          </w:p>
        </w:tc>
      </w:tr>
    </w:tbl>
    <w:p w14:paraId="781C27A4" w14:textId="77777777" w:rsidR="006961FD" w:rsidRPr="009407BA" w:rsidRDefault="006961FD" w:rsidP="009407BA">
      <w:pPr>
        <w:pStyle w:val="NormalWeb"/>
        <w:spacing w:before="0" w:beforeAutospacing="0" w:after="0" w:afterAutospacing="0"/>
        <w:jc w:val="both"/>
      </w:pPr>
    </w:p>
    <w:p w14:paraId="678A24C7" w14:textId="77777777" w:rsidR="006961FD" w:rsidRPr="009407BA" w:rsidRDefault="006961FD" w:rsidP="009407BA">
      <w:pPr>
        <w:pStyle w:val="NormalWeb"/>
        <w:spacing w:before="0" w:beforeAutospacing="0" w:after="0" w:afterAutospacing="0"/>
        <w:jc w:val="both"/>
      </w:pPr>
      <w:r w:rsidRPr="009407BA">
        <w:t xml:space="preserve">The data show that a greater proportion of those affected were </w:t>
      </w:r>
      <w:r w:rsidRPr="009407BA">
        <w:rPr>
          <w:rStyle w:val="Strong"/>
          <w:rFonts w:eastAsia="Arial"/>
          <w:b w:val="0"/>
        </w:rPr>
        <w:t>female (62.7%)</w:t>
      </w:r>
      <w:r w:rsidRPr="009407BA">
        <w:rPr>
          <w:b/>
        </w:rPr>
        <w:t>,</w:t>
      </w:r>
      <w:r w:rsidRPr="009407BA">
        <w:t xml:space="preserve"> while </w:t>
      </w:r>
      <w:r w:rsidRPr="009407BA">
        <w:rPr>
          <w:rStyle w:val="Strong"/>
          <w:rFonts w:eastAsia="Arial"/>
          <w:b w:val="0"/>
        </w:rPr>
        <w:t>males constituted 37.3%</w:t>
      </w:r>
      <w:r w:rsidRPr="009407BA">
        <w:rPr>
          <w:b/>
        </w:rPr>
        <w:t>.</w:t>
      </w:r>
      <w:r w:rsidRPr="009407BA">
        <w:t xml:space="preserve"> Although this study did not assess gender-based risk exposure, the difference may be influenced by underlying enrollment patterns, dormitory assignment, or gender-specific food access. Future research may explore these dynamics more deeply.</w:t>
      </w:r>
    </w:p>
    <w:p w14:paraId="39B1C9B9" w14:textId="77777777" w:rsidR="006961FD" w:rsidRDefault="006961FD" w:rsidP="009407BA">
      <w:pPr>
        <w:pStyle w:val="NormalWeb"/>
        <w:spacing w:before="0" w:beforeAutospacing="0" w:after="0" w:afterAutospacing="0"/>
        <w:jc w:val="both"/>
      </w:pPr>
      <w:r w:rsidRPr="009407BA">
        <w:t xml:space="preserve">Regarding age, </w:t>
      </w:r>
      <w:r w:rsidRPr="009407BA">
        <w:rPr>
          <w:rStyle w:val="Strong"/>
          <w:rFonts w:eastAsia="Arial"/>
          <w:b w:val="0"/>
        </w:rPr>
        <w:t>the majority of affected students (74.5%)</w:t>
      </w:r>
      <w:r w:rsidRPr="009407BA">
        <w:t xml:space="preserve"> were between </w:t>
      </w:r>
      <w:r w:rsidRPr="009407BA">
        <w:rPr>
          <w:rStyle w:val="Strong"/>
          <w:rFonts w:eastAsia="Arial"/>
          <w:b w:val="0"/>
        </w:rPr>
        <w:t>20 and 25 years</w:t>
      </w:r>
      <w:r w:rsidRPr="009407BA">
        <w:t>, which corresponds to the typical age of students in Ghanaian teacher training colleges. Students younger than 20 years (5.9%) and those older than 25 (17.6%) were less affected. These findings suggest that the core academic population was at the highest risk and should be the primary target for outbreak education, prevention, and preparedness interventions in similar settings.</w:t>
      </w:r>
    </w:p>
    <w:p w14:paraId="2101BBBB" w14:textId="77777777" w:rsidR="009407BA" w:rsidRPr="009407BA" w:rsidRDefault="009407BA" w:rsidP="009407BA">
      <w:pPr>
        <w:pStyle w:val="NormalWeb"/>
        <w:spacing w:before="0" w:beforeAutospacing="0" w:after="0" w:afterAutospacing="0"/>
        <w:jc w:val="both"/>
      </w:pPr>
    </w:p>
    <w:p w14:paraId="12FED6AA" w14:textId="250C6784" w:rsidR="002D246C" w:rsidRPr="009407BA" w:rsidRDefault="0056245F" w:rsidP="009407BA">
      <w:pPr>
        <w:pStyle w:val="Heading3"/>
        <w:spacing w:line="240" w:lineRule="auto"/>
        <w:ind w:left="0"/>
        <w:jc w:val="both"/>
        <w:rPr>
          <w:rFonts w:ascii="Times New Roman" w:hAnsi="Times New Roman" w:cs="Times New Roman"/>
          <w:sz w:val="24"/>
          <w:szCs w:val="24"/>
        </w:rPr>
      </w:pPr>
      <w:r w:rsidRPr="009407BA">
        <w:rPr>
          <w:rFonts w:ascii="Times New Roman" w:hAnsi="Times New Roman" w:cs="Times New Roman"/>
          <w:sz w:val="24"/>
          <w:szCs w:val="24"/>
        </w:rPr>
        <w:t xml:space="preserve">4.2 </w:t>
      </w:r>
      <w:r w:rsidRPr="009407BA">
        <w:rPr>
          <w:rFonts w:ascii="Times New Roman" w:hAnsi="Times New Roman" w:cs="Times New Roman"/>
          <w:sz w:val="24"/>
          <w:szCs w:val="24"/>
          <w:u w:color="000000"/>
        </w:rPr>
        <w:t>Matrix on Emergency Re</w:t>
      </w:r>
      <w:r w:rsidRPr="009407BA">
        <w:rPr>
          <w:rFonts w:ascii="Times New Roman" w:hAnsi="Times New Roman" w:cs="Times New Roman"/>
          <w:sz w:val="24"/>
          <w:szCs w:val="24"/>
        </w:rPr>
        <w:t xml:space="preserve">sponse Efforts in the College </w:t>
      </w:r>
    </w:p>
    <w:p w14:paraId="68C72A26" w14:textId="270898BB"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All the secondary sources of data for the study solicited from AAR and the college nurse report confirmed the occurrence of the outbreak of foodborne diseases in the Presbyterian College of Education from the 15th to the 18th of September, 2023, with 51 students rushed to the Tetteh Quarshie Memorial Hospital, with almost all the victims’ showing signs of abdominal pains, vomiting, and general body weakness. It was also observed that all the victims were treated and discharged between 3 to 6 hours after their referral to the hospital, and there was no fatality recorded. </w:t>
      </w:r>
    </w:p>
    <w:p w14:paraId="3BA8E6AC" w14:textId="748693E2"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first criterion considered was relevance, and the corresponding indicative question was, to what extent is the college's response strategy meeting the needs of students? Relevance in emergency response was defined by OECD (2021).  The extent to which intervention's objectives </w:t>
      </w:r>
      <w:r w:rsidRPr="009407BA">
        <w:rPr>
          <w:rFonts w:ascii="Times New Roman" w:hAnsi="Times New Roman" w:cs="Times New Roman"/>
          <w:sz w:val="24"/>
          <w:szCs w:val="24"/>
        </w:rPr>
        <w:lastRenderedPageBreak/>
        <w:t>and design respond to beneficiaries' needs and priorities</w:t>
      </w:r>
      <w:r w:rsidR="0056245F" w:rsidRPr="009407BA">
        <w:rPr>
          <w:rFonts w:ascii="Times New Roman" w:hAnsi="Times New Roman" w:cs="Times New Roman"/>
          <w:sz w:val="24"/>
          <w:szCs w:val="24"/>
        </w:rPr>
        <w:t xml:space="preserve"> and</w:t>
      </w:r>
      <w:r w:rsidRPr="009407BA">
        <w:rPr>
          <w:rFonts w:ascii="Times New Roman" w:hAnsi="Times New Roman" w:cs="Times New Roman"/>
          <w:sz w:val="24"/>
          <w:szCs w:val="24"/>
        </w:rPr>
        <w:t xml:space="preserve"> alignment with national and institutional policies. The study found that the college used community health education, emergency planning, and risk assessment and mitigation strategies as emergency response efforts in the college. Refer to Table </w:t>
      </w:r>
      <w:r w:rsidR="005D404D">
        <w:rPr>
          <w:rFonts w:ascii="Times New Roman" w:hAnsi="Times New Roman" w:cs="Times New Roman"/>
          <w:sz w:val="24"/>
          <w:szCs w:val="24"/>
        </w:rPr>
        <w:t>3</w:t>
      </w:r>
      <w:r w:rsidRPr="009407BA">
        <w:rPr>
          <w:rFonts w:ascii="Times New Roman" w:hAnsi="Times New Roman" w:cs="Times New Roman"/>
          <w:sz w:val="24"/>
          <w:szCs w:val="24"/>
        </w:rPr>
        <w:t xml:space="preserve"> for the matrix on emergency response efforts in the college. </w:t>
      </w:r>
    </w:p>
    <w:p w14:paraId="69B1CB8B" w14:textId="5DCE1771" w:rsidR="005120A9" w:rsidRPr="009407BA" w:rsidRDefault="005120A9" w:rsidP="009407BA">
      <w:pPr>
        <w:spacing w:after="0" w:line="240" w:lineRule="auto"/>
        <w:ind w:left="0" w:right="0" w:firstLine="0"/>
        <w:rPr>
          <w:rFonts w:ascii="Times New Roman" w:hAnsi="Times New Roman" w:cs="Times New Roman"/>
          <w:sz w:val="24"/>
          <w:szCs w:val="24"/>
        </w:rPr>
      </w:pPr>
    </w:p>
    <w:p w14:paraId="64DA92A6" w14:textId="6229228E" w:rsidR="00806EA8" w:rsidRPr="00067B06" w:rsidRDefault="005E353C" w:rsidP="009407BA">
      <w:pPr>
        <w:pStyle w:val="Heading4"/>
        <w:spacing w:before="0" w:line="240" w:lineRule="auto"/>
        <w:ind w:left="0"/>
        <w:rPr>
          <w:rFonts w:ascii="Times New Roman" w:hAnsi="Times New Roman" w:cs="Times New Roman"/>
          <w:b/>
          <w:color w:val="auto"/>
          <w:sz w:val="24"/>
          <w:szCs w:val="24"/>
        </w:rPr>
      </w:pPr>
      <w:r w:rsidRPr="00067B06">
        <w:rPr>
          <w:rFonts w:ascii="Times New Roman" w:hAnsi="Times New Roman" w:cs="Times New Roman"/>
          <w:b/>
          <w:color w:val="auto"/>
          <w:sz w:val="24"/>
          <w:szCs w:val="24"/>
          <w:u w:color="000000"/>
        </w:rPr>
        <w:t xml:space="preserve">Table </w:t>
      </w:r>
      <w:r w:rsidR="00AF4B7B">
        <w:rPr>
          <w:rFonts w:ascii="Times New Roman" w:hAnsi="Times New Roman" w:cs="Times New Roman"/>
          <w:b/>
          <w:color w:val="auto"/>
          <w:sz w:val="24"/>
          <w:szCs w:val="24"/>
          <w:u w:color="000000"/>
        </w:rPr>
        <w:t>3</w:t>
      </w:r>
      <w:r w:rsidRPr="00067B06">
        <w:rPr>
          <w:rFonts w:ascii="Times New Roman" w:hAnsi="Times New Roman" w:cs="Times New Roman"/>
          <w:b/>
          <w:color w:val="auto"/>
          <w:sz w:val="24"/>
          <w:szCs w:val="24"/>
          <w:u w:color="000000"/>
        </w:rPr>
        <w:t>. Matrix on Emergency Re</w:t>
      </w:r>
      <w:r w:rsidRPr="00067B06">
        <w:rPr>
          <w:rFonts w:ascii="Times New Roman" w:hAnsi="Times New Roman" w:cs="Times New Roman"/>
          <w:b/>
          <w:color w:val="auto"/>
          <w:sz w:val="24"/>
          <w:szCs w:val="24"/>
        </w:rPr>
        <w:t xml:space="preserve">sponse Efforts in the College </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712"/>
        <w:gridCol w:w="6501"/>
      </w:tblGrid>
      <w:tr w:rsidR="00797459" w:rsidRPr="009407BA" w14:paraId="04329343" w14:textId="77777777" w:rsidTr="0048634D">
        <w:trPr>
          <w:tblHeader/>
          <w:tblCellSpacing w:w="15" w:type="dxa"/>
        </w:trPr>
        <w:tc>
          <w:tcPr>
            <w:tcW w:w="0" w:type="auto"/>
            <w:tcBorders>
              <w:top w:val="single" w:sz="4" w:space="0" w:color="auto"/>
              <w:bottom w:val="nil"/>
            </w:tcBorders>
            <w:vAlign w:val="center"/>
            <w:hideMark/>
          </w:tcPr>
          <w:p w14:paraId="3038CD83"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b/>
                <w:bCs/>
                <w:color w:val="auto"/>
                <w:sz w:val="24"/>
                <w:szCs w:val="24"/>
              </w:rPr>
            </w:pPr>
            <w:r w:rsidRPr="009407BA">
              <w:rPr>
                <w:rFonts w:ascii="Times New Roman" w:eastAsia="Times New Roman" w:hAnsi="Times New Roman" w:cs="Times New Roman"/>
                <w:b/>
                <w:bCs/>
                <w:color w:val="auto"/>
                <w:sz w:val="24"/>
                <w:szCs w:val="24"/>
              </w:rPr>
              <w:t>Response Efforts</w:t>
            </w:r>
          </w:p>
        </w:tc>
        <w:tc>
          <w:tcPr>
            <w:tcW w:w="0" w:type="auto"/>
            <w:tcBorders>
              <w:top w:val="single" w:sz="4" w:space="0" w:color="auto"/>
              <w:bottom w:val="nil"/>
            </w:tcBorders>
            <w:vAlign w:val="center"/>
            <w:hideMark/>
          </w:tcPr>
          <w:p w14:paraId="0E30E0F3" w14:textId="77777777" w:rsidR="00797459" w:rsidRPr="009407BA" w:rsidRDefault="00797459" w:rsidP="0048634D">
            <w:pPr>
              <w:spacing w:after="0" w:line="240" w:lineRule="auto"/>
              <w:ind w:left="0" w:right="0" w:firstLine="0"/>
              <w:jc w:val="center"/>
              <w:rPr>
                <w:rFonts w:ascii="Times New Roman" w:eastAsia="Times New Roman" w:hAnsi="Times New Roman" w:cs="Times New Roman"/>
                <w:b/>
                <w:bCs/>
                <w:color w:val="auto"/>
                <w:sz w:val="24"/>
                <w:szCs w:val="24"/>
              </w:rPr>
            </w:pPr>
            <w:r w:rsidRPr="009407BA">
              <w:rPr>
                <w:rFonts w:ascii="Times New Roman" w:eastAsia="Times New Roman" w:hAnsi="Times New Roman" w:cs="Times New Roman"/>
                <w:b/>
                <w:bCs/>
                <w:color w:val="auto"/>
                <w:sz w:val="24"/>
                <w:szCs w:val="24"/>
              </w:rPr>
              <w:t>Actions</w:t>
            </w:r>
          </w:p>
        </w:tc>
      </w:tr>
      <w:tr w:rsidR="00797459" w:rsidRPr="009407BA" w14:paraId="42096290" w14:textId="77777777" w:rsidTr="0048634D">
        <w:trPr>
          <w:tblCellSpacing w:w="15" w:type="dxa"/>
        </w:trPr>
        <w:tc>
          <w:tcPr>
            <w:tcW w:w="0" w:type="auto"/>
            <w:tcBorders>
              <w:top w:val="single" w:sz="4" w:space="0" w:color="auto"/>
              <w:bottom w:val="nil"/>
            </w:tcBorders>
            <w:vAlign w:val="center"/>
            <w:hideMark/>
          </w:tcPr>
          <w:p w14:paraId="234821AC"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Community Health Education</w:t>
            </w:r>
          </w:p>
        </w:tc>
        <w:tc>
          <w:tcPr>
            <w:tcW w:w="0" w:type="auto"/>
            <w:tcBorders>
              <w:top w:val="single" w:sz="4" w:space="0" w:color="auto"/>
              <w:bottom w:val="nil"/>
            </w:tcBorders>
            <w:vAlign w:val="center"/>
            <w:hideMark/>
          </w:tcPr>
          <w:p w14:paraId="21407D08" w14:textId="77777777" w:rsidR="00797459" w:rsidRPr="009407BA" w:rsidRDefault="00797459"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 Awareness creation on the outbreak by college nurses- Early detection signs and preventive practices by college nurses and DHMT- Promotion of food safety and hygienic practices by the DHMT</w:t>
            </w:r>
          </w:p>
        </w:tc>
      </w:tr>
      <w:tr w:rsidR="00797459" w:rsidRPr="009407BA" w14:paraId="38768C80" w14:textId="77777777" w:rsidTr="0048634D">
        <w:trPr>
          <w:tblCellSpacing w:w="15" w:type="dxa"/>
        </w:trPr>
        <w:tc>
          <w:tcPr>
            <w:tcW w:w="0" w:type="auto"/>
            <w:vAlign w:val="center"/>
            <w:hideMark/>
          </w:tcPr>
          <w:p w14:paraId="7D17132A"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Emergency Planning</w:t>
            </w:r>
          </w:p>
        </w:tc>
        <w:tc>
          <w:tcPr>
            <w:tcW w:w="0" w:type="auto"/>
            <w:vAlign w:val="center"/>
            <w:hideMark/>
          </w:tcPr>
          <w:p w14:paraId="79471ED3" w14:textId="77777777" w:rsidR="00797459" w:rsidRPr="009407BA" w:rsidRDefault="00797459"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 Engagement of key stakeholders in their roles in emergency management</w:t>
            </w:r>
          </w:p>
        </w:tc>
      </w:tr>
      <w:tr w:rsidR="00797459" w:rsidRPr="009407BA" w14:paraId="0B784A74" w14:textId="77777777" w:rsidTr="0048634D">
        <w:trPr>
          <w:tblCellSpacing w:w="15" w:type="dxa"/>
        </w:trPr>
        <w:tc>
          <w:tcPr>
            <w:tcW w:w="0" w:type="auto"/>
            <w:vAlign w:val="center"/>
            <w:hideMark/>
          </w:tcPr>
          <w:p w14:paraId="36F8CA1D"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Clinical Investigation and Referral</w:t>
            </w:r>
          </w:p>
        </w:tc>
        <w:tc>
          <w:tcPr>
            <w:tcW w:w="0" w:type="auto"/>
            <w:vAlign w:val="center"/>
            <w:hideMark/>
          </w:tcPr>
          <w:p w14:paraId="016E9C8C" w14:textId="77777777" w:rsidR="00797459" w:rsidRPr="009407BA" w:rsidRDefault="00797459"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 Examination of each case by college nurses- Administration of appropriate first-aid- Referral of severe cases to the District Hospital</w:t>
            </w:r>
          </w:p>
        </w:tc>
      </w:tr>
      <w:tr w:rsidR="00797459" w:rsidRPr="009407BA" w14:paraId="59830071" w14:textId="77777777" w:rsidTr="0048634D">
        <w:trPr>
          <w:tblCellSpacing w:w="15" w:type="dxa"/>
        </w:trPr>
        <w:tc>
          <w:tcPr>
            <w:tcW w:w="0" w:type="auto"/>
            <w:vAlign w:val="center"/>
            <w:hideMark/>
          </w:tcPr>
          <w:p w14:paraId="20CD0256"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Prevention/Mitigation Strategies</w:t>
            </w:r>
          </w:p>
        </w:tc>
        <w:tc>
          <w:tcPr>
            <w:tcW w:w="0" w:type="auto"/>
            <w:vAlign w:val="center"/>
            <w:hideMark/>
          </w:tcPr>
          <w:p w14:paraId="73DF5313" w14:textId="77777777" w:rsidR="00797459" w:rsidRPr="009407BA" w:rsidRDefault="00797459"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 Enforcement of strict food safety and hygiene standards at the kitchen, food vending points, and students’ residences</w:t>
            </w:r>
          </w:p>
        </w:tc>
      </w:tr>
      <w:tr w:rsidR="00797459" w:rsidRPr="009407BA" w14:paraId="4E0CF1FC" w14:textId="77777777" w:rsidTr="0048634D">
        <w:trPr>
          <w:tblCellSpacing w:w="15" w:type="dxa"/>
        </w:trPr>
        <w:tc>
          <w:tcPr>
            <w:tcW w:w="0" w:type="auto"/>
            <w:vAlign w:val="center"/>
            <w:hideMark/>
          </w:tcPr>
          <w:p w14:paraId="11B4CCF0" w14:textId="77777777" w:rsidR="00797459" w:rsidRPr="009407BA" w:rsidRDefault="00797459" w:rsidP="0048634D">
            <w:pPr>
              <w:spacing w:after="0" w:line="240" w:lineRule="auto"/>
              <w:ind w:left="0" w:right="0" w:firstLine="0"/>
              <w:jc w:val="left"/>
              <w:rPr>
                <w:rFonts w:ascii="Times New Roman" w:eastAsia="Times New Roman" w:hAnsi="Times New Roman" w:cs="Times New Roman"/>
                <w:color w:val="auto"/>
                <w:sz w:val="24"/>
                <w:szCs w:val="24"/>
              </w:rPr>
            </w:pPr>
            <w:r w:rsidRPr="009407BA">
              <w:rPr>
                <w:rFonts w:ascii="Times New Roman" w:eastAsia="Times New Roman" w:hAnsi="Times New Roman" w:cs="Times New Roman"/>
                <w:b/>
                <w:bCs/>
                <w:color w:val="auto"/>
                <w:sz w:val="24"/>
                <w:szCs w:val="24"/>
              </w:rPr>
              <w:t>Stockpile of Needed Inputs</w:t>
            </w:r>
          </w:p>
        </w:tc>
        <w:tc>
          <w:tcPr>
            <w:tcW w:w="0" w:type="auto"/>
            <w:vAlign w:val="center"/>
            <w:hideMark/>
          </w:tcPr>
          <w:p w14:paraId="6026DD84" w14:textId="77777777" w:rsidR="00797459" w:rsidRPr="009407BA" w:rsidRDefault="00797459" w:rsidP="009407BA">
            <w:pPr>
              <w:spacing w:after="0" w:line="240" w:lineRule="auto"/>
              <w:ind w:left="0" w:right="0" w:firstLine="0"/>
              <w:rPr>
                <w:rFonts w:ascii="Times New Roman" w:eastAsia="Times New Roman" w:hAnsi="Times New Roman" w:cs="Times New Roman"/>
                <w:color w:val="auto"/>
                <w:sz w:val="24"/>
                <w:szCs w:val="24"/>
              </w:rPr>
            </w:pPr>
            <w:r w:rsidRPr="009407BA">
              <w:rPr>
                <w:rFonts w:ascii="Times New Roman" w:eastAsia="Times New Roman" w:hAnsi="Times New Roman" w:cs="Times New Roman"/>
                <w:color w:val="auto"/>
                <w:sz w:val="24"/>
                <w:szCs w:val="24"/>
              </w:rPr>
              <w:t>- Procurement of additional First Aid supplies and PPEs</w:t>
            </w:r>
          </w:p>
        </w:tc>
      </w:tr>
    </w:tbl>
    <w:p w14:paraId="61AC3300" w14:textId="77777777" w:rsidR="00797459" w:rsidRPr="009407BA" w:rsidRDefault="00797459" w:rsidP="009407BA">
      <w:pPr>
        <w:spacing w:after="0" w:line="240" w:lineRule="auto"/>
        <w:rPr>
          <w:rFonts w:ascii="Times New Roman" w:hAnsi="Times New Roman" w:cs="Times New Roman"/>
          <w:sz w:val="24"/>
          <w:szCs w:val="24"/>
        </w:rPr>
      </w:pPr>
    </w:p>
    <w:p w14:paraId="262D7AC4" w14:textId="06BFA2C8" w:rsidR="00806EA8" w:rsidRPr="009407BA" w:rsidRDefault="005E353C" w:rsidP="009407BA">
      <w:pPr>
        <w:spacing w:after="0" w:line="240" w:lineRule="auto"/>
        <w:ind w:left="0"/>
        <w:rPr>
          <w:rFonts w:ascii="Times New Roman" w:hAnsi="Times New Roman" w:cs="Times New Roman"/>
          <w:sz w:val="24"/>
          <w:szCs w:val="24"/>
        </w:rPr>
      </w:pPr>
      <w:r w:rsidRPr="009407BA">
        <w:rPr>
          <w:rFonts w:ascii="Times New Roman" w:hAnsi="Times New Roman" w:cs="Times New Roman"/>
          <w:sz w:val="24"/>
          <w:szCs w:val="24"/>
        </w:rPr>
        <w:t>The question as to whether the college response efforts were relevant in meeting the needs of the students was explored. T</w:t>
      </w:r>
      <w:r w:rsidR="005D404D">
        <w:rPr>
          <w:rFonts w:ascii="Times New Roman" w:hAnsi="Times New Roman" w:cs="Times New Roman"/>
          <w:sz w:val="24"/>
          <w:szCs w:val="24"/>
        </w:rPr>
        <w:t>o respond to this issue, Table 3</w:t>
      </w:r>
      <w:r w:rsidRPr="009407BA">
        <w:rPr>
          <w:rFonts w:ascii="Times New Roman" w:hAnsi="Times New Roman" w:cs="Times New Roman"/>
          <w:sz w:val="24"/>
          <w:szCs w:val="24"/>
        </w:rPr>
        <w:t xml:space="preserve"> presents the general summary of the findings. The interpretation found in Table </w:t>
      </w:r>
      <w:r w:rsidR="005D404D">
        <w:rPr>
          <w:rFonts w:ascii="Times New Roman" w:hAnsi="Times New Roman" w:cs="Times New Roman"/>
          <w:sz w:val="24"/>
          <w:szCs w:val="24"/>
        </w:rPr>
        <w:t>3</w:t>
      </w:r>
      <w:r w:rsidRPr="009407BA">
        <w:rPr>
          <w:rFonts w:ascii="Times New Roman" w:hAnsi="Times New Roman" w:cs="Times New Roman"/>
          <w:sz w:val="24"/>
          <w:szCs w:val="24"/>
        </w:rPr>
        <w:t xml:space="preserve"> indicates that most students became calm, and their anxiety about the effects of the outbreak was reduced when the students realized that the situation was under control and stakeholders knew what to do in their response efforts. For instance, an SRC member spoke of how relevant the emergency response efforts of the college management were: </w:t>
      </w:r>
    </w:p>
    <w:p w14:paraId="39CB7D08" w14:textId="77777777" w:rsidR="00797459" w:rsidRPr="009407BA" w:rsidRDefault="00797459" w:rsidP="009407BA">
      <w:pPr>
        <w:spacing w:after="0" w:line="240" w:lineRule="auto"/>
        <w:ind w:left="851"/>
        <w:rPr>
          <w:rFonts w:ascii="Times New Roman" w:hAnsi="Times New Roman" w:cs="Times New Roman"/>
          <w:sz w:val="24"/>
          <w:szCs w:val="24"/>
        </w:rPr>
      </w:pPr>
    </w:p>
    <w:p w14:paraId="4E886EDA"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”We are grateful to the Management of the college for the various interventions put in place to address the health concerns on campus. The education on food safety, hygienic practices, and early detection of symptoms saved a great deal. The swift manner in which the key officers such as the college nurses, hall masters/mistresses, and the college responded to emergency calls was worth commending as it reduced the fears students had about the outbreak. We were happy to note that, for one’s unauthorized food vendors were barred from selling to students on campus.”    (FGD1- SRC.P1). </w:t>
      </w:r>
    </w:p>
    <w:p w14:paraId="63117DF4"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3119F4E6"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A Hall Staff also had this to say on the relevance of a Specific emergency response effort: </w:t>
      </w:r>
    </w:p>
    <w:p w14:paraId="4BD4EDAD"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42AEE2AF"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The emergency planning meeting involving the hall staff ( hall masters/mistresses), the Dean of Students Affairs, the college nurses, the domestic bursars, the transport officer, the Estate Officer, SRC, and management was very important and timely in helping all key stakeholders to be responsive to expected roles as duty bearers in such an emergency. </w:t>
      </w:r>
      <w:proofErr w:type="gramStart"/>
      <w:r w:rsidRPr="009407BA">
        <w:rPr>
          <w:rFonts w:ascii="Times New Roman" w:hAnsi="Times New Roman" w:cs="Times New Roman"/>
          <w:i/>
          <w:sz w:val="24"/>
          <w:szCs w:val="24"/>
        </w:rPr>
        <w:t>( FGD</w:t>
      </w:r>
      <w:proofErr w:type="gramEnd"/>
      <w:r w:rsidRPr="009407BA">
        <w:rPr>
          <w:rFonts w:ascii="Times New Roman" w:hAnsi="Times New Roman" w:cs="Times New Roman"/>
          <w:i/>
          <w:sz w:val="24"/>
          <w:szCs w:val="24"/>
        </w:rPr>
        <w:t xml:space="preserve">2-Hall Staff.P4). </w:t>
      </w:r>
    </w:p>
    <w:p w14:paraId="4A3B2F70"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5B97A9B0"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lastRenderedPageBreak/>
        <w:t xml:space="preserve">A common complaint from some students that negatively impacted the response efforts of the college was the frequency and length of emergency planning meetings, which often kept some activities delayed.  </w:t>
      </w:r>
    </w:p>
    <w:p w14:paraId="6455A225"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443A6425" w14:textId="77777777" w:rsidR="00806EA8" w:rsidRPr="009407BA" w:rsidRDefault="005E353C" w:rsidP="004F2C45">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Some students were very sick, they were rushed to the hospital and no management member followed up to check on the situation of the affected students because management members were having emergency meetings (FGD1-SRC.P5). </w:t>
      </w:r>
    </w:p>
    <w:p w14:paraId="0F20BF34"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7653E69C"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We were not very happy as students when at a point the duty of transporting victims to the clinic as well as to the hospital fell on students due to the frequent meetings the responsible officers were engaged in. (FGD1-SRC. P7) </w:t>
      </w:r>
    </w:p>
    <w:p w14:paraId="0BC2DBC5"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4D75DA06"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management of the college and the college nurses were content that the response efforts of the college paid off as the college was able to contain as well as eradicate the outbreak within four days of its emergence. These emergency response efforts were indeed relevant in restoring health and safety that was jeopardized by the outbreak of foodborne disease on campus back to normalcy. </w:t>
      </w:r>
    </w:p>
    <w:p w14:paraId="3D3A00A1"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75370244"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I really went through a lot as a college nurse, for the four days the college was hit by foodborne disease. Calming students down, attending to emergencies, making referrals, attending emergency planning meetings, and engaging students in health and safety education were all difficult moments but it paid off in the end as the outbreak was eradicated. (Int. P.3) </w:t>
      </w:r>
    </w:p>
    <w:p w14:paraId="5A5EEC7A"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06A2F53E"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Coherence was the second evaluation criterion used. This criterion examined the extent to which other interventions supported or undermined the college emergency efforts and vice versa. The indicative evaluation question, which served as a guide, was how responsive was the college strategy to the external environment, including the role of government (Ministry of Education, Ministry of Health, and GTEC) and local actors? </w:t>
      </w:r>
    </w:p>
    <w:p w14:paraId="34A6F4BC"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study found that the response efforts of the college were in sync with the Ministry of Health's protocol for emergency management, which emphasizes clinical investigations and referral, first aid, evacuation, and triage. Again, the college response efforts were found to be in sync with the Health Policy of Ghana, which aims to provide equitable, affordable, and responsive health services to improve the quality of life for all citizens, including students. Finally, the college's response efforts were in sync with Ghana's School Health Policy, which focuses on providing a supportive environment for students' health and well-being. The principal of the college spoke about the complementary nature of the college's response efforts and the fact that it was in harmony with other health policies: </w:t>
      </w:r>
    </w:p>
    <w:p w14:paraId="0407A665"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348718DB" w14:textId="22DBCE5F" w:rsidR="00806EA8" w:rsidRPr="009407BA" w:rsidRDefault="004F2C45" w:rsidP="009407BA">
      <w:pPr>
        <w:spacing w:after="0" w:line="240" w:lineRule="auto"/>
        <w:ind w:left="851" w:right="-4"/>
        <w:rPr>
          <w:rFonts w:ascii="Times New Roman" w:hAnsi="Times New Roman" w:cs="Times New Roman"/>
          <w:sz w:val="24"/>
          <w:szCs w:val="24"/>
        </w:rPr>
      </w:pPr>
      <w:r>
        <w:rPr>
          <w:rFonts w:ascii="Times New Roman" w:hAnsi="Times New Roman" w:cs="Times New Roman"/>
          <w:i/>
          <w:sz w:val="24"/>
          <w:szCs w:val="24"/>
        </w:rPr>
        <w:t xml:space="preserve">We consulted widely before developing the college’s emergency response efforts. Experts assured the college that if these efforts are properly implemented, the outbreak would be eradicated. I am aware that the college’s response efforts aligned with the Ghana Ministry of Health's emergency management protocols, Ghana Health Policy, and Ghana's School Health Policy, adding value to the college's emergency management. (Int. P1) </w:t>
      </w:r>
    </w:p>
    <w:p w14:paraId="3DD14AD2"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21303C26"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A college nurse also spoke about the coherence nature of the response efforts of the college: </w:t>
      </w:r>
    </w:p>
    <w:p w14:paraId="528039D2"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lastRenderedPageBreak/>
        <w:t xml:space="preserve"> </w:t>
      </w:r>
    </w:p>
    <w:p w14:paraId="1C371A16"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I cannot do things fortuitously especially during this emergency as my superiors are watching every emergency step I take. There are laid down protocols for emergency management</w:t>
      </w:r>
      <w:r w:rsidR="00E50653" w:rsidRPr="009407BA">
        <w:rPr>
          <w:rFonts w:ascii="Times New Roman" w:hAnsi="Times New Roman" w:cs="Times New Roman"/>
          <w:i/>
          <w:sz w:val="24"/>
          <w:szCs w:val="24"/>
        </w:rPr>
        <w:t>,</w:t>
      </w:r>
      <w:r w:rsidRPr="009407BA">
        <w:rPr>
          <w:rFonts w:ascii="Times New Roman" w:hAnsi="Times New Roman" w:cs="Times New Roman"/>
          <w:i/>
          <w:sz w:val="24"/>
          <w:szCs w:val="24"/>
        </w:rPr>
        <w:t xml:space="preserve"> and as a professional, I must keep to them and be able to write a report that is consistent with the template of emergency management. (Int. P6) </w:t>
      </w:r>
    </w:p>
    <w:p w14:paraId="08F08DF2"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0F822920" w14:textId="79A5BD60" w:rsidR="00806EA8" w:rsidRPr="009407BA" w:rsidRDefault="005E353C" w:rsidP="004F2C45">
      <w:pPr>
        <w:ind w:left="0"/>
        <w:rPr>
          <w:rFonts w:ascii="Times New Roman" w:hAnsi="Times New Roman" w:cs="Times New Roman"/>
          <w:sz w:val="24"/>
          <w:szCs w:val="24"/>
        </w:rPr>
      </w:pPr>
      <w:r w:rsidRPr="009407BA">
        <w:rPr>
          <w:rFonts w:ascii="Times New Roman" w:hAnsi="Times New Roman" w:cs="Times New Roman"/>
          <w:sz w:val="24"/>
          <w:szCs w:val="24"/>
        </w:rPr>
        <w:t>The effectiveness of the response efforts was considered. Broadly, this criteria looks at the extent to which the intervention achieved or is expected to achieve its objectives while taking into account the relative importance of the objectives</w:t>
      </w:r>
      <w:r w:rsidR="004F2C45">
        <w:rPr>
          <w:rFonts w:ascii="Times New Roman" w:hAnsi="Times New Roman" w:cs="Times New Roman"/>
          <w:sz w:val="24"/>
          <w:szCs w:val="24"/>
        </w:rPr>
        <w:t xml:space="preserve"> (</w:t>
      </w:r>
      <w:proofErr w:type="spellStart"/>
      <w:r w:rsidR="004F2C45" w:rsidRPr="009407BA">
        <w:rPr>
          <w:rFonts w:ascii="Times New Roman" w:hAnsi="Times New Roman" w:cs="Times New Roman"/>
          <w:sz w:val="24"/>
          <w:szCs w:val="24"/>
        </w:rPr>
        <w:t>Opare</w:t>
      </w:r>
      <w:proofErr w:type="spellEnd"/>
      <w:r w:rsidR="004F2C45">
        <w:rPr>
          <w:rFonts w:ascii="Times New Roman" w:hAnsi="Times New Roman" w:cs="Times New Roman"/>
          <w:sz w:val="24"/>
          <w:szCs w:val="24"/>
        </w:rPr>
        <w:t xml:space="preserve"> et al., </w:t>
      </w:r>
      <w:r w:rsidR="004F2C45" w:rsidRPr="009407BA">
        <w:rPr>
          <w:rFonts w:ascii="Times New Roman" w:hAnsi="Times New Roman" w:cs="Times New Roman"/>
          <w:sz w:val="24"/>
          <w:szCs w:val="24"/>
        </w:rPr>
        <w:t xml:space="preserve">2013). </w:t>
      </w:r>
      <w:r w:rsidRPr="004F2C45">
        <w:rPr>
          <w:rFonts w:ascii="Times New Roman" w:hAnsi="Times New Roman" w:cs="Times New Roman"/>
          <w:color w:val="000000" w:themeColor="text1"/>
          <w:sz w:val="24"/>
          <w:szCs w:val="24"/>
        </w:rPr>
        <w:t xml:space="preserve">The </w:t>
      </w:r>
      <w:r w:rsidRPr="009407BA">
        <w:rPr>
          <w:rFonts w:ascii="Times New Roman" w:hAnsi="Times New Roman" w:cs="Times New Roman"/>
          <w:sz w:val="24"/>
          <w:szCs w:val="24"/>
        </w:rPr>
        <w:t xml:space="preserve">indicative evaluation question was how effective was the targeting strategy? Almost all the SRC members and the Hall staff who spoke on community health education also talked about the fact that it was effective in creating awareness of the outbreak in the college community and in educating the college community on the danger signs of the foodborne outbreak as well as emphasizing good food safety and personal hygiene practices. This was what one SRC member had to say: </w:t>
      </w:r>
    </w:p>
    <w:p w14:paraId="0F706A8C"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66B43FFE"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The Disease Control Officer’s seminar held during the outbreak indicated that whenever someone has any of the following symptoms, bloody stool, prolonged vomiting, diarrhea and a fever higher than 102</w:t>
      </w:r>
      <w:r w:rsidRPr="009407BA">
        <w:rPr>
          <w:rFonts w:ascii="Times New Roman" w:hAnsi="Times New Roman" w:cs="Times New Roman"/>
          <w:i/>
          <w:sz w:val="24"/>
          <w:szCs w:val="24"/>
          <w:vertAlign w:val="superscript"/>
        </w:rPr>
        <w:t>0</w:t>
      </w:r>
      <w:r w:rsidRPr="009407BA">
        <w:rPr>
          <w:rFonts w:ascii="Times New Roman" w:hAnsi="Times New Roman" w:cs="Times New Roman"/>
          <w:i/>
          <w:sz w:val="24"/>
          <w:szCs w:val="24"/>
        </w:rPr>
        <w:t xml:space="preserve"> F the affected person should be rushed to the clinic for attention since it can have dire consequences. There should be strict observance of personal hygiene, avoid eating food that is cold, and avoid cross-contamination. This information was very helpful in reducing the impact of the disease outbreak.          (FGD1-SRC. P4) </w:t>
      </w:r>
    </w:p>
    <w:p w14:paraId="2C07E9E3"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46A4718C" w14:textId="72D1FB22"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case of how effective the emergency planning activities contributed to mitigating the effects of the outbreak was explored as indicated in Table </w:t>
      </w:r>
      <w:r w:rsidR="004F2C45">
        <w:rPr>
          <w:rFonts w:ascii="Times New Roman" w:hAnsi="Times New Roman" w:cs="Times New Roman"/>
          <w:sz w:val="24"/>
          <w:szCs w:val="24"/>
        </w:rPr>
        <w:t>2</w:t>
      </w:r>
      <w:r w:rsidRPr="009407BA">
        <w:rPr>
          <w:rFonts w:ascii="Times New Roman" w:hAnsi="Times New Roman" w:cs="Times New Roman"/>
          <w:sz w:val="24"/>
          <w:szCs w:val="24"/>
        </w:rPr>
        <w:t xml:space="preserve">, found that most discussants applauded the management of the college for inviting all key stakeholders in emergency management, such as the Dean of Student Affairs, college nurses, hall warden, hall masters/mistresses, transport officer, and SRC for an emergency planning meeting. This planning meeting offered the opportunity for the key stakeholders to reflect on their duties and execute them without delay. It also offered the opportunity for the management of the college to take stock of all needed inputs that would be required during the outbreak period and provide them immediately. Inputs from a hall staff and an SRC, respectively, on this discussion were profound: </w:t>
      </w:r>
    </w:p>
    <w:p w14:paraId="2DA4D7A9"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27F23308"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I was very happy with the urgency with which the management of the college called for an emergency planning meeting involving all stakeholders in health and safety issues to discuss what to do during this crisis period, and how to do it. I think this planning phase was effective in energizing us to work. (FGD2-Hall staff. P8). </w:t>
      </w:r>
    </w:p>
    <w:p w14:paraId="119C7C12"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3B5080ED"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This is the first time the SRC is experiencing a foodborne disease outbreak, and without this emergency planning meeting we at our level will not know how to calm our students down and what to do in this emergency. (FGD1-SRC P2) </w:t>
      </w:r>
    </w:p>
    <w:p w14:paraId="1A6EDB64"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29E35642" w14:textId="72AE7C5D"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From Table </w:t>
      </w:r>
      <w:r w:rsidR="005D404D">
        <w:rPr>
          <w:rFonts w:ascii="Times New Roman" w:hAnsi="Times New Roman" w:cs="Times New Roman"/>
          <w:sz w:val="24"/>
          <w:szCs w:val="24"/>
        </w:rPr>
        <w:t>3</w:t>
      </w:r>
      <w:r w:rsidRPr="009407BA">
        <w:rPr>
          <w:rFonts w:ascii="Times New Roman" w:hAnsi="Times New Roman" w:cs="Times New Roman"/>
          <w:sz w:val="24"/>
          <w:szCs w:val="24"/>
        </w:rPr>
        <w:t xml:space="preserve">, the effectiveness of another college response effort, which is clinical investigation and referral was assessed. Almost every interviewee indicated that the college nurses did very well in attending to each case promptly by investigating if it was a foodborne disease. All foodborne diseases were referred immediately to the nearest hospital.  Comments from the Principal and the Dean of Student Affairs: </w:t>
      </w:r>
    </w:p>
    <w:p w14:paraId="1170EE08"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lastRenderedPageBreak/>
        <w:t xml:space="preserve"> </w:t>
      </w:r>
    </w:p>
    <w:p w14:paraId="34686A65"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 I had no cause to worry about the management of the emergency crises on campus since the two nurses were seen discharging their duties without delay. Those who needed first aid and, or referrals were given promptly. (Int. P1).</w:t>
      </w:r>
      <w:r w:rsidRPr="009407BA">
        <w:rPr>
          <w:rFonts w:ascii="Times New Roman" w:hAnsi="Times New Roman" w:cs="Times New Roman"/>
          <w:sz w:val="24"/>
          <w:szCs w:val="24"/>
        </w:rPr>
        <w:t xml:space="preserve"> </w:t>
      </w:r>
    </w:p>
    <w:p w14:paraId="24C67517"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6C86C95F"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I spent most of the time during the outbreak period at the college clinic observing the turn of events and supporting where necessary. I found the nurses very apt at their work. I have yet to receive any adverse comments on the role played by the college nurses in this emergency crisis (Int.P2</w:t>
      </w:r>
      <w:r w:rsidRPr="009407BA">
        <w:rPr>
          <w:rFonts w:ascii="Times New Roman" w:hAnsi="Times New Roman" w:cs="Times New Roman"/>
          <w:sz w:val="24"/>
          <w:szCs w:val="24"/>
        </w:rPr>
        <w:t xml:space="preserve">). </w:t>
      </w:r>
    </w:p>
    <w:p w14:paraId="09E82F6F"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2B707AC9"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While many of the discussants found the mitigating strategy of adhering strictly to food safety and hygiene practices effective, a few saw it as not an effective intervention. They were of the view that the outbreak had already occurred and what need was there to keep to the strict standard of washing hands under running water? This is what some of the students' representatives had to say: </w:t>
      </w:r>
    </w:p>
    <w:p w14:paraId="1523331C"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026C7498"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We have already been hit by the outbreak, so why do we have to worry ourselves to frequently wash our hands under running water</w:t>
      </w:r>
      <w:r w:rsidRPr="009407BA">
        <w:rPr>
          <w:rFonts w:ascii="Times New Roman" w:hAnsi="Times New Roman" w:cs="Times New Roman"/>
          <w:sz w:val="24"/>
          <w:szCs w:val="24"/>
        </w:rPr>
        <w:t xml:space="preserve">? (FGDI-SRC. P3) </w:t>
      </w:r>
    </w:p>
    <w:p w14:paraId="15C1A045"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402E419F" w14:textId="77777777" w:rsidR="00806EA8" w:rsidRPr="009407BA" w:rsidRDefault="005E353C" w:rsidP="009407BA">
      <w:pPr>
        <w:spacing w:after="0" w:line="240" w:lineRule="auto"/>
        <w:ind w:left="851" w:right="-4"/>
        <w:rPr>
          <w:rFonts w:ascii="Times New Roman" w:hAnsi="Times New Roman" w:cs="Times New Roman"/>
          <w:i/>
          <w:sz w:val="24"/>
          <w:szCs w:val="24"/>
        </w:rPr>
      </w:pPr>
      <w:r w:rsidRPr="009407BA">
        <w:rPr>
          <w:rFonts w:ascii="Times New Roman" w:hAnsi="Times New Roman" w:cs="Times New Roman"/>
          <w:i/>
          <w:sz w:val="24"/>
          <w:szCs w:val="24"/>
        </w:rPr>
        <w:t xml:space="preserve">Tightening the food safety practices at the college kitchen is a good thing to do, but to spend money to purchase Veronica buckets for hand washing, I am not sure I am in support. (FGD1-SRC. P7). </w:t>
      </w:r>
    </w:p>
    <w:p w14:paraId="49985757" w14:textId="77777777" w:rsidR="00E50653" w:rsidRPr="009407BA" w:rsidRDefault="00E50653" w:rsidP="009407BA">
      <w:pPr>
        <w:spacing w:after="0" w:line="240" w:lineRule="auto"/>
        <w:ind w:left="0" w:right="-4"/>
        <w:rPr>
          <w:rFonts w:ascii="Times New Roman" w:hAnsi="Times New Roman" w:cs="Times New Roman"/>
          <w:sz w:val="24"/>
          <w:szCs w:val="24"/>
        </w:rPr>
      </w:pPr>
    </w:p>
    <w:p w14:paraId="745B71A1"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effectiveness of the last college response effort was explored, and many interviewees agreed to the fact that the stockpile of first aid inputs and PPEs during the period of the outbreak, though expensive, was a good intervention. The college nurses commented that they felt at ease </w:t>
      </w:r>
      <w:r w:rsidR="00E50653" w:rsidRPr="009407BA">
        <w:rPr>
          <w:rFonts w:ascii="Times New Roman" w:hAnsi="Times New Roman" w:cs="Times New Roman"/>
          <w:sz w:val="24"/>
          <w:szCs w:val="24"/>
        </w:rPr>
        <w:t>working</w:t>
      </w:r>
      <w:r w:rsidRPr="009407BA">
        <w:rPr>
          <w:rFonts w:ascii="Times New Roman" w:hAnsi="Times New Roman" w:cs="Times New Roman"/>
          <w:sz w:val="24"/>
          <w:szCs w:val="24"/>
        </w:rPr>
        <w:t xml:space="preserve"> once the inputs needed to work during the outbreak period were provided: </w:t>
      </w:r>
    </w:p>
    <w:p w14:paraId="73232333"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260A4328"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Equipping the clinic with first aid inputs and PPEs was enough motivation to work since I felt empowered and secure. (Int. P4) </w:t>
      </w:r>
    </w:p>
    <w:p w14:paraId="72BF1119"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26FFD56F"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One of the most impactful interventions was the stockpiling of the clinic with emergency items such as first aid inputs and PPEs. We did not have to delay in attending to cases because all inputs needed were available. (Int. P5). </w:t>
      </w:r>
    </w:p>
    <w:p w14:paraId="3FABC5C9"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3BCF8E48" w14:textId="18C615B3"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The efficiency of the college response efforts was the next evaluation criterion explored. OECD defined efficiency in emergency response as the extent to which the intervention delivers, or is likely to deliver results in an economical and timely way</w:t>
      </w:r>
      <w:r w:rsidR="004F2C45">
        <w:rPr>
          <w:rFonts w:ascii="Times New Roman" w:hAnsi="Times New Roman" w:cs="Times New Roman"/>
          <w:sz w:val="24"/>
          <w:szCs w:val="24"/>
        </w:rPr>
        <w:t xml:space="preserve"> (OECD,</w:t>
      </w:r>
      <w:r w:rsidR="004F2C45" w:rsidRPr="009407BA">
        <w:rPr>
          <w:rFonts w:ascii="Times New Roman" w:hAnsi="Times New Roman" w:cs="Times New Roman"/>
          <w:sz w:val="24"/>
          <w:szCs w:val="24"/>
        </w:rPr>
        <w:t xml:space="preserve"> </w:t>
      </w:r>
      <w:r w:rsidR="004F2C45">
        <w:rPr>
          <w:rFonts w:ascii="Times New Roman" w:hAnsi="Times New Roman" w:cs="Times New Roman"/>
          <w:sz w:val="24"/>
          <w:szCs w:val="24"/>
        </w:rPr>
        <w:t>2021).</w:t>
      </w:r>
      <w:r w:rsidRPr="009407BA">
        <w:rPr>
          <w:rFonts w:ascii="Times New Roman" w:hAnsi="Times New Roman" w:cs="Times New Roman"/>
          <w:sz w:val="24"/>
          <w:szCs w:val="24"/>
        </w:rPr>
        <w:t xml:space="preserve"> The indicative evaluation question was how efficient and timely were the responses of community health communication, emergency planning, clinical investigations, referral, mitigating strategies, and a stockpile of needed inputs? The study found that almost all the interviewees were happy that the response efforts of the college were able to curtail the outbreak within four days. A college nurse gave this positive comment on the college's response efforts. </w:t>
      </w:r>
    </w:p>
    <w:p w14:paraId="249226F7"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15ED9E29"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The professional advice the college sought from the DHMT on how to manage the outbreak is commendable. All the response efforts were very effective in eradicating the foodborne disease within the shortest time. (Int. P4)  </w:t>
      </w:r>
    </w:p>
    <w:p w14:paraId="57D948DC"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lastRenderedPageBreak/>
        <w:t xml:space="preserve"> </w:t>
      </w:r>
    </w:p>
    <w:p w14:paraId="45CD0214"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Principal of the college also believed that the commitment of the college nurses as well as the efficient way by which the nurses supervised all the response efforts, were contributory factors to the early eradication of the outbreak on campus. </w:t>
      </w:r>
    </w:p>
    <w:p w14:paraId="64D59128"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702E87D7"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The presence of the hardworking and committed nurses as well as their meticulous supervision of the various response efforts, cannot be taken for granted in the eradication efforts. (Int. P1) </w:t>
      </w:r>
    </w:p>
    <w:p w14:paraId="441E3AEA"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56C70DEE" w14:textId="637EB112"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The impact of the response efforts was another criterion that was explored. Impact, as defined by OECD, looks at the extent to which the intervention has generated or is expected to generate significant positive or negative, intended or unintended, high-level effects</w:t>
      </w:r>
      <w:r w:rsidR="004F2C45">
        <w:rPr>
          <w:rFonts w:ascii="Times New Roman" w:hAnsi="Times New Roman" w:cs="Times New Roman"/>
          <w:sz w:val="24"/>
          <w:szCs w:val="24"/>
        </w:rPr>
        <w:t xml:space="preserve"> (OECD,</w:t>
      </w:r>
      <w:r w:rsidR="004F2C45" w:rsidRPr="009407BA">
        <w:rPr>
          <w:rFonts w:ascii="Times New Roman" w:hAnsi="Times New Roman" w:cs="Times New Roman"/>
          <w:sz w:val="24"/>
          <w:szCs w:val="24"/>
        </w:rPr>
        <w:t xml:space="preserve"> </w:t>
      </w:r>
      <w:r w:rsidR="004F2C45">
        <w:rPr>
          <w:rFonts w:ascii="Times New Roman" w:hAnsi="Times New Roman" w:cs="Times New Roman"/>
          <w:sz w:val="24"/>
          <w:szCs w:val="24"/>
        </w:rPr>
        <w:t>2021)</w:t>
      </w:r>
      <w:r w:rsidRPr="009407BA">
        <w:rPr>
          <w:rFonts w:ascii="Times New Roman" w:hAnsi="Times New Roman" w:cs="Times New Roman"/>
          <w:sz w:val="24"/>
          <w:szCs w:val="24"/>
        </w:rPr>
        <w:t xml:space="preserve">. The study found that the response efforts of the college were able to restore the well-being and safety of students after an outbreak of foodborne disease had shattered the lives of many. For instance, the college nurses spoke about the impact the response efforts had on the students: </w:t>
      </w:r>
    </w:p>
    <w:p w14:paraId="2D6E4505"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7A5A9752"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I am not surprised at all that our response efforts paid off and were very successful in restoring the well-being and safety of students because our activities were monitored and supervised by the DHMT. (Int. P5) </w:t>
      </w:r>
    </w:p>
    <w:p w14:paraId="006C2213"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4F63DAFD"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The most significant impact of the response efforts of the college was that no lives were lost during the outbreak and the well-being and safety of students were restored. (Int. P4) </w:t>
      </w:r>
    </w:p>
    <w:p w14:paraId="44D4FC92"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39EA381E" w14:textId="77777777" w:rsidR="00806EA8" w:rsidRPr="009407BA" w:rsidRDefault="005E353C" w:rsidP="009407BA">
      <w:pPr>
        <w:spacing w:after="0" w:line="240" w:lineRule="auto"/>
        <w:ind w:left="0" w:right="0"/>
        <w:rPr>
          <w:rFonts w:ascii="Times New Roman" w:hAnsi="Times New Roman" w:cs="Times New Roman"/>
          <w:sz w:val="24"/>
          <w:szCs w:val="24"/>
        </w:rPr>
      </w:pPr>
      <w:r w:rsidRPr="009407BA">
        <w:rPr>
          <w:rFonts w:ascii="Times New Roman" w:hAnsi="Times New Roman" w:cs="Times New Roman"/>
          <w:sz w:val="24"/>
          <w:szCs w:val="24"/>
        </w:rPr>
        <w:t xml:space="preserve">The final evaluation criterion, sustainability is the extent to which the net benefit of the intervention continues or is likely to continue. Many discussants were of the view that apart from stockpiling first aid inputs and PPEs which are not sustainable, the rest including ensuring strict health and safety standards, community health education, clinical investigation, and referral were sustainable in promoting a safe environment for students: </w:t>
      </w:r>
    </w:p>
    <w:p w14:paraId="6977B0E3"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2FC9D413"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i/>
          <w:sz w:val="24"/>
          <w:szCs w:val="24"/>
        </w:rPr>
        <w:t xml:space="preserve">I am not sure the college will have problems with organizing activities such as community health education, keeping to strict health and safety standards, and clinical investigations and referrals as these are part of the routine health activities the college must embark on (FGD1-SRC. P6). </w:t>
      </w:r>
    </w:p>
    <w:p w14:paraId="6CD9AE0C" w14:textId="77777777" w:rsidR="00806EA8" w:rsidRPr="009407BA" w:rsidRDefault="005E353C" w:rsidP="009407BA">
      <w:pPr>
        <w:spacing w:after="0" w:line="240" w:lineRule="auto"/>
        <w:ind w:left="851"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75F6F7B2" w14:textId="77777777" w:rsidR="00806EA8" w:rsidRPr="009407BA" w:rsidRDefault="005E353C" w:rsidP="009407BA">
      <w:pPr>
        <w:spacing w:after="0" w:line="240" w:lineRule="auto"/>
        <w:ind w:left="851" w:right="-4"/>
        <w:rPr>
          <w:rFonts w:ascii="Times New Roman" w:hAnsi="Times New Roman" w:cs="Times New Roman"/>
          <w:sz w:val="24"/>
          <w:szCs w:val="24"/>
        </w:rPr>
      </w:pPr>
      <w:r w:rsidRPr="009407BA">
        <w:rPr>
          <w:rFonts w:ascii="Times New Roman" w:hAnsi="Times New Roman" w:cs="Times New Roman"/>
          <w:i/>
          <w:sz w:val="24"/>
          <w:szCs w:val="24"/>
        </w:rPr>
        <w:t xml:space="preserve">The college takes its supplies from the hospital, and it is not the norm for the hospital to stockpile clinics with deliverables; therefore, this current stockpiling is not sustainable. (FGD2-Hall Staff. P3). </w:t>
      </w:r>
    </w:p>
    <w:p w14:paraId="1E8952E4" w14:textId="77777777" w:rsidR="00806EA8" w:rsidRPr="009407BA" w:rsidRDefault="005E353C" w:rsidP="009407BA">
      <w:pPr>
        <w:spacing w:after="0" w:line="240" w:lineRule="auto"/>
        <w:ind w:left="0" w:right="0" w:firstLine="0"/>
        <w:rPr>
          <w:rFonts w:ascii="Times New Roman" w:hAnsi="Times New Roman" w:cs="Times New Roman"/>
          <w:sz w:val="24"/>
          <w:szCs w:val="24"/>
        </w:rPr>
      </w:pPr>
      <w:r w:rsidRPr="009407BA">
        <w:rPr>
          <w:rFonts w:ascii="Times New Roman" w:hAnsi="Times New Roman" w:cs="Times New Roman"/>
          <w:i/>
          <w:sz w:val="24"/>
          <w:szCs w:val="24"/>
        </w:rPr>
        <w:t xml:space="preserve"> </w:t>
      </w:r>
    </w:p>
    <w:p w14:paraId="153DA59C" w14:textId="77777777" w:rsidR="00806EA8" w:rsidRPr="009407BA" w:rsidRDefault="005E353C" w:rsidP="009407BA">
      <w:pPr>
        <w:pStyle w:val="Heading2"/>
        <w:spacing w:line="240" w:lineRule="auto"/>
        <w:ind w:left="0"/>
        <w:jc w:val="both"/>
        <w:rPr>
          <w:rFonts w:ascii="Times New Roman" w:hAnsi="Times New Roman" w:cs="Times New Roman"/>
          <w:sz w:val="24"/>
          <w:szCs w:val="24"/>
        </w:rPr>
      </w:pPr>
      <w:r w:rsidRPr="009407BA">
        <w:rPr>
          <w:rFonts w:ascii="Times New Roman" w:hAnsi="Times New Roman" w:cs="Times New Roman"/>
          <w:sz w:val="24"/>
          <w:szCs w:val="24"/>
        </w:rPr>
        <w:t xml:space="preserve">5. Discussion  </w:t>
      </w:r>
    </w:p>
    <w:p w14:paraId="4562038B" w14:textId="334EB117" w:rsidR="0056245F" w:rsidRPr="009407BA" w:rsidRDefault="0056245F" w:rsidP="009407BA">
      <w:pPr>
        <w:pStyle w:val="NormalWeb"/>
        <w:spacing w:before="0" w:beforeAutospacing="0" w:after="0" w:afterAutospacing="0"/>
        <w:jc w:val="both"/>
      </w:pPr>
      <w:r w:rsidRPr="009407BA">
        <w:t>The outbreak of foodborne disease in educational institutions is not a rare event (</w:t>
      </w:r>
      <w:proofErr w:type="spellStart"/>
      <w:r w:rsidRPr="009407BA">
        <w:t>Opare</w:t>
      </w:r>
      <w:proofErr w:type="spellEnd"/>
      <w:r w:rsidRPr="009407BA">
        <w:t xml:space="preserve"> et al., 2013) and is often underreported among developing countries where systematic foodborne disease surveillance and epidemiological studies are uncommon (</w:t>
      </w:r>
      <w:proofErr w:type="spellStart"/>
      <w:r w:rsidRPr="009407BA">
        <w:t>Ahiabor</w:t>
      </w:r>
      <w:proofErr w:type="spellEnd"/>
      <w:r w:rsidRPr="009407BA">
        <w:t xml:space="preserve"> et al., 2024; </w:t>
      </w:r>
      <w:proofErr w:type="spellStart"/>
      <w:r w:rsidRPr="009407BA">
        <w:t>Ameme</w:t>
      </w:r>
      <w:proofErr w:type="spellEnd"/>
      <w:r w:rsidRPr="009407BA">
        <w:t xml:space="preserve"> et al., 2016). This study has shown that at the core of managing an outbreak of foodborne disease is time-sensitive care involving multiple caregivers who are both professional healthcare providers such as college nurses and physicians and </w:t>
      </w:r>
      <w:r w:rsidR="006C6F1B" w:rsidRPr="009407BA">
        <w:t>no health</w:t>
      </w:r>
      <w:r w:rsidRPr="009407BA">
        <w:t xml:space="preserve"> professionals such as deans of students, hall masters/mistresses, and transport officers.</w:t>
      </w:r>
    </w:p>
    <w:p w14:paraId="5C2EB7B2" w14:textId="77777777" w:rsidR="0056245F" w:rsidRPr="009407BA" w:rsidRDefault="0056245F" w:rsidP="009407BA">
      <w:pPr>
        <w:pStyle w:val="NormalWeb"/>
        <w:spacing w:before="0" w:beforeAutospacing="0" w:after="0" w:afterAutospacing="0"/>
        <w:jc w:val="both"/>
      </w:pPr>
      <w:r w:rsidRPr="009407BA">
        <w:lastRenderedPageBreak/>
        <w:t xml:space="preserve">Even though each caregiver’s role cannot be ranked above others, the college nurse plays a critical role, as in most cases he/she is the only professional health worker in the college and is expected to identify potential health problems, coordinate first aid and CPR training, evaluate emergency readiness, and develop response plans (National Association of School Nurses, 2019; </w:t>
      </w:r>
      <w:proofErr w:type="spellStart"/>
      <w:r w:rsidRPr="009407BA">
        <w:t>Cagginello</w:t>
      </w:r>
      <w:proofErr w:type="spellEnd"/>
      <w:r w:rsidRPr="009407BA">
        <w:t xml:space="preserve"> et al., 2011). Delays in any of these interventions can increase morbidity or lead to preventable deaths. The timely delivery of the response efforts of various gatekeepers was central to the successful containment of this outbreak, which was managed within four days with no fatalities. This finding supports earlier research that delays in emergency care can lead to avoidable deaths or reduced treatment efficacy (Chang et al., 2016).</w:t>
      </w:r>
    </w:p>
    <w:p w14:paraId="074A1D75" w14:textId="77777777" w:rsidR="0056245F" w:rsidRPr="009407BA" w:rsidRDefault="0056245F" w:rsidP="009407BA">
      <w:pPr>
        <w:pStyle w:val="NormalWeb"/>
        <w:spacing w:before="0" w:beforeAutospacing="0" w:after="0" w:afterAutospacing="0"/>
        <w:jc w:val="both"/>
      </w:pPr>
      <w:r w:rsidRPr="009407BA">
        <w:t xml:space="preserve">Importantly, the prompt containment was attributed to prior emergency planning meetings that defined stakeholder responsibilities. The coordination between the college nurse and principal ensured a seamless referral and treatment system, aligning with </w:t>
      </w:r>
      <w:proofErr w:type="spellStart"/>
      <w:r w:rsidRPr="009407BA">
        <w:t>Jin</w:t>
      </w:r>
      <w:proofErr w:type="spellEnd"/>
      <w:r w:rsidRPr="009407BA">
        <w:t xml:space="preserve"> et al. (2023) and WHO's Emergency Care System Framework (2018), which emphasize coordinated response pathways from the point of emergency to definitive care.</w:t>
      </w:r>
    </w:p>
    <w:p w14:paraId="4158B34C" w14:textId="77777777" w:rsidR="0056245F" w:rsidRPr="009407BA" w:rsidRDefault="0056245F" w:rsidP="009407BA">
      <w:pPr>
        <w:pStyle w:val="NormalWeb"/>
        <w:spacing w:before="0" w:beforeAutospacing="0" w:after="0" w:afterAutospacing="0"/>
        <w:jc w:val="both"/>
      </w:pPr>
      <w:r w:rsidRPr="009407BA">
        <w:t>An important dimension of the outbreak was the demographic profile of those affected. Out of the 51 students hospitalized, a higher proportion were female (62.7%), while males accounted for 37.3%. Though the study did not explore sex-specific exposures, this imbalance may reflect the underlying gender composition of the student population or suggest differential exposure risk based on food access, hall assignment, or other behaviors. In terms of age, the majority of affected students (74.5%) were within the 20–25-year range, which corresponds to the typical demographic of college students. Those under 20 (5.9%) and over 25 years (17.6%) were less affected. These insights are essential for designing targeted awareness campaigns and preparedness strategies that consider gender and age-related vulnerabilities in institutional settings.</w:t>
      </w:r>
    </w:p>
    <w:p w14:paraId="02E34161" w14:textId="6945BC0C" w:rsidR="0056245F" w:rsidRPr="009407BA" w:rsidRDefault="0056245F" w:rsidP="009407BA">
      <w:pPr>
        <w:pStyle w:val="NormalWeb"/>
        <w:spacing w:before="0" w:beforeAutospacing="0" w:after="0" w:afterAutospacing="0"/>
        <w:jc w:val="both"/>
      </w:pPr>
      <w:r w:rsidRPr="009407BA">
        <w:t xml:space="preserve">To better understand how the college's response compares to global expectations, Table </w:t>
      </w:r>
      <w:r w:rsidR="00D13FC7">
        <w:t>4</w:t>
      </w:r>
      <w:r w:rsidRPr="009407BA">
        <w:t xml:space="preserve"> presents a structured comparison between the actual emergency timeline at the Presbyterian College of Education (PCE) and international emergency response standards, such as those from WHO, FEMA, and UN OCHA.</w:t>
      </w:r>
    </w:p>
    <w:p w14:paraId="634FE6C0" w14:textId="7A5E72FF" w:rsidR="0056245F" w:rsidRPr="009407BA" w:rsidRDefault="0056245F" w:rsidP="0056245F">
      <w:pPr>
        <w:ind w:left="0" w:firstLine="0"/>
        <w:rPr>
          <w:rFonts w:ascii="Times New Roman" w:hAnsi="Times New Roman" w:cs="Times New Roman"/>
          <w:b/>
          <w:sz w:val="24"/>
          <w:szCs w:val="24"/>
        </w:rPr>
      </w:pPr>
    </w:p>
    <w:p w14:paraId="0B543CA8" w14:textId="6646F257" w:rsidR="0056245F" w:rsidRPr="009407BA" w:rsidRDefault="00C27522" w:rsidP="00C27522">
      <w:pPr>
        <w:pStyle w:val="Heading4"/>
        <w:ind w:left="0"/>
        <w:rPr>
          <w:rFonts w:ascii="Times New Roman" w:hAnsi="Times New Roman" w:cs="Times New Roman"/>
          <w:b/>
          <w:color w:val="auto"/>
          <w:sz w:val="24"/>
          <w:szCs w:val="24"/>
        </w:rPr>
      </w:pPr>
      <w:r w:rsidRPr="009407BA">
        <w:rPr>
          <w:rStyle w:val="Strong"/>
          <w:rFonts w:ascii="Times New Roman" w:hAnsi="Times New Roman" w:cs="Times New Roman"/>
          <w:bCs w:val="0"/>
          <w:color w:val="auto"/>
          <w:sz w:val="24"/>
          <w:szCs w:val="24"/>
        </w:rPr>
        <w:t xml:space="preserve">Table </w:t>
      </w:r>
      <w:r w:rsidR="00B50678">
        <w:rPr>
          <w:rStyle w:val="Strong"/>
          <w:rFonts w:ascii="Times New Roman" w:hAnsi="Times New Roman" w:cs="Times New Roman"/>
          <w:bCs w:val="0"/>
          <w:color w:val="auto"/>
          <w:sz w:val="24"/>
          <w:szCs w:val="24"/>
        </w:rPr>
        <w:t>4</w:t>
      </w:r>
      <w:r w:rsidR="0056245F" w:rsidRPr="009407BA">
        <w:rPr>
          <w:rStyle w:val="Strong"/>
          <w:rFonts w:ascii="Times New Roman" w:hAnsi="Times New Roman" w:cs="Times New Roman"/>
          <w:bCs w:val="0"/>
          <w:color w:val="auto"/>
          <w:sz w:val="24"/>
          <w:szCs w:val="24"/>
        </w:rPr>
        <w:t>: Comparison of PCE Outbreak Response Timeline with International Emergency Response Standards</w:t>
      </w: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1936"/>
        <w:gridCol w:w="1616"/>
        <w:gridCol w:w="2742"/>
        <w:gridCol w:w="3006"/>
      </w:tblGrid>
      <w:tr w:rsidR="009D0DFF" w:rsidRPr="009407BA" w14:paraId="704308E2" w14:textId="77777777" w:rsidTr="00BC3ABE">
        <w:trPr>
          <w:tblCellSpacing w:w="15" w:type="dxa"/>
        </w:trPr>
        <w:tc>
          <w:tcPr>
            <w:tcW w:w="0" w:type="auto"/>
            <w:tcBorders>
              <w:top w:val="single" w:sz="4" w:space="0" w:color="auto"/>
              <w:bottom w:val="single" w:sz="4" w:space="0" w:color="auto"/>
            </w:tcBorders>
            <w:vAlign w:val="center"/>
          </w:tcPr>
          <w:p w14:paraId="79C1F5C9" w14:textId="611E56E9" w:rsidR="009D0DFF" w:rsidRPr="009407BA" w:rsidRDefault="009D0DFF" w:rsidP="009D0DFF">
            <w:pPr>
              <w:ind w:left="0"/>
              <w:jc w:val="center"/>
              <w:rPr>
                <w:rStyle w:val="Strong"/>
                <w:rFonts w:ascii="Times New Roman" w:hAnsi="Times New Roman" w:cs="Times New Roman"/>
                <w:sz w:val="24"/>
                <w:szCs w:val="24"/>
              </w:rPr>
            </w:pPr>
            <w:r w:rsidRPr="009407BA">
              <w:rPr>
                <w:rStyle w:val="Strong"/>
                <w:rFonts w:ascii="Times New Roman" w:hAnsi="Times New Roman" w:cs="Times New Roman"/>
                <w:sz w:val="24"/>
                <w:szCs w:val="24"/>
              </w:rPr>
              <w:t>Emergency Phase</w:t>
            </w:r>
          </w:p>
        </w:tc>
        <w:tc>
          <w:tcPr>
            <w:tcW w:w="0" w:type="auto"/>
            <w:tcBorders>
              <w:top w:val="single" w:sz="4" w:space="0" w:color="auto"/>
              <w:bottom w:val="single" w:sz="4" w:space="0" w:color="auto"/>
            </w:tcBorders>
            <w:vAlign w:val="center"/>
          </w:tcPr>
          <w:p w14:paraId="20FF2C23" w14:textId="47F87533" w:rsidR="009D0DFF" w:rsidRPr="009407BA" w:rsidRDefault="009D0DFF" w:rsidP="009D0DFF">
            <w:pPr>
              <w:ind w:left="3"/>
              <w:jc w:val="center"/>
              <w:rPr>
                <w:rFonts w:ascii="Times New Roman" w:hAnsi="Times New Roman" w:cs="Times New Roman"/>
                <w:b/>
                <w:sz w:val="24"/>
                <w:szCs w:val="24"/>
              </w:rPr>
            </w:pPr>
            <w:r w:rsidRPr="009407BA">
              <w:rPr>
                <w:rFonts w:ascii="Times New Roman" w:hAnsi="Times New Roman" w:cs="Times New Roman"/>
                <w:b/>
                <w:sz w:val="24"/>
                <w:szCs w:val="24"/>
              </w:rPr>
              <w:t>International Standard Timeline</w:t>
            </w:r>
          </w:p>
        </w:tc>
        <w:tc>
          <w:tcPr>
            <w:tcW w:w="2712" w:type="dxa"/>
            <w:tcBorders>
              <w:top w:val="single" w:sz="4" w:space="0" w:color="auto"/>
              <w:bottom w:val="single" w:sz="4" w:space="0" w:color="auto"/>
            </w:tcBorders>
            <w:vAlign w:val="center"/>
          </w:tcPr>
          <w:p w14:paraId="784D07F6" w14:textId="52EC0363" w:rsidR="009D0DFF" w:rsidRPr="009407BA" w:rsidRDefault="009D0DFF" w:rsidP="00BC3ABE">
            <w:pPr>
              <w:ind w:left="0"/>
              <w:jc w:val="center"/>
              <w:rPr>
                <w:rFonts w:ascii="Times New Roman" w:hAnsi="Times New Roman" w:cs="Times New Roman"/>
                <w:b/>
                <w:sz w:val="24"/>
                <w:szCs w:val="24"/>
              </w:rPr>
            </w:pPr>
            <w:r w:rsidRPr="009407BA">
              <w:rPr>
                <w:rFonts w:ascii="Times New Roman" w:hAnsi="Times New Roman" w:cs="Times New Roman"/>
                <w:b/>
                <w:sz w:val="24"/>
                <w:szCs w:val="24"/>
              </w:rPr>
              <w:t>PCE Response (As Described in the Manuscript)</w:t>
            </w:r>
          </w:p>
        </w:tc>
        <w:tc>
          <w:tcPr>
            <w:tcW w:w="0" w:type="auto"/>
            <w:tcBorders>
              <w:top w:val="single" w:sz="4" w:space="0" w:color="auto"/>
              <w:bottom w:val="single" w:sz="4" w:space="0" w:color="auto"/>
            </w:tcBorders>
            <w:vAlign w:val="center"/>
          </w:tcPr>
          <w:p w14:paraId="3E3772FC" w14:textId="740ABFEE" w:rsidR="009D0DFF" w:rsidRPr="009407BA" w:rsidRDefault="009D0DFF" w:rsidP="00BC3ABE">
            <w:pPr>
              <w:ind w:left="0"/>
              <w:jc w:val="center"/>
              <w:rPr>
                <w:rStyle w:val="Strong"/>
                <w:rFonts w:ascii="Times New Roman" w:hAnsi="Times New Roman" w:cs="Times New Roman"/>
                <w:sz w:val="24"/>
                <w:szCs w:val="24"/>
              </w:rPr>
            </w:pPr>
            <w:r w:rsidRPr="009407BA">
              <w:rPr>
                <w:rStyle w:val="Strong"/>
                <w:rFonts w:ascii="Times New Roman" w:hAnsi="Times New Roman" w:cs="Times New Roman"/>
                <w:sz w:val="24"/>
                <w:szCs w:val="24"/>
              </w:rPr>
              <w:t>Commentary/Alignments</w:t>
            </w:r>
          </w:p>
        </w:tc>
      </w:tr>
      <w:tr w:rsidR="009D0DFF" w:rsidRPr="009407BA" w14:paraId="33FF6AF5" w14:textId="77777777" w:rsidTr="00BC3ABE">
        <w:trPr>
          <w:tblCellSpacing w:w="15" w:type="dxa"/>
        </w:trPr>
        <w:tc>
          <w:tcPr>
            <w:tcW w:w="0" w:type="auto"/>
            <w:vAlign w:val="center"/>
            <w:hideMark/>
          </w:tcPr>
          <w:p w14:paraId="25764751"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Detection &amp; Alert</w:t>
            </w:r>
          </w:p>
        </w:tc>
        <w:tc>
          <w:tcPr>
            <w:tcW w:w="0" w:type="auto"/>
            <w:vAlign w:val="center"/>
            <w:hideMark/>
          </w:tcPr>
          <w:p w14:paraId="459AB8C1"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Within 0–2 hours of first symptoms</w:t>
            </w:r>
          </w:p>
        </w:tc>
        <w:tc>
          <w:tcPr>
            <w:tcW w:w="2712" w:type="dxa"/>
            <w:vAlign w:val="center"/>
            <w:hideMark/>
          </w:tcPr>
          <w:p w14:paraId="5BAEA525"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Initial cases reported around 9:00 p.m.; 32 students hospitalized by midnight</w:t>
            </w:r>
          </w:p>
        </w:tc>
        <w:tc>
          <w:tcPr>
            <w:tcW w:w="0" w:type="auto"/>
            <w:vAlign w:val="center"/>
            <w:hideMark/>
          </w:tcPr>
          <w:p w14:paraId="56025EE5" w14:textId="1D4F2EF5"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Timely</w:t>
            </w:r>
            <w:r w:rsidR="009D0DFF" w:rsidRPr="009407BA">
              <w:rPr>
                <w:rFonts w:ascii="Times New Roman" w:hAnsi="Times New Roman" w:cs="Times New Roman"/>
                <w:sz w:val="24"/>
                <w:szCs w:val="24"/>
              </w:rPr>
              <w:t>:</w:t>
            </w:r>
            <w:r w:rsidRPr="009407BA">
              <w:rPr>
                <w:rFonts w:ascii="Times New Roman" w:hAnsi="Times New Roman" w:cs="Times New Roman"/>
                <w:sz w:val="24"/>
                <w:szCs w:val="24"/>
              </w:rPr>
              <w:t xml:space="preserve"> Prompt case identification and escalation to care</w:t>
            </w:r>
          </w:p>
        </w:tc>
      </w:tr>
      <w:tr w:rsidR="009D0DFF" w:rsidRPr="009407BA" w14:paraId="75E2471D" w14:textId="77777777" w:rsidTr="00BC3ABE">
        <w:trPr>
          <w:tblCellSpacing w:w="15" w:type="dxa"/>
        </w:trPr>
        <w:tc>
          <w:tcPr>
            <w:tcW w:w="0" w:type="auto"/>
            <w:vAlign w:val="center"/>
            <w:hideMark/>
          </w:tcPr>
          <w:p w14:paraId="68B704D4"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Initial Response Activation</w:t>
            </w:r>
          </w:p>
        </w:tc>
        <w:tc>
          <w:tcPr>
            <w:tcW w:w="0" w:type="auto"/>
            <w:vAlign w:val="center"/>
            <w:hideMark/>
          </w:tcPr>
          <w:p w14:paraId="50413253" w14:textId="3D0B3D5F"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 xml:space="preserve">Within </w:t>
            </w:r>
            <w:r w:rsidR="00C27522" w:rsidRPr="009407BA">
              <w:rPr>
                <w:rFonts w:ascii="Times New Roman" w:hAnsi="Times New Roman" w:cs="Times New Roman"/>
                <w:sz w:val="24"/>
                <w:szCs w:val="24"/>
              </w:rPr>
              <w:t xml:space="preserve">the </w:t>
            </w:r>
            <w:r w:rsidRPr="009407BA">
              <w:rPr>
                <w:rFonts w:ascii="Times New Roman" w:hAnsi="Times New Roman" w:cs="Times New Roman"/>
                <w:sz w:val="24"/>
                <w:szCs w:val="24"/>
              </w:rPr>
              <w:t>first 6 hours</w:t>
            </w:r>
          </w:p>
        </w:tc>
        <w:tc>
          <w:tcPr>
            <w:tcW w:w="2712" w:type="dxa"/>
            <w:vAlign w:val="center"/>
            <w:hideMark/>
          </w:tcPr>
          <w:p w14:paraId="703476E9"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Additional 9 students referred between midnight and 6:00 a.m.</w:t>
            </w:r>
          </w:p>
        </w:tc>
        <w:tc>
          <w:tcPr>
            <w:tcW w:w="0" w:type="auto"/>
            <w:vAlign w:val="center"/>
            <w:hideMark/>
          </w:tcPr>
          <w:p w14:paraId="27C2C3E7" w14:textId="7F0D039F"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Prompt</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Nighttime referrals indicate engaged response</w:t>
            </w:r>
          </w:p>
        </w:tc>
      </w:tr>
      <w:tr w:rsidR="009D0DFF" w:rsidRPr="009407BA" w14:paraId="22D2AE27" w14:textId="77777777" w:rsidTr="00BC3ABE">
        <w:trPr>
          <w:tblCellSpacing w:w="15" w:type="dxa"/>
        </w:trPr>
        <w:tc>
          <w:tcPr>
            <w:tcW w:w="0" w:type="auto"/>
            <w:vAlign w:val="center"/>
            <w:hideMark/>
          </w:tcPr>
          <w:p w14:paraId="04CF0758"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Incident Coordination</w:t>
            </w:r>
          </w:p>
        </w:tc>
        <w:tc>
          <w:tcPr>
            <w:tcW w:w="0" w:type="auto"/>
            <w:vAlign w:val="center"/>
            <w:hideMark/>
          </w:tcPr>
          <w:p w14:paraId="15596C59"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Emergency meeting within 12 hours</w:t>
            </w:r>
          </w:p>
        </w:tc>
        <w:tc>
          <w:tcPr>
            <w:tcW w:w="2712" w:type="dxa"/>
            <w:vAlign w:val="center"/>
            <w:hideMark/>
          </w:tcPr>
          <w:p w14:paraId="229E60B6"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Coordination meeting held the following morning</w:t>
            </w:r>
          </w:p>
        </w:tc>
        <w:tc>
          <w:tcPr>
            <w:tcW w:w="0" w:type="auto"/>
            <w:vAlign w:val="center"/>
            <w:hideMark/>
          </w:tcPr>
          <w:p w14:paraId="30F0D972" w14:textId="24D95758"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Slight Delay</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No structured command during first night</w:t>
            </w:r>
          </w:p>
        </w:tc>
      </w:tr>
      <w:tr w:rsidR="009D0DFF" w:rsidRPr="009407BA" w14:paraId="59F247C7" w14:textId="77777777" w:rsidTr="00BC3ABE">
        <w:trPr>
          <w:tblCellSpacing w:w="15" w:type="dxa"/>
        </w:trPr>
        <w:tc>
          <w:tcPr>
            <w:tcW w:w="0" w:type="auto"/>
            <w:vAlign w:val="center"/>
            <w:hideMark/>
          </w:tcPr>
          <w:p w14:paraId="076FC971"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lastRenderedPageBreak/>
              <w:t>Health Communication &amp; Education</w:t>
            </w:r>
          </w:p>
        </w:tc>
        <w:tc>
          <w:tcPr>
            <w:tcW w:w="0" w:type="auto"/>
            <w:vAlign w:val="center"/>
            <w:hideMark/>
          </w:tcPr>
          <w:p w14:paraId="668F9B29"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Within 24 hours</w:t>
            </w:r>
          </w:p>
        </w:tc>
        <w:tc>
          <w:tcPr>
            <w:tcW w:w="2712" w:type="dxa"/>
            <w:vAlign w:val="center"/>
            <w:hideMark/>
          </w:tcPr>
          <w:p w14:paraId="2E406D0E"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Health education launched between Day 1 and Day 2</w:t>
            </w:r>
          </w:p>
        </w:tc>
        <w:tc>
          <w:tcPr>
            <w:tcW w:w="0" w:type="auto"/>
            <w:vAlign w:val="center"/>
            <w:hideMark/>
          </w:tcPr>
          <w:p w14:paraId="78A480E8" w14:textId="1B9F082E"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Minor Delay</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Should accompany or precede clinical interventions</w:t>
            </w:r>
          </w:p>
        </w:tc>
      </w:tr>
      <w:tr w:rsidR="009D0DFF" w:rsidRPr="009407BA" w14:paraId="0D6CC30F" w14:textId="77777777" w:rsidTr="00BC3ABE">
        <w:trPr>
          <w:tblCellSpacing w:w="15" w:type="dxa"/>
        </w:trPr>
        <w:tc>
          <w:tcPr>
            <w:tcW w:w="0" w:type="auto"/>
            <w:vAlign w:val="center"/>
            <w:hideMark/>
          </w:tcPr>
          <w:p w14:paraId="3EB8951B"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Logistics &amp; Stockpiling</w:t>
            </w:r>
          </w:p>
        </w:tc>
        <w:tc>
          <w:tcPr>
            <w:tcW w:w="0" w:type="auto"/>
            <w:vAlign w:val="center"/>
            <w:hideMark/>
          </w:tcPr>
          <w:p w14:paraId="4A3CF14B"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Parallel with care (&lt;24 hours)</w:t>
            </w:r>
          </w:p>
        </w:tc>
        <w:tc>
          <w:tcPr>
            <w:tcW w:w="2712" w:type="dxa"/>
            <w:vAlign w:val="center"/>
            <w:hideMark/>
          </w:tcPr>
          <w:p w14:paraId="1F01A4D6"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Stockpiling delayed due to procurement bottlenecks</w:t>
            </w:r>
          </w:p>
        </w:tc>
        <w:tc>
          <w:tcPr>
            <w:tcW w:w="0" w:type="auto"/>
            <w:vAlign w:val="center"/>
            <w:hideMark/>
          </w:tcPr>
          <w:p w14:paraId="1D1D7060" w14:textId="105A213F"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Delayed</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 xml:space="preserve"> Highlights logistical readiness gaps</w:t>
            </w:r>
          </w:p>
        </w:tc>
      </w:tr>
      <w:tr w:rsidR="009D0DFF" w:rsidRPr="009407BA" w14:paraId="66522E71" w14:textId="77777777" w:rsidTr="00BC3ABE">
        <w:trPr>
          <w:tblCellSpacing w:w="15" w:type="dxa"/>
        </w:trPr>
        <w:tc>
          <w:tcPr>
            <w:tcW w:w="0" w:type="auto"/>
            <w:vAlign w:val="center"/>
            <w:hideMark/>
          </w:tcPr>
          <w:p w14:paraId="2083C20F"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Containment &amp; Control</w:t>
            </w:r>
          </w:p>
        </w:tc>
        <w:tc>
          <w:tcPr>
            <w:tcW w:w="0" w:type="auto"/>
            <w:vAlign w:val="center"/>
            <w:hideMark/>
          </w:tcPr>
          <w:p w14:paraId="79B88858"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Within 3–7 days</w:t>
            </w:r>
          </w:p>
        </w:tc>
        <w:tc>
          <w:tcPr>
            <w:tcW w:w="2712" w:type="dxa"/>
            <w:vAlign w:val="center"/>
            <w:hideMark/>
          </w:tcPr>
          <w:p w14:paraId="3753A270"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Full containment by Day 4</w:t>
            </w:r>
          </w:p>
        </w:tc>
        <w:tc>
          <w:tcPr>
            <w:tcW w:w="0" w:type="auto"/>
            <w:vAlign w:val="center"/>
            <w:hideMark/>
          </w:tcPr>
          <w:p w14:paraId="1E8B6FF1" w14:textId="55545DBA"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Effective</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Rapid, coordinated effort led to success</w:t>
            </w:r>
          </w:p>
        </w:tc>
      </w:tr>
      <w:tr w:rsidR="009D0DFF" w:rsidRPr="009407BA" w14:paraId="7D24C77A" w14:textId="77777777" w:rsidTr="00BC3ABE">
        <w:trPr>
          <w:tblCellSpacing w:w="15" w:type="dxa"/>
        </w:trPr>
        <w:tc>
          <w:tcPr>
            <w:tcW w:w="0" w:type="auto"/>
            <w:vAlign w:val="center"/>
            <w:hideMark/>
          </w:tcPr>
          <w:p w14:paraId="79CC803C" w14:textId="77777777" w:rsidR="0056245F" w:rsidRPr="009407BA" w:rsidRDefault="0056245F" w:rsidP="009D0DFF">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After-Action Reporting</w:t>
            </w:r>
          </w:p>
        </w:tc>
        <w:tc>
          <w:tcPr>
            <w:tcW w:w="0" w:type="auto"/>
            <w:vAlign w:val="center"/>
            <w:hideMark/>
          </w:tcPr>
          <w:p w14:paraId="3560802C" w14:textId="77777777" w:rsidR="0056245F" w:rsidRPr="009407BA" w:rsidRDefault="0056245F" w:rsidP="009D0DFF">
            <w:pPr>
              <w:ind w:left="3"/>
              <w:jc w:val="left"/>
              <w:rPr>
                <w:rFonts w:ascii="Times New Roman" w:hAnsi="Times New Roman" w:cs="Times New Roman"/>
                <w:sz w:val="24"/>
                <w:szCs w:val="24"/>
              </w:rPr>
            </w:pPr>
            <w:r w:rsidRPr="009407BA">
              <w:rPr>
                <w:rFonts w:ascii="Times New Roman" w:hAnsi="Times New Roman" w:cs="Times New Roman"/>
                <w:sz w:val="24"/>
                <w:szCs w:val="24"/>
              </w:rPr>
              <w:t>Within 1–4 weeks post-outbreak</w:t>
            </w:r>
          </w:p>
        </w:tc>
        <w:tc>
          <w:tcPr>
            <w:tcW w:w="2712" w:type="dxa"/>
            <w:vAlign w:val="center"/>
            <w:hideMark/>
          </w:tcPr>
          <w:p w14:paraId="5221F3EC" w14:textId="77777777" w:rsidR="0056245F" w:rsidRPr="009407BA" w:rsidRDefault="0056245F" w:rsidP="00BC3ABE">
            <w:pPr>
              <w:ind w:left="0"/>
              <w:jc w:val="left"/>
              <w:rPr>
                <w:rFonts w:ascii="Times New Roman" w:hAnsi="Times New Roman" w:cs="Times New Roman"/>
                <w:sz w:val="24"/>
                <w:szCs w:val="24"/>
              </w:rPr>
            </w:pPr>
            <w:r w:rsidRPr="009407BA">
              <w:rPr>
                <w:rFonts w:ascii="Times New Roman" w:hAnsi="Times New Roman" w:cs="Times New Roman"/>
                <w:sz w:val="24"/>
                <w:szCs w:val="24"/>
              </w:rPr>
              <w:t>Internal AAR timely; formal study delayed by 1 year</w:t>
            </w:r>
          </w:p>
        </w:tc>
        <w:tc>
          <w:tcPr>
            <w:tcW w:w="0" w:type="auto"/>
            <w:vAlign w:val="center"/>
            <w:hideMark/>
          </w:tcPr>
          <w:p w14:paraId="7B9779B3" w14:textId="285EEAE6" w:rsidR="0056245F" w:rsidRPr="009407BA" w:rsidRDefault="0056245F" w:rsidP="00BC3ABE">
            <w:pPr>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Mixed</w:t>
            </w:r>
            <w:r w:rsidR="009D0DFF" w:rsidRPr="009407BA">
              <w:rPr>
                <w:rFonts w:ascii="Times New Roman" w:hAnsi="Times New Roman" w:cs="Times New Roman"/>
                <w:sz w:val="24"/>
                <w:szCs w:val="24"/>
              </w:rPr>
              <w:t xml:space="preserve">: </w:t>
            </w:r>
            <w:r w:rsidRPr="009407BA">
              <w:rPr>
                <w:rFonts w:ascii="Times New Roman" w:hAnsi="Times New Roman" w:cs="Times New Roman"/>
                <w:sz w:val="24"/>
                <w:szCs w:val="24"/>
              </w:rPr>
              <w:t>Recall bias possible due to late evaluation</w:t>
            </w:r>
          </w:p>
        </w:tc>
      </w:tr>
      <w:tr w:rsidR="009D0DFF" w:rsidRPr="009407BA" w14:paraId="047D3223" w14:textId="77777777" w:rsidTr="00BC3ABE">
        <w:trPr>
          <w:tblCellSpacing w:w="15" w:type="dxa"/>
        </w:trPr>
        <w:tc>
          <w:tcPr>
            <w:tcW w:w="0" w:type="auto"/>
            <w:tcBorders>
              <w:bottom w:val="single" w:sz="4" w:space="0" w:color="auto"/>
            </w:tcBorders>
            <w:vAlign w:val="center"/>
            <w:hideMark/>
          </w:tcPr>
          <w:p w14:paraId="0705927A" w14:textId="77777777" w:rsidR="0056245F" w:rsidRPr="009407BA" w:rsidRDefault="0056245F" w:rsidP="004F2C45">
            <w:pPr>
              <w:spacing w:after="0"/>
              <w:ind w:left="0"/>
              <w:rPr>
                <w:rFonts w:ascii="Times New Roman" w:hAnsi="Times New Roman" w:cs="Times New Roman"/>
                <w:sz w:val="24"/>
                <w:szCs w:val="24"/>
              </w:rPr>
            </w:pPr>
            <w:r w:rsidRPr="009407BA">
              <w:rPr>
                <w:rStyle w:val="Strong"/>
                <w:rFonts w:ascii="Times New Roman" w:hAnsi="Times New Roman" w:cs="Times New Roman"/>
                <w:sz w:val="24"/>
                <w:szCs w:val="24"/>
              </w:rPr>
              <w:t>Coordination with Health Authorities</w:t>
            </w:r>
          </w:p>
        </w:tc>
        <w:tc>
          <w:tcPr>
            <w:tcW w:w="0" w:type="auto"/>
            <w:tcBorders>
              <w:bottom w:val="single" w:sz="4" w:space="0" w:color="auto"/>
            </w:tcBorders>
            <w:vAlign w:val="center"/>
            <w:hideMark/>
          </w:tcPr>
          <w:p w14:paraId="7BD10F3C" w14:textId="77777777" w:rsidR="0056245F" w:rsidRPr="009407BA" w:rsidRDefault="0056245F" w:rsidP="004F2C45">
            <w:pPr>
              <w:spacing w:after="0"/>
              <w:ind w:left="3"/>
              <w:rPr>
                <w:rFonts w:ascii="Times New Roman" w:hAnsi="Times New Roman" w:cs="Times New Roman"/>
                <w:sz w:val="24"/>
                <w:szCs w:val="24"/>
              </w:rPr>
            </w:pPr>
            <w:r w:rsidRPr="009407BA">
              <w:rPr>
                <w:rFonts w:ascii="Times New Roman" w:hAnsi="Times New Roman" w:cs="Times New Roman"/>
                <w:sz w:val="24"/>
                <w:szCs w:val="24"/>
              </w:rPr>
              <w:t>Within 24 hours</w:t>
            </w:r>
          </w:p>
        </w:tc>
        <w:tc>
          <w:tcPr>
            <w:tcW w:w="2712" w:type="dxa"/>
            <w:tcBorders>
              <w:bottom w:val="single" w:sz="4" w:space="0" w:color="auto"/>
            </w:tcBorders>
            <w:vAlign w:val="center"/>
            <w:hideMark/>
          </w:tcPr>
          <w:p w14:paraId="1E42647D" w14:textId="77777777" w:rsidR="0056245F" w:rsidRPr="009407BA" w:rsidRDefault="0056245F" w:rsidP="00BC3ABE">
            <w:pPr>
              <w:spacing w:after="0"/>
              <w:ind w:left="0"/>
              <w:jc w:val="left"/>
              <w:rPr>
                <w:rFonts w:ascii="Times New Roman" w:hAnsi="Times New Roman" w:cs="Times New Roman"/>
                <w:sz w:val="24"/>
                <w:szCs w:val="24"/>
              </w:rPr>
            </w:pPr>
            <w:r w:rsidRPr="009407BA">
              <w:rPr>
                <w:rFonts w:ascii="Times New Roman" w:hAnsi="Times New Roman" w:cs="Times New Roman"/>
                <w:sz w:val="24"/>
                <w:szCs w:val="24"/>
              </w:rPr>
              <w:t>DHMT informed; no FDA report received after 1 year</w:t>
            </w:r>
          </w:p>
        </w:tc>
        <w:tc>
          <w:tcPr>
            <w:tcW w:w="0" w:type="auto"/>
            <w:tcBorders>
              <w:bottom w:val="single" w:sz="4" w:space="0" w:color="auto"/>
            </w:tcBorders>
            <w:vAlign w:val="center"/>
            <w:hideMark/>
          </w:tcPr>
          <w:p w14:paraId="7415D444" w14:textId="62B91A7D" w:rsidR="0056245F" w:rsidRPr="009407BA" w:rsidRDefault="0056245F" w:rsidP="00BC3ABE">
            <w:pPr>
              <w:spacing w:after="0"/>
              <w:ind w:left="0"/>
              <w:jc w:val="left"/>
              <w:rPr>
                <w:rFonts w:ascii="Times New Roman" w:hAnsi="Times New Roman" w:cs="Times New Roman"/>
                <w:sz w:val="24"/>
                <w:szCs w:val="24"/>
              </w:rPr>
            </w:pPr>
            <w:r w:rsidRPr="009407BA">
              <w:rPr>
                <w:rStyle w:val="Strong"/>
                <w:rFonts w:ascii="Times New Roman" w:hAnsi="Times New Roman" w:cs="Times New Roman"/>
                <w:sz w:val="24"/>
                <w:szCs w:val="24"/>
              </w:rPr>
              <w:t>Weak</w:t>
            </w:r>
            <w:r w:rsidR="009D0DFF" w:rsidRPr="009407BA">
              <w:rPr>
                <w:rFonts w:ascii="Times New Roman" w:hAnsi="Times New Roman" w:cs="Times New Roman"/>
                <w:sz w:val="24"/>
                <w:szCs w:val="24"/>
              </w:rPr>
              <w:t>:</w:t>
            </w:r>
            <w:r w:rsidRPr="009407BA">
              <w:rPr>
                <w:rFonts w:ascii="Times New Roman" w:hAnsi="Times New Roman" w:cs="Times New Roman"/>
                <w:sz w:val="24"/>
                <w:szCs w:val="24"/>
              </w:rPr>
              <w:t xml:space="preserve"> External accountability and lab confirmation lacking</w:t>
            </w:r>
          </w:p>
        </w:tc>
      </w:tr>
    </w:tbl>
    <w:p w14:paraId="51F91EE3" w14:textId="723A1B67" w:rsidR="0056245F" w:rsidRPr="009407BA" w:rsidRDefault="0056245F" w:rsidP="004F2C45">
      <w:pPr>
        <w:spacing w:after="0"/>
        <w:rPr>
          <w:rFonts w:ascii="Times New Roman" w:hAnsi="Times New Roman" w:cs="Times New Roman"/>
          <w:sz w:val="24"/>
          <w:szCs w:val="24"/>
        </w:rPr>
      </w:pPr>
    </w:p>
    <w:p w14:paraId="5D22D0D1" w14:textId="055AB75D" w:rsidR="0056245F" w:rsidRPr="009407BA" w:rsidRDefault="00D13FC7" w:rsidP="004F2C45">
      <w:pPr>
        <w:pStyle w:val="NormalWeb"/>
        <w:spacing w:before="0" w:beforeAutospacing="0" w:after="0" w:afterAutospacing="0"/>
        <w:jc w:val="both"/>
      </w:pPr>
      <w:r>
        <w:t>As Table 4</w:t>
      </w:r>
      <w:r w:rsidR="004F2C45">
        <w:t xml:space="preserve"> demonstrates, although the college’s initial detection, triage, and containment efforts met or surpassed global standards, certain stages such as logistical readiness, health communication, and coordination with health authorities experienced avoidable delays. These delays reflect broader systemic challenges faced by many institutions in low-resource settings.</w:t>
      </w:r>
    </w:p>
    <w:p w14:paraId="1BB1C06A" w14:textId="5634F90B" w:rsidR="0056245F" w:rsidRPr="009407BA" w:rsidRDefault="0056245F" w:rsidP="004F2C45">
      <w:pPr>
        <w:pStyle w:val="NormalWeb"/>
        <w:spacing w:before="0" w:beforeAutospacing="0" w:after="0" w:afterAutospacing="0"/>
        <w:jc w:val="both"/>
      </w:pPr>
      <w:r w:rsidRPr="009407BA">
        <w:t>The issue of the relevance of</w:t>
      </w:r>
      <w:r w:rsidR="00542BB2" w:rsidRPr="009407BA">
        <w:t xml:space="preserve"> the college's response efforts </w:t>
      </w:r>
      <w:r w:rsidRPr="009407BA">
        <w:t>such as health education, emergency planning, clinical investigations and referrals, mitigation practice</w:t>
      </w:r>
      <w:r w:rsidR="00542BB2" w:rsidRPr="009407BA">
        <w:t xml:space="preserve">s, and availability of supplies </w:t>
      </w:r>
      <w:r w:rsidRPr="009407BA">
        <w:t>is notable. These actions align with WHO protocols for community emergency care (WHO, 2018; Rural Health Information Hub, 2022), and Ghanaian health blueprints including the Ministry of Health's Accident and Emergency Services Policy (2016), National Health Policy (2020), and Ghana's School Health Policy (WASH Ghana, 2024).</w:t>
      </w:r>
    </w:p>
    <w:p w14:paraId="0D2F57DC" w14:textId="77777777" w:rsidR="0056245F" w:rsidRPr="009407BA" w:rsidRDefault="0056245F" w:rsidP="004F2C45">
      <w:pPr>
        <w:pStyle w:val="NormalWeb"/>
        <w:spacing w:before="0" w:beforeAutospacing="0" w:after="0" w:afterAutospacing="0"/>
        <w:jc w:val="both"/>
      </w:pPr>
      <w:r w:rsidRPr="009407BA">
        <w:t xml:space="preserve">While the college successfully restored student health and well-being within four days, implementation challenges were evident. These included the time-consuming nature of planning meetings, delayed PPE procurement, and communication lapses between stakeholders. These must be addressed to strengthen emergency preparedness and are consistent with findings from </w:t>
      </w:r>
      <w:proofErr w:type="spellStart"/>
      <w:r w:rsidRPr="009407BA">
        <w:t>Zanello</w:t>
      </w:r>
      <w:proofErr w:type="spellEnd"/>
      <w:r w:rsidRPr="009407BA">
        <w:t xml:space="preserve"> et al. (2015).</w:t>
      </w:r>
    </w:p>
    <w:p w14:paraId="6C4A52FC" w14:textId="245E813A" w:rsidR="0056245F" w:rsidRPr="009407BA" w:rsidRDefault="0056245F" w:rsidP="004F2C45">
      <w:pPr>
        <w:pStyle w:val="NormalWeb"/>
        <w:spacing w:before="0" w:beforeAutospacing="0" w:after="0" w:afterAutospacing="0"/>
        <w:jc w:val="both"/>
      </w:pPr>
      <w:r w:rsidRPr="009407BA">
        <w:t>F</w:t>
      </w:r>
      <w:r w:rsidR="00B63528" w:rsidRPr="009407BA">
        <w:t xml:space="preserve">inally, the study’s limitations </w:t>
      </w:r>
      <w:r w:rsidRPr="009407BA">
        <w:t>such as recall bias and the lack of microbiological confirmation due to weak coordination with external health agencies</w:t>
      </w:r>
      <w:r w:rsidR="006C6F1B" w:rsidRPr="009407BA">
        <w:t xml:space="preserve">, </w:t>
      </w:r>
      <w:r w:rsidRPr="009407BA">
        <w:t>must be acknowledged. Although emergency care was effective, institutional learning and system-wide improvements require formal protocols, timely documentation, and reliable reporting pathways to external agencies like the FDA and DHMT.</w:t>
      </w:r>
    </w:p>
    <w:p w14:paraId="41F30E79" w14:textId="4A1E654B" w:rsidR="00806EA8" w:rsidRPr="009407BA" w:rsidRDefault="00806EA8" w:rsidP="004F2C45">
      <w:pPr>
        <w:pStyle w:val="NormalWeb"/>
        <w:spacing w:before="0" w:beforeAutospacing="0" w:after="0" w:afterAutospacing="0"/>
        <w:jc w:val="both"/>
      </w:pPr>
    </w:p>
    <w:p w14:paraId="247F2282" w14:textId="77777777" w:rsidR="00806EA8" w:rsidRPr="009407BA" w:rsidRDefault="005E353C" w:rsidP="004F2C45">
      <w:pPr>
        <w:pStyle w:val="Heading2"/>
        <w:ind w:left="0"/>
        <w:jc w:val="both"/>
        <w:rPr>
          <w:rFonts w:ascii="Times New Roman" w:hAnsi="Times New Roman" w:cs="Times New Roman"/>
          <w:sz w:val="24"/>
          <w:szCs w:val="24"/>
        </w:rPr>
      </w:pPr>
      <w:r w:rsidRPr="009407BA">
        <w:rPr>
          <w:rFonts w:ascii="Times New Roman" w:hAnsi="Times New Roman" w:cs="Times New Roman"/>
          <w:sz w:val="24"/>
          <w:szCs w:val="24"/>
        </w:rPr>
        <w:t xml:space="preserve">6. Conclusion and Recommendation </w:t>
      </w:r>
    </w:p>
    <w:p w14:paraId="60CDD174" w14:textId="77777777" w:rsidR="009407BA" w:rsidRPr="009407BA" w:rsidRDefault="009407BA" w:rsidP="004F2C45">
      <w:pPr>
        <w:pStyle w:val="NormalWeb"/>
        <w:spacing w:before="0" w:beforeAutospacing="0" w:after="0" w:afterAutospacing="0"/>
        <w:jc w:val="both"/>
      </w:pPr>
      <w:r w:rsidRPr="009407BA">
        <w:t>This study examined a real-time institutional response to a foodborne disease outbreak in a teacher training college in Ghana. The findings demonstrate that early detection, prompt clinical care, and coordinated internal stakeholder engagement contributed significantly to containing the outbreak within four days without any fatalities. The college nurse and supporting personnel played key roles in triage, referral, and care coordination, confirming the value of well-functioning internal gatekeepers in low-resource academic environments.</w:t>
      </w:r>
    </w:p>
    <w:p w14:paraId="52E9484D" w14:textId="77777777" w:rsidR="009407BA" w:rsidRPr="009407BA" w:rsidRDefault="009407BA" w:rsidP="004F2C45">
      <w:pPr>
        <w:pStyle w:val="NormalWeb"/>
        <w:spacing w:before="0" w:beforeAutospacing="0" w:after="0" w:afterAutospacing="0"/>
        <w:jc w:val="both"/>
      </w:pPr>
      <w:r w:rsidRPr="009407BA">
        <w:t xml:space="preserve">However, analysis of the response against international emergency standards revealed delays in health communication, logistics, and coordination with external health authorities such as the </w:t>
      </w:r>
      <w:r w:rsidRPr="009407BA">
        <w:lastRenderedPageBreak/>
        <w:t>DHMT and FDA. The absence of formal reports and laboratory confirmation of the etiologic agent represents a critical gap in surveillance, limiting the accuracy of outbreak documentation and future preparedness.</w:t>
      </w:r>
    </w:p>
    <w:p w14:paraId="5A8780CC" w14:textId="11FC64C7" w:rsidR="009407BA" w:rsidRPr="009407BA" w:rsidRDefault="009407BA" w:rsidP="004F2C45">
      <w:pPr>
        <w:pStyle w:val="NormalWeb"/>
        <w:spacing w:before="0" w:beforeAutospacing="0" w:after="0" w:afterAutospacing="0"/>
        <w:jc w:val="both"/>
      </w:pPr>
      <w:r w:rsidRPr="009407BA">
        <w:t>Also, demographic analysis showed that females and students aged 20–25 were disproportionately affected. These findings emphasize the need for age- and gender-sensitive emergency response strategies in academic institutions.</w:t>
      </w:r>
    </w:p>
    <w:p w14:paraId="25E27845" w14:textId="372AA046" w:rsidR="009407BA" w:rsidRPr="009407BA" w:rsidRDefault="009407BA" w:rsidP="004F2C45">
      <w:pPr>
        <w:pStyle w:val="NormalWeb"/>
        <w:spacing w:before="0" w:beforeAutospacing="0" w:after="0" w:afterAutospacing="0"/>
        <w:jc w:val="both"/>
      </w:pPr>
      <w:r w:rsidRPr="009407BA">
        <w:t>While the outbreak was successfully contained, the incident underscores the need for improved institutional protocols, real-time documentation, regular simulation exercises, and stronger links with district and regional health directorates to ensure evidence-based, timely, and efficient emergency responses in the future. Based on the study findings and analysis, the following recommendations are proposed:</w:t>
      </w:r>
    </w:p>
    <w:p w14:paraId="7C2CB951" w14:textId="77777777"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Institutional Emergency Plans</w:t>
      </w:r>
      <w:r w:rsidRPr="009407BA">
        <w:t>: Colleges should establish and routinely update formal emergency response protocols, including clearly defined roles for internal stakeholders and a structured coordination framework aligned with WHO and national guidelines.</w:t>
      </w:r>
    </w:p>
    <w:p w14:paraId="5ACE58DA" w14:textId="77777777"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Prepositioning of Supplies</w:t>
      </w:r>
      <w:r w:rsidRPr="009407BA">
        <w:t>: Colleges must maintain an emergency stockpile of PPEs, first aid materials, and basic diagnostic tools to ensure readiness during foodborne or other public health emergencies.</w:t>
      </w:r>
    </w:p>
    <w:p w14:paraId="393389EC" w14:textId="77777777"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Training and Simulation</w:t>
      </w:r>
      <w:r w:rsidRPr="009407BA">
        <w:t>: Routine emergency drills and simulations should be conducted, including students and nonclinical staff, to build institutional capacity for early response and coordination.</w:t>
      </w:r>
    </w:p>
    <w:p w14:paraId="093EFDB3" w14:textId="77777777"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Strengthen Health Authority Engagement</w:t>
      </w:r>
      <w:r w:rsidRPr="009407BA">
        <w:t>: Colleges must formalize collaboration with district and regional health directorates to ensure timely reporting, access to laboratory testing, and improved epidemiological support during future outbreaks.</w:t>
      </w:r>
    </w:p>
    <w:p w14:paraId="50978322" w14:textId="77777777"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Enhance Surveillance and Documentation</w:t>
      </w:r>
      <w:r w:rsidRPr="009407BA">
        <w:t>: Immediate post-outbreak documentation and submission of After-Action Reports (AARs) should be prioritized to reduce recall bias and support institutional learning.</w:t>
      </w:r>
    </w:p>
    <w:p w14:paraId="5F8E97A6" w14:textId="2C0E7711" w:rsidR="009407BA" w:rsidRPr="009407BA" w:rsidRDefault="009407BA" w:rsidP="004F2C45">
      <w:pPr>
        <w:pStyle w:val="NormalWeb"/>
        <w:numPr>
          <w:ilvl w:val="0"/>
          <w:numId w:val="5"/>
        </w:numPr>
        <w:spacing w:before="0" w:beforeAutospacing="0" w:after="0" w:afterAutospacing="0"/>
        <w:jc w:val="both"/>
      </w:pPr>
      <w:r w:rsidRPr="009407BA">
        <w:rPr>
          <w:rStyle w:val="Strong"/>
          <w:rFonts w:eastAsia="Arial"/>
        </w:rPr>
        <w:t>Targeted Health Education</w:t>
      </w:r>
      <w:r w:rsidRPr="009407BA">
        <w:t>: Outbreak prevention strategies should be customized to the most affected demographic groups</w:t>
      </w:r>
      <w:r w:rsidR="00BC3ABE">
        <w:t>,</w:t>
      </w:r>
      <w:r w:rsidRPr="009407BA">
        <w:t xml:space="preserve"> particularly females and students aged 20–25 years</w:t>
      </w:r>
      <w:r w:rsidR="00BC3ABE">
        <w:t>,</w:t>
      </w:r>
      <w:r w:rsidRPr="009407BA">
        <w:t xml:space="preserve"> as identified in this study.</w:t>
      </w:r>
    </w:p>
    <w:p w14:paraId="7C5CB582" w14:textId="77777777" w:rsidR="009407BA" w:rsidRPr="009407BA" w:rsidRDefault="009407BA" w:rsidP="004F2C45">
      <w:pPr>
        <w:pStyle w:val="NormalWeb"/>
        <w:spacing w:before="0" w:beforeAutospacing="0" w:after="0" w:afterAutospacing="0"/>
        <w:jc w:val="both"/>
      </w:pPr>
      <w:r w:rsidRPr="009407BA">
        <w:t>By implementing these recommendations, academic institutions will be better positioned to prevent, detect, and respond effectively to public health emergencies, thus safeguarding student welfare and contributing to broader public health resilience.</w:t>
      </w:r>
    </w:p>
    <w:p w14:paraId="6D2DD1CD" w14:textId="77777777" w:rsidR="00806EA8" w:rsidRPr="009407BA" w:rsidRDefault="005E353C" w:rsidP="004F2C45">
      <w:pPr>
        <w:spacing w:after="0" w:line="259" w:lineRule="auto"/>
        <w:ind w:left="0" w:right="0" w:firstLine="0"/>
        <w:rPr>
          <w:rFonts w:ascii="Times New Roman" w:hAnsi="Times New Roman" w:cs="Times New Roman"/>
          <w:sz w:val="24"/>
          <w:szCs w:val="24"/>
        </w:rPr>
      </w:pPr>
      <w:r w:rsidRPr="009407BA">
        <w:rPr>
          <w:rFonts w:ascii="Times New Roman" w:hAnsi="Times New Roman" w:cs="Times New Roman"/>
          <w:sz w:val="24"/>
          <w:szCs w:val="24"/>
        </w:rPr>
        <w:t xml:space="preserve"> </w:t>
      </w:r>
    </w:p>
    <w:p w14:paraId="11D68589" w14:textId="56A876D4" w:rsidR="00806EA8" w:rsidRPr="009407BA" w:rsidRDefault="005E353C" w:rsidP="004F2C45">
      <w:pPr>
        <w:pStyle w:val="Heading2"/>
        <w:ind w:left="0"/>
        <w:jc w:val="both"/>
        <w:rPr>
          <w:rFonts w:ascii="Times New Roman" w:hAnsi="Times New Roman" w:cs="Times New Roman"/>
          <w:sz w:val="24"/>
          <w:szCs w:val="24"/>
        </w:rPr>
      </w:pPr>
      <w:r w:rsidRPr="009407BA">
        <w:rPr>
          <w:rFonts w:ascii="Times New Roman" w:hAnsi="Times New Roman" w:cs="Times New Roman"/>
          <w:sz w:val="24"/>
          <w:szCs w:val="24"/>
        </w:rPr>
        <w:t xml:space="preserve"> Abbreviations </w:t>
      </w:r>
    </w:p>
    <w:p w14:paraId="6DCD8726" w14:textId="77777777" w:rsidR="00806EA8" w:rsidRPr="009407BA" w:rsidRDefault="005E353C" w:rsidP="00153890">
      <w:pPr>
        <w:ind w:left="0" w:right="0"/>
        <w:rPr>
          <w:rFonts w:ascii="Times New Roman" w:hAnsi="Times New Roman" w:cs="Times New Roman"/>
          <w:sz w:val="24"/>
          <w:szCs w:val="24"/>
        </w:rPr>
      </w:pPr>
      <w:r w:rsidRPr="009407BA">
        <w:rPr>
          <w:rFonts w:ascii="Times New Roman" w:hAnsi="Times New Roman" w:cs="Times New Roman"/>
          <w:b/>
          <w:sz w:val="24"/>
          <w:szCs w:val="24"/>
        </w:rPr>
        <w:t>AAR</w:t>
      </w:r>
      <w:r w:rsidRPr="009407BA">
        <w:rPr>
          <w:rFonts w:ascii="Times New Roman" w:hAnsi="Times New Roman" w:cs="Times New Roman"/>
          <w:sz w:val="24"/>
          <w:szCs w:val="24"/>
        </w:rPr>
        <w:t xml:space="preserve">, After Action Report; </w:t>
      </w:r>
      <w:r w:rsidRPr="009407BA">
        <w:rPr>
          <w:rFonts w:ascii="Times New Roman" w:hAnsi="Times New Roman" w:cs="Times New Roman"/>
          <w:b/>
          <w:sz w:val="24"/>
          <w:szCs w:val="24"/>
        </w:rPr>
        <w:t>DAC</w:t>
      </w:r>
      <w:r w:rsidRPr="009407BA">
        <w:rPr>
          <w:rFonts w:ascii="Times New Roman" w:hAnsi="Times New Roman" w:cs="Times New Roman"/>
          <w:sz w:val="24"/>
          <w:szCs w:val="24"/>
        </w:rPr>
        <w:t xml:space="preserve">, Development Assistant Committee; </w:t>
      </w:r>
      <w:r w:rsidRPr="009407BA">
        <w:rPr>
          <w:rFonts w:ascii="Times New Roman" w:hAnsi="Times New Roman" w:cs="Times New Roman"/>
          <w:b/>
          <w:sz w:val="24"/>
          <w:szCs w:val="24"/>
        </w:rPr>
        <w:t>DHMT</w:t>
      </w:r>
      <w:r w:rsidRPr="009407BA">
        <w:rPr>
          <w:rFonts w:ascii="Times New Roman" w:hAnsi="Times New Roman" w:cs="Times New Roman"/>
          <w:sz w:val="24"/>
          <w:szCs w:val="24"/>
        </w:rPr>
        <w:t xml:space="preserve">, District Management Team; FDA, Food and Drugs Authority; </w:t>
      </w:r>
      <w:r w:rsidRPr="009407BA">
        <w:rPr>
          <w:rFonts w:ascii="Times New Roman" w:hAnsi="Times New Roman" w:cs="Times New Roman"/>
          <w:b/>
          <w:sz w:val="24"/>
          <w:szCs w:val="24"/>
        </w:rPr>
        <w:t>GTEC,</w:t>
      </w:r>
      <w:r w:rsidRPr="009407BA">
        <w:rPr>
          <w:rFonts w:ascii="Times New Roman" w:hAnsi="Times New Roman" w:cs="Times New Roman"/>
          <w:sz w:val="24"/>
          <w:szCs w:val="24"/>
        </w:rPr>
        <w:t xml:space="preserve"> Ghana Tertiary Education Commission; </w:t>
      </w:r>
      <w:r w:rsidRPr="009407BA">
        <w:rPr>
          <w:rFonts w:ascii="Times New Roman" w:hAnsi="Times New Roman" w:cs="Times New Roman"/>
          <w:b/>
          <w:sz w:val="24"/>
          <w:szCs w:val="24"/>
        </w:rPr>
        <w:t>MOE</w:t>
      </w:r>
      <w:r w:rsidRPr="009407BA">
        <w:rPr>
          <w:rFonts w:ascii="Times New Roman" w:hAnsi="Times New Roman" w:cs="Times New Roman"/>
          <w:sz w:val="24"/>
          <w:szCs w:val="24"/>
        </w:rPr>
        <w:t xml:space="preserve">, Ministry of Education; </w:t>
      </w:r>
      <w:r w:rsidRPr="009407BA">
        <w:rPr>
          <w:rFonts w:ascii="Times New Roman" w:hAnsi="Times New Roman" w:cs="Times New Roman"/>
          <w:b/>
          <w:sz w:val="24"/>
          <w:szCs w:val="24"/>
        </w:rPr>
        <w:t>OECD</w:t>
      </w:r>
      <w:r w:rsidRPr="009407BA">
        <w:rPr>
          <w:rFonts w:ascii="Times New Roman" w:hAnsi="Times New Roman" w:cs="Times New Roman"/>
          <w:sz w:val="24"/>
          <w:szCs w:val="24"/>
        </w:rPr>
        <w:t xml:space="preserve">, Organization of Economic Co-operation and Development; </w:t>
      </w:r>
      <w:r w:rsidRPr="009407BA">
        <w:rPr>
          <w:rFonts w:ascii="Times New Roman" w:hAnsi="Times New Roman" w:cs="Times New Roman"/>
          <w:b/>
          <w:sz w:val="24"/>
          <w:szCs w:val="24"/>
        </w:rPr>
        <w:t>SRC,</w:t>
      </w:r>
      <w:r w:rsidRPr="009407BA">
        <w:rPr>
          <w:rFonts w:ascii="Times New Roman" w:hAnsi="Times New Roman" w:cs="Times New Roman"/>
          <w:sz w:val="24"/>
          <w:szCs w:val="24"/>
        </w:rPr>
        <w:t xml:space="preserve"> Students Representative Council; </w:t>
      </w:r>
      <w:r w:rsidRPr="009407BA">
        <w:rPr>
          <w:rFonts w:ascii="Times New Roman" w:hAnsi="Times New Roman" w:cs="Times New Roman"/>
          <w:b/>
          <w:sz w:val="24"/>
          <w:szCs w:val="24"/>
        </w:rPr>
        <w:t>UNHCR,</w:t>
      </w:r>
      <w:r w:rsidRPr="009407BA">
        <w:rPr>
          <w:rFonts w:ascii="Times New Roman" w:hAnsi="Times New Roman" w:cs="Times New Roman"/>
          <w:sz w:val="24"/>
          <w:szCs w:val="24"/>
        </w:rPr>
        <w:t xml:space="preserve"> United Nations High Commissioner for Refugees; </w:t>
      </w:r>
      <w:r w:rsidRPr="009407BA">
        <w:rPr>
          <w:rFonts w:ascii="Times New Roman" w:hAnsi="Times New Roman" w:cs="Times New Roman"/>
          <w:b/>
          <w:sz w:val="24"/>
          <w:szCs w:val="24"/>
        </w:rPr>
        <w:t>WHO</w:t>
      </w:r>
      <w:r w:rsidRPr="009407BA">
        <w:rPr>
          <w:rFonts w:ascii="Times New Roman" w:hAnsi="Times New Roman" w:cs="Times New Roman"/>
          <w:sz w:val="24"/>
          <w:szCs w:val="24"/>
        </w:rPr>
        <w:t xml:space="preserve">, World Health Organization;  </w:t>
      </w:r>
    </w:p>
    <w:p w14:paraId="00C6A75B" w14:textId="77777777" w:rsidR="00806EA8" w:rsidRPr="009407BA" w:rsidRDefault="005E353C" w:rsidP="00153890">
      <w:pPr>
        <w:spacing w:after="2" w:line="259" w:lineRule="auto"/>
        <w:ind w:left="0" w:right="0" w:firstLine="0"/>
        <w:jc w:val="left"/>
        <w:rPr>
          <w:rFonts w:ascii="Times New Roman" w:hAnsi="Times New Roman" w:cs="Times New Roman"/>
          <w:sz w:val="24"/>
          <w:szCs w:val="24"/>
        </w:rPr>
      </w:pPr>
      <w:r w:rsidRPr="009407BA">
        <w:rPr>
          <w:rFonts w:ascii="Times New Roman" w:hAnsi="Times New Roman" w:cs="Times New Roman"/>
          <w:sz w:val="24"/>
          <w:szCs w:val="24"/>
        </w:rPr>
        <w:t xml:space="preserve"> </w:t>
      </w:r>
    </w:p>
    <w:p w14:paraId="19D2A5A4" w14:textId="439D8049" w:rsidR="00806EA8" w:rsidRPr="009407BA" w:rsidRDefault="00806EA8" w:rsidP="00153890">
      <w:pPr>
        <w:spacing w:after="3" w:line="259" w:lineRule="auto"/>
        <w:ind w:left="0" w:right="0" w:firstLine="0"/>
        <w:jc w:val="left"/>
        <w:rPr>
          <w:rFonts w:ascii="Times New Roman" w:hAnsi="Times New Roman" w:cs="Times New Roman"/>
          <w:sz w:val="24"/>
          <w:szCs w:val="24"/>
        </w:rPr>
      </w:pPr>
    </w:p>
    <w:p w14:paraId="41294D8F" w14:textId="109F3BD0" w:rsidR="00806EA8" w:rsidRPr="009407BA" w:rsidRDefault="005E353C" w:rsidP="00153890">
      <w:pPr>
        <w:pStyle w:val="Heading2"/>
        <w:ind w:left="0"/>
        <w:rPr>
          <w:rFonts w:ascii="Times New Roman" w:hAnsi="Times New Roman" w:cs="Times New Roman"/>
          <w:sz w:val="24"/>
          <w:szCs w:val="24"/>
        </w:rPr>
      </w:pPr>
      <w:r w:rsidRPr="009407BA">
        <w:rPr>
          <w:rFonts w:ascii="Times New Roman" w:hAnsi="Times New Roman" w:cs="Times New Roman"/>
          <w:sz w:val="24"/>
          <w:szCs w:val="24"/>
        </w:rPr>
        <w:t xml:space="preserve"> Ethical approval and consent</w:t>
      </w:r>
    </w:p>
    <w:p w14:paraId="1BC86398" w14:textId="00AA37D5" w:rsidR="004051A5" w:rsidRPr="009407BA" w:rsidRDefault="005E353C" w:rsidP="00762C49">
      <w:pPr>
        <w:ind w:left="0" w:right="0"/>
        <w:rPr>
          <w:rFonts w:ascii="Times New Roman" w:hAnsi="Times New Roman" w:cs="Times New Roman"/>
          <w:sz w:val="24"/>
          <w:szCs w:val="24"/>
        </w:rPr>
      </w:pPr>
      <w:r w:rsidRPr="009407BA">
        <w:rPr>
          <w:rFonts w:ascii="Times New Roman" w:hAnsi="Times New Roman" w:cs="Times New Roman"/>
          <w:sz w:val="24"/>
          <w:szCs w:val="24"/>
        </w:rPr>
        <w:t xml:space="preserve">Approval for the evaluation of the response efforts was given by the </w:t>
      </w:r>
      <w:proofErr w:type="spellStart"/>
      <w:r w:rsidRPr="009407BA">
        <w:rPr>
          <w:rFonts w:ascii="Times New Roman" w:hAnsi="Times New Roman" w:cs="Times New Roman"/>
          <w:sz w:val="24"/>
          <w:szCs w:val="24"/>
        </w:rPr>
        <w:t>Akuapem</w:t>
      </w:r>
      <w:proofErr w:type="spellEnd"/>
      <w:r w:rsidRPr="009407BA">
        <w:rPr>
          <w:rFonts w:ascii="Times New Roman" w:hAnsi="Times New Roman" w:cs="Times New Roman"/>
          <w:sz w:val="24"/>
          <w:szCs w:val="24"/>
        </w:rPr>
        <w:t xml:space="preserve"> North DHMT. This evaluation was considered a response to a public health emergency from a tertiary institution in the municipality and therefore did not receive a formal review from the Ethical Review Committee. All respondents provided consent and were assured of </w:t>
      </w:r>
      <w:proofErr w:type="spellStart"/>
      <w:r w:rsidRPr="009407BA">
        <w:rPr>
          <w:rFonts w:ascii="Times New Roman" w:hAnsi="Times New Roman" w:cs="Times New Roman"/>
          <w:sz w:val="24"/>
          <w:szCs w:val="24"/>
        </w:rPr>
        <w:t>confidentialit</w:t>
      </w:r>
      <w:proofErr w:type="spellEnd"/>
    </w:p>
    <w:p w14:paraId="5E02F840" w14:textId="32FA9E85" w:rsidR="004051A5" w:rsidRPr="009407BA" w:rsidRDefault="004051A5" w:rsidP="00FA6AA2">
      <w:pPr>
        <w:ind w:left="0" w:right="0"/>
        <w:rPr>
          <w:rFonts w:ascii="Times New Roman" w:hAnsi="Times New Roman" w:cs="Times New Roman"/>
          <w:sz w:val="24"/>
          <w:szCs w:val="24"/>
        </w:rPr>
      </w:pPr>
    </w:p>
    <w:p w14:paraId="43CEC7AB" w14:textId="77777777" w:rsidR="004051A5" w:rsidRPr="009407BA" w:rsidRDefault="004051A5" w:rsidP="004051A5">
      <w:pPr>
        <w:tabs>
          <w:tab w:val="left" w:pos="2696"/>
        </w:tabs>
        <w:rPr>
          <w:rFonts w:ascii="Times New Roman" w:hAnsi="Times New Roman" w:cs="Times New Roman"/>
          <w:sz w:val="24"/>
          <w:szCs w:val="24"/>
        </w:rPr>
      </w:pPr>
      <w:bookmarkStart w:id="0" w:name="_Hlk183685723"/>
      <w:bookmarkStart w:id="1" w:name="_Hlk198899984"/>
      <w:bookmarkStart w:id="2" w:name="_Hlk200024137"/>
    </w:p>
    <w:bookmarkEnd w:id="0"/>
    <w:bookmarkEnd w:id="1"/>
    <w:bookmarkEnd w:id="2"/>
    <w:p w14:paraId="207B2520" w14:textId="1D2CA65F" w:rsidR="00C11563" w:rsidRPr="009407BA" w:rsidRDefault="00762C49" w:rsidP="00C11563">
      <w:pPr>
        <w:ind w:left="0" w:right="0"/>
        <w:jc w:val="left"/>
        <w:rPr>
          <w:rFonts w:ascii="Times New Roman" w:eastAsia="Calibri" w:hAnsi="Times New Roman" w:cs="Times New Roman"/>
          <w:kern w:val="2"/>
          <w:sz w:val="24"/>
          <w:szCs w:val="24"/>
          <w:highlight w:val="yellow"/>
        </w:rPr>
      </w:pPr>
      <w:proofErr w:type="spellStart"/>
      <w:r>
        <w:rPr>
          <w:rFonts w:ascii="Times New Roman" w:eastAsia="Calibri" w:hAnsi="Times New Roman" w:cs="Times New Roman"/>
          <w:kern w:val="2"/>
          <w:sz w:val="24"/>
          <w:szCs w:val="24"/>
          <w:highlight w:val="yellow"/>
        </w:rPr>
        <w:t>s</w:t>
      </w:r>
      <w:bookmarkStart w:id="3" w:name="_GoBack"/>
      <w:bookmarkEnd w:id="3"/>
      <w:r w:rsidR="00C11563" w:rsidRPr="009407BA">
        <w:rPr>
          <w:rFonts w:ascii="Times New Roman" w:eastAsia="Calibri" w:hAnsi="Times New Roman" w:cs="Times New Roman"/>
          <w:kern w:val="2"/>
          <w:sz w:val="24"/>
          <w:szCs w:val="24"/>
          <w:highlight w:val="yellow"/>
        </w:rPr>
        <w:t>Option</w:t>
      </w:r>
      <w:proofErr w:type="spellEnd"/>
      <w:r w:rsidR="00C11563" w:rsidRPr="009407BA">
        <w:rPr>
          <w:rFonts w:ascii="Times New Roman" w:eastAsia="Calibri" w:hAnsi="Times New Roman" w:cs="Times New Roman"/>
          <w:kern w:val="2"/>
          <w:sz w:val="24"/>
          <w:szCs w:val="24"/>
          <w:highlight w:val="yellow"/>
        </w:rPr>
        <w:t xml:space="preserve"> 2: </w:t>
      </w:r>
    </w:p>
    <w:p w14:paraId="2F4BF19A" w14:textId="77777777" w:rsidR="00C11563" w:rsidRPr="009407BA" w:rsidRDefault="00C11563" w:rsidP="00C11563">
      <w:pPr>
        <w:ind w:left="0" w:right="0"/>
        <w:jc w:val="left"/>
        <w:rPr>
          <w:rFonts w:ascii="Times New Roman" w:eastAsia="Calibri" w:hAnsi="Times New Roman" w:cs="Times New Roman"/>
          <w:kern w:val="2"/>
          <w:sz w:val="24"/>
          <w:szCs w:val="24"/>
          <w:highlight w:val="yellow"/>
        </w:rPr>
      </w:pPr>
      <w:r w:rsidRPr="009407BA">
        <w:rPr>
          <w:rFonts w:ascii="Times New Roman" w:eastAsia="Calibri" w:hAnsi="Times New Roman" w:cs="Times New Roman"/>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806489" w14:textId="77777777" w:rsidR="00C11563" w:rsidRPr="009407BA" w:rsidRDefault="00C11563" w:rsidP="00C11563">
      <w:pPr>
        <w:ind w:left="0" w:right="0"/>
        <w:jc w:val="left"/>
        <w:rPr>
          <w:rFonts w:ascii="Times New Roman" w:eastAsia="Calibri" w:hAnsi="Times New Roman" w:cs="Times New Roman"/>
          <w:kern w:val="2"/>
          <w:sz w:val="24"/>
          <w:szCs w:val="24"/>
          <w:highlight w:val="yellow"/>
        </w:rPr>
      </w:pPr>
      <w:r w:rsidRPr="009407BA">
        <w:rPr>
          <w:rFonts w:ascii="Times New Roman" w:eastAsia="Calibri" w:hAnsi="Times New Roman" w:cs="Times New Roman"/>
          <w:kern w:val="2"/>
          <w:sz w:val="24"/>
          <w:szCs w:val="24"/>
          <w:highlight w:val="yellow"/>
        </w:rPr>
        <w:t>Details of the AI usage are given below:</w:t>
      </w:r>
    </w:p>
    <w:p w14:paraId="4B9D891A" w14:textId="7D62216F" w:rsidR="00C11563" w:rsidRPr="009407BA" w:rsidRDefault="00C11563" w:rsidP="00C11563">
      <w:pPr>
        <w:ind w:left="0" w:right="0"/>
        <w:jc w:val="left"/>
        <w:rPr>
          <w:rFonts w:ascii="Times New Roman" w:eastAsia="Calibri" w:hAnsi="Times New Roman" w:cs="Times New Roman"/>
          <w:kern w:val="2"/>
          <w:sz w:val="24"/>
          <w:szCs w:val="24"/>
          <w:highlight w:val="yellow"/>
        </w:rPr>
      </w:pPr>
      <w:r w:rsidRPr="009407BA">
        <w:rPr>
          <w:rFonts w:ascii="Times New Roman" w:eastAsia="Calibri" w:hAnsi="Times New Roman" w:cs="Times New Roman"/>
          <w:kern w:val="2"/>
          <w:sz w:val="24"/>
          <w:szCs w:val="24"/>
          <w:highlight w:val="yellow"/>
        </w:rPr>
        <w:t>1.</w:t>
      </w:r>
      <w:r w:rsidR="00C92757">
        <w:rPr>
          <w:rFonts w:ascii="Times New Roman" w:eastAsia="Calibri" w:hAnsi="Times New Roman" w:cs="Times New Roman"/>
          <w:kern w:val="2"/>
          <w:sz w:val="24"/>
          <w:szCs w:val="24"/>
          <w:highlight w:val="yellow"/>
        </w:rPr>
        <w:t xml:space="preserve"> </w:t>
      </w:r>
      <w:proofErr w:type="spellStart"/>
      <w:r w:rsidR="00C92757">
        <w:rPr>
          <w:rFonts w:ascii="Times New Roman" w:eastAsia="Calibri" w:hAnsi="Times New Roman" w:cs="Times New Roman"/>
          <w:kern w:val="2"/>
          <w:sz w:val="24"/>
          <w:szCs w:val="24"/>
          <w:highlight w:val="yellow"/>
        </w:rPr>
        <w:t>ChatGPT</w:t>
      </w:r>
      <w:proofErr w:type="spellEnd"/>
      <w:r w:rsidR="00C92757">
        <w:rPr>
          <w:rFonts w:ascii="Times New Roman" w:eastAsia="Calibri" w:hAnsi="Times New Roman" w:cs="Times New Roman"/>
          <w:kern w:val="2"/>
          <w:sz w:val="24"/>
          <w:szCs w:val="24"/>
          <w:highlight w:val="yellow"/>
        </w:rPr>
        <w:t xml:space="preserve"> (Large Language Model)</w:t>
      </w:r>
    </w:p>
    <w:p w14:paraId="23F253AE" w14:textId="264A7759" w:rsidR="00C92757" w:rsidRPr="00C92757" w:rsidRDefault="00C11563" w:rsidP="00C11563">
      <w:pPr>
        <w:ind w:left="0" w:right="0"/>
        <w:jc w:val="left"/>
      </w:pPr>
      <w:r w:rsidRPr="00C92757">
        <w:rPr>
          <w:rFonts w:ascii="Times New Roman" w:eastAsia="Calibri" w:hAnsi="Times New Roman" w:cs="Times New Roman"/>
          <w:kern w:val="2"/>
          <w:sz w:val="24"/>
          <w:szCs w:val="24"/>
          <w:highlight w:val="yellow"/>
        </w:rPr>
        <w:t>2.</w:t>
      </w:r>
      <w:r w:rsidR="00C92757" w:rsidRPr="00C92757">
        <w:rPr>
          <w:rFonts w:ascii="Times New Roman" w:eastAsia="Calibri" w:hAnsi="Times New Roman" w:cs="Times New Roman"/>
          <w:kern w:val="2"/>
          <w:sz w:val="24"/>
          <w:szCs w:val="24"/>
          <w:highlight w:val="yellow"/>
        </w:rPr>
        <w:t xml:space="preserve"> </w:t>
      </w:r>
      <w:r w:rsidR="00C92757" w:rsidRPr="00C92757">
        <w:rPr>
          <w:bCs/>
        </w:rPr>
        <w:t>For language refine</w:t>
      </w:r>
      <w:r w:rsidR="00673897">
        <w:rPr>
          <w:bCs/>
        </w:rPr>
        <w:t>ment and grammatical correction</w:t>
      </w:r>
    </w:p>
    <w:p w14:paraId="53A0240A" w14:textId="7EB2ECB3" w:rsidR="004051A5" w:rsidRDefault="00C11563" w:rsidP="00C11563">
      <w:pPr>
        <w:ind w:left="0" w:right="0"/>
        <w:jc w:val="left"/>
      </w:pPr>
      <w:r w:rsidRPr="009407BA">
        <w:rPr>
          <w:rFonts w:ascii="Times New Roman" w:eastAsia="Calibri" w:hAnsi="Times New Roman" w:cs="Times New Roman"/>
          <w:kern w:val="2"/>
          <w:sz w:val="24"/>
          <w:szCs w:val="24"/>
          <w:highlight w:val="yellow"/>
        </w:rPr>
        <w:t>3.</w:t>
      </w:r>
      <w:r w:rsidR="00C92757">
        <w:rPr>
          <w:rFonts w:ascii="Times New Roman" w:eastAsia="Calibri" w:hAnsi="Times New Roman" w:cs="Times New Roman"/>
          <w:kern w:val="2"/>
          <w:sz w:val="24"/>
          <w:szCs w:val="24"/>
        </w:rPr>
        <w:t xml:space="preserve"> </w:t>
      </w:r>
      <w:r w:rsidR="00C92757">
        <w:t>For formatting citations and references</w:t>
      </w:r>
    </w:p>
    <w:p w14:paraId="0BDD0700" w14:textId="129EF143" w:rsidR="00C92757" w:rsidRDefault="00C92757" w:rsidP="00C92757">
      <w:pPr>
        <w:ind w:left="0"/>
        <w:rPr>
          <w:rFonts w:ascii="Times New Roman" w:eastAsia="Times New Roman" w:hAnsi="Times New Roman" w:cs="Times New Roman"/>
          <w:color w:val="auto"/>
        </w:rPr>
      </w:pPr>
      <w:r>
        <w:t xml:space="preserve">4. </w:t>
      </w:r>
      <w:r>
        <w:rPr>
          <w:rStyle w:val="Strong"/>
          <w:b w:val="0"/>
          <w:bCs w:val="0"/>
        </w:rPr>
        <w:t>Model</w:t>
      </w:r>
      <w:r w:rsidR="00673897">
        <w:rPr>
          <w:rStyle w:val="Strong"/>
          <w:b w:val="0"/>
          <w:bCs w:val="0"/>
        </w:rPr>
        <w:t xml:space="preserve"> and Source</w:t>
      </w:r>
      <w:r>
        <w:rPr>
          <w:rStyle w:val="Strong"/>
          <w:b w:val="0"/>
          <w:bCs w:val="0"/>
        </w:rPr>
        <w:t xml:space="preserve"> Information</w:t>
      </w:r>
    </w:p>
    <w:p w14:paraId="39623C74" w14:textId="77777777" w:rsidR="00C92757" w:rsidRDefault="00C92757" w:rsidP="00C92757">
      <w:pPr>
        <w:pStyle w:val="NormalWeb"/>
        <w:numPr>
          <w:ilvl w:val="0"/>
          <w:numId w:val="6"/>
        </w:numPr>
        <w:spacing w:before="0" w:beforeAutospacing="0" w:after="0" w:afterAutospacing="0"/>
        <w:ind w:left="714" w:hanging="357"/>
      </w:pPr>
      <w:r>
        <w:rPr>
          <w:rStyle w:val="Strong"/>
          <w:rFonts w:eastAsia="Arial"/>
        </w:rPr>
        <w:t>Model:</w:t>
      </w:r>
      <w:r>
        <w:t xml:space="preserve"> GPT-4o (</w:t>
      </w:r>
      <w:proofErr w:type="spellStart"/>
      <w:r>
        <w:t>OpenAI’s</w:t>
      </w:r>
      <w:proofErr w:type="spellEnd"/>
      <w:r>
        <w:t xml:space="preserve"> advanced multimodal language model)</w:t>
      </w:r>
    </w:p>
    <w:p w14:paraId="08B6037D" w14:textId="77777777" w:rsidR="00C92757" w:rsidRDefault="00C92757" w:rsidP="00C92757">
      <w:pPr>
        <w:pStyle w:val="NormalWeb"/>
        <w:numPr>
          <w:ilvl w:val="0"/>
          <w:numId w:val="6"/>
        </w:numPr>
        <w:spacing w:before="0" w:beforeAutospacing="0" w:after="0" w:afterAutospacing="0"/>
        <w:ind w:left="714" w:hanging="357"/>
      </w:pPr>
      <w:r>
        <w:rPr>
          <w:rStyle w:val="Strong"/>
          <w:rFonts w:eastAsia="Arial"/>
        </w:rPr>
        <w:t>Version:</w:t>
      </w:r>
      <w:r>
        <w:t xml:space="preserve"> July 2025 release</w:t>
      </w:r>
    </w:p>
    <w:p w14:paraId="769A5B12" w14:textId="1184B794" w:rsidR="00673897" w:rsidRDefault="00673897" w:rsidP="00C92757">
      <w:pPr>
        <w:pStyle w:val="NormalWeb"/>
        <w:numPr>
          <w:ilvl w:val="0"/>
          <w:numId w:val="6"/>
        </w:numPr>
        <w:spacing w:before="0" w:beforeAutospacing="0" w:after="0" w:afterAutospacing="0"/>
        <w:ind w:left="714" w:hanging="357"/>
      </w:pPr>
      <w:r w:rsidRPr="00673897">
        <w:rPr>
          <w:b/>
        </w:rPr>
        <w:t>Source</w:t>
      </w:r>
      <w:r>
        <w:t>: Google (via the collaborative AI platform)</w:t>
      </w:r>
    </w:p>
    <w:p w14:paraId="312F9141" w14:textId="7B3B6901" w:rsidR="00C92757" w:rsidRPr="009407BA" w:rsidRDefault="00C92757" w:rsidP="00C11563">
      <w:pPr>
        <w:ind w:left="0" w:right="0"/>
        <w:jc w:val="left"/>
        <w:rPr>
          <w:rFonts w:ascii="Times New Roman" w:hAnsi="Times New Roman" w:cs="Times New Roman"/>
          <w:sz w:val="24"/>
          <w:szCs w:val="24"/>
        </w:rPr>
      </w:pPr>
    </w:p>
    <w:p w14:paraId="26F69C7D" w14:textId="790961D3" w:rsidR="00806EA8" w:rsidRPr="009407BA" w:rsidRDefault="00806EA8" w:rsidP="00C11563">
      <w:pPr>
        <w:spacing w:after="2" w:line="259" w:lineRule="auto"/>
        <w:ind w:left="0" w:right="0" w:firstLine="0"/>
        <w:jc w:val="left"/>
        <w:rPr>
          <w:rFonts w:ascii="Times New Roman" w:hAnsi="Times New Roman" w:cs="Times New Roman"/>
          <w:sz w:val="24"/>
          <w:szCs w:val="24"/>
        </w:rPr>
      </w:pPr>
    </w:p>
    <w:p w14:paraId="5DDE2E11" w14:textId="77777777" w:rsidR="00806EA8" w:rsidRPr="009407BA" w:rsidRDefault="005E353C" w:rsidP="00153890">
      <w:pPr>
        <w:pStyle w:val="Heading1"/>
        <w:ind w:left="0" w:firstLine="0"/>
        <w:rPr>
          <w:rFonts w:ascii="Times New Roman" w:hAnsi="Times New Roman" w:cs="Times New Roman"/>
          <w:sz w:val="24"/>
          <w:szCs w:val="24"/>
        </w:rPr>
      </w:pPr>
      <w:r w:rsidRPr="009407BA">
        <w:rPr>
          <w:rFonts w:ascii="Times New Roman" w:hAnsi="Times New Roman" w:cs="Times New Roman"/>
          <w:sz w:val="24"/>
          <w:szCs w:val="24"/>
        </w:rPr>
        <w:t xml:space="preserve">Reference </w:t>
      </w:r>
    </w:p>
    <w:p w14:paraId="2F9A2708" w14:textId="77777777" w:rsidR="00806EA8" w:rsidRPr="009407BA" w:rsidRDefault="005E353C" w:rsidP="00153890">
      <w:pPr>
        <w:numPr>
          <w:ilvl w:val="0"/>
          <w:numId w:val="2"/>
        </w:numPr>
        <w:spacing w:after="2" w:line="364"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Rural Health Information Hub. (2022). </w:t>
      </w:r>
      <w:r w:rsidRPr="009407BA">
        <w:rPr>
          <w:rFonts w:ascii="Times New Roman" w:hAnsi="Times New Roman" w:cs="Times New Roman"/>
          <w:i/>
          <w:sz w:val="24"/>
          <w:szCs w:val="24"/>
        </w:rPr>
        <w:t xml:space="preserve">Evaluate the response of emergency preparedness efforts - </w:t>
      </w:r>
      <w:proofErr w:type="spellStart"/>
      <w:r w:rsidRPr="009407BA">
        <w:rPr>
          <w:rFonts w:ascii="Times New Roman" w:hAnsi="Times New Roman" w:cs="Times New Roman"/>
          <w:i/>
          <w:sz w:val="24"/>
          <w:szCs w:val="24"/>
        </w:rPr>
        <w:t>RHIhub</w:t>
      </w:r>
      <w:proofErr w:type="spellEnd"/>
      <w:r w:rsidRPr="009407BA">
        <w:rPr>
          <w:rFonts w:ascii="Times New Roman" w:hAnsi="Times New Roman" w:cs="Times New Roman"/>
          <w:i/>
          <w:sz w:val="24"/>
          <w:szCs w:val="24"/>
        </w:rPr>
        <w:t xml:space="preserve"> Toolkit.</w:t>
      </w:r>
      <w:r w:rsidRPr="009407BA">
        <w:rPr>
          <w:rFonts w:ascii="Times New Roman" w:hAnsi="Times New Roman" w:cs="Times New Roman"/>
          <w:sz w:val="24"/>
          <w:szCs w:val="24"/>
        </w:rPr>
        <w:t xml:space="preserve"> Rural Health Information Hub. </w:t>
      </w:r>
      <w:hyperlink r:id="rId7">
        <w:r w:rsidRPr="009407BA">
          <w:rPr>
            <w:rFonts w:ascii="Times New Roman" w:hAnsi="Times New Roman" w:cs="Times New Roman"/>
            <w:color w:val="0563C1"/>
            <w:sz w:val="24"/>
            <w:szCs w:val="24"/>
            <w:u w:val="single" w:color="0563C1"/>
          </w:rPr>
          <w:t>https://www.ruralhealthinfo.org/toolkits/emergency</w:t>
        </w:r>
      </w:hyperlink>
      <w:hyperlink r:id="rId8"/>
      <w:hyperlink r:id="rId9">
        <w:r w:rsidRPr="009407BA">
          <w:rPr>
            <w:rFonts w:ascii="Times New Roman" w:hAnsi="Times New Roman" w:cs="Times New Roman"/>
            <w:color w:val="0563C1"/>
            <w:sz w:val="24"/>
            <w:szCs w:val="24"/>
            <w:u w:val="single" w:color="0563C1"/>
          </w:rPr>
          <w:t>preparedness/5/evaluating</w:t>
        </w:r>
      </w:hyperlink>
      <w:hyperlink r:id="rId10">
        <w:r w:rsidRPr="009407BA">
          <w:rPr>
            <w:rFonts w:ascii="Times New Roman" w:hAnsi="Times New Roman" w:cs="Times New Roman"/>
            <w:color w:val="0563C1"/>
            <w:sz w:val="24"/>
            <w:szCs w:val="24"/>
            <w:u w:val="single" w:color="0563C1"/>
          </w:rPr>
          <w:t>-</w:t>
        </w:r>
      </w:hyperlink>
      <w:hyperlink r:id="rId11">
        <w:r w:rsidRPr="009407BA">
          <w:rPr>
            <w:rFonts w:ascii="Times New Roman" w:hAnsi="Times New Roman" w:cs="Times New Roman"/>
            <w:color w:val="0563C1"/>
            <w:sz w:val="24"/>
            <w:szCs w:val="24"/>
            <w:u w:val="single" w:color="0563C1"/>
          </w:rPr>
          <w:t>response</w:t>
        </w:r>
      </w:hyperlink>
      <w:hyperlink r:id="rId12">
        <w:r w:rsidRPr="009407BA">
          <w:rPr>
            <w:rFonts w:ascii="Times New Roman" w:hAnsi="Times New Roman" w:cs="Times New Roman"/>
            <w:sz w:val="24"/>
            <w:szCs w:val="24"/>
          </w:rPr>
          <w:t>.</w:t>
        </w:r>
      </w:hyperlink>
      <w:r w:rsidRPr="009407BA">
        <w:rPr>
          <w:rFonts w:ascii="Times New Roman" w:hAnsi="Times New Roman" w:cs="Times New Roman"/>
          <w:sz w:val="24"/>
          <w:szCs w:val="24"/>
        </w:rPr>
        <w:t xml:space="preserve">  </w:t>
      </w:r>
    </w:p>
    <w:p w14:paraId="47D8241D" w14:textId="4BD42530" w:rsidR="00806EA8" w:rsidRPr="009407BA" w:rsidRDefault="00595E4D" w:rsidP="00153890">
      <w:pPr>
        <w:numPr>
          <w:ilvl w:val="0"/>
          <w:numId w:val="2"/>
        </w:numPr>
        <w:spacing w:after="0" w:line="363"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World Bank. (2024). </w:t>
      </w:r>
      <w:r w:rsidRPr="009407BA">
        <w:rPr>
          <w:rStyle w:val="Emphasis"/>
          <w:rFonts w:ascii="Times New Roman" w:hAnsi="Times New Roman" w:cs="Times New Roman"/>
          <w:sz w:val="24"/>
          <w:szCs w:val="24"/>
        </w:rPr>
        <w:t>Disaster and emergency preparedness: Guidance for schools</w:t>
      </w:r>
      <w:r w:rsidRPr="009407BA">
        <w:rPr>
          <w:rFonts w:ascii="Times New Roman" w:hAnsi="Times New Roman" w:cs="Times New Roman"/>
          <w:sz w:val="24"/>
          <w:szCs w:val="24"/>
        </w:rPr>
        <w:t xml:space="preserve">. </w:t>
      </w:r>
      <w:hyperlink r:id="rId13" w:history="1">
        <w:r w:rsidRPr="009407BA">
          <w:rPr>
            <w:rStyle w:val="Hyperlink"/>
            <w:rFonts w:ascii="Times New Roman" w:hAnsi="Times New Roman" w:cs="Times New Roman"/>
            <w:sz w:val="24"/>
            <w:szCs w:val="24"/>
          </w:rPr>
          <w:t>https://documents.worldbank.org/curated/en/141591468155378028/pdf/839970WP0IFC0B0UBLIC00DisERHandbook.pdf</w:t>
        </w:r>
      </w:hyperlink>
      <w:r w:rsidRPr="009407BA">
        <w:rPr>
          <w:rFonts w:ascii="Times New Roman" w:hAnsi="Times New Roman" w:cs="Times New Roman"/>
          <w:sz w:val="24"/>
          <w:szCs w:val="24"/>
        </w:rPr>
        <w:t xml:space="preserve"> </w:t>
      </w:r>
      <w:hyperlink r:id="rId14">
        <w:r w:rsidR="005E353C" w:rsidRPr="009407BA">
          <w:rPr>
            <w:rFonts w:ascii="Times New Roman" w:hAnsi="Times New Roman" w:cs="Times New Roman"/>
            <w:sz w:val="24"/>
            <w:szCs w:val="24"/>
          </w:rPr>
          <w:t xml:space="preserve"> </w:t>
        </w:r>
      </w:hyperlink>
    </w:p>
    <w:p w14:paraId="49EE4DF1" w14:textId="77777777" w:rsidR="00806EA8" w:rsidRPr="009407BA" w:rsidRDefault="005E353C" w:rsidP="00153890">
      <w:pPr>
        <w:numPr>
          <w:ilvl w:val="0"/>
          <w:numId w:val="2"/>
        </w:numPr>
        <w:spacing w:line="360"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Savioa</w:t>
      </w:r>
      <w:proofErr w:type="spellEnd"/>
      <w:r w:rsidRPr="009407BA">
        <w:rPr>
          <w:rFonts w:ascii="Times New Roman" w:hAnsi="Times New Roman" w:cs="Times New Roman"/>
          <w:sz w:val="24"/>
          <w:szCs w:val="24"/>
        </w:rPr>
        <w:t>, E., Agboola, F., &amp; Biddinger, P. (2012). The use of after-action reports to promote organizational and systems learning in emergency preparedness</w:t>
      </w:r>
      <w:r w:rsidRPr="009407BA">
        <w:rPr>
          <w:rFonts w:ascii="Times New Roman" w:hAnsi="Times New Roman" w:cs="Times New Roman"/>
          <w:i/>
          <w:sz w:val="24"/>
          <w:szCs w:val="24"/>
        </w:rPr>
        <w:t>.</w:t>
      </w: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 xml:space="preserve">International Journal of </w:t>
      </w:r>
    </w:p>
    <w:p w14:paraId="5630F57C" w14:textId="77777777" w:rsidR="00806EA8" w:rsidRPr="009407BA" w:rsidRDefault="005E353C" w:rsidP="00153890">
      <w:pPr>
        <w:spacing w:after="2" w:line="369" w:lineRule="auto"/>
        <w:ind w:left="0" w:right="-4"/>
        <w:rPr>
          <w:rFonts w:ascii="Times New Roman" w:hAnsi="Times New Roman" w:cs="Times New Roman"/>
          <w:sz w:val="24"/>
          <w:szCs w:val="24"/>
        </w:rPr>
      </w:pPr>
      <w:r w:rsidRPr="009407BA">
        <w:rPr>
          <w:rFonts w:ascii="Times New Roman" w:hAnsi="Times New Roman" w:cs="Times New Roman"/>
          <w:i/>
          <w:sz w:val="24"/>
          <w:szCs w:val="24"/>
        </w:rPr>
        <w:t xml:space="preserve">Environmental </w:t>
      </w:r>
      <w:r w:rsidRPr="009407BA">
        <w:rPr>
          <w:rFonts w:ascii="Times New Roman" w:hAnsi="Times New Roman" w:cs="Times New Roman"/>
          <w:i/>
          <w:sz w:val="24"/>
          <w:szCs w:val="24"/>
        </w:rPr>
        <w:tab/>
        <w:t xml:space="preserve">Research </w:t>
      </w:r>
      <w:r w:rsidRPr="009407BA">
        <w:rPr>
          <w:rFonts w:ascii="Times New Roman" w:hAnsi="Times New Roman" w:cs="Times New Roman"/>
          <w:i/>
          <w:sz w:val="24"/>
          <w:szCs w:val="24"/>
        </w:rPr>
        <w:tab/>
        <w:t xml:space="preserve">and </w:t>
      </w:r>
      <w:r w:rsidRPr="009407BA">
        <w:rPr>
          <w:rFonts w:ascii="Times New Roman" w:hAnsi="Times New Roman" w:cs="Times New Roman"/>
          <w:i/>
          <w:sz w:val="24"/>
          <w:szCs w:val="24"/>
        </w:rPr>
        <w:tab/>
        <w:t xml:space="preserve">Public </w:t>
      </w:r>
      <w:r w:rsidRPr="009407BA">
        <w:rPr>
          <w:rFonts w:ascii="Times New Roman" w:hAnsi="Times New Roman" w:cs="Times New Roman"/>
          <w:i/>
          <w:sz w:val="24"/>
          <w:szCs w:val="24"/>
        </w:rPr>
        <w:tab/>
        <w:t xml:space="preserve">Health, </w:t>
      </w:r>
      <w:r w:rsidRPr="009407BA">
        <w:rPr>
          <w:rFonts w:ascii="Times New Roman" w:hAnsi="Times New Roman" w:cs="Times New Roman"/>
          <w:i/>
          <w:sz w:val="24"/>
          <w:szCs w:val="24"/>
        </w:rPr>
        <w:tab/>
        <w:t>9</w:t>
      </w:r>
      <w:r w:rsidRPr="009407BA">
        <w:rPr>
          <w:rFonts w:ascii="Times New Roman" w:hAnsi="Times New Roman" w:cs="Times New Roman"/>
          <w:sz w:val="24"/>
          <w:szCs w:val="24"/>
        </w:rPr>
        <w:t xml:space="preserve">(8), </w:t>
      </w:r>
      <w:r w:rsidRPr="009407BA">
        <w:rPr>
          <w:rFonts w:ascii="Times New Roman" w:hAnsi="Times New Roman" w:cs="Times New Roman"/>
          <w:sz w:val="24"/>
          <w:szCs w:val="24"/>
        </w:rPr>
        <w:tab/>
        <w:t xml:space="preserve">2949–2963. </w:t>
      </w:r>
      <w:hyperlink r:id="rId15">
        <w:r w:rsidRPr="009407BA">
          <w:rPr>
            <w:rFonts w:ascii="Times New Roman" w:hAnsi="Times New Roman" w:cs="Times New Roman"/>
            <w:color w:val="0563C1"/>
            <w:sz w:val="24"/>
            <w:szCs w:val="24"/>
            <w:u w:val="single" w:color="0563C1"/>
          </w:rPr>
          <w:t>https://doi.org/10.3390/ijerph9082949</w:t>
        </w:r>
      </w:hyperlink>
      <w:hyperlink r:id="rId16">
        <w:r w:rsidRPr="009407BA">
          <w:rPr>
            <w:rFonts w:ascii="Times New Roman" w:hAnsi="Times New Roman" w:cs="Times New Roman"/>
            <w:sz w:val="24"/>
            <w:szCs w:val="24"/>
          </w:rPr>
          <w:t xml:space="preserve"> </w:t>
        </w:r>
      </w:hyperlink>
      <w:r w:rsidRPr="009407BA">
        <w:rPr>
          <w:rFonts w:ascii="Times New Roman" w:hAnsi="Times New Roman" w:cs="Times New Roman"/>
          <w:sz w:val="24"/>
          <w:szCs w:val="24"/>
        </w:rPr>
        <w:t xml:space="preserve"> </w:t>
      </w:r>
    </w:p>
    <w:p w14:paraId="2F467535" w14:textId="77777777" w:rsidR="00806EA8" w:rsidRPr="009407BA" w:rsidRDefault="005E353C" w:rsidP="00153890">
      <w:pPr>
        <w:numPr>
          <w:ilvl w:val="0"/>
          <w:numId w:val="2"/>
        </w:numPr>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Adini B., and Peleg K., (2013). On constant alert: Lessons to be learned from Israel's emergency response to mass causality, terrorism incidence. Health Affairs, Vol. 32 No. 12. </w:t>
      </w:r>
      <w:hyperlink r:id="rId17">
        <w:r w:rsidRPr="009407BA">
          <w:rPr>
            <w:rFonts w:ascii="Times New Roman" w:hAnsi="Times New Roman" w:cs="Times New Roman"/>
            <w:color w:val="0563C1"/>
            <w:sz w:val="24"/>
            <w:szCs w:val="24"/>
            <w:u w:val="single" w:color="0563C1"/>
          </w:rPr>
          <w:t>https://www.healthaffairs.org/doi/full/10.1377/hlthaff.2013.0956</w:t>
        </w:r>
      </w:hyperlink>
      <w:hyperlink r:id="rId18">
        <w:r w:rsidRPr="009407BA">
          <w:rPr>
            <w:rFonts w:ascii="Times New Roman" w:hAnsi="Times New Roman" w:cs="Times New Roman"/>
            <w:sz w:val="24"/>
            <w:szCs w:val="24"/>
          </w:rPr>
          <w:t xml:space="preserve"> </w:t>
        </w:r>
      </w:hyperlink>
      <w:r w:rsidRPr="009407BA">
        <w:rPr>
          <w:rFonts w:ascii="Times New Roman" w:hAnsi="Times New Roman" w:cs="Times New Roman"/>
          <w:sz w:val="24"/>
          <w:szCs w:val="24"/>
        </w:rPr>
        <w:t xml:space="preserve"> </w:t>
      </w:r>
    </w:p>
    <w:p w14:paraId="3D0B3FF4" w14:textId="77777777" w:rsidR="00806EA8" w:rsidRPr="009407BA" w:rsidRDefault="00806EA8" w:rsidP="00153890">
      <w:pPr>
        <w:ind w:left="0"/>
        <w:rPr>
          <w:rFonts w:ascii="Times New Roman" w:hAnsi="Times New Roman" w:cs="Times New Roman"/>
          <w:sz w:val="24"/>
          <w:szCs w:val="24"/>
        </w:rPr>
      </w:pPr>
    </w:p>
    <w:p w14:paraId="73A15B57" w14:textId="7F533585" w:rsidR="00806EA8" w:rsidRPr="009407BA" w:rsidRDefault="005E353C" w:rsidP="00153890">
      <w:pPr>
        <w:numPr>
          <w:ilvl w:val="0"/>
          <w:numId w:val="2"/>
        </w:numPr>
        <w:spacing w:after="2" w:line="364"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UNCHR. (2024). </w:t>
      </w:r>
      <w:r w:rsidRPr="009407BA">
        <w:rPr>
          <w:rFonts w:ascii="Times New Roman" w:hAnsi="Times New Roman" w:cs="Times New Roman"/>
          <w:i/>
          <w:sz w:val="24"/>
          <w:szCs w:val="24"/>
        </w:rPr>
        <w:t xml:space="preserve">Evaluation of </w:t>
      </w:r>
      <w:r w:rsidRPr="00862AC8">
        <w:rPr>
          <w:rFonts w:ascii="Times New Roman" w:hAnsi="Times New Roman" w:cs="Times New Roman"/>
          <w:i/>
          <w:sz w:val="24"/>
          <w:szCs w:val="24"/>
        </w:rPr>
        <w:t>emergency preparedness operations.</w:t>
      </w:r>
      <w:r w:rsidRPr="00862AC8">
        <w:rPr>
          <w:rFonts w:ascii="Times New Roman" w:hAnsi="Times New Roman" w:cs="Times New Roman"/>
          <w:sz w:val="24"/>
          <w:szCs w:val="24"/>
        </w:rPr>
        <w:t xml:space="preserve"> United Nations High Commissioner for Refugees. </w:t>
      </w:r>
      <w:hyperlink r:id="rId19" w:history="1">
        <w:r w:rsidR="00862AC8" w:rsidRPr="00862AC8">
          <w:rPr>
            <w:rStyle w:val="Hyperlink"/>
            <w:rFonts w:ascii="Times New Roman" w:hAnsi="Times New Roman" w:cs="Times New Roman"/>
            <w:sz w:val="24"/>
            <w:szCs w:val="24"/>
          </w:rPr>
          <w:t>https://emergency.unhcr.org/support-response/planning-and-programming/evaluations-emergency-operations</w:t>
        </w:r>
      </w:hyperlink>
    </w:p>
    <w:p w14:paraId="1B1B5682" w14:textId="77777777" w:rsidR="0082070A" w:rsidRPr="009407BA" w:rsidRDefault="0082070A" w:rsidP="00153890">
      <w:pPr>
        <w:numPr>
          <w:ilvl w:val="0"/>
          <w:numId w:val="2"/>
        </w:numPr>
        <w:spacing w:line="362" w:lineRule="auto"/>
        <w:ind w:left="0" w:right="0" w:hanging="360"/>
        <w:rPr>
          <w:rFonts w:ascii="Times New Roman" w:hAnsi="Times New Roman" w:cs="Times New Roman"/>
          <w:sz w:val="24"/>
          <w:szCs w:val="24"/>
        </w:rPr>
      </w:pPr>
      <w:r w:rsidRPr="009407BA">
        <w:rPr>
          <w:rStyle w:val="relative"/>
          <w:rFonts w:ascii="Times New Roman" w:hAnsi="Times New Roman" w:cs="Times New Roman"/>
          <w:sz w:val="24"/>
          <w:szCs w:val="24"/>
        </w:rPr>
        <w:t xml:space="preserve">World Health Organization. (2018, February 20). </w:t>
      </w:r>
      <w:r w:rsidRPr="009407BA">
        <w:rPr>
          <w:rStyle w:val="Emphasis"/>
          <w:rFonts w:ascii="Times New Roman" w:hAnsi="Times New Roman" w:cs="Times New Roman"/>
          <w:sz w:val="24"/>
          <w:szCs w:val="24"/>
        </w:rPr>
        <w:t>Salmonella (non-typhoidal)</w:t>
      </w:r>
      <w:r w:rsidRPr="009407BA">
        <w:rPr>
          <w:rStyle w:val="relative"/>
          <w:rFonts w:ascii="Times New Roman" w:hAnsi="Times New Roman" w:cs="Times New Roman"/>
          <w:sz w:val="24"/>
          <w:szCs w:val="24"/>
        </w:rPr>
        <w:t xml:space="preserve"> [Fact sheet]. WHO. </w:t>
      </w:r>
      <w:hyperlink r:id="rId20" w:tgtFrame="_new" w:history="1">
        <w:r w:rsidRPr="009407BA">
          <w:rPr>
            <w:rStyle w:val="Hyperlink"/>
            <w:rFonts w:ascii="Times New Roman" w:hAnsi="Times New Roman" w:cs="Times New Roman"/>
            <w:sz w:val="24"/>
            <w:szCs w:val="24"/>
          </w:rPr>
          <w:t>https://www.who.int/news-room/fact-sheets/detail/salmonella-%28non-typhoidal%29</w:t>
        </w:r>
      </w:hyperlink>
      <w:r w:rsidRPr="009407BA">
        <w:rPr>
          <w:rFonts w:ascii="Times New Roman" w:hAnsi="Times New Roman" w:cs="Times New Roman"/>
          <w:sz w:val="24"/>
          <w:szCs w:val="24"/>
        </w:rPr>
        <w:t xml:space="preserve"> </w:t>
      </w:r>
    </w:p>
    <w:p w14:paraId="1C55B74C" w14:textId="02D27912" w:rsidR="00806EA8" w:rsidRPr="009407BA" w:rsidRDefault="005E353C" w:rsidP="00153890">
      <w:pPr>
        <w:numPr>
          <w:ilvl w:val="0"/>
          <w:numId w:val="2"/>
        </w:numPr>
        <w:spacing w:line="362"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lastRenderedPageBreak/>
        <w:t>Ameme</w:t>
      </w:r>
      <w:proofErr w:type="spellEnd"/>
      <w:r w:rsidRPr="009407BA">
        <w:rPr>
          <w:rFonts w:ascii="Times New Roman" w:hAnsi="Times New Roman" w:cs="Times New Roman"/>
          <w:sz w:val="24"/>
          <w:szCs w:val="24"/>
        </w:rPr>
        <w:t>, K., Donne, E., et al. (2016). The outbreak of foodborne gastroenteritis in senior high school in South-Eastern Ghana: Retrospective cohort study</w:t>
      </w:r>
      <w:r w:rsidRPr="009407BA">
        <w:rPr>
          <w:rFonts w:ascii="Times New Roman" w:hAnsi="Times New Roman" w:cs="Times New Roman"/>
          <w:i/>
          <w:sz w:val="24"/>
          <w:szCs w:val="24"/>
        </w:rPr>
        <w:t>.</w:t>
      </w: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International Journal of Tropical Diseases and Health, 3</w:t>
      </w:r>
      <w:r w:rsidRPr="009407BA">
        <w:rPr>
          <w:rFonts w:ascii="Times New Roman" w:hAnsi="Times New Roman" w:cs="Times New Roman"/>
          <w:sz w:val="24"/>
          <w:szCs w:val="24"/>
        </w:rPr>
        <w:t xml:space="preserve">, 210–216. </w:t>
      </w:r>
    </w:p>
    <w:p w14:paraId="1F65AC63" w14:textId="77777777" w:rsidR="00806EA8" w:rsidRPr="009407BA" w:rsidRDefault="005E353C" w:rsidP="00153890">
      <w:pPr>
        <w:numPr>
          <w:ilvl w:val="0"/>
          <w:numId w:val="2"/>
        </w:numPr>
        <w:spacing w:after="3" w:line="239" w:lineRule="auto"/>
        <w:ind w:left="0" w:right="0" w:hanging="360"/>
        <w:rPr>
          <w:rFonts w:ascii="Times New Roman" w:hAnsi="Times New Roman" w:cs="Times New Roman"/>
          <w:sz w:val="24"/>
          <w:szCs w:val="24"/>
        </w:rPr>
      </w:pPr>
      <w:r w:rsidRPr="009407BA">
        <w:rPr>
          <w:rFonts w:ascii="Times New Roman" w:hAnsi="Times New Roman" w:cs="Times New Roman"/>
          <w:color w:val="222222"/>
          <w:sz w:val="24"/>
          <w:szCs w:val="24"/>
        </w:rPr>
        <w:t xml:space="preserve">Morris Jr, J. G., &amp; </w:t>
      </w:r>
      <w:proofErr w:type="spellStart"/>
      <w:r w:rsidRPr="009407BA">
        <w:rPr>
          <w:rFonts w:ascii="Times New Roman" w:hAnsi="Times New Roman" w:cs="Times New Roman"/>
          <w:color w:val="222222"/>
          <w:sz w:val="24"/>
          <w:szCs w:val="24"/>
        </w:rPr>
        <w:t>Vugia</w:t>
      </w:r>
      <w:proofErr w:type="spellEnd"/>
      <w:r w:rsidRPr="009407BA">
        <w:rPr>
          <w:rFonts w:ascii="Times New Roman" w:hAnsi="Times New Roman" w:cs="Times New Roman"/>
          <w:color w:val="222222"/>
          <w:sz w:val="24"/>
          <w:szCs w:val="24"/>
        </w:rPr>
        <w:t xml:space="preserve">, D. J. (Eds.). (2021). </w:t>
      </w:r>
      <w:r w:rsidRPr="009407BA">
        <w:rPr>
          <w:rFonts w:ascii="Times New Roman" w:hAnsi="Times New Roman" w:cs="Times New Roman"/>
          <w:i/>
          <w:color w:val="222222"/>
          <w:sz w:val="24"/>
          <w:szCs w:val="24"/>
        </w:rPr>
        <w:t>Foodborne infections and intoxications</w:t>
      </w:r>
      <w:r w:rsidRPr="009407BA">
        <w:rPr>
          <w:rFonts w:ascii="Times New Roman" w:hAnsi="Times New Roman" w:cs="Times New Roman"/>
          <w:color w:val="222222"/>
          <w:sz w:val="24"/>
          <w:szCs w:val="24"/>
        </w:rPr>
        <w:t>. Academic Press.</w:t>
      </w:r>
      <w:r w:rsidRPr="009407BA">
        <w:rPr>
          <w:rFonts w:ascii="Times New Roman" w:hAnsi="Times New Roman" w:cs="Times New Roman"/>
          <w:sz w:val="24"/>
          <w:szCs w:val="24"/>
        </w:rPr>
        <w:t xml:space="preserve"> </w:t>
      </w:r>
    </w:p>
    <w:p w14:paraId="65652179" w14:textId="77777777" w:rsidR="00677423" w:rsidRPr="009407BA" w:rsidRDefault="005E353C" w:rsidP="00677423">
      <w:pPr>
        <w:numPr>
          <w:ilvl w:val="0"/>
          <w:numId w:val="2"/>
        </w:numPr>
        <w:spacing w:after="2" w:line="364"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Clostridium perfringens - Food Safety. (2015, March 6). </w:t>
      </w:r>
      <w:r w:rsidRPr="009407BA">
        <w:rPr>
          <w:rFonts w:ascii="Times New Roman" w:hAnsi="Times New Roman" w:cs="Times New Roman"/>
          <w:i/>
          <w:sz w:val="24"/>
          <w:szCs w:val="24"/>
        </w:rPr>
        <w:t>Centers for Disease Control and Prevention.</w:t>
      </w:r>
      <w:hyperlink r:id="rId21">
        <w:r w:rsidRPr="009407BA">
          <w:rPr>
            <w:rFonts w:ascii="Times New Roman" w:hAnsi="Times New Roman" w:cs="Times New Roman"/>
            <w:sz w:val="24"/>
            <w:szCs w:val="24"/>
          </w:rPr>
          <w:t xml:space="preserve"> </w:t>
        </w:r>
      </w:hyperlink>
      <w:hyperlink r:id="rId22">
        <w:r w:rsidRPr="009407BA">
          <w:rPr>
            <w:rFonts w:ascii="Times New Roman" w:hAnsi="Times New Roman" w:cs="Times New Roman"/>
            <w:color w:val="0563C1"/>
            <w:sz w:val="24"/>
            <w:szCs w:val="24"/>
            <w:u w:val="single" w:color="0563C1"/>
          </w:rPr>
          <w:t>https://www.cdc.gov/foodsafety/clostridium</w:t>
        </w:r>
      </w:hyperlink>
      <w:hyperlink r:id="rId23">
        <w:r w:rsidRPr="009407BA">
          <w:rPr>
            <w:rFonts w:ascii="Times New Roman" w:hAnsi="Times New Roman" w:cs="Times New Roman"/>
            <w:color w:val="0563C1"/>
            <w:sz w:val="24"/>
            <w:szCs w:val="24"/>
            <w:u w:val="single" w:color="0563C1"/>
          </w:rPr>
          <w:t>-</w:t>
        </w:r>
      </w:hyperlink>
      <w:hyperlink r:id="rId24">
        <w:r w:rsidRPr="009407BA">
          <w:rPr>
            <w:rFonts w:ascii="Times New Roman" w:hAnsi="Times New Roman" w:cs="Times New Roman"/>
            <w:color w:val="0563C1"/>
            <w:sz w:val="24"/>
            <w:szCs w:val="24"/>
            <w:u w:val="single" w:color="0563C1"/>
          </w:rPr>
          <w:t>perfingens.html</w:t>
        </w:r>
      </w:hyperlink>
      <w:hyperlink r:id="rId25">
        <w:r w:rsidRPr="009407BA">
          <w:rPr>
            <w:rFonts w:ascii="Times New Roman" w:hAnsi="Times New Roman" w:cs="Times New Roman"/>
            <w:color w:val="0563C1"/>
            <w:sz w:val="24"/>
            <w:szCs w:val="24"/>
          </w:rPr>
          <w:t xml:space="preserve"> </w:t>
        </w:r>
      </w:hyperlink>
    </w:p>
    <w:p w14:paraId="77A86B48" w14:textId="77777777" w:rsidR="00677423" w:rsidRPr="009407BA" w:rsidRDefault="00677423" w:rsidP="00677423">
      <w:pPr>
        <w:numPr>
          <w:ilvl w:val="0"/>
          <w:numId w:val="2"/>
        </w:numPr>
        <w:spacing w:after="2" w:line="364"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Nicmanis</w:t>
      </w:r>
      <w:proofErr w:type="spellEnd"/>
      <w:r w:rsidRPr="009407BA">
        <w:rPr>
          <w:rFonts w:ascii="Times New Roman" w:hAnsi="Times New Roman" w:cs="Times New Roman"/>
          <w:sz w:val="24"/>
          <w:szCs w:val="24"/>
        </w:rPr>
        <w:t xml:space="preserve">, D. (2024). </w:t>
      </w:r>
      <w:r w:rsidRPr="009407BA">
        <w:rPr>
          <w:rStyle w:val="Emphasis"/>
          <w:rFonts w:ascii="Times New Roman" w:hAnsi="Times New Roman" w:cs="Times New Roman"/>
          <w:sz w:val="24"/>
          <w:szCs w:val="24"/>
        </w:rPr>
        <w:t>Reflexive content analysis: An approach to qualitative data analysis, reduction, and description</w:t>
      </w:r>
      <w:r w:rsidRPr="009407BA">
        <w:rPr>
          <w:rFonts w:ascii="Times New Roman" w:hAnsi="Times New Roman" w:cs="Times New Roman"/>
          <w:sz w:val="24"/>
          <w:szCs w:val="24"/>
        </w:rPr>
        <w:t xml:space="preserve">. ResearchGate. </w:t>
      </w:r>
    </w:p>
    <w:p w14:paraId="7B6B1B86" w14:textId="7B2414E8" w:rsidR="00677423" w:rsidRPr="009407BA" w:rsidRDefault="0051374D" w:rsidP="00677423">
      <w:pPr>
        <w:spacing w:after="2" w:line="364" w:lineRule="auto"/>
        <w:ind w:left="0" w:right="0" w:firstLine="0"/>
        <w:rPr>
          <w:rFonts w:ascii="Times New Roman" w:hAnsi="Times New Roman" w:cs="Times New Roman"/>
          <w:sz w:val="24"/>
          <w:szCs w:val="24"/>
        </w:rPr>
      </w:pPr>
      <w:hyperlink r:id="rId26" w:history="1">
        <w:r w:rsidR="00677423" w:rsidRPr="009407BA">
          <w:rPr>
            <w:rStyle w:val="Hyperlink"/>
            <w:rFonts w:ascii="Times New Roman" w:hAnsi="Times New Roman" w:cs="Times New Roman"/>
            <w:sz w:val="24"/>
            <w:szCs w:val="24"/>
          </w:rPr>
          <w:t>https://www.researchgate.net/publication/378766654_Reflexive_Content_Analysis_An_Approach_to_Qualitative_Data_Analysis_Reduction_and_Description</w:t>
        </w:r>
      </w:hyperlink>
      <w:r w:rsidR="00677423" w:rsidRPr="009407BA">
        <w:rPr>
          <w:rFonts w:ascii="Times New Roman" w:hAnsi="Times New Roman" w:cs="Times New Roman"/>
          <w:sz w:val="24"/>
          <w:szCs w:val="24"/>
        </w:rPr>
        <w:t xml:space="preserve"> </w:t>
      </w:r>
    </w:p>
    <w:p w14:paraId="430E3D33" w14:textId="77777777" w:rsidR="00806EA8" w:rsidRPr="009407BA" w:rsidRDefault="005E353C" w:rsidP="00153890">
      <w:pPr>
        <w:numPr>
          <w:ilvl w:val="0"/>
          <w:numId w:val="2"/>
        </w:numPr>
        <w:spacing w:after="2" w:line="364"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OECD. (2021). </w:t>
      </w:r>
      <w:r w:rsidRPr="009407BA">
        <w:rPr>
          <w:rFonts w:ascii="Times New Roman" w:hAnsi="Times New Roman" w:cs="Times New Roman"/>
          <w:i/>
          <w:sz w:val="24"/>
          <w:szCs w:val="24"/>
        </w:rPr>
        <w:t>OECD–DAC evaluation criteria for international development evaluations.</w:t>
      </w:r>
      <w:r w:rsidRPr="009407BA">
        <w:rPr>
          <w:rFonts w:ascii="Times New Roman" w:hAnsi="Times New Roman" w:cs="Times New Roman"/>
          <w:sz w:val="24"/>
          <w:szCs w:val="24"/>
        </w:rPr>
        <w:t xml:space="preserve"> Organization for Economic Co-operation and Development. </w:t>
      </w:r>
      <w:hyperlink r:id="rId27">
        <w:r w:rsidRPr="009407BA">
          <w:rPr>
            <w:rFonts w:ascii="Times New Roman" w:hAnsi="Times New Roman" w:cs="Times New Roman"/>
            <w:color w:val="0563C1"/>
            <w:sz w:val="24"/>
            <w:szCs w:val="24"/>
            <w:u w:val="single" w:color="0563C1"/>
          </w:rPr>
          <w:t>https://www.oecd.org/en/topics/sub</w:t>
        </w:r>
      </w:hyperlink>
      <w:hyperlink r:id="rId28"/>
      <w:hyperlink r:id="rId29">
        <w:r w:rsidRPr="009407BA">
          <w:rPr>
            <w:rFonts w:ascii="Times New Roman" w:hAnsi="Times New Roman" w:cs="Times New Roman"/>
            <w:color w:val="0563C1"/>
            <w:sz w:val="24"/>
            <w:szCs w:val="24"/>
            <w:u w:val="single" w:color="0563C1"/>
          </w:rPr>
          <w:t>issues/development</w:t>
        </w:r>
      </w:hyperlink>
      <w:hyperlink r:id="rId30">
        <w:r w:rsidRPr="009407BA">
          <w:rPr>
            <w:rFonts w:ascii="Times New Roman" w:hAnsi="Times New Roman" w:cs="Times New Roman"/>
            <w:color w:val="0563C1"/>
            <w:sz w:val="24"/>
            <w:szCs w:val="24"/>
            <w:u w:val="single" w:color="0563C1"/>
          </w:rPr>
          <w:t>-</w:t>
        </w:r>
      </w:hyperlink>
      <w:hyperlink r:id="rId31">
        <w:r w:rsidRPr="009407BA">
          <w:rPr>
            <w:rFonts w:ascii="Times New Roman" w:hAnsi="Times New Roman" w:cs="Times New Roman"/>
            <w:color w:val="0563C1"/>
            <w:sz w:val="24"/>
            <w:szCs w:val="24"/>
            <w:u w:val="single" w:color="0563C1"/>
          </w:rPr>
          <w:t>co</w:t>
        </w:r>
      </w:hyperlink>
      <w:hyperlink r:id="rId32">
        <w:r w:rsidRPr="009407BA">
          <w:rPr>
            <w:rFonts w:ascii="Times New Roman" w:hAnsi="Times New Roman" w:cs="Times New Roman"/>
            <w:color w:val="0563C1"/>
            <w:sz w:val="24"/>
            <w:szCs w:val="24"/>
            <w:u w:val="single" w:color="0563C1"/>
          </w:rPr>
          <w:t>-</w:t>
        </w:r>
      </w:hyperlink>
      <w:hyperlink r:id="rId33">
        <w:r w:rsidRPr="009407BA">
          <w:rPr>
            <w:rFonts w:ascii="Times New Roman" w:hAnsi="Times New Roman" w:cs="Times New Roman"/>
            <w:color w:val="0563C1"/>
            <w:sz w:val="24"/>
            <w:szCs w:val="24"/>
            <w:u w:val="single" w:color="0563C1"/>
          </w:rPr>
          <w:t>operation</w:t>
        </w:r>
      </w:hyperlink>
      <w:hyperlink r:id="rId34">
        <w:r w:rsidRPr="009407BA">
          <w:rPr>
            <w:rFonts w:ascii="Times New Roman" w:hAnsi="Times New Roman" w:cs="Times New Roman"/>
            <w:color w:val="0563C1"/>
            <w:sz w:val="24"/>
            <w:szCs w:val="24"/>
            <w:u w:val="single" w:color="0563C1"/>
          </w:rPr>
          <w:t>-</w:t>
        </w:r>
      </w:hyperlink>
      <w:hyperlink r:id="rId35">
        <w:r w:rsidRPr="009407BA">
          <w:rPr>
            <w:rFonts w:ascii="Times New Roman" w:hAnsi="Times New Roman" w:cs="Times New Roman"/>
            <w:color w:val="0563C1"/>
            <w:sz w:val="24"/>
            <w:szCs w:val="24"/>
            <w:u w:val="single" w:color="0563C1"/>
          </w:rPr>
          <w:t>evaluation</w:t>
        </w:r>
      </w:hyperlink>
      <w:hyperlink r:id="rId36">
        <w:r w:rsidRPr="009407BA">
          <w:rPr>
            <w:rFonts w:ascii="Times New Roman" w:hAnsi="Times New Roman" w:cs="Times New Roman"/>
            <w:color w:val="0563C1"/>
            <w:sz w:val="24"/>
            <w:szCs w:val="24"/>
            <w:u w:val="single" w:color="0563C1"/>
          </w:rPr>
          <w:t>-</w:t>
        </w:r>
      </w:hyperlink>
      <w:hyperlink r:id="rId37">
        <w:r w:rsidRPr="009407BA">
          <w:rPr>
            <w:rFonts w:ascii="Times New Roman" w:hAnsi="Times New Roman" w:cs="Times New Roman"/>
            <w:color w:val="0563C1"/>
            <w:sz w:val="24"/>
            <w:szCs w:val="24"/>
            <w:u w:val="single" w:color="0563C1"/>
          </w:rPr>
          <w:t>and</w:t>
        </w:r>
      </w:hyperlink>
      <w:hyperlink r:id="rId38">
        <w:r w:rsidRPr="009407BA">
          <w:rPr>
            <w:rFonts w:ascii="Times New Roman" w:hAnsi="Times New Roman" w:cs="Times New Roman"/>
            <w:color w:val="0563C1"/>
            <w:sz w:val="24"/>
            <w:szCs w:val="24"/>
            <w:u w:val="single" w:color="0563C1"/>
          </w:rPr>
          <w:t>-</w:t>
        </w:r>
      </w:hyperlink>
      <w:hyperlink r:id="rId39">
        <w:r w:rsidRPr="009407BA">
          <w:rPr>
            <w:rFonts w:ascii="Times New Roman" w:hAnsi="Times New Roman" w:cs="Times New Roman"/>
            <w:color w:val="0563C1"/>
            <w:sz w:val="24"/>
            <w:szCs w:val="24"/>
            <w:u w:val="single" w:color="0563C1"/>
          </w:rPr>
          <w:t>effectiveness/evaluation</w:t>
        </w:r>
      </w:hyperlink>
      <w:hyperlink r:id="rId40">
        <w:r w:rsidRPr="009407BA">
          <w:rPr>
            <w:rFonts w:ascii="Times New Roman" w:hAnsi="Times New Roman" w:cs="Times New Roman"/>
            <w:color w:val="0563C1"/>
            <w:sz w:val="24"/>
            <w:szCs w:val="24"/>
            <w:u w:val="single" w:color="0563C1"/>
          </w:rPr>
          <w:t>-</w:t>
        </w:r>
      </w:hyperlink>
      <w:hyperlink r:id="rId41">
        <w:r w:rsidRPr="009407BA">
          <w:rPr>
            <w:rFonts w:ascii="Times New Roman" w:hAnsi="Times New Roman" w:cs="Times New Roman"/>
            <w:color w:val="0563C1"/>
            <w:sz w:val="24"/>
            <w:szCs w:val="24"/>
            <w:u w:val="single" w:color="0563C1"/>
          </w:rPr>
          <w:t>criteria.html</w:t>
        </w:r>
      </w:hyperlink>
      <w:hyperlink r:id="rId42">
        <w:r w:rsidRPr="009407BA">
          <w:rPr>
            <w:rFonts w:ascii="Times New Roman" w:hAnsi="Times New Roman" w:cs="Times New Roman"/>
            <w:sz w:val="24"/>
            <w:szCs w:val="24"/>
          </w:rPr>
          <w:t xml:space="preserve"> </w:t>
        </w:r>
      </w:hyperlink>
    </w:p>
    <w:p w14:paraId="144EB72E" w14:textId="77777777" w:rsidR="00806EA8" w:rsidRPr="009407BA" w:rsidRDefault="005E353C" w:rsidP="00153890">
      <w:pPr>
        <w:numPr>
          <w:ilvl w:val="0"/>
          <w:numId w:val="2"/>
        </w:numPr>
        <w:spacing w:line="362"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Opare</w:t>
      </w:r>
      <w:proofErr w:type="spellEnd"/>
      <w:r w:rsidRPr="009407BA">
        <w:rPr>
          <w:rFonts w:ascii="Times New Roman" w:hAnsi="Times New Roman" w:cs="Times New Roman"/>
          <w:sz w:val="24"/>
          <w:szCs w:val="24"/>
        </w:rPr>
        <w:t xml:space="preserve">, J. K., Afari, E., </w:t>
      </w:r>
      <w:proofErr w:type="spellStart"/>
      <w:r w:rsidRPr="009407BA">
        <w:rPr>
          <w:rFonts w:ascii="Times New Roman" w:hAnsi="Times New Roman" w:cs="Times New Roman"/>
          <w:sz w:val="24"/>
          <w:szCs w:val="24"/>
        </w:rPr>
        <w:t>Wurapa</w:t>
      </w:r>
      <w:proofErr w:type="spellEnd"/>
      <w:r w:rsidRPr="009407BA">
        <w:rPr>
          <w:rFonts w:ascii="Times New Roman" w:hAnsi="Times New Roman" w:cs="Times New Roman"/>
          <w:sz w:val="24"/>
          <w:szCs w:val="24"/>
        </w:rPr>
        <w:t xml:space="preserve">, F., </w:t>
      </w:r>
      <w:proofErr w:type="spellStart"/>
      <w:r w:rsidRPr="009407BA">
        <w:rPr>
          <w:rFonts w:ascii="Times New Roman" w:hAnsi="Times New Roman" w:cs="Times New Roman"/>
          <w:sz w:val="24"/>
          <w:szCs w:val="24"/>
        </w:rPr>
        <w:t>Ohuabunwo</w:t>
      </w:r>
      <w:proofErr w:type="spellEnd"/>
      <w:r w:rsidRPr="009407BA">
        <w:rPr>
          <w:rFonts w:ascii="Times New Roman" w:hAnsi="Times New Roman" w:cs="Times New Roman"/>
          <w:sz w:val="24"/>
          <w:szCs w:val="24"/>
        </w:rPr>
        <w:t xml:space="preserve">, C., Sackey, S., Kye-Duodu, G., </w:t>
      </w:r>
      <w:proofErr w:type="spellStart"/>
      <w:r w:rsidRPr="009407BA">
        <w:rPr>
          <w:rFonts w:ascii="Times New Roman" w:hAnsi="Times New Roman" w:cs="Times New Roman"/>
          <w:sz w:val="24"/>
          <w:szCs w:val="24"/>
        </w:rPr>
        <w:t>Ameme</w:t>
      </w:r>
      <w:proofErr w:type="spellEnd"/>
      <w:r w:rsidRPr="009407BA">
        <w:rPr>
          <w:rFonts w:ascii="Times New Roman" w:hAnsi="Times New Roman" w:cs="Times New Roman"/>
          <w:sz w:val="24"/>
          <w:szCs w:val="24"/>
        </w:rPr>
        <w:t xml:space="preserve">, D., Abankwah, J., </w:t>
      </w:r>
      <w:proofErr w:type="spellStart"/>
      <w:r w:rsidRPr="009407BA">
        <w:rPr>
          <w:rFonts w:ascii="Times New Roman" w:hAnsi="Times New Roman" w:cs="Times New Roman"/>
          <w:sz w:val="24"/>
          <w:szCs w:val="24"/>
        </w:rPr>
        <w:t>Kyeiwa</w:t>
      </w:r>
      <w:proofErr w:type="spellEnd"/>
      <w:r w:rsidRPr="009407BA">
        <w:rPr>
          <w:rFonts w:ascii="Times New Roman" w:hAnsi="Times New Roman" w:cs="Times New Roman"/>
          <w:sz w:val="24"/>
          <w:szCs w:val="24"/>
        </w:rPr>
        <w:t xml:space="preserve">-Asante, D., </w:t>
      </w:r>
      <w:proofErr w:type="spellStart"/>
      <w:r w:rsidRPr="009407BA">
        <w:rPr>
          <w:rFonts w:ascii="Times New Roman" w:hAnsi="Times New Roman" w:cs="Times New Roman"/>
          <w:sz w:val="24"/>
          <w:szCs w:val="24"/>
        </w:rPr>
        <w:t>Tornyeli</w:t>
      </w:r>
      <w:proofErr w:type="spellEnd"/>
      <w:r w:rsidRPr="009407BA">
        <w:rPr>
          <w:rFonts w:ascii="Times New Roman" w:hAnsi="Times New Roman" w:cs="Times New Roman"/>
          <w:sz w:val="24"/>
          <w:szCs w:val="24"/>
        </w:rPr>
        <w:t>, K., Boamah, P., Amankwah, J., &amp; Opare, O. S. (2013). Gastroenteritis outbreak in a senior high school, Akwapim North District, Eastern Region-Ghana, 2012</w:t>
      </w:r>
      <w:r w:rsidRPr="009407BA">
        <w:rPr>
          <w:rFonts w:ascii="Times New Roman" w:hAnsi="Times New Roman" w:cs="Times New Roman"/>
          <w:i/>
          <w:sz w:val="24"/>
          <w:szCs w:val="24"/>
        </w:rPr>
        <w:t>.</w:t>
      </w: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International Journal of Tropical Diseases and Health, 3</w:t>
      </w:r>
      <w:r w:rsidRPr="009407BA">
        <w:rPr>
          <w:rFonts w:ascii="Times New Roman" w:hAnsi="Times New Roman" w:cs="Times New Roman"/>
          <w:sz w:val="24"/>
          <w:szCs w:val="24"/>
        </w:rPr>
        <w:t xml:space="preserve">, 210–216. </w:t>
      </w:r>
    </w:p>
    <w:p w14:paraId="6FD11B2E" w14:textId="136336DC" w:rsidR="00226BC9" w:rsidRPr="009407BA" w:rsidRDefault="00226BC9" w:rsidP="00153890">
      <w:pPr>
        <w:numPr>
          <w:ilvl w:val="0"/>
          <w:numId w:val="2"/>
        </w:numPr>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Ahiabor</w:t>
      </w:r>
      <w:proofErr w:type="spellEnd"/>
      <w:r w:rsidRPr="009407BA">
        <w:rPr>
          <w:rFonts w:ascii="Times New Roman" w:hAnsi="Times New Roman" w:cs="Times New Roman"/>
          <w:sz w:val="24"/>
          <w:szCs w:val="24"/>
        </w:rPr>
        <w:t xml:space="preserve">, W. K. A., </w:t>
      </w:r>
      <w:proofErr w:type="spellStart"/>
      <w:r w:rsidRPr="009407BA">
        <w:rPr>
          <w:rFonts w:ascii="Times New Roman" w:hAnsi="Times New Roman" w:cs="Times New Roman"/>
          <w:sz w:val="24"/>
          <w:szCs w:val="24"/>
        </w:rPr>
        <w:t>Kotey</w:t>
      </w:r>
      <w:proofErr w:type="spellEnd"/>
      <w:r w:rsidRPr="009407BA">
        <w:rPr>
          <w:rFonts w:ascii="Times New Roman" w:hAnsi="Times New Roman" w:cs="Times New Roman"/>
          <w:sz w:val="24"/>
          <w:szCs w:val="24"/>
        </w:rPr>
        <w:t>, F. C. N., Tetteh-</w:t>
      </w:r>
      <w:proofErr w:type="spellStart"/>
      <w:r w:rsidRPr="009407BA">
        <w:rPr>
          <w:rFonts w:ascii="Times New Roman" w:hAnsi="Times New Roman" w:cs="Times New Roman"/>
          <w:sz w:val="24"/>
          <w:szCs w:val="24"/>
        </w:rPr>
        <w:t>Quarcoo</w:t>
      </w:r>
      <w:proofErr w:type="spellEnd"/>
      <w:r w:rsidRPr="009407BA">
        <w:rPr>
          <w:rFonts w:ascii="Times New Roman" w:hAnsi="Times New Roman" w:cs="Times New Roman"/>
          <w:sz w:val="24"/>
          <w:szCs w:val="24"/>
        </w:rPr>
        <w:t xml:space="preserve">, P. B., &amp; Donkor, E. S. (2024). Foodborne microbiological hazards in Ghana: A scoping review. </w:t>
      </w:r>
      <w:r w:rsidRPr="009407BA">
        <w:rPr>
          <w:rStyle w:val="Emphasis"/>
          <w:rFonts w:ascii="Times New Roman" w:hAnsi="Times New Roman" w:cs="Times New Roman"/>
          <w:sz w:val="24"/>
          <w:szCs w:val="24"/>
        </w:rPr>
        <w:t>Environmental Health Insights, 18</w:t>
      </w:r>
      <w:r w:rsidRPr="009407BA">
        <w:rPr>
          <w:rFonts w:ascii="Times New Roman" w:hAnsi="Times New Roman" w:cs="Times New Roman"/>
          <w:sz w:val="24"/>
          <w:szCs w:val="24"/>
        </w:rPr>
        <w:t xml:space="preserve">, 1–12. </w:t>
      </w:r>
      <w:hyperlink r:id="rId43" w:history="1">
        <w:r w:rsidRPr="009407BA">
          <w:rPr>
            <w:rStyle w:val="Hyperlink"/>
            <w:rFonts w:ascii="Times New Roman" w:hAnsi="Times New Roman" w:cs="Times New Roman"/>
            <w:sz w:val="24"/>
            <w:szCs w:val="24"/>
          </w:rPr>
          <w:t>https://doi.org/10.1177/11786302241260485</w:t>
        </w:r>
      </w:hyperlink>
    </w:p>
    <w:p w14:paraId="179E641F" w14:textId="72A88C29" w:rsidR="00862AC8" w:rsidRPr="00862AC8" w:rsidRDefault="005E353C" w:rsidP="00862AC8">
      <w:pPr>
        <w:numPr>
          <w:ilvl w:val="0"/>
          <w:numId w:val="2"/>
        </w:numPr>
        <w:ind w:left="0" w:right="0" w:hanging="360"/>
        <w:rPr>
          <w:rFonts w:ascii="Times New Roman" w:hAnsi="Times New Roman" w:cs="Times New Roman"/>
          <w:sz w:val="24"/>
          <w:szCs w:val="24"/>
        </w:rPr>
      </w:pPr>
      <w:r w:rsidRPr="009407BA">
        <w:rPr>
          <w:rFonts w:ascii="Times New Roman" w:hAnsi="Times New Roman" w:cs="Times New Roman"/>
          <w:i/>
          <w:sz w:val="24"/>
          <w:szCs w:val="24"/>
        </w:rPr>
        <w:t xml:space="preserve">National Association of School Nurses, (2019). </w:t>
      </w:r>
      <w:r w:rsidRPr="009407BA">
        <w:rPr>
          <w:rFonts w:ascii="Times New Roman" w:hAnsi="Times New Roman" w:cs="Times New Roman"/>
          <w:sz w:val="24"/>
          <w:szCs w:val="24"/>
        </w:rPr>
        <w:t xml:space="preserve">Emergency Preparedness (Position Statement). Silver Spring MD retrieved from </w:t>
      </w:r>
      <w:hyperlink r:id="rId44" w:history="1">
        <w:r w:rsidR="00862AC8" w:rsidRPr="001D5D12">
          <w:rPr>
            <w:rStyle w:val="Hyperlink"/>
          </w:rPr>
          <w:t>https://files.eric.ed.gov/fulltext/ED600910.pdf</w:t>
        </w:r>
      </w:hyperlink>
      <w:r w:rsidR="00862AC8">
        <w:t xml:space="preserve"> </w:t>
      </w:r>
    </w:p>
    <w:p w14:paraId="70F93971" w14:textId="77777777" w:rsidR="00862AC8" w:rsidRDefault="00862AC8" w:rsidP="00862AC8">
      <w:pPr>
        <w:ind w:left="0" w:right="0" w:firstLine="0"/>
        <w:rPr>
          <w:rFonts w:ascii="Times New Roman" w:hAnsi="Times New Roman" w:cs="Times New Roman"/>
          <w:sz w:val="24"/>
          <w:szCs w:val="24"/>
        </w:rPr>
      </w:pPr>
    </w:p>
    <w:p w14:paraId="69D7F333" w14:textId="77777777" w:rsidR="00862AC8" w:rsidRDefault="005E353C" w:rsidP="00153890">
      <w:pPr>
        <w:numPr>
          <w:ilvl w:val="0"/>
          <w:numId w:val="2"/>
        </w:numPr>
        <w:spacing w:line="361"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Cagginello</w:t>
      </w:r>
      <w:proofErr w:type="spellEnd"/>
      <w:r w:rsidRPr="009407BA">
        <w:rPr>
          <w:rFonts w:ascii="Times New Roman" w:hAnsi="Times New Roman" w:cs="Times New Roman"/>
          <w:sz w:val="24"/>
          <w:szCs w:val="24"/>
        </w:rPr>
        <w:t xml:space="preserve">, J. B., Clark, S., Compton, L., Davis, C., Healy, M., Hoffmann, S., Tuck, C. M., &amp; Christine, M. (2011). </w:t>
      </w:r>
      <w:r w:rsidRPr="009407BA">
        <w:rPr>
          <w:rFonts w:ascii="Times New Roman" w:hAnsi="Times New Roman" w:cs="Times New Roman"/>
          <w:i/>
          <w:sz w:val="24"/>
          <w:szCs w:val="24"/>
        </w:rPr>
        <w:t>Emergency preparedness: The role of the school nurse (Position statement).</w:t>
      </w:r>
      <w:r w:rsidRPr="009407BA">
        <w:rPr>
          <w:rFonts w:ascii="Times New Roman" w:hAnsi="Times New Roman" w:cs="Times New Roman"/>
          <w:sz w:val="24"/>
          <w:szCs w:val="24"/>
        </w:rPr>
        <w:t xml:space="preserve"> National Association of School Nurses. </w:t>
      </w:r>
    </w:p>
    <w:p w14:paraId="3B334760" w14:textId="1C99E06B" w:rsidR="00806EA8" w:rsidRPr="009407BA" w:rsidRDefault="0051374D" w:rsidP="00862AC8">
      <w:pPr>
        <w:spacing w:line="361" w:lineRule="auto"/>
        <w:ind w:left="0" w:right="0" w:firstLine="0"/>
        <w:rPr>
          <w:rFonts w:ascii="Times New Roman" w:hAnsi="Times New Roman" w:cs="Times New Roman"/>
          <w:sz w:val="24"/>
          <w:szCs w:val="24"/>
        </w:rPr>
      </w:pPr>
      <w:hyperlink r:id="rId45" w:history="1">
        <w:r w:rsidR="00862AC8" w:rsidRPr="00652A40">
          <w:rPr>
            <w:color w:val="0563C1" w:themeColor="hyperlink"/>
            <w:u w:val="single"/>
          </w:rPr>
          <w:t>https://www.semanticscholar.org/paper/Emergency-Preparedness--The-Role-of-the-School-Cagginello-Clark/e8a8e39d8dfbac6737e4963266c5f1a6c290427c</w:t>
        </w:r>
      </w:hyperlink>
    </w:p>
    <w:p w14:paraId="3945F429" w14:textId="77777777" w:rsidR="00806EA8" w:rsidRPr="009407BA" w:rsidRDefault="005E353C" w:rsidP="00153890">
      <w:pPr>
        <w:numPr>
          <w:ilvl w:val="0"/>
          <w:numId w:val="2"/>
        </w:numPr>
        <w:spacing w:line="363"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Chang, C. Y., </w:t>
      </w:r>
      <w:proofErr w:type="spellStart"/>
      <w:r w:rsidRPr="009407BA">
        <w:rPr>
          <w:rFonts w:ascii="Times New Roman" w:hAnsi="Times New Roman" w:cs="Times New Roman"/>
          <w:sz w:val="24"/>
          <w:szCs w:val="24"/>
        </w:rPr>
        <w:t>Abujaber</w:t>
      </w:r>
      <w:proofErr w:type="spellEnd"/>
      <w:r w:rsidRPr="009407BA">
        <w:rPr>
          <w:rFonts w:ascii="Times New Roman" w:hAnsi="Times New Roman" w:cs="Times New Roman"/>
          <w:sz w:val="24"/>
          <w:szCs w:val="24"/>
        </w:rPr>
        <w:t>, S., Reynolds, T. A., Camargo, C. A., Jr., &amp; Obermeyer, Z. (2016). The burden of emergency conditions and emergency care usage: new estimates from 40 countries</w:t>
      </w:r>
      <w:r w:rsidRPr="009407BA">
        <w:rPr>
          <w:rFonts w:ascii="Times New Roman" w:hAnsi="Times New Roman" w:cs="Times New Roman"/>
          <w:i/>
          <w:sz w:val="24"/>
          <w:szCs w:val="24"/>
        </w:rPr>
        <w:t>.</w:t>
      </w: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Emergency Medicine Journal, 33</w:t>
      </w:r>
      <w:r w:rsidRPr="009407BA">
        <w:rPr>
          <w:rFonts w:ascii="Times New Roman" w:hAnsi="Times New Roman" w:cs="Times New Roman"/>
          <w:sz w:val="24"/>
          <w:szCs w:val="24"/>
        </w:rPr>
        <w:t xml:space="preserve">(11), 794–800. </w:t>
      </w:r>
    </w:p>
    <w:p w14:paraId="4BB48AE8" w14:textId="5BD6F6A5" w:rsidR="00806EA8" w:rsidRPr="009407BA" w:rsidRDefault="005E353C" w:rsidP="00153890">
      <w:pPr>
        <w:numPr>
          <w:ilvl w:val="0"/>
          <w:numId w:val="2"/>
        </w:numPr>
        <w:spacing w:line="362"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lastRenderedPageBreak/>
        <w:t xml:space="preserve">Jin, Y., </w:t>
      </w:r>
      <w:proofErr w:type="spellStart"/>
      <w:r w:rsidRPr="009407BA">
        <w:rPr>
          <w:rFonts w:ascii="Times New Roman" w:hAnsi="Times New Roman" w:cs="Times New Roman"/>
          <w:sz w:val="24"/>
          <w:szCs w:val="24"/>
        </w:rPr>
        <w:t>Maimaitiming</w:t>
      </w:r>
      <w:proofErr w:type="spellEnd"/>
      <w:r w:rsidRPr="009407BA">
        <w:rPr>
          <w:rFonts w:ascii="Times New Roman" w:hAnsi="Times New Roman" w:cs="Times New Roman"/>
          <w:sz w:val="24"/>
          <w:szCs w:val="24"/>
        </w:rPr>
        <w:t xml:space="preserve">, M., Li, J., van Hoving, D. J., &amp; Yuan, B. (2023). </w:t>
      </w:r>
      <w:r w:rsidRPr="009407BA">
        <w:rPr>
          <w:rFonts w:ascii="Times New Roman" w:hAnsi="Times New Roman" w:cs="Times New Roman"/>
          <w:i/>
          <w:sz w:val="24"/>
          <w:szCs w:val="24"/>
        </w:rPr>
        <w:t>Coordination of care to improve outcomes of emergency medical services</w:t>
      </w:r>
      <w:r w:rsidRPr="009407BA">
        <w:rPr>
          <w:rFonts w:ascii="Times New Roman" w:hAnsi="Times New Roman" w:cs="Times New Roman"/>
          <w:sz w:val="24"/>
          <w:szCs w:val="24"/>
        </w:rPr>
        <w:t xml:space="preserve"> (Protocol). </w:t>
      </w:r>
      <w:r w:rsidRPr="009407BA">
        <w:rPr>
          <w:rFonts w:ascii="Times New Roman" w:hAnsi="Times New Roman" w:cs="Times New Roman"/>
          <w:i/>
          <w:sz w:val="24"/>
          <w:szCs w:val="24"/>
        </w:rPr>
        <w:t>Cochrane Database of Systematic Reviews</w:t>
      </w:r>
      <w:r w:rsidRPr="009407BA">
        <w:rPr>
          <w:rFonts w:ascii="Times New Roman" w:hAnsi="Times New Roman" w:cs="Times New Roman"/>
          <w:sz w:val="24"/>
          <w:szCs w:val="24"/>
        </w:rPr>
        <w:t xml:space="preserve">, 2023(3), Article CD015316. </w:t>
      </w:r>
    </w:p>
    <w:p w14:paraId="6841C118" w14:textId="77777777" w:rsidR="00806EA8" w:rsidRPr="009407BA" w:rsidRDefault="005E353C" w:rsidP="00153890">
      <w:pPr>
        <w:numPr>
          <w:ilvl w:val="0"/>
          <w:numId w:val="2"/>
        </w:numPr>
        <w:spacing w:after="88" w:line="361"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World Health Organization (2018)</w:t>
      </w:r>
      <w:r w:rsidRPr="009407BA">
        <w:rPr>
          <w:rFonts w:ascii="Times New Roman" w:hAnsi="Times New Roman" w:cs="Times New Roman"/>
          <w:i/>
          <w:sz w:val="24"/>
          <w:szCs w:val="24"/>
        </w:rPr>
        <w:t xml:space="preserve"> Primary health care and health emergencies. Technical Series on Primary Health Care. Department of Service Delivery and Safety, WHO headquarters, Geneva, Switzerland.</w:t>
      </w:r>
      <w:r w:rsidRPr="009407BA">
        <w:rPr>
          <w:rFonts w:ascii="Times New Roman" w:hAnsi="Times New Roman" w:cs="Times New Roman"/>
          <w:sz w:val="24"/>
          <w:szCs w:val="24"/>
        </w:rPr>
        <w:t xml:space="preserve"> </w:t>
      </w:r>
    </w:p>
    <w:p w14:paraId="47FFA8CB" w14:textId="45C0E9F0" w:rsidR="00806EA8" w:rsidRPr="009407BA" w:rsidRDefault="005E353C" w:rsidP="00E15D14">
      <w:pPr>
        <w:numPr>
          <w:ilvl w:val="0"/>
          <w:numId w:val="3"/>
        </w:numPr>
        <w:spacing w:after="107"/>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Ministry of Health (2016) MOH Accident and Emergency Services Policy and Guidelines </w:t>
      </w:r>
      <w:hyperlink r:id="rId46">
        <w:r w:rsidRPr="009407BA">
          <w:rPr>
            <w:rFonts w:ascii="Times New Roman" w:hAnsi="Times New Roman" w:cs="Times New Roman"/>
            <w:color w:val="0563C1"/>
            <w:sz w:val="24"/>
            <w:szCs w:val="24"/>
            <w:u w:val="single" w:color="0563C1"/>
          </w:rPr>
          <w:t>https://www.moh.gov.gh/wp</w:t>
        </w:r>
      </w:hyperlink>
      <w:hyperlink r:id="rId47">
        <w:r w:rsidRPr="009407BA">
          <w:rPr>
            <w:rFonts w:ascii="Times New Roman" w:hAnsi="Times New Roman" w:cs="Times New Roman"/>
            <w:color w:val="0563C1"/>
            <w:sz w:val="24"/>
            <w:szCs w:val="24"/>
            <w:u w:val="single" w:color="0563C1"/>
          </w:rPr>
          <w:t>-</w:t>
        </w:r>
      </w:hyperlink>
      <w:hyperlink r:id="rId48">
        <w:r w:rsidRPr="009407BA">
          <w:rPr>
            <w:rFonts w:ascii="Times New Roman" w:hAnsi="Times New Roman" w:cs="Times New Roman"/>
            <w:color w:val="0563C1"/>
            <w:sz w:val="24"/>
            <w:szCs w:val="24"/>
            <w:u w:val="single" w:color="0563C1"/>
          </w:rPr>
          <w:t>content/2016/02/guidelines</w:t>
        </w:r>
      </w:hyperlink>
      <w:hyperlink r:id="rId49">
        <w:r w:rsidRPr="009407BA">
          <w:rPr>
            <w:rFonts w:ascii="Times New Roman" w:hAnsi="Times New Roman" w:cs="Times New Roman"/>
            <w:color w:val="0563C1"/>
            <w:sz w:val="24"/>
            <w:szCs w:val="24"/>
            <w:u w:val="single" w:color="0563C1"/>
          </w:rPr>
          <w:t>-</w:t>
        </w:r>
      </w:hyperlink>
      <w:hyperlink r:id="rId50">
        <w:r w:rsidRPr="009407BA">
          <w:rPr>
            <w:rFonts w:ascii="Times New Roman" w:hAnsi="Times New Roman" w:cs="Times New Roman"/>
            <w:color w:val="0563C1"/>
            <w:sz w:val="24"/>
            <w:szCs w:val="24"/>
            <w:u w:val="single" w:color="0563C1"/>
          </w:rPr>
          <w:t>for</w:t>
        </w:r>
      </w:hyperlink>
      <w:hyperlink r:id="rId51">
        <w:r w:rsidRPr="009407BA">
          <w:rPr>
            <w:rFonts w:ascii="Times New Roman" w:hAnsi="Times New Roman" w:cs="Times New Roman"/>
            <w:color w:val="0563C1"/>
            <w:sz w:val="24"/>
            <w:szCs w:val="24"/>
            <w:u w:val="single" w:color="0563C1"/>
          </w:rPr>
          <w:t>-</w:t>
        </w:r>
      </w:hyperlink>
      <w:hyperlink r:id="rId52">
        <w:r w:rsidRPr="009407BA">
          <w:rPr>
            <w:rFonts w:ascii="Times New Roman" w:hAnsi="Times New Roman" w:cs="Times New Roman"/>
            <w:color w:val="0563C1"/>
            <w:sz w:val="24"/>
            <w:szCs w:val="24"/>
            <w:u w:val="single" w:color="0563C1"/>
          </w:rPr>
          <w:t>strenghening</w:t>
        </w:r>
      </w:hyperlink>
      <w:hyperlink r:id="rId53">
        <w:r w:rsidRPr="009407BA">
          <w:rPr>
            <w:rFonts w:ascii="Times New Roman" w:hAnsi="Times New Roman" w:cs="Times New Roman"/>
            <w:color w:val="0563C1"/>
            <w:sz w:val="24"/>
            <w:szCs w:val="24"/>
            <w:u w:val="single" w:color="0563C1"/>
          </w:rPr>
          <w:t>-</w:t>
        </w:r>
      </w:hyperlink>
      <w:hyperlink r:id="rId54">
        <w:r w:rsidRPr="009407BA">
          <w:rPr>
            <w:rFonts w:ascii="Times New Roman" w:hAnsi="Times New Roman" w:cs="Times New Roman"/>
            <w:color w:val="0563C1"/>
            <w:sz w:val="24"/>
            <w:szCs w:val="24"/>
            <w:u w:val="single" w:color="0563C1"/>
          </w:rPr>
          <w:t>AE</w:t>
        </w:r>
      </w:hyperlink>
      <w:hyperlink r:id="rId55">
        <w:r w:rsidRPr="009407BA">
          <w:rPr>
            <w:rFonts w:ascii="Times New Roman" w:hAnsi="Times New Roman" w:cs="Times New Roman"/>
            <w:color w:val="0563C1"/>
            <w:sz w:val="24"/>
            <w:szCs w:val="24"/>
            <w:u w:val="single" w:color="0563C1"/>
          </w:rPr>
          <w:t>-</w:t>
        </w:r>
      </w:hyperlink>
      <w:hyperlink r:id="rId56">
        <w:r w:rsidRPr="009407BA">
          <w:rPr>
            <w:rFonts w:ascii="Times New Roman" w:hAnsi="Times New Roman" w:cs="Times New Roman"/>
            <w:color w:val="0563C1"/>
            <w:sz w:val="24"/>
            <w:szCs w:val="24"/>
            <w:u w:val="single" w:color="0563C1"/>
          </w:rPr>
          <w:t>Service</w:t>
        </w:r>
      </w:hyperlink>
      <w:hyperlink r:id="rId57">
        <w:r w:rsidRPr="009407BA">
          <w:rPr>
            <w:rFonts w:ascii="Times New Roman" w:hAnsi="Times New Roman" w:cs="Times New Roman"/>
            <w:color w:val="0563C1"/>
            <w:sz w:val="24"/>
            <w:szCs w:val="24"/>
            <w:u w:val="single" w:color="0563C1"/>
          </w:rPr>
          <w:t>-</w:t>
        </w:r>
      </w:hyperlink>
      <w:hyperlink r:id="rId58">
        <w:r w:rsidRPr="009407BA">
          <w:rPr>
            <w:rFonts w:ascii="Times New Roman" w:hAnsi="Times New Roman" w:cs="Times New Roman"/>
            <w:color w:val="0563C1"/>
            <w:sz w:val="24"/>
            <w:szCs w:val="24"/>
            <w:u w:val="single" w:color="0563C1"/>
          </w:rPr>
          <w:t>in</w:t>
        </w:r>
      </w:hyperlink>
      <w:hyperlink r:id="rId59"/>
      <w:hyperlink r:id="rId60">
        <w:r w:rsidRPr="009407BA">
          <w:rPr>
            <w:rFonts w:ascii="Times New Roman" w:hAnsi="Times New Roman" w:cs="Times New Roman"/>
            <w:color w:val="0563C1"/>
            <w:sz w:val="24"/>
            <w:szCs w:val="24"/>
            <w:u w:val="single" w:color="0563C1"/>
          </w:rPr>
          <w:t>Hospital.pdf</w:t>
        </w:r>
      </w:hyperlink>
      <w:hyperlink r:id="rId61">
        <w:r w:rsidRPr="009407BA">
          <w:rPr>
            <w:rFonts w:ascii="Times New Roman" w:hAnsi="Times New Roman" w:cs="Times New Roman"/>
            <w:sz w:val="24"/>
            <w:szCs w:val="24"/>
          </w:rPr>
          <w:t xml:space="preserve"> </w:t>
        </w:r>
      </w:hyperlink>
    </w:p>
    <w:p w14:paraId="76A8474D" w14:textId="12D25FA0" w:rsidR="002B70E2" w:rsidRPr="009407BA" w:rsidRDefault="005E353C" w:rsidP="00B63528">
      <w:pPr>
        <w:numPr>
          <w:ilvl w:val="0"/>
          <w:numId w:val="3"/>
        </w:numPr>
        <w:spacing w:line="362"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Ministry of Health (2020). National Health Policy: Ensuring healthy lives for all. Revised Edition. </w:t>
      </w:r>
      <w:hyperlink r:id="rId62" w:history="1">
        <w:r w:rsidR="00862AC8" w:rsidRPr="008E293A">
          <w:rPr>
            <w:rStyle w:val="Hyperlink"/>
          </w:rPr>
          <w:t>https://extranet.who.int/countryplanningcycles/sites/default/files/public_file_rep/GHA_Ghana_National-Health-Policy-NHP_2020.pdf</w:t>
        </w:r>
      </w:hyperlink>
      <w:r w:rsidR="00862AC8">
        <w:t xml:space="preserve"> </w:t>
      </w:r>
    </w:p>
    <w:p w14:paraId="0F8C41EB" w14:textId="77777777" w:rsidR="00C96239" w:rsidRPr="009407BA" w:rsidRDefault="002B70E2" w:rsidP="00B63528">
      <w:pPr>
        <w:numPr>
          <w:ilvl w:val="0"/>
          <w:numId w:val="3"/>
        </w:numPr>
        <w:spacing w:after="189" w:line="362" w:lineRule="auto"/>
        <w:ind w:left="0" w:right="0" w:hanging="360"/>
        <w:rPr>
          <w:rFonts w:ascii="Times New Roman" w:hAnsi="Times New Roman" w:cs="Times New Roman"/>
          <w:sz w:val="24"/>
          <w:szCs w:val="24"/>
        </w:rPr>
      </w:pPr>
      <w:r w:rsidRPr="009407BA">
        <w:rPr>
          <w:rFonts w:ascii="Times New Roman" w:hAnsi="Times New Roman" w:cs="Times New Roman"/>
          <w:sz w:val="24"/>
          <w:szCs w:val="24"/>
        </w:rPr>
        <w:t xml:space="preserve">WASH Ghana. (2024). </w:t>
      </w:r>
      <w:r w:rsidRPr="009407BA">
        <w:rPr>
          <w:rFonts w:ascii="Times New Roman" w:hAnsi="Times New Roman" w:cs="Times New Roman"/>
          <w:i/>
          <w:iCs/>
          <w:sz w:val="24"/>
          <w:szCs w:val="24"/>
        </w:rPr>
        <w:t>Ghana Education Service - WASH in Schools Facilities Planning and Management Guide</w:t>
      </w:r>
      <w:r w:rsidRPr="009407BA">
        <w:rPr>
          <w:rFonts w:ascii="Times New Roman" w:hAnsi="Times New Roman" w:cs="Times New Roman"/>
          <w:sz w:val="24"/>
          <w:szCs w:val="24"/>
        </w:rPr>
        <w:t>.</w:t>
      </w:r>
      <w:hyperlink r:id="rId63" w:history="1">
        <w:r w:rsidRPr="009407BA">
          <w:rPr>
            <w:rStyle w:val="Hyperlink"/>
            <w:rFonts w:ascii="Times New Roman" w:hAnsi="Times New Roman" w:cs="Times New Roman"/>
            <w:sz w:val="24"/>
            <w:szCs w:val="24"/>
          </w:rPr>
          <w:t>https://washghana.org/wp-content/uploads/2024/06/GhanaEducationServiceWASHinSchoolsFacilitiesPlanningandManagementGuide.pdf</w:t>
        </w:r>
      </w:hyperlink>
      <w:r w:rsidRPr="009407BA">
        <w:rPr>
          <w:rFonts w:ascii="Times New Roman" w:hAnsi="Times New Roman" w:cs="Times New Roman"/>
          <w:sz w:val="24"/>
          <w:szCs w:val="24"/>
        </w:rPr>
        <w:t xml:space="preserve"> </w:t>
      </w:r>
    </w:p>
    <w:p w14:paraId="4C94FB7D" w14:textId="12C98F0B" w:rsidR="00806EA8" w:rsidRPr="009407BA" w:rsidRDefault="005E353C" w:rsidP="00B63528">
      <w:pPr>
        <w:numPr>
          <w:ilvl w:val="0"/>
          <w:numId w:val="3"/>
        </w:numPr>
        <w:spacing w:after="189" w:line="362" w:lineRule="auto"/>
        <w:ind w:left="0" w:right="0" w:hanging="360"/>
        <w:rPr>
          <w:rFonts w:ascii="Times New Roman" w:hAnsi="Times New Roman" w:cs="Times New Roman"/>
          <w:sz w:val="24"/>
          <w:szCs w:val="24"/>
        </w:rPr>
      </w:pPr>
      <w:proofErr w:type="spellStart"/>
      <w:r w:rsidRPr="009407BA">
        <w:rPr>
          <w:rFonts w:ascii="Times New Roman" w:hAnsi="Times New Roman" w:cs="Times New Roman"/>
          <w:sz w:val="24"/>
          <w:szCs w:val="24"/>
        </w:rPr>
        <w:t>Zanello</w:t>
      </w:r>
      <w:proofErr w:type="spellEnd"/>
      <w:r w:rsidRPr="009407BA">
        <w:rPr>
          <w:rFonts w:ascii="Times New Roman" w:hAnsi="Times New Roman" w:cs="Times New Roman"/>
          <w:sz w:val="24"/>
          <w:szCs w:val="24"/>
        </w:rPr>
        <w:t xml:space="preserve">, E., </w:t>
      </w:r>
      <w:proofErr w:type="spellStart"/>
      <w:r w:rsidRPr="009407BA">
        <w:rPr>
          <w:rFonts w:ascii="Times New Roman" w:hAnsi="Times New Roman" w:cs="Times New Roman"/>
          <w:sz w:val="24"/>
          <w:szCs w:val="24"/>
        </w:rPr>
        <w:t>Calugi</w:t>
      </w:r>
      <w:proofErr w:type="spellEnd"/>
      <w:r w:rsidRPr="009407BA">
        <w:rPr>
          <w:rFonts w:ascii="Times New Roman" w:hAnsi="Times New Roman" w:cs="Times New Roman"/>
          <w:sz w:val="24"/>
          <w:szCs w:val="24"/>
        </w:rPr>
        <w:t xml:space="preserve">, S., Rucci, P., Pieri, G., </w:t>
      </w:r>
      <w:proofErr w:type="spellStart"/>
      <w:r w:rsidRPr="009407BA">
        <w:rPr>
          <w:rFonts w:ascii="Times New Roman" w:hAnsi="Times New Roman" w:cs="Times New Roman"/>
          <w:sz w:val="24"/>
          <w:szCs w:val="24"/>
        </w:rPr>
        <w:t>Vandini</w:t>
      </w:r>
      <w:proofErr w:type="spellEnd"/>
      <w:r w:rsidRPr="009407BA">
        <w:rPr>
          <w:rFonts w:ascii="Times New Roman" w:hAnsi="Times New Roman" w:cs="Times New Roman"/>
          <w:sz w:val="24"/>
          <w:szCs w:val="24"/>
        </w:rPr>
        <w:t xml:space="preserve">, S., </w:t>
      </w:r>
      <w:proofErr w:type="spellStart"/>
      <w:r w:rsidRPr="009407BA">
        <w:rPr>
          <w:rFonts w:ascii="Times New Roman" w:hAnsi="Times New Roman" w:cs="Times New Roman"/>
          <w:sz w:val="24"/>
          <w:szCs w:val="24"/>
        </w:rPr>
        <w:t>Faldella</w:t>
      </w:r>
      <w:proofErr w:type="spellEnd"/>
      <w:r w:rsidRPr="009407BA">
        <w:rPr>
          <w:rFonts w:ascii="Times New Roman" w:hAnsi="Times New Roman" w:cs="Times New Roman"/>
          <w:sz w:val="24"/>
          <w:szCs w:val="24"/>
        </w:rPr>
        <w:t>, G., et al. (2015). Continuity of care in children with special health care needs: A qualitative study of family’s perspectives</w:t>
      </w:r>
      <w:r w:rsidRPr="009407BA">
        <w:rPr>
          <w:rFonts w:ascii="Times New Roman" w:hAnsi="Times New Roman" w:cs="Times New Roman"/>
          <w:i/>
          <w:sz w:val="24"/>
          <w:szCs w:val="24"/>
        </w:rPr>
        <w:t>.</w:t>
      </w:r>
      <w:r w:rsidRPr="009407BA">
        <w:rPr>
          <w:rFonts w:ascii="Times New Roman" w:hAnsi="Times New Roman" w:cs="Times New Roman"/>
          <w:sz w:val="24"/>
          <w:szCs w:val="24"/>
        </w:rPr>
        <w:t xml:space="preserve"> </w:t>
      </w:r>
      <w:r w:rsidRPr="009407BA">
        <w:rPr>
          <w:rFonts w:ascii="Times New Roman" w:hAnsi="Times New Roman" w:cs="Times New Roman"/>
          <w:i/>
          <w:sz w:val="24"/>
          <w:szCs w:val="24"/>
        </w:rPr>
        <w:t>Italian Journal of Pediatrics, 41</w:t>
      </w:r>
      <w:r w:rsidRPr="009407BA">
        <w:rPr>
          <w:rFonts w:ascii="Times New Roman" w:hAnsi="Times New Roman" w:cs="Times New Roman"/>
          <w:sz w:val="24"/>
          <w:szCs w:val="24"/>
        </w:rPr>
        <w:t xml:space="preserve">, 7. </w:t>
      </w:r>
    </w:p>
    <w:p w14:paraId="0A80BD49" w14:textId="77777777" w:rsidR="00806EA8" w:rsidRPr="009407BA" w:rsidRDefault="005E353C">
      <w:pPr>
        <w:spacing w:after="9565" w:line="259" w:lineRule="auto"/>
        <w:ind w:left="0" w:right="0" w:firstLine="0"/>
        <w:jc w:val="left"/>
        <w:rPr>
          <w:rFonts w:ascii="Times New Roman" w:hAnsi="Times New Roman" w:cs="Times New Roman"/>
          <w:sz w:val="24"/>
          <w:szCs w:val="24"/>
        </w:rPr>
      </w:pPr>
      <w:r w:rsidRPr="009407BA">
        <w:rPr>
          <w:rFonts w:ascii="Times New Roman" w:eastAsia="Calibri" w:hAnsi="Times New Roman" w:cs="Times New Roman"/>
          <w:sz w:val="24"/>
          <w:szCs w:val="24"/>
        </w:rPr>
        <w:t xml:space="preserve"> </w:t>
      </w:r>
    </w:p>
    <w:sectPr w:rsidR="00806EA8" w:rsidRPr="009407BA" w:rsidSect="00797459">
      <w:headerReference w:type="even" r:id="rId64"/>
      <w:headerReference w:type="default" r:id="rId65"/>
      <w:footerReference w:type="even" r:id="rId66"/>
      <w:footerReference w:type="default" r:id="rId67"/>
      <w:headerReference w:type="first" r:id="rId68"/>
      <w:footerReference w:type="first" r:id="rId69"/>
      <w:pgSz w:w="12240" w:h="15840"/>
      <w:pgMar w:top="1426" w:right="1608" w:bottom="978" w:left="1419"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B517" w14:textId="77777777" w:rsidR="0051374D" w:rsidRDefault="0051374D">
      <w:pPr>
        <w:spacing w:after="0" w:line="240" w:lineRule="auto"/>
      </w:pPr>
      <w:r>
        <w:separator/>
      </w:r>
    </w:p>
  </w:endnote>
  <w:endnote w:type="continuationSeparator" w:id="0">
    <w:p w14:paraId="61C21E90" w14:textId="77777777" w:rsidR="0051374D" w:rsidRDefault="0051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3383" w14:textId="77777777" w:rsidR="00B63528" w:rsidRDefault="00B63528">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111B86" wp14:editId="0A59DF04">
              <wp:simplePos x="0" y="0"/>
              <wp:positionH relativeFrom="page">
                <wp:posOffset>882701</wp:posOffset>
              </wp:positionH>
              <wp:positionV relativeFrom="page">
                <wp:posOffset>9248851</wp:posOffset>
              </wp:positionV>
              <wp:extent cx="6008879" cy="6097"/>
              <wp:effectExtent l="0" t="0" r="0" b="0"/>
              <wp:wrapSquare wrapText="bothSides"/>
              <wp:docPr id="13136" name="Group 13136"/>
              <wp:cNvGraphicFramePr/>
              <a:graphic xmlns:a="http://schemas.openxmlformats.org/drawingml/2006/main">
                <a:graphicData uri="http://schemas.microsoft.com/office/word/2010/wordprocessingGroup">
                  <wpg:wgp>
                    <wpg:cNvGrpSpPr/>
                    <wpg:grpSpPr>
                      <a:xfrm>
                        <a:off x="0" y="0"/>
                        <a:ext cx="6008879" cy="6097"/>
                        <a:chOff x="0" y="0"/>
                        <a:chExt cx="6008879" cy="6097"/>
                      </a:xfrm>
                    </wpg:grpSpPr>
                    <wps:wsp>
                      <wps:cNvPr id="13514" name="Shape 13514"/>
                      <wps:cNvSpPr/>
                      <wps:spPr>
                        <a:xfrm>
                          <a:off x="0" y="0"/>
                          <a:ext cx="6008879" cy="9144"/>
                        </a:xfrm>
                        <a:custGeom>
                          <a:avLst/>
                          <a:gdLst/>
                          <a:ahLst/>
                          <a:cxnLst/>
                          <a:rect l="0" t="0" r="0" b="0"/>
                          <a:pathLst>
                            <a:path w="6008879" h="9144">
                              <a:moveTo>
                                <a:pt x="0" y="0"/>
                              </a:moveTo>
                              <a:lnTo>
                                <a:pt x="6008879" y="0"/>
                              </a:lnTo>
                              <a:lnTo>
                                <a:pt x="60088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DE456BF" id="Group 13136" o:spid="_x0000_s1026" style="position:absolute;margin-left:69.5pt;margin-top:728.25pt;width:473.15pt;height:.5pt;z-index:251661312;mso-position-horizontal-relative:page;mso-position-vertical-relative:page" coordsize="60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">
              <v:shape id="Shape 13514" o:spid="_x0000_s1027" style="position:absolute;width:60088;height:91;visibility:visible;mso-wrap-style:square;v-text-anchor:top" coordsize="60088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nF8QA&#10;AADeAAAADwAAAGRycy9kb3ducmV2LnhtbERPTWvCQBC9F/wPywje6kZtRVJXESFQsJdE0euQnSZp&#10;s7NLdqsxv75bKHibx/uc9bY3rbhS5xvLCmbTBARxaXXDlYLTMXtegfABWWNrmRTcycN2M3paY6rt&#10;jXO6FqESMYR9igrqEFwqpS9rMuin1hFH7tN2BkOEXSV1h7cYblo5T5KlNNhwbKjR0b6m8rv4MQry&#10;49dgz8WF8kP2kZ0yN7h+Nyg1Gfe7NxCB+vAQ/7vfdZy/eJ29wN878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L5xfEAAAA3gAAAA8AAAAAAAAAAAAAAAAAmAIAAGRycy9k&#10;b3ducmV2LnhtbFBLBQYAAAAABAAEAPUAAACJAwAAAAA=&#10;" path="m,l6008879,r,9144l,9144,,e" fillcolor="#d9d9d9" stroked="f" strokeweight="0">
                <v:stroke miterlimit="83231f" joinstyle="miter"/>
                <v:path arrowok="t" textboxrect="0,0,6008879,9144"/>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p>
  <w:p w14:paraId="3E662618" w14:textId="77777777" w:rsidR="00B63528" w:rsidRDefault="00B6352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485635"/>
      <w:docPartObj>
        <w:docPartGallery w:val="Page Numbers (Bottom of Page)"/>
        <w:docPartUnique/>
      </w:docPartObj>
    </w:sdtPr>
    <w:sdtEndPr>
      <w:rPr>
        <w:color w:val="7F7F7F" w:themeColor="background1" w:themeShade="7F"/>
        <w:spacing w:val="60"/>
      </w:rPr>
    </w:sdtEndPr>
    <w:sdtContent>
      <w:p w14:paraId="24B96F12" w14:textId="77777777" w:rsidR="00B63528" w:rsidRDefault="00B635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2AC8" w:rsidRPr="00862AC8">
          <w:rPr>
            <w:b/>
            <w:bCs/>
            <w:noProof/>
          </w:rPr>
          <w:t>16</w:t>
        </w:r>
        <w:r>
          <w:rPr>
            <w:b/>
            <w:bCs/>
            <w:noProof/>
          </w:rPr>
          <w:fldChar w:fldCharType="end"/>
        </w:r>
        <w:r>
          <w:rPr>
            <w:b/>
            <w:bCs/>
          </w:rPr>
          <w:t xml:space="preserve"> | </w:t>
        </w:r>
        <w:r>
          <w:rPr>
            <w:color w:val="7F7F7F" w:themeColor="background1" w:themeShade="7F"/>
            <w:spacing w:val="60"/>
          </w:rPr>
          <w:t>Page</w:t>
        </w:r>
      </w:p>
    </w:sdtContent>
  </w:sdt>
  <w:p w14:paraId="78E6C24E" w14:textId="77777777" w:rsidR="00B63528" w:rsidRDefault="00B6352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0F9C" w14:textId="77777777" w:rsidR="00B63528" w:rsidRDefault="00B63528">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4CD4F55" wp14:editId="4369302B">
              <wp:simplePos x="0" y="0"/>
              <wp:positionH relativeFrom="page">
                <wp:posOffset>882701</wp:posOffset>
              </wp:positionH>
              <wp:positionV relativeFrom="page">
                <wp:posOffset>9248851</wp:posOffset>
              </wp:positionV>
              <wp:extent cx="6008879" cy="6097"/>
              <wp:effectExtent l="0" t="0" r="0" b="0"/>
              <wp:wrapSquare wrapText="bothSides"/>
              <wp:docPr id="13114" name="Group 13114"/>
              <wp:cNvGraphicFramePr/>
              <a:graphic xmlns:a="http://schemas.openxmlformats.org/drawingml/2006/main">
                <a:graphicData uri="http://schemas.microsoft.com/office/word/2010/wordprocessingGroup">
                  <wpg:wgp>
                    <wpg:cNvGrpSpPr/>
                    <wpg:grpSpPr>
                      <a:xfrm>
                        <a:off x="0" y="0"/>
                        <a:ext cx="6008879" cy="6097"/>
                        <a:chOff x="0" y="0"/>
                        <a:chExt cx="6008879" cy="6097"/>
                      </a:xfrm>
                    </wpg:grpSpPr>
                    <wps:wsp>
                      <wps:cNvPr id="13512" name="Shape 13512"/>
                      <wps:cNvSpPr/>
                      <wps:spPr>
                        <a:xfrm>
                          <a:off x="0" y="0"/>
                          <a:ext cx="6008879" cy="9144"/>
                        </a:xfrm>
                        <a:custGeom>
                          <a:avLst/>
                          <a:gdLst/>
                          <a:ahLst/>
                          <a:cxnLst/>
                          <a:rect l="0" t="0" r="0" b="0"/>
                          <a:pathLst>
                            <a:path w="6008879" h="9144">
                              <a:moveTo>
                                <a:pt x="0" y="0"/>
                              </a:moveTo>
                              <a:lnTo>
                                <a:pt x="6008879" y="0"/>
                              </a:lnTo>
                              <a:lnTo>
                                <a:pt x="60088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FABB753" id="Group 13114" o:spid="_x0000_s1026" style="position:absolute;margin-left:69.5pt;margin-top:728.25pt;width:473.15pt;height:.5pt;z-index:251663360;mso-position-horizontal-relative:page;mso-position-vertical-relative:page" coordsize="60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">
              <v:shape id="Shape 13512" o:spid="_x0000_s1027" style="position:absolute;width:60088;height:91;visibility:visible;mso-wrap-style:square;v-text-anchor:top" coordsize="60088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7a+MQA&#10;AADeAAAADwAAAGRycy9kb3ducmV2LnhtbERPTWvCQBC9F/oflin0VjdaKhJdRYRAob0kil6H7JhE&#10;s7NLdtU0v74rCN7m8T5nsepNK67U+caygvEoAUFcWt1wpWC3zT5mIHxA1thaJgV/5GG1fH1ZYKrt&#10;jXO6FqESMYR9igrqEFwqpS9rMuhH1hFH7mg7gyHCrpK6w1sMN62cJMlUGmw4NtToaFNTeS4uRkG+&#10;PQ12Xxwo/8l+s13mBtevB6Xe3/r1HESgPjzFD/e3jvM/v8YTuL8Tb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2vjEAAAA3gAAAA8AAAAAAAAAAAAAAAAAmAIAAGRycy9k&#10;b3ducmV2LnhtbFBLBQYAAAAABAAEAPUAAACJAwAAAAA=&#10;" path="m,l6008879,r,9144l,9144,,e" fillcolor="#d9d9d9" stroked="f" strokeweight="0">
                <v:stroke miterlimit="83231f" joinstyle="miter"/>
                <v:path arrowok="t" textboxrect="0,0,6008879,9144"/>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p>
  <w:p w14:paraId="3A829190" w14:textId="77777777" w:rsidR="00B63528" w:rsidRDefault="00B6352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4BE0" w14:textId="77777777" w:rsidR="0051374D" w:rsidRDefault="0051374D">
      <w:pPr>
        <w:spacing w:after="0" w:line="240" w:lineRule="auto"/>
      </w:pPr>
      <w:r>
        <w:separator/>
      </w:r>
    </w:p>
  </w:footnote>
  <w:footnote w:type="continuationSeparator" w:id="0">
    <w:p w14:paraId="1B4786FE" w14:textId="77777777" w:rsidR="0051374D" w:rsidRDefault="0051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E76F" w14:textId="522066F0" w:rsidR="00B63528" w:rsidRDefault="0051374D">
    <w:pPr>
      <w:pStyle w:val="Header"/>
    </w:pPr>
    <w:r>
      <w:rPr>
        <w:noProof/>
      </w:rPr>
      <w:pict w14:anchorId="2D708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7" o:spid="_x0000_s2050" type="#_x0000_t136" style="position:absolute;left:0;text-align:left;margin-left:0;margin-top:0;width:584.55pt;height:64.9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B24A" w14:textId="0BD029FB" w:rsidR="00B63528" w:rsidRDefault="0051374D">
    <w:pPr>
      <w:pStyle w:val="Header"/>
    </w:pPr>
    <w:r>
      <w:rPr>
        <w:noProof/>
      </w:rPr>
      <w:pict w14:anchorId="25D23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8" o:spid="_x0000_s2051" type="#_x0000_t136" style="position:absolute;left:0;text-align:left;margin-left:0;margin-top:0;width:584.55pt;height:64.9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EAD4" w14:textId="2159D4FE" w:rsidR="00B63528" w:rsidRDefault="0051374D">
    <w:pPr>
      <w:pStyle w:val="Header"/>
    </w:pPr>
    <w:r>
      <w:rPr>
        <w:noProof/>
      </w:rPr>
      <w:pict w14:anchorId="23A58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6" o:spid="_x0000_s2049" type="#_x0000_t136" style="position:absolute;left:0;text-align:left;margin-left:0;margin-top:0;width:584.55pt;height:64.9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20A"/>
    <w:multiLevelType w:val="hybridMultilevel"/>
    <w:tmpl w:val="B9881F40"/>
    <w:lvl w:ilvl="0" w:tplc="2018C488">
      <w:start w:val="1"/>
      <w:numFmt w:val="decimal"/>
      <w:lvlText w:val="%1."/>
      <w:lvlJc w:val="left"/>
      <w:pPr>
        <w:ind w:left="1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2429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B0D30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6E0E8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2877E">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44503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00F5D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54E5D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8651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F0BE2"/>
    <w:multiLevelType w:val="hybridMultilevel"/>
    <w:tmpl w:val="3E70A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C0278"/>
    <w:multiLevelType w:val="hybridMultilevel"/>
    <w:tmpl w:val="C8F86144"/>
    <w:lvl w:ilvl="0" w:tplc="D5F80E08">
      <w:start w:val="19"/>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2194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4A88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D0C5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E460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D6A60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EDFB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6488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586AF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594A60"/>
    <w:multiLevelType w:val="hybridMultilevel"/>
    <w:tmpl w:val="248C7CDE"/>
    <w:lvl w:ilvl="0" w:tplc="C9FE8E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6DF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9625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76F7B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43F0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6A9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16134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CC4D6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72F02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3B49A2"/>
    <w:multiLevelType w:val="multilevel"/>
    <w:tmpl w:val="3FDE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7715F"/>
    <w:multiLevelType w:val="multilevel"/>
    <w:tmpl w:val="111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8"/>
    <w:rsid w:val="000048EA"/>
    <w:rsid w:val="00052F76"/>
    <w:rsid w:val="00067B06"/>
    <w:rsid w:val="00095EC8"/>
    <w:rsid w:val="000B6040"/>
    <w:rsid w:val="000E1582"/>
    <w:rsid w:val="00135674"/>
    <w:rsid w:val="0015158F"/>
    <w:rsid w:val="00153890"/>
    <w:rsid w:val="00170CCA"/>
    <w:rsid w:val="00176B7F"/>
    <w:rsid w:val="001B4CDA"/>
    <w:rsid w:val="00210241"/>
    <w:rsid w:val="00226BC9"/>
    <w:rsid w:val="002A0553"/>
    <w:rsid w:val="002B70E2"/>
    <w:rsid w:val="002D246C"/>
    <w:rsid w:val="00303B2B"/>
    <w:rsid w:val="00331664"/>
    <w:rsid w:val="00352312"/>
    <w:rsid w:val="003A411F"/>
    <w:rsid w:val="003F2FE4"/>
    <w:rsid w:val="004051A5"/>
    <w:rsid w:val="0040531F"/>
    <w:rsid w:val="00427F4C"/>
    <w:rsid w:val="004604CA"/>
    <w:rsid w:val="0048634D"/>
    <w:rsid w:val="004E669B"/>
    <w:rsid w:val="004F2C45"/>
    <w:rsid w:val="0050225C"/>
    <w:rsid w:val="005120A9"/>
    <w:rsid w:val="0051374D"/>
    <w:rsid w:val="00536496"/>
    <w:rsid w:val="00542BB2"/>
    <w:rsid w:val="0056245F"/>
    <w:rsid w:val="00595E4D"/>
    <w:rsid w:val="005C2F37"/>
    <w:rsid w:val="005D404D"/>
    <w:rsid w:val="005E353C"/>
    <w:rsid w:val="00644048"/>
    <w:rsid w:val="00673897"/>
    <w:rsid w:val="00677423"/>
    <w:rsid w:val="00682821"/>
    <w:rsid w:val="006961FD"/>
    <w:rsid w:val="006B31FB"/>
    <w:rsid w:val="006C6F1B"/>
    <w:rsid w:val="007116A7"/>
    <w:rsid w:val="00741BFE"/>
    <w:rsid w:val="00762C49"/>
    <w:rsid w:val="00783235"/>
    <w:rsid w:val="00797459"/>
    <w:rsid w:val="007B54E8"/>
    <w:rsid w:val="00806EA8"/>
    <w:rsid w:val="0082070A"/>
    <w:rsid w:val="00857529"/>
    <w:rsid w:val="00861367"/>
    <w:rsid w:val="00862AC8"/>
    <w:rsid w:val="0086749D"/>
    <w:rsid w:val="008A09C8"/>
    <w:rsid w:val="008E02A7"/>
    <w:rsid w:val="009407BA"/>
    <w:rsid w:val="009B3F5C"/>
    <w:rsid w:val="009D0DFF"/>
    <w:rsid w:val="00AF4B7B"/>
    <w:rsid w:val="00B10E83"/>
    <w:rsid w:val="00B50678"/>
    <w:rsid w:val="00B63528"/>
    <w:rsid w:val="00B655AB"/>
    <w:rsid w:val="00B8324A"/>
    <w:rsid w:val="00B97123"/>
    <w:rsid w:val="00BC3ABE"/>
    <w:rsid w:val="00C11563"/>
    <w:rsid w:val="00C27522"/>
    <w:rsid w:val="00C92757"/>
    <w:rsid w:val="00C96239"/>
    <w:rsid w:val="00CF7650"/>
    <w:rsid w:val="00D13FC7"/>
    <w:rsid w:val="00E06F5C"/>
    <w:rsid w:val="00E15D14"/>
    <w:rsid w:val="00E443FE"/>
    <w:rsid w:val="00E50653"/>
    <w:rsid w:val="00FA6AA2"/>
    <w:rsid w:val="00FB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939A1"/>
  <w15:docId w15:val="{44642B93-3A06-452F-9747-E9FBB361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429" w:right="14"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429"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429"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1429" w:hanging="10"/>
      <w:outlineLvl w:val="2"/>
    </w:pPr>
    <w:rPr>
      <w:rFonts w:ascii="Arial" w:eastAsia="Arial" w:hAnsi="Arial" w:cs="Arial"/>
      <w:b/>
      <w:color w:val="000000"/>
      <w:sz w:val="20"/>
    </w:rPr>
  </w:style>
  <w:style w:type="paragraph" w:styleId="Heading4">
    <w:name w:val="heading 4"/>
    <w:basedOn w:val="Normal"/>
    <w:next w:val="Normal"/>
    <w:link w:val="Heading4Char"/>
    <w:uiPriority w:val="9"/>
    <w:unhideWhenUsed/>
    <w:qFormat/>
    <w:rsid w:val="002D24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90"/>
    <w:rPr>
      <w:rFonts w:ascii="Arial" w:eastAsia="Arial" w:hAnsi="Arial" w:cs="Arial"/>
      <w:color w:val="000000"/>
      <w:sz w:val="20"/>
    </w:rPr>
  </w:style>
  <w:style w:type="paragraph" w:styleId="Footer">
    <w:name w:val="footer"/>
    <w:basedOn w:val="Normal"/>
    <w:link w:val="FooterChar"/>
    <w:uiPriority w:val="99"/>
    <w:unhideWhenUsed/>
    <w:rsid w:val="00153890"/>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53890"/>
    <w:rPr>
      <w:rFonts w:cs="Times New Roman"/>
    </w:rPr>
  </w:style>
  <w:style w:type="paragraph" w:styleId="ListParagraph">
    <w:name w:val="List Paragraph"/>
    <w:basedOn w:val="Normal"/>
    <w:uiPriority w:val="34"/>
    <w:qFormat/>
    <w:rsid w:val="005C2F37"/>
    <w:pPr>
      <w:ind w:left="720"/>
      <w:contextualSpacing/>
    </w:pPr>
  </w:style>
  <w:style w:type="character" w:styleId="Strong">
    <w:name w:val="Strong"/>
    <w:basedOn w:val="DefaultParagraphFont"/>
    <w:uiPriority w:val="22"/>
    <w:qFormat/>
    <w:rsid w:val="00797459"/>
    <w:rPr>
      <w:b/>
      <w:bCs/>
    </w:rPr>
  </w:style>
  <w:style w:type="character" w:styleId="Hyperlink">
    <w:name w:val="Hyperlink"/>
    <w:basedOn w:val="DefaultParagraphFont"/>
    <w:uiPriority w:val="99"/>
    <w:unhideWhenUsed/>
    <w:rsid w:val="007116A7"/>
    <w:rPr>
      <w:color w:val="0563C1" w:themeColor="hyperlink"/>
      <w:u w:val="single"/>
    </w:rPr>
  </w:style>
  <w:style w:type="character" w:customStyle="1" w:styleId="UnresolvedMention1">
    <w:name w:val="Unresolved Mention1"/>
    <w:basedOn w:val="DefaultParagraphFont"/>
    <w:uiPriority w:val="99"/>
    <w:semiHidden/>
    <w:unhideWhenUsed/>
    <w:rsid w:val="007116A7"/>
    <w:rPr>
      <w:color w:val="605E5C"/>
      <w:shd w:val="clear" w:color="auto" w:fill="E1DFDD"/>
    </w:rPr>
  </w:style>
  <w:style w:type="character" w:styleId="FollowedHyperlink">
    <w:name w:val="FollowedHyperlink"/>
    <w:basedOn w:val="DefaultParagraphFont"/>
    <w:uiPriority w:val="99"/>
    <w:semiHidden/>
    <w:unhideWhenUsed/>
    <w:rsid w:val="00C96239"/>
    <w:rPr>
      <w:color w:val="954F72" w:themeColor="followedHyperlink"/>
      <w:u w:val="single"/>
    </w:rPr>
  </w:style>
  <w:style w:type="paragraph" w:styleId="NormalWeb">
    <w:name w:val="Normal (Web)"/>
    <w:basedOn w:val="Normal"/>
    <w:uiPriority w:val="99"/>
    <w:unhideWhenUsed/>
    <w:rsid w:val="00B8324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595E4D"/>
    <w:rPr>
      <w:i/>
      <w:iCs/>
    </w:rPr>
  </w:style>
  <w:style w:type="character" w:customStyle="1" w:styleId="relative">
    <w:name w:val="relative"/>
    <w:basedOn w:val="DefaultParagraphFont"/>
    <w:rsid w:val="0082070A"/>
  </w:style>
  <w:style w:type="character" w:customStyle="1" w:styleId="Heading4Char">
    <w:name w:val="Heading 4 Char"/>
    <w:basedOn w:val="DefaultParagraphFont"/>
    <w:link w:val="Heading4"/>
    <w:uiPriority w:val="9"/>
    <w:rsid w:val="002D246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606">
      <w:bodyDiv w:val="1"/>
      <w:marLeft w:val="0"/>
      <w:marRight w:val="0"/>
      <w:marTop w:val="0"/>
      <w:marBottom w:val="0"/>
      <w:divBdr>
        <w:top w:val="none" w:sz="0" w:space="0" w:color="auto"/>
        <w:left w:val="none" w:sz="0" w:space="0" w:color="auto"/>
        <w:bottom w:val="none" w:sz="0" w:space="0" w:color="auto"/>
        <w:right w:val="none" w:sz="0" w:space="0" w:color="auto"/>
      </w:divBdr>
    </w:div>
    <w:div w:id="114834167">
      <w:bodyDiv w:val="1"/>
      <w:marLeft w:val="0"/>
      <w:marRight w:val="0"/>
      <w:marTop w:val="0"/>
      <w:marBottom w:val="0"/>
      <w:divBdr>
        <w:top w:val="none" w:sz="0" w:space="0" w:color="auto"/>
        <w:left w:val="none" w:sz="0" w:space="0" w:color="auto"/>
        <w:bottom w:val="none" w:sz="0" w:space="0" w:color="auto"/>
        <w:right w:val="none" w:sz="0" w:space="0" w:color="auto"/>
      </w:divBdr>
    </w:div>
    <w:div w:id="300692200">
      <w:bodyDiv w:val="1"/>
      <w:marLeft w:val="0"/>
      <w:marRight w:val="0"/>
      <w:marTop w:val="0"/>
      <w:marBottom w:val="0"/>
      <w:divBdr>
        <w:top w:val="none" w:sz="0" w:space="0" w:color="auto"/>
        <w:left w:val="none" w:sz="0" w:space="0" w:color="auto"/>
        <w:bottom w:val="none" w:sz="0" w:space="0" w:color="auto"/>
        <w:right w:val="none" w:sz="0" w:space="0" w:color="auto"/>
      </w:divBdr>
    </w:div>
    <w:div w:id="403072173">
      <w:bodyDiv w:val="1"/>
      <w:marLeft w:val="0"/>
      <w:marRight w:val="0"/>
      <w:marTop w:val="0"/>
      <w:marBottom w:val="0"/>
      <w:divBdr>
        <w:top w:val="none" w:sz="0" w:space="0" w:color="auto"/>
        <w:left w:val="none" w:sz="0" w:space="0" w:color="auto"/>
        <w:bottom w:val="none" w:sz="0" w:space="0" w:color="auto"/>
        <w:right w:val="none" w:sz="0" w:space="0" w:color="auto"/>
      </w:divBdr>
    </w:div>
    <w:div w:id="433944379">
      <w:bodyDiv w:val="1"/>
      <w:marLeft w:val="0"/>
      <w:marRight w:val="0"/>
      <w:marTop w:val="0"/>
      <w:marBottom w:val="0"/>
      <w:divBdr>
        <w:top w:val="none" w:sz="0" w:space="0" w:color="auto"/>
        <w:left w:val="none" w:sz="0" w:space="0" w:color="auto"/>
        <w:bottom w:val="none" w:sz="0" w:space="0" w:color="auto"/>
        <w:right w:val="none" w:sz="0" w:space="0" w:color="auto"/>
      </w:divBdr>
    </w:div>
    <w:div w:id="643779128">
      <w:bodyDiv w:val="1"/>
      <w:marLeft w:val="0"/>
      <w:marRight w:val="0"/>
      <w:marTop w:val="0"/>
      <w:marBottom w:val="0"/>
      <w:divBdr>
        <w:top w:val="none" w:sz="0" w:space="0" w:color="auto"/>
        <w:left w:val="none" w:sz="0" w:space="0" w:color="auto"/>
        <w:bottom w:val="none" w:sz="0" w:space="0" w:color="auto"/>
        <w:right w:val="none" w:sz="0" w:space="0" w:color="auto"/>
      </w:divBdr>
    </w:div>
    <w:div w:id="649217309">
      <w:bodyDiv w:val="1"/>
      <w:marLeft w:val="0"/>
      <w:marRight w:val="0"/>
      <w:marTop w:val="0"/>
      <w:marBottom w:val="0"/>
      <w:divBdr>
        <w:top w:val="none" w:sz="0" w:space="0" w:color="auto"/>
        <w:left w:val="none" w:sz="0" w:space="0" w:color="auto"/>
        <w:bottom w:val="none" w:sz="0" w:space="0" w:color="auto"/>
        <w:right w:val="none" w:sz="0" w:space="0" w:color="auto"/>
      </w:divBdr>
      <w:divsChild>
        <w:div w:id="1009911256">
          <w:marLeft w:val="0"/>
          <w:marRight w:val="0"/>
          <w:marTop w:val="0"/>
          <w:marBottom w:val="0"/>
          <w:divBdr>
            <w:top w:val="none" w:sz="0" w:space="0" w:color="auto"/>
            <w:left w:val="none" w:sz="0" w:space="0" w:color="auto"/>
            <w:bottom w:val="none" w:sz="0" w:space="0" w:color="auto"/>
            <w:right w:val="none" w:sz="0" w:space="0" w:color="auto"/>
          </w:divBdr>
          <w:divsChild>
            <w:div w:id="15913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0472">
      <w:bodyDiv w:val="1"/>
      <w:marLeft w:val="0"/>
      <w:marRight w:val="0"/>
      <w:marTop w:val="0"/>
      <w:marBottom w:val="0"/>
      <w:divBdr>
        <w:top w:val="none" w:sz="0" w:space="0" w:color="auto"/>
        <w:left w:val="none" w:sz="0" w:space="0" w:color="auto"/>
        <w:bottom w:val="none" w:sz="0" w:space="0" w:color="auto"/>
        <w:right w:val="none" w:sz="0" w:space="0" w:color="auto"/>
      </w:divBdr>
    </w:div>
    <w:div w:id="1166047487">
      <w:bodyDiv w:val="1"/>
      <w:marLeft w:val="0"/>
      <w:marRight w:val="0"/>
      <w:marTop w:val="0"/>
      <w:marBottom w:val="0"/>
      <w:divBdr>
        <w:top w:val="none" w:sz="0" w:space="0" w:color="auto"/>
        <w:left w:val="none" w:sz="0" w:space="0" w:color="auto"/>
        <w:bottom w:val="none" w:sz="0" w:space="0" w:color="auto"/>
        <w:right w:val="none" w:sz="0" w:space="0" w:color="auto"/>
      </w:divBdr>
    </w:div>
    <w:div w:id="1346592396">
      <w:bodyDiv w:val="1"/>
      <w:marLeft w:val="0"/>
      <w:marRight w:val="0"/>
      <w:marTop w:val="0"/>
      <w:marBottom w:val="0"/>
      <w:divBdr>
        <w:top w:val="none" w:sz="0" w:space="0" w:color="auto"/>
        <w:left w:val="none" w:sz="0" w:space="0" w:color="auto"/>
        <w:bottom w:val="none" w:sz="0" w:space="0" w:color="auto"/>
        <w:right w:val="none" w:sz="0" w:space="0" w:color="auto"/>
      </w:divBdr>
    </w:div>
    <w:div w:id="1367098287">
      <w:bodyDiv w:val="1"/>
      <w:marLeft w:val="0"/>
      <w:marRight w:val="0"/>
      <w:marTop w:val="0"/>
      <w:marBottom w:val="0"/>
      <w:divBdr>
        <w:top w:val="none" w:sz="0" w:space="0" w:color="auto"/>
        <w:left w:val="none" w:sz="0" w:space="0" w:color="auto"/>
        <w:bottom w:val="none" w:sz="0" w:space="0" w:color="auto"/>
        <w:right w:val="none" w:sz="0" w:space="0" w:color="auto"/>
      </w:divBdr>
    </w:div>
    <w:div w:id="1524437584">
      <w:bodyDiv w:val="1"/>
      <w:marLeft w:val="0"/>
      <w:marRight w:val="0"/>
      <w:marTop w:val="0"/>
      <w:marBottom w:val="0"/>
      <w:divBdr>
        <w:top w:val="none" w:sz="0" w:space="0" w:color="auto"/>
        <w:left w:val="none" w:sz="0" w:space="0" w:color="auto"/>
        <w:bottom w:val="none" w:sz="0" w:space="0" w:color="auto"/>
        <w:right w:val="none" w:sz="0" w:space="0" w:color="auto"/>
      </w:divBdr>
      <w:divsChild>
        <w:div w:id="263147204">
          <w:marLeft w:val="0"/>
          <w:marRight w:val="0"/>
          <w:marTop w:val="0"/>
          <w:marBottom w:val="0"/>
          <w:divBdr>
            <w:top w:val="none" w:sz="0" w:space="0" w:color="auto"/>
            <w:left w:val="none" w:sz="0" w:space="0" w:color="auto"/>
            <w:bottom w:val="none" w:sz="0" w:space="0" w:color="auto"/>
            <w:right w:val="none" w:sz="0" w:space="0" w:color="auto"/>
          </w:divBdr>
          <w:divsChild>
            <w:div w:id="1414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183">
      <w:bodyDiv w:val="1"/>
      <w:marLeft w:val="0"/>
      <w:marRight w:val="0"/>
      <w:marTop w:val="0"/>
      <w:marBottom w:val="0"/>
      <w:divBdr>
        <w:top w:val="none" w:sz="0" w:space="0" w:color="auto"/>
        <w:left w:val="none" w:sz="0" w:space="0" w:color="auto"/>
        <w:bottom w:val="none" w:sz="0" w:space="0" w:color="auto"/>
        <w:right w:val="none" w:sz="0" w:space="0" w:color="auto"/>
      </w:divBdr>
    </w:div>
    <w:div w:id="1603223648">
      <w:bodyDiv w:val="1"/>
      <w:marLeft w:val="0"/>
      <w:marRight w:val="0"/>
      <w:marTop w:val="0"/>
      <w:marBottom w:val="0"/>
      <w:divBdr>
        <w:top w:val="none" w:sz="0" w:space="0" w:color="auto"/>
        <w:left w:val="none" w:sz="0" w:space="0" w:color="auto"/>
        <w:bottom w:val="none" w:sz="0" w:space="0" w:color="auto"/>
        <w:right w:val="none" w:sz="0" w:space="0" w:color="auto"/>
      </w:divBdr>
    </w:div>
    <w:div w:id="1608541000">
      <w:bodyDiv w:val="1"/>
      <w:marLeft w:val="0"/>
      <w:marRight w:val="0"/>
      <w:marTop w:val="0"/>
      <w:marBottom w:val="0"/>
      <w:divBdr>
        <w:top w:val="none" w:sz="0" w:space="0" w:color="auto"/>
        <w:left w:val="none" w:sz="0" w:space="0" w:color="auto"/>
        <w:bottom w:val="none" w:sz="0" w:space="0" w:color="auto"/>
        <w:right w:val="none" w:sz="0" w:space="0" w:color="auto"/>
      </w:divBdr>
      <w:divsChild>
        <w:div w:id="270862783">
          <w:marLeft w:val="0"/>
          <w:marRight w:val="0"/>
          <w:marTop w:val="0"/>
          <w:marBottom w:val="0"/>
          <w:divBdr>
            <w:top w:val="none" w:sz="0" w:space="0" w:color="auto"/>
            <w:left w:val="none" w:sz="0" w:space="0" w:color="auto"/>
            <w:bottom w:val="none" w:sz="0" w:space="0" w:color="auto"/>
            <w:right w:val="none" w:sz="0" w:space="0" w:color="auto"/>
          </w:divBdr>
          <w:divsChild>
            <w:div w:id="16523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78766654_Reflexive_Content_Analysis_An_Approach_to_Qualitative_Data_Analysis_Reduction_and_Description" TargetMode="External"/><Relationship Id="rId21" Type="http://schemas.openxmlformats.org/officeDocument/2006/relationships/hyperlink" Target="https://www.cdc.gov/foodsafety/clostridium-perfingens.html" TargetMode="External"/><Relationship Id="rId42" Type="http://schemas.openxmlformats.org/officeDocument/2006/relationships/hyperlink" Target="https://www.oecd.org/en/topics/sub-issues/development-co-operation-evaluation-and-effectiveness/evaluation-criteria.html" TargetMode="External"/><Relationship Id="rId47" Type="http://schemas.openxmlformats.org/officeDocument/2006/relationships/hyperlink" Target="https://www.moh.gov.gh/wp-content/2016/02/guidelines-for-strenghening-AE-Service-in-Hospital.pdf" TargetMode="External"/><Relationship Id="rId63" Type="http://schemas.openxmlformats.org/officeDocument/2006/relationships/hyperlink" Target="https://washghana.org/wp-content/uploads/2024/06/GhanaEducationServiceWASHinSchoolsFacilitiesPlanningandManagementGuide.pdf" TargetMode="External"/><Relationship Id="rId68" Type="http://schemas.openxmlformats.org/officeDocument/2006/relationships/header" Target="header3.xml"/><Relationship Id="rId7" Type="http://schemas.openxmlformats.org/officeDocument/2006/relationships/hyperlink" Target="https://www.ruralhealthinfo.org/toolkits/emergency-preparedness/5/evaluating-respons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ijerph9082949" TargetMode="External"/><Relationship Id="rId29" Type="http://schemas.openxmlformats.org/officeDocument/2006/relationships/hyperlink" Target="https://www.oecd.org/en/topics/sub-issues/development-co-operation-evaluation-and-effectiveness/evaluation-criteria.html" TargetMode="External"/><Relationship Id="rId11" Type="http://schemas.openxmlformats.org/officeDocument/2006/relationships/hyperlink" Target="https://www.ruralhealthinfo.org/toolkits/emergency-preparedness/5/evaluating-response" TargetMode="External"/><Relationship Id="rId24" Type="http://schemas.openxmlformats.org/officeDocument/2006/relationships/hyperlink" Target="https://www.cdc.gov/foodsafety/clostridium-perfingens.html" TargetMode="External"/><Relationship Id="rId32" Type="http://schemas.openxmlformats.org/officeDocument/2006/relationships/hyperlink" Target="https://www.oecd.org/en/topics/sub-issues/development-co-operation-evaluation-and-effectiveness/evaluation-criteria.html" TargetMode="External"/><Relationship Id="rId37" Type="http://schemas.openxmlformats.org/officeDocument/2006/relationships/hyperlink" Target="https://www.oecd.org/en/topics/sub-issues/development-co-operation-evaluation-and-effectiveness/evaluation-criteria.html" TargetMode="External"/><Relationship Id="rId40" Type="http://schemas.openxmlformats.org/officeDocument/2006/relationships/hyperlink" Target="https://www.oecd.org/en/topics/sub-issues/development-co-operation-evaluation-and-effectiveness/evaluation-criteria.html" TargetMode="External"/><Relationship Id="rId45" Type="http://schemas.openxmlformats.org/officeDocument/2006/relationships/hyperlink" Target="https://www.semanticscholar.org/paper/Emergency-Preparedness--The-Role-of-the-School-Cagginello-Clark/e8a8e39d8dfbac6737e4963266c5f1a6c290427c" TargetMode="External"/><Relationship Id="rId53" Type="http://schemas.openxmlformats.org/officeDocument/2006/relationships/hyperlink" Target="https://www.moh.gov.gh/wp-content/2016/02/guidelines-for-strenghening-AE-Service-in-Hospital.pdf" TargetMode="External"/><Relationship Id="rId58" Type="http://schemas.openxmlformats.org/officeDocument/2006/relationships/hyperlink" Target="https://www.moh.gov.gh/wp-content/2016/02/guidelines-for-strenghening-AE-Service-in-Hospital.pdf"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moh.gov.gh/wp-content/2016/02/guidelines-for-strenghening-AE-Service-in-Hospital.pdf" TargetMode="External"/><Relationship Id="rId19" Type="http://schemas.openxmlformats.org/officeDocument/2006/relationships/hyperlink" Target="https://emergency.unhcr.org/support-response/planning-and-programming/evaluations-emergency-operations" TargetMode="External"/><Relationship Id="rId14" Type="http://schemas.openxmlformats.org/officeDocument/2006/relationships/hyperlink" Target="https://document1.worldbank.org/curated/ar/141591468155378028/pdf/839970WP01FC0B0UBLIC00DisERHandbook" TargetMode="External"/><Relationship Id="rId22" Type="http://schemas.openxmlformats.org/officeDocument/2006/relationships/hyperlink" Target="https://www.cdc.gov/foodsafety/clostridium-perfingens.html" TargetMode="External"/><Relationship Id="rId27" Type="http://schemas.openxmlformats.org/officeDocument/2006/relationships/hyperlink" Target="https://www.oecd.org/en/topics/sub-issues/development-co-operation-evaluation-and-effectiveness/evaluation-criteria.html" TargetMode="External"/><Relationship Id="rId30" Type="http://schemas.openxmlformats.org/officeDocument/2006/relationships/hyperlink" Target="https://www.oecd.org/en/topics/sub-issues/development-co-operation-evaluation-and-effectiveness/evaluation-criteria.html" TargetMode="External"/><Relationship Id="rId35" Type="http://schemas.openxmlformats.org/officeDocument/2006/relationships/hyperlink" Target="https://www.oecd.org/en/topics/sub-issues/development-co-operation-evaluation-and-effectiveness/evaluation-criteria.html" TargetMode="External"/><Relationship Id="rId43" Type="http://schemas.openxmlformats.org/officeDocument/2006/relationships/hyperlink" Target="https://doi.org/10.1177/11786302241260485" TargetMode="External"/><Relationship Id="rId48" Type="http://schemas.openxmlformats.org/officeDocument/2006/relationships/hyperlink" Target="https://www.moh.gov.gh/wp-content/2016/02/guidelines-for-strenghening-AE-Service-in-Hospital.pdf" TargetMode="External"/><Relationship Id="rId56" Type="http://schemas.openxmlformats.org/officeDocument/2006/relationships/hyperlink" Target="https://www.moh.gov.gh/wp-content/2016/02/guidelines-for-strenghening-AE-Service-in-Hospital.pdf"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www.ruralhealthinfo.org/toolkits/emergency-preparedness/5/evaluating-response" TargetMode="External"/><Relationship Id="rId51" Type="http://schemas.openxmlformats.org/officeDocument/2006/relationships/hyperlink" Target="https://www.moh.gov.gh/wp-content/2016/02/guidelines-for-strenghening-AE-Service-in-Hospital.pdf" TargetMode="External"/><Relationship Id="rId3" Type="http://schemas.openxmlformats.org/officeDocument/2006/relationships/settings" Target="settings.xml"/><Relationship Id="rId12" Type="http://schemas.openxmlformats.org/officeDocument/2006/relationships/hyperlink" Target="https://www.ruralhealthinfo.org/toolkits/emergency-preparedness/5/evaluating-response" TargetMode="External"/><Relationship Id="rId17" Type="http://schemas.openxmlformats.org/officeDocument/2006/relationships/hyperlink" Target="https://www.healthaffairs.org/doi/full/10.1377/hlthaff.2013.0956" TargetMode="External"/><Relationship Id="rId25" Type="http://schemas.openxmlformats.org/officeDocument/2006/relationships/hyperlink" Target="https://www.cdc.gov/foodsafety/clostridium-perfingens.html" TargetMode="External"/><Relationship Id="rId33" Type="http://schemas.openxmlformats.org/officeDocument/2006/relationships/hyperlink" Target="https://www.oecd.org/en/topics/sub-issues/development-co-operation-evaluation-and-effectiveness/evaluation-criteria.html" TargetMode="External"/><Relationship Id="rId38" Type="http://schemas.openxmlformats.org/officeDocument/2006/relationships/hyperlink" Target="https://www.oecd.org/en/topics/sub-issues/development-co-operation-evaluation-and-effectiveness/evaluation-criteria.html" TargetMode="External"/><Relationship Id="rId46" Type="http://schemas.openxmlformats.org/officeDocument/2006/relationships/hyperlink" Target="https://www.moh.gov.gh/wp-content/2016/02/guidelines-for-strenghening-AE-Service-in-Hospital.pdf" TargetMode="External"/><Relationship Id="rId59" Type="http://schemas.openxmlformats.org/officeDocument/2006/relationships/hyperlink" Target="https://www.moh.gov.gh/wp-content/2016/02/guidelines-for-strenghening-AE-Service-in-Hospital.pdf" TargetMode="External"/><Relationship Id="rId67" Type="http://schemas.openxmlformats.org/officeDocument/2006/relationships/footer" Target="footer2.xml"/><Relationship Id="rId20" Type="http://schemas.openxmlformats.org/officeDocument/2006/relationships/hyperlink" Target="https://www.who.int/news-room/fact-sheets/detail/salmonella-%28non-typhoidal%29" TargetMode="External"/><Relationship Id="rId41" Type="http://schemas.openxmlformats.org/officeDocument/2006/relationships/hyperlink" Target="https://www.oecd.org/en/topics/sub-issues/development-co-operation-evaluation-and-effectiveness/evaluation-criteria.html" TargetMode="External"/><Relationship Id="rId54" Type="http://schemas.openxmlformats.org/officeDocument/2006/relationships/hyperlink" Target="https://www.moh.gov.gh/wp-content/2016/02/guidelines-for-strenghening-AE-Service-in-Hospital.pdf" TargetMode="External"/><Relationship Id="rId62" Type="http://schemas.openxmlformats.org/officeDocument/2006/relationships/hyperlink" Target="https://extranet.who.int/countryplanningcycles/sites/default/files/public_file_rep/GHA_Ghana_National-Health-Policy-NHP_2020.p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ijerph9082949" TargetMode="External"/><Relationship Id="rId23" Type="http://schemas.openxmlformats.org/officeDocument/2006/relationships/hyperlink" Target="https://www.cdc.gov/foodsafety/clostridium-perfingens.html" TargetMode="External"/><Relationship Id="rId28" Type="http://schemas.openxmlformats.org/officeDocument/2006/relationships/hyperlink" Target="https://www.oecd.org/en/topics/sub-issues/development-co-operation-evaluation-and-effectiveness/evaluation-criteria.html" TargetMode="External"/><Relationship Id="rId36" Type="http://schemas.openxmlformats.org/officeDocument/2006/relationships/hyperlink" Target="https://www.oecd.org/en/topics/sub-issues/development-co-operation-evaluation-and-effectiveness/evaluation-criteria.html" TargetMode="External"/><Relationship Id="rId49" Type="http://schemas.openxmlformats.org/officeDocument/2006/relationships/hyperlink" Target="https://www.moh.gov.gh/wp-content/2016/02/guidelines-for-strenghening-AE-Service-in-Hospital.pdf" TargetMode="External"/><Relationship Id="rId57" Type="http://schemas.openxmlformats.org/officeDocument/2006/relationships/hyperlink" Target="https://www.moh.gov.gh/wp-content/2016/02/guidelines-for-strenghening-AE-Service-in-Hospital.pdf" TargetMode="External"/><Relationship Id="rId10" Type="http://schemas.openxmlformats.org/officeDocument/2006/relationships/hyperlink" Target="https://www.ruralhealthinfo.org/toolkits/emergency-preparedness/5/evaluating-response" TargetMode="External"/><Relationship Id="rId31" Type="http://schemas.openxmlformats.org/officeDocument/2006/relationships/hyperlink" Target="https://www.oecd.org/en/topics/sub-issues/development-co-operation-evaluation-and-effectiveness/evaluation-criteria.html" TargetMode="External"/><Relationship Id="rId44" Type="http://schemas.openxmlformats.org/officeDocument/2006/relationships/hyperlink" Target="https://files.eric.ed.gov/fulltext/ED600910.pdf" TargetMode="External"/><Relationship Id="rId52" Type="http://schemas.openxmlformats.org/officeDocument/2006/relationships/hyperlink" Target="https://www.moh.gov.gh/wp-content/2016/02/guidelines-for-strenghening-AE-Service-in-Hospital.pdf" TargetMode="External"/><Relationship Id="rId60" Type="http://schemas.openxmlformats.org/officeDocument/2006/relationships/hyperlink" Target="https://www.moh.gov.gh/wp-content/2016/02/guidelines-for-strenghening-AE-Service-in-Hospital.pdf"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uralhealthinfo.org/toolkits/emergency-preparedness/5/evaluating-response" TargetMode="External"/><Relationship Id="rId13" Type="http://schemas.openxmlformats.org/officeDocument/2006/relationships/hyperlink" Target="https://documents.worldbank.org/curated/en/141591468155378028/pdf/839970WP0IFC0B0UBLIC00DisERHandbook.pdf" TargetMode="External"/><Relationship Id="rId18" Type="http://schemas.openxmlformats.org/officeDocument/2006/relationships/hyperlink" Target="https://www.healthaffairs.org/doi/full/10.1377/hlthaff.2013.0956" TargetMode="External"/><Relationship Id="rId39" Type="http://schemas.openxmlformats.org/officeDocument/2006/relationships/hyperlink" Target="https://www.oecd.org/en/topics/sub-issues/development-co-operation-evaluation-and-effectiveness/evaluation-criteria.html" TargetMode="External"/><Relationship Id="rId34" Type="http://schemas.openxmlformats.org/officeDocument/2006/relationships/hyperlink" Target="https://www.oecd.org/en/topics/sub-issues/development-co-operation-evaluation-and-effectiveness/evaluation-criteria.html" TargetMode="External"/><Relationship Id="rId50" Type="http://schemas.openxmlformats.org/officeDocument/2006/relationships/hyperlink" Target="https://www.moh.gov.gh/wp-content/2016/02/guidelines-for-strenghening-AE-Service-in-Hospital.pdf" TargetMode="External"/><Relationship Id="rId55" Type="http://schemas.openxmlformats.org/officeDocument/2006/relationships/hyperlink" Target="https://www.moh.gov.gh/wp-content/2016/02/guidelines-for-strenghening-AE-Service-in-Hosp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16</Pages>
  <Words>7881</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siawany@gmail.com</dc:creator>
  <cp:keywords/>
  <cp:lastModifiedBy>SDI 1158</cp:lastModifiedBy>
  <cp:revision>66</cp:revision>
  <dcterms:created xsi:type="dcterms:W3CDTF">2025-07-16T12:10:00Z</dcterms:created>
  <dcterms:modified xsi:type="dcterms:W3CDTF">2025-07-29T08:44:00Z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7ae773f8-b28d-4cd0-9fb9-3c674bd9ca23</vt:lpwstr>
  </property>
</Properties>
</file>