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467" w:rsidRPr="00634082" w:rsidRDefault="000A0467" w:rsidP="00C13BE0">
      <w:pPr>
        <w:jc w:val="center"/>
        <w:rPr>
          <w:rFonts w:ascii="Times New Roman" w:hAnsi="Times New Roman" w:cs="Times New Roman"/>
          <w:b/>
          <w:i/>
          <w:sz w:val="36"/>
          <w:szCs w:val="36"/>
        </w:rPr>
      </w:pPr>
      <w:r w:rsidRPr="00634082">
        <w:rPr>
          <w:rFonts w:ascii="Times New Roman" w:hAnsi="Times New Roman" w:cs="Times New Roman"/>
          <w:b/>
          <w:i/>
          <w:sz w:val="36"/>
          <w:szCs w:val="36"/>
        </w:rPr>
        <w:t>ORIGINAL RESEARCH ARTICLE</w:t>
      </w:r>
    </w:p>
    <w:p w:rsidR="000A0467" w:rsidRPr="00634082" w:rsidRDefault="000A0467" w:rsidP="00C13BE0">
      <w:pPr>
        <w:jc w:val="center"/>
        <w:rPr>
          <w:rFonts w:ascii="Times New Roman" w:hAnsi="Times New Roman" w:cs="Times New Roman"/>
          <w:b/>
          <w:sz w:val="28"/>
          <w:szCs w:val="28"/>
        </w:rPr>
      </w:pPr>
    </w:p>
    <w:p w:rsidR="00AE063A" w:rsidRPr="00634082" w:rsidRDefault="00BA691F" w:rsidP="00C13BE0">
      <w:pPr>
        <w:jc w:val="center"/>
        <w:rPr>
          <w:rFonts w:ascii="Times New Roman" w:hAnsi="Times New Roman" w:cs="Times New Roman"/>
          <w:b/>
          <w:sz w:val="28"/>
          <w:szCs w:val="28"/>
        </w:rPr>
      </w:pPr>
      <w:r w:rsidRPr="00634082">
        <w:rPr>
          <w:rFonts w:ascii="Times New Roman" w:hAnsi="Times New Roman" w:cs="Times New Roman"/>
          <w:b/>
          <w:sz w:val="28"/>
          <w:szCs w:val="28"/>
        </w:rPr>
        <w:t xml:space="preserve">Maternal Education as a Predictor of Pregnancy Outcomes: </w:t>
      </w:r>
      <w:r w:rsidR="00045B22" w:rsidRPr="00634082">
        <w:rPr>
          <w:rFonts w:ascii="Times New Roman" w:hAnsi="Times New Roman" w:cs="Times New Roman"/>
          <w:b/>
          <w:sz w:val="28"/>
          <w:szCs w:val="28"/>
        </w:rPr>
        <w:t xml:space="preserve">A </w:t>
      </w:r>
      <w:r w:rsidR="007503AA" w:rsidRPr="00634082">
        <w:rPr>
          <w:rStyle w:val="Strong"/>
          <w:rFonts w:ascii="Times New Roman" w:hAnsi="Times New Roman" w:cs="Times New Roman"/>
          <w:sz w:val="28"/>
          <w:szCs w:val="28"/>
        </w:rPr>
        <w:t>R</w:t>
      </w:r>
      <w:r w:rsidR="00045B22" w:rsidRPr="00634082">
        <w:rPr>
          <w:rStyle w:val="Strong"/>
          <w:rFonts w:ascii="Times New Roman" w:hAnsi="Times New Roman" w:cs="Times New Roman"/>
          <w:sz w:val="28"/>
          <w:szCs w:val="28"/>
        </w:rPr>
        <w:t xml:space="preserve">etrospective </w:t>
      </w:r>
      <w:r w:rsidR="007503AA" w:rsidRPr="00634082">
        <w:rPr>
          <w:rStyle w:val="Strong"/>
          <w:rFonts w:ascii="Times New Roman" w:hAnsi="Times New Roman" w:cs="Times New Roman"/>
          <w:sz w:val="28"/>
          <w:szCs w:val="28"/>
        </w:rPr>
        <w:t>C</w:t>
      </w:r>
      <w:r w:rsidR="00045B22" w:rsidRPr="00634082">
        <w:rPr>
          <w:rStyle w:val="Strong"/>
          <w:rFonts w:ascii="Times New Roman" w:hAnsi="Times New Roman" w:cs="Times New Roman"/>
          <w:sz w:val="28"/>
          <w:szCs w:val="28"/>
        </w:rPr>
        <w:t xml:space="preserve">ohort </w:t>
      </w:r>
      <w:r w:rsidR="007503AA" w:rsidRPr="00634082">
        <w:rPr>
          <w:rStyle w:val="Strong"/>
          <w:rFonts w:ascii="Times New Roman" w:hAnsi="Times New Roman" w:cs="Times New Roman"/>
          <w:sz w:val="28"/>
          <w:szCs w:val="28"/>
        </w:rPr>
        <w:t>S</w:t>
      </w:r>
      <w:r w:rsidR="00045B22" w:rsidRPr="00634082">
        <w:rPr>
          <w:rStyle w:val="Strong"/>
          <w:rFonts w:ascii="Times New Roman" w:hAnsi="Times New Roman" w:cs="Times New Roman"/>
          <w:sz w:val="28"/>
          <w:szCs w:val="28"/>
        </w:rPr>
        <w:t>tudy</w:t>
      </w:r>
      <w:r w:rsidR="00045B22" w:rsidRPr="00634082">
        <w:rPr>
          <w:rFonts w:ascii="Times New Roman" w:hAnsi="Times New Roman" w:cs="Times New Roman"/>
          <w:sz w:val="28"/>
          <w:szCs w:val="28"/>
        </w:rPr>
        <w:t> </w:t>
      </w:r>
      <w:r w:rsidR="00045B22" w:rsidRPr="00634082">
        <w:rPr>
          <w:rFonts w:ascii="Times New Roman" w:hAnsi="Times New Roman" w:cs="Times New Roman"/>
          <w:b/>
          <w:sz w:val="28"/>
          <w:szCs w:val="28"/>
        </w:rPr>
        <w:t>f</w:t>
      </w:r>
      <w:r w:rsidRPr="00634082">
        <w:rPr>
          <w:rFonts w:ascii="Times New Roman" w:hAnsi="Times New Roman" w:cs="Times New Roman"/>
          <w:b/>
          <w:sz w:val="28"/>
          <w:szCs w:val="28"/>
        </w:rPr>
        <w:t xml:space="preserve">rom a Gambian Hospital </w:t>
      </w:r>
    </w:p>
    <w:p w:rsidR="00821376" w:rsidRPr="00634082" w:rsidRDefault="00821376" w:rsidP="006D7658">
      <w:pPr>
        <w:rPr>
          <w:rFonts w:ascii="Times New Roman" w:hAnsi="Times New Roman" w:cs="Times New Roman"/>
          <w:b/>
        </w:rPr>
      </w:pPr>
    </w:p>
    <w:p w:rsidR="00032F67" w:rsidRPr="00634082" w:rsidRDefault="00032F67" w:rsidP="00CC78B6">
      <w:pPr>
        <w:pStyle w:val="ds-markdown-paragraph"/>
        <w:shd w:val="clear" w:color="auto" w:fill="FFFFFF"/>
        <w:spacing w:before="0" w:beforeAutospacing="0" w:after="0" w:afterAutospacing="0"/>
        <w:jc w:val="both"/>
        <w:rPr>
          <w:sz w:val="22"/>
          <w:szCs w:val="22"/>
        </w:rPr>
      </w:pPr>
      <w:r w:rsidRPr="00634082">
        <w:rPr>
          <w:rStyle w:val="Strong"/>
          <w:sz w:val="22"/>
          <w:szCs w:val="22"/>
        </w:rPr>
        <w:t>Abstract</w:t>
      </w:r>
    </w:p>
    <w:p w:rsidR="00032F67" w:rsidRPr="00634082" w:rsidRDefault="00145C2B" w:rsidP="00CC78B6">
      <w:pPr>
        <w:pStyle w:val="ds-markdown-paragraph"/>
        <w:shd w:val="clear" w:color="auto" w:fill="FFFFFF"/>
        <w:spacing w:before="0" w:beforeAutospacing="0" w:after="0" w:afterAutospacing="0"/>
        <w:jc w:val="both"/>
        <w:rPr>
          <w:sz w:val="22"/>
          <w:szCs w:val="22"/>
        </w:rPr>
      </w:pPr>
      <w:r w:rsidRPr="00634082">
        <w:rPr>
          <w:sz w:val="22"/>
          <w:szCs w:val="22"/>
          <w:shd w:val="clear" w:color="auto" w:fill="FFFFFF"/>
        </w:rPr>
        <w:t>Adverse pregnancy outcomes such as low birth weight and preterm birth remain significant public health challenges in sub-Saharan Africa, disproportionately affecting low-resource settings like The Gambia. Maternal education is a key social determinant of health, yet its specific impact in The Gambia is not well-documented.</w:t>
      </w:r>
      <w:r w:rsidRPr="00634082">
        <w:rPr>
          <w:sz w:val="22"/>
          <w:szCs w:val="22"/>
        </w:rPr>
        <w:t xml:space="preserve"> </w:t>
      </w:r>
      <w:r w:rsidR="00032F67" w:rsidRPr="00634082">
        <w:rPr>
          <w:sz w:val="22"/>
          <w:szCs w:val="22"/>
        </w:rPr>
        <w:t xml:space="preserve">This study examines the association between maternal education and pregnancy outcomes among women delivering at Edward Francis Small Teaching Hospital (EFSTH) in The Gambia. Using a hospital-based retrospective cohort design, data from 1,600 women aged 15–49 years with singleton live births (December 2021–January 2022) were analyzed. Results revealed a dose-response relationship, with higher maternal education significantly associated with reduced adverse outcomes. </w:t>
      </w:r>
      <w:r w:rsidR="00EB3A51" w:rsidRPr="00EB3A51">
        <w:rPr>
          <w:sz w:val="22"/>
          <w:szCs w:val="22"/>
        </w:rPr>
        <w:t>Maternal education levels were categorized as none (28.1%), primary (42.3%), secondary (24.6%), or higher (5.0%). Outcomes included low birth weight (&lt;2.5 kg), preterm birth (&lt;37 weeks), neonatal mortality, and Apgar scores (&lt;7 at 5 minutes).</w:t>
      </w:r>
      <w:r w:rsidR="00EB3A51">
        <w:rPr>
          <w:sz w:val="22"/>
          <w:szCs w:val="22"/>
        </w:rPr>
        <w:t xml:space="preserve"> </w:t>
      </w:r>
      <w:r w:rsidR="00CC78B6" w:rsidRPr="00634082">
        <w:rPr>
          <w:sz w:val="22"/>
          <w:szCs w:val="22"/>
          <w:shd w:val="clear" w:color="auto" w:fill="FFFFFF"/>
        </w:rPr>
        <w:t>Mothers with no formal education had the highest rates of adverse outcomes, including low birth weight (32.4%), preterm birth (19.8%), neonatal mortality (6.5%), and low Apgar scores (14.2%). In contrast, mothers with higher education exhibited the lowest rates (6.2%, 5.0%, 1.0%, and 2.0%, respectively). Adjusted analyses confirmed these findings: secondary education reduced odds of low birth weight by 45% (</w:t>
      </w:r>
      <w:proofErr w:type="spellStart"/>
      <w:r w:rsidR="00CC78B6" w:rsidRPr="00634082">
        <w:rPr>
          <w:sz w:val="22"/>
          <w:szCs w:val="22"/>
          <w:shd w:val="clear" w:color="auto" w:fill="FFFFFF"/>
        </w:rPr>
        <w:t>aOR</w:t>
      </w:r>
      <w:proofErr w:type="spellEnd"/>
      <w:r w:rsidR="00CC78B6" w:rsidRPr="00634082">
        <w:rPr>
          <w:sz w:val="22"/>
          <w:szCs w:val="22"/>
          <w:shd w:val="clear" w:color="auto" w:fill="FFFFFF"/>
        </w:rPr>
        <w:t>: 0.55, 95% CI: 0.42–0.72), preterm birth by 50% (</w:t>
      </w:r>
      <w:proofErr w:type="spellStart"/>
      <w:r w:rsidR="00CC78B6" w:rsidRPr="00634082">
        <w:rPr>
          <w:sz w:val="22"/>
          <w:szCs w:val="22"/>
          <w:shd w:val="clear" w:color="auto" w:fill="FFFFFF"/>
        </w:rPr>
        <w:t>aOR</w:t>
      </w:r>
      <w:proofErr w:type="spellEnd"/>
      <w:r w:rsidR="00CC78B6" w:rsidRPr="00634082">
        <w:rPr>
          <w:sz w:val="22"/>
          <w:szCs w:val="22"/>
          <w:shd w:val="clear" w:color="auto" w:fill="FFFFFF"/>
        </w:rPr>
        <w:t>: 0.50, 95% CI: 0.35–0.71), and low Apgar scores by 49% (</w:t>
      </w:r>
      <w:proofErr w:type="spellStart"/>
      <w:r w:rsidR="00CC78B6" w:rsidRPr="00634082">
        <w:rPr>
          <w:sz w:val="22"/>
          <w:szCs w:val="22"/>
          <w:shd w:val="clear" w:color="auto" w:fill="FFFFFF"/>
        </w:rPr>
        <w:t>aOR</w:t>
      </w:r>
      <w:proofErr w:type="spellEnd"/>
      <w:r w:rsidR="00CC78B6" w:rsidRPr="00634082">
        <w:rPr>
          <w:sz w:val="22"/>
          <w:szCs w:val="22"/>
          <w:shd w:val="clear" w:color="auto" w:fill="FFFFFF"/>
        </w:rPr>
        <w:t>: 0.51, 95% CI: 0.38–0.69), with even stronger protective effects for tertiary education.</w:t>
      </w:r>
      <w:r w:rsidR="00032F67" w:rsidRPr="00634082">
        <w:rPr>
          <w:sz w:val="22"/>
          <w:szCs w:val="22"/>
        </w:rPr>
        <w:t xml:space="preserve"> Subgroup analyses highlighted greater benefits in rural areas and among women with fewer antenatal visits.</w:t>
      </w:r>
      <w:r w:rsidR="00D12655" w:rsidRPr="00634082">
        <w:rPr>
          <w:sz w:val="22"/>
          <w:szCs w:val="22"/>
        </w:rPr>
        <w:t xml:space="preserve"> </w:t>
      </w:r>
      <w:r w:rsidR="00032F67" w:rsidRPr="00634082">
        <w:rPr>
          <w:sz w:val="22"/>
          <w:szCs w:val="22"/>
        </w:rPr>
        <w:t>The study underscores maternal education as a critical predictor of improved pregnancy outcomes in low-resource settings, advocating for integrated interventions that combine educational advancement with healthcare strengthening to reduce maternal and neonatal disparities.</w:t>
      </w:r>
    </w:p>
    <w:p w:rsidR="00032F67" w:rsidRPr="00634082" w:rsidRDefault="00032F67" w:rsidP="00032F67">
      <w:pPr>
        <w:pStyle w:val="ds-markdown-paragraph"/>
        <w:shd w:val="clear" w:color="auto" w:fill="FFFFFF"/>
        <w:rPr>
          <w:sz w:val="22"/>
          <w:szCs w:val="22"/>
        </w:rPr>
      </w:pPr>
      <w:r w:rsidRPr="00634082">
        <w:rPr>
          <w:rStyle w:val="Strong"/>
          <w:i/>
          <w:sz w:val="22"/>
          <w:szCs w:val="22"/>
        </w:rPr>
        <w:t>Keywords:</w:t>
      </w:r>
      <w:r w:rsidRPr="00634082">
        <w:rPr>
          <w:sz w:val="22"/>
          <w:szCs w:val="22"/>
        </w:rPr>
        <w:t> Maternal education, pregnancy outcomes, low birth weight, preterm birth, neonatal mortality, The Gambia</w:t>
      </w:r>
    </w:p>
    <w:p w:rsidR="00A25A48" w:rsidRPr="00634082" w:rsidRDefault="00AB504B" w:rsidP="00F86166">
      <w:pPr>
        <w:spacing w:after="0"/>
        <w:jc w:val="both"/>
        <w:rPr>
          <w:rFonts w:ascii="Times New Roman" w:hAnsi="Times New Roman" w:cs="Times New Roman"/>
          <w:b/>
          <w:shd w:val="clear" w:color="auto" w:fill="FFFFFF"/>
        </w:rPr>
      </w:pPr>
      <w:r w:rsidRPr="00634082">
        <w:rPr>
          <w:rFonts w:ascii="Times New Roman" w:hAnsi="Times New Roman" w:cs="Times New Roman"/>
          <w:b/>
          <w:shd w:val="clear" w:color="auto" w:fill="FFFFFF"/>
        </w:rPr>
        <w:t>Introduction</w:t>
      </w:r>
    </w:p>
    <w:p w:rsidR="00C834F9" w:rsidRPr="00634082" w:rsidRDefault="00C86B25" w:rsidP="00F86166">
      <w:pPr>
        <w:spacing w:after="0"/>
        <w:jc w:val="both"/>
        <w:rPr>
          <w:rFonts w:ascii="Times New Roman" w:hAnsi="Times New Roman" w:cs="Times New Roman"/>
        </w:rPr>
      </w:pPr>
      <w:r w:rsidRPr="00634082">
        <w:rPr>
          <w:rFonts w:ascii="Times New Roman" w:hAnsi="Times New Roman" w:cs="Times New Roman"/>
          <w:shd w:val="clear" w:color="auto" w:fill="FFFFFF"/>
        </w:rPr>
        <w:t>Maternal education generally refers to the highest level of education a mother has completed, often measured by years of schooling or the highest degree earned. It's a crucial factor influencing various aspects of a mother's and her children's health, well-being, and developmen</w:t>
      </w:r>
      <w:r w:rsidR="00970A64" w:rsidRPr="00634082">
        <w:rPr>
          <w:rFonts w:ascii="Times New Roman" w:hAnsi="Times New Roman" w:cs="Times New Roman"/>
        </w:rPr>
        <w:t xml:space="preserve">t. </w:t>
      </w:r>
      <w:r w:rsidR="00AD48E0" w:rsidRPr="00634082">
        <w:rPr>
          <w:rFonts w:ascii="Times New Roman" w:hAnsi="Times New Roman" w:cs="Times New Roman"/>
        </w:rPr>
        <w:t xml:space="preserve">Global evidence suggests that maternal education is a crucial determinant of a child's health (Paul </w:t>
      </w:r>
      <w:r w:rsidR="00AD48E0" w:rsidRPr="00634082">
        <w:rPr>
          <w:rFonts w:ascii="Times New Roman" w:hAnsi="Times New Roman" w:cs="Times New Roman"/>
          <w:i/>
        </w:rPr>
        <w:t>et al.,</w:t>
      </w:r>
      <w:r w:rsidR="00AD48E0" w:rsidRPr="00634082">
        <w:rPr>
          <w:rFonts w:ascii="Times New Roman" w:hAnsi="Times New Roman" w:cs="Times New Roman"/>
        </w:rPr>
        <w:t xml:space="preserve"> 2022). </w:t>
      </w:r>
      <w:r w:rsidR="00C834F9" w:rsidRPr="00634082">
        <w:rPr>
          <w:rFonts w:ascii="Times New Roman" w:hAnsi="Times New Roman" w:cs="Times New Roman"/>
        </w:rPr>
        <w:t>Maternal education is a complex process aimed at enabling women to obtain knowledge, skills and emotional support so that they can take care of themselves and their child during pregnancy, the post</w:t>
      </w:r>
      <w:r w:rsidR="00D0666F" w:rsidRPr="00634082">
        <w:rPr>
          <w:rFonts w:ascii="Times New Roman" w:hAnsi="Times New Roman" w:cs="Times New Roman"/>
        </w:rPr>
        <w:t>partum period and childrearing (Fuentes-</w:t>
      </w:r>
      <w:proofErr w:type="spellStart"/>
      <w:r w:rsidR="00D0666F" w:rsidRPr="00634082">
        <w:rPr>
          <w:rFonts w:ascii="Times New Roman" w:hAnsi="Times New Roman" w:cs="Times New Roman"/>
        </w:rPr>
        <w:t>Pelaez</w:t>
      </w:r>
      <w:proofErr w:type="spellEnd"/>
      <w:r w:rsidR="00D0666F" w:rsidRPr="00634082">
        <w:rPr>
          <w:rFonts w:ascii="Times New Roman" w:hAnsi="Times New Roman" w:cs="Times New Roman"/>
        </w:rPr>
        <w:t xml:space="preserve"> </w:t>
      </w:r>
      <w:r w:rsidR="00D0666F" w:rsidRPr="00634082">
        <w:rPr>
          <w:rFonts w:ascii="Times New Roman" w:hAnsi="Times New Roman" w:cs="Times New Roman"/>
          <w:i/>
        </w:rPr>
        <w:t>et al.,</w:t>
      </w:r>
      <w:r w:rsidR="00D0666F" w:rsidRPr="00634082">
        <w:rPr>
          <w:rFonts w:ascii="Times New Roman" w:hAnsi="Times New Roman" w:cs="Times New Roman"/>
        </w:rPr>
        <w:t xml:space="preserve"> 2013</w:t>
      </w:r>
      <w:r w:rsidR="0011136E" w:rsidRPr="00634082">
        <w:rPr>
          <w:rFonts w:ascii="Times New Roman" w:hAnsi="Times New Roman" w:cs="Times New Roman"/>
        </w:rPr>
        <w:t xml:space="preserve">; Paz-Pascual </w:t>
      </w:r>
      <w:r w:rsidR="0011136E" w:rsidRPr="00634082">
        <w:rPr>
          <w:rFonts w:ascii="Times New Roman" w:hAnsi="Times New Roman" w:cs="Times New Roman"/>
          <w:i/>
        </w:rPr>
        <w:t>et al</w:t>
      </w:r>
      <w:r w:rsidR="0011136E" w:rsidRPr="00634082">
        <w:rPr>
          <w:rFonts w:ascii="Times New Roman" w:hAnsi="Times New Roman" w:cs="Times New Roman"/>
        </w:rPr>
        <w:t>., 2019</w:t>
      </w:r>
      <w:r w:rsidR="00D0666F" w:rsidRPr="00634082">
        <w:rPr>
          <w:rFonts w:ascii="Times New Roman" w:hAnsi="Times New Roman" w:cs="Times New Roman"/>
        </w:rPr>
        <w:t>)</w:t>
      </w:r>
    </w:p>
    <w:p w:rsidR="00413E76" w:rsidRPr="00634082" w:rsidRDefault="00B85B59" w:rsidP="00C16EC9">
      <w:pPr>
        <w:spacing w:after="0" w:line="240" w:lineRule="auto"/>
        <w:jc w:val="both"/>
        <w:rPr>
          <w:rFonts w:ascii="Times New Roman" w:hAnsi="Times New Roman" w:cs="Times New Roman"/>
          <w:shd w:val="clear" w:color="auto" w:fill="FFFFFF"/>
        </w:rPr>
      </w:pPr>
      <w:r w:rsidRPr="00634082">
        <w:rPr>
          <w:rFonts w:ascii="Times New Roman" w:hAnsi="Times New Roman" w:cs="Times New Roman"/>
          <w:shd w:val="clear" w:color="auto" w:fill="FFFFFF"/>
        </w:rPr>
        <w:t xml:space="preserve">The benefits of maternal education are well-documented globally. </w:t>
      </w:r>
      <w:r w:rsidR="00413E76" w:rsidRPr="00634082">
        <w:rPr>
          <w:rFonts w:ascii="Times New Roman" w:hAnsi="Times New Roman" w:cs="Times New Roman"/>
          <w:shd w:val="clear" w:color="auto" w:fill="FFFFFF"/>
        </w:rPr>
        <w:t>Literacy and numeracy skills acquired in school enhance a mother’s ability to recognize illness, seek timely medical care, and adhere to modern health practices. Educated mothers are more likely to reject harmful misconceptions, pursue immunization, and access antenatal services, leading to improved pregnancy outcomes (Paul et al., 2022).</w:t>
      </w:r>
    </w:p>
    <w:p w:rsidR="00F95DAD" w:rsidRPr="00634082" w:rsidRDefault="00A05D69" w:rsidP="00F95DAD">
      <w:pPr>
        <w:spacing w:after="0" w:line="240" w:lineRule="auto"/>
        <w:jc w:val="both"/>
        <w:rPr>
          <w:rFonts w:ascii="Times New Roman" w:hAnsi="Times New Roman" w:cs="Times New Roman"/>
        </w:rPr>
      </w:pPr>
      <w:proofErr w:type="gramStart"/>
      <w:r w:rsidRPr="00634082">
        <w:rPr>
          <w:rFonts w:ascii="Times New Roman" w:eastAsia="Times New Roman" w:hAnsi="Times New Roman" w:cs="Times New Roman"/>
        </w:rPr>
        <w:t>.</w:t>
      </w:r>
      <w:r w:rsidR="00A853D9" w:rsidRPr="00634082">
        <w:rPr>
          <w:rFonts w:ascii="Times New Roman" w:hAnsi="Times New Roman" w:cs="Times New Roman"/>
        </w:rPr>
        <w:t>Adverse</w:t>
      </w:r>
      <w:proofErr w:type="gramEnd"/>
      <w:r w:rsidR="00A853D9" w:rsidRPr="00634082">
        <w:rPr>
          <w:rFonts w:ascii="Times New Roman" w:hAnsi="Times New Roman" w:cs="Times New Roman"/>
        </w:rPr>
        <w:t xml:space="preserve"> pregnancy outcomes </w:t>
      </w:r>
      <w:r w:rsidR="00AE2121" w:rsidRPr="00634082">
        <w:rPr>
          <w:rFonts w:ascii="Times New Roman" w:hAnsi="Times New Roman" w:cs="Times New Roman"/>
        </w:rPr>
        <w:t>including preterm birth, low birth</w:t>
      </w:r>
      <w:r w:rsidR="00A853D9" w:rsidRPr="00634082">
        <w:rPr>
          <w:rFonts w:ascii="Times New Roman" w:hAnsi="Times New Roman" w:cs="Times New Roman"/>
        </w:rPr>
        <w:t xml:space="preserve"> weight, and neonatal mortality </w:t>
      </w:r>
      <w:r w:rsidR="00AE2121" w:rsidRPr="00634082">
        <w:rPr>
          <w:rFonts w:ascii="Times New Roman" w:hAnsi="Times New Roman" w:cs="Times New Roman"/>
        </w:rPr>
        <w:t>remain significant public health challenges in sub-Saharan Africa, where limited access to healthcare and socioeconomic disparities exacerbate risks f</w:t>
      </w:r>
      <w:r w:rsidR="00A568BB" w:rsidRPr="00634082">
        <w:rPr>
          <w:rFonts w:ascii="Times New Roman" w:hAnsi="Times New Roman" w:cs="Times New Roman"/>
        </w:rPr>
        <w:t>or mothers and infants (</w:t>
      </w:r>
      <w:r w:rsidR="00851732" w:rsidRPr="00634082">
        <w:rPr>
          <w:rFonts w:ascii="Times New Roman" w:hAnsi="Times New Roman" w:cs="Times New Roman"/>
        </w:rPr>
        <w:t xml:space="preserve">Tamir  </w:t>
      </w:r>
      <w:r w:rsidR="00851732" w:rsidRPr="00634082">
        <w:rPr>
          <w:rFonts w:ascii="Times New Roman" w:hAnsi="Times New Roman" w:cs="Times New Roman"/>
          <w:i/>
        </w:rPr>
        <w:t>et al.,</w:t>
      </w:r>
      <w:r w:rsidR="00851732" w:rsidRPr="00634082">
        <w:rPr>
          <w:rFonts w:ascii="Times New Roman" w:hAnsi="Times New Roman" w:cs="Times New Roman"/>
        </w:rPr>
        <w:t xml:space="preserve"> 2024; </w:t>
      </w:r>
      <w:r w:rsidR="00A568BB" w:rsidRPr="00634082">
        <w:rPr>
          <w:rFonts w:ascii="Times New Roman" w:hAnsi="Times New Roman" w:cs="Times New Roman"/>
        </w:rPr>
        <w:t>John-</w:t>
      </w:r>
      <w:proofErr w:type="spellStart"/>
      <w:r w:rsidR="00A568BB" w:rsidRPr="00634082">
        <w:rPr>
          <w:rFonts w:ascii="Times New Roman" w:hAnsi="Times New Roman" w:cs="Times New Roman"/>
        </w:rPr>
        <w:t>Emaimo</w:t>
      </w:r>
      <w:proofErr w:type="spellEnd"/>
      <w:r w:rsidR="00A568BB" w:rsidRPr="00634082">
        <w:rPr>
          <w:rFonts w:ascii="Times New Roman" w:hAnsi="Times New Roman" w:cs="Times New Roman"/>
        </w:rPr>
        <w:t xml:space="preserve"> </w:t>
      </w:r>
      <w:r w:rsidR="00A568BB" w:rsidRPr="00634082">
        <w:rPr>
          <w:rFonts w:ascii="Times New Roman" w:hAnsi="Times New Roman" w:cs="Times New Roman"/>
          <w:i/>
        </w:rPr>
        <w:t xml:space="preserve">et </w:t>
      </w:r>
      <w:r w:rsidR="00A568BB" w:rsidRPr="00634082">
        <w:rPr>
          <w:rFonts w:ascii="Times New Roman" w:hAnsi="Times New Roman" w:cs="Times New Roman"/>
          <w:i/>
        </w:rPr>
        <w:lastRenderedPageBreak/>
        <w:t>al.,</w:t>
      </w:r>
      <w:r w:rsidR="00A568BB" w:rsidRPr="00634082">
        <w:rPr>
          <w:rFonts w:ascii="Times New Roman" w:hAnsi="Times New Roman" w:cs="Times New Roman"/>
        </w:rPr>
        <w:t xml:space="preserve"> 2025a; John-</w:t>
      </w:r>
      <w:proofErr w:type="spellStart"/>
      <w:r w:rsidR="00A568BB" w:rsidRPr="00634082">
        <w:rPr>
          <w:rFonts w:ascii="Times New Roman" w:hAnsi="Times New Roman" w:cs="Times New Roman"/>
        </w:rPr>
        <w:t>Emaimo</w:t>
      </w:r>
      <w:proofErr w:type="spellEnd"/>
      <w:r w:rsidR="00A568BB" w:rsidRPr="00634082">
        <w:rPr>
          <w:rFonts w:ascii="Times New Roman" w:hAnsi="Times New Roman" w:cs="Times New Roman"/>
        </w:rPr>
        <w:t xml:space="preserve"> </w:t>
      </w:r>
      <w:r w:rsidR="00A568BB" w:rsidRPr="00634082">
        <w:rPr>
          <w:rFonts w:ascii="Times New Roman" w:hAnsi="Times New Roman" w:cs="Times New Roman"/>
          <w:i/>
        </w:rPr>
        <w:t>et al.,</w:t>
      </w:r>
      <w:r w:rsidR="00A568BB" w:rsidRPr="00634082">
        <w:rPr>
          <w:rFonts w:ascii="Times New Roman" w:hAnsi="Times New Roman" w:cs="Times New Roman"/>
        </w:rPr>
        <w:t xml:space="preserve"> 2025b)</w:t>
      </w:r>
      <w:r w:rsidR="00AE2121" w:rsidRPr="00634082">
        <w:rPr>
          <w:rFonts w:ascii="Times New Roman" w:hAnsi="Times New Roman" w:cs="Times New Roman"/>
        </w:rPr>
        <w:t xml:space="preserve">. The Gambia, like many low-income countries, reports persistently high rates of these complications, with neonatal mortality at </w:t>
      </w:r>
      <w:r w:rsidR="00A73BBD" w:rsidRPr="00634082">
        <w:rPr>
          <w:rFonts w:ascii="Times New Roman" w:hAnsi="Times New Roman" w:cs="Times New Roman"/>
        </w:rPr>
        <w:t>36.2</w:t>
      </w:r>
      <w:r w:rsidR="00AE2121" w:rsidRPr="00634082">
        <w:rPr>
          <w:rFonts w:ascii="Times New Roman" w:hAnsi="Times New Roman" w:cs="Times New Roman"/>
        </w:rPr>
        <w:t xml:space="preserve"> deaths per 1,000 live births </w:t>
      </w:r>
      <w:r w:rsidR="00EB5576" w:rsidRPr="00634082">
        <w:rPr>
          <w:rFonts w:ascii="Times New Roman" w:hAnsi="Times New Roman" w:cs="Times New Roman"/>
        </w:rPr>
        <w:t xml:space="preserve">in 2022 </w:t>
      </w:r>
      <w:r w:rsidR="00CC410E" w:rsidRPr="00634082">
        <w:rPr>
          <w:rFonts w:ascii="Times New Roman" w:hAnsi="Times New Roman" w:cs="Times New Roman"/>
        </w:rPr>
        <w:t xml:space="preserve">(The </w:t>
      </w:r>
      <w:r w:rsidR="00A73BBD" w:rsidRPr="00634082">
        <w:rPr>
          <w:rFonts w:ascii="Times New Roman" w:hAnsi="Times New Roman" w:cs="Times New Roman"/>
        </w:rPr>
        <w:t>Macrotrends, 2025</w:t>
      </w:r>
      <w:r w:rsidR="00CC410E" w:rsidRPr="00634082">
        <w:rPr>
          <w:rFonts w:ascii="Times New Roman" w:hAnsi="Times New Roman" w:cs="Times New Roman"/>
        </w:rPr>
        <w:t xml:space="preserve">) </w:t>
      </w:r>
      <w:r w:rsidR="00AE2121" w:rsidRPr="00634082">
        <w:rPr>
          <w:rFonts w:ascii="Times New Roman" w:hAnsi="Times New Roman" w:cs="Times New Roman"/>
        </w:rPr>
        <w:t xml:space="preserve">and </w:t>
      </w:r>
      <w:r w:rsidR="00E335FB" w:rsidRPr="00634082">
        <w:rPr>
          <w:rFonts w:ascii="Times New Roman" w:hAnsi="Times New Roman" w:cs="Times New Roman"/>
        </w:rPr>
        <w:t>7.</w:t>
      </w:r>
      <w:r w:rsidR="00AE2121" w:rsidRPr="00634082">
        <w:rPr>
          <w:rFonts w:ascii="Times New Roman" w:hAnsi="Times New Roman" w:cs="Times New Roman"/>
        </w:rPr>
        <w:t>5</w:t>
      </w:r>
      <w:r w:rsidR="00FA4DBC" w:rsidRPr="00634082">
        <w:rPr>
          <w:rFonts w:ascii="Times New Roman" w:hAnsi="Times New Roman" w:cs="Times New Roman"/>
        </w:rPr>
        <w:t>-10</w:t>
      </w:r>
      <w:r w:rsidR="00AE2121" w:rsidRPr="00634082">
        <w:rPr>
          <w:rFonts w:ascii="Times New Roman" w:hAnsi="Times New Roman" w:cs="Times New Roman"/>
        </w:rPr>
        <w:t>% of infants born underweight</w:t>
      </w:r>
      <w:r w:rsidR="00721F8F" w:rsidRPr="00634082">
        <w:rPr>
          <w:rFonts w:ascii="Times New Roman" w:hAnsi="Times New Roman" w:cs="Times New Roman"/>
        </w:rPr>
        <w:t xml:space="preserve"> (</w:t>
      </w:r>
      <w:proofErr w:type="gramStart"/>
      <w:r w:rsidR="0023052A" w:rsidRPr="00634082">
        <w:rPr>
          <w:rFonts w:ascii="Times New Roman" w:hAnsi="Times New Roman" w:cs="Times New Roman"/>
        </w:rPr>
        <w:t xml:space="preserve">Gautam  </w:t>
      </w:r>
      <w:r w:rsidR="0023052A" w:rsidRPr="00634082">
        <w:rPr>
          <w:rFonts w:ascii="Times New Roman" w:hAnsi="Times New Roman" w:cs="Times New Roman"/>
          <w:i/>
        </w:rPr>
        <w:t>et al.</w:t>
      </w:r>
      <w:proofErr w:type="gramEnd"/>
      <w:r w:rsidR="0023052A" w:rsidRPr="00634082">
        <w:rPr>
          <w:rFonts w:ascii="Times New Roman" w:hAnsi="Times New Roman" w:cs="Times New Roman"/>
          <w:i/>
        </w:rPr>
        <w:t>,</w:t>
      </w:r>
      <w:r w:rsidR="0023052A" w:rsidRPr="00634082">
        <w:rPr>
          <w:rFonts w:ascii="Times New Roman" w:hAnsi="Times New Roman" w:cs="Times New Roman"/>
        </w:rPr>
        <w:t xml:space="preserve"> 2025; </w:t>
      </w:r>
      <w:proofErr w:type="spellStart"/>
      <w:r w:rsidR="00721F8F" w:rsidRPr="00634082">
        <w:rPr>
          <w:rFonts w:ascii="Times New Roman" w:hAnsi="Times New Roman" w:cs="Times New Roman"/>
        </w:rPr>
        <w:t>Weyori</w:t>
      </w:r>
      <w:proofErr w:type="spellEnd"/>
      <w:r w:rsidR="00721F8F" w:rsidRPr="00634082">
        <w:rPr>
          <w:rFonts w:ascii="Times New Roman" w:hAnsi="Times New Roman" w:cs="Times New Roman"/>
        </w:rPr>
        <w:t xml:space="preserve"> </w:t>
      </w:r>
      <w:r w:rsidR="00721F8F" w:rsidRPr="00634082">
        <w:rPr>
          <w:rFonts w:ascii="Times New Roman" w:hAnsi="Times New Roman" w:cs="Times New Roman"/>
          <w:i/>
        </w:rPr>
        <w:t>et al.,</w:t>
      </w:r>
      <w:r w:rsidR="00721F8F" w:rsidRPr="00634082">
        <w:rPr>
          <w:rFonts w:ascii="Times New Roman" w:hAnsi="Times New Roman" w:cs="Times New Roman"/>
        </w:rPr>
        <w:t xml:space="preserve"> 2022</w:t>
      </w:r>
      <w:r w:rsidR="007C6492" w:rsidRPr="00634082">
        <w:rPr>
          <w:rFonts w:ascii="Times New Roman" w:hAnsi="Times New Roman" w:cs="Times New Roman"/>
        </w:rPr>
        <w:t>; Gambia Bureau of Statistics (</w:t>
      </w:r>
      <w:proofErr w:type="spellStart"/>
      <w:r w:rsidR="007C6492" w:rsidRPr="00634082">
        <w:rPr>
          <w:rFonts w:ascii="Times New Roman" w:hAnsi="Times New Roman" w:cs="Times New Roman"/>
        </w:rPr>
        <w:t>GBoS</w:t>
      </w:r>
      <w:proofErr w:type="spellEnd"/>
      <w:r w:rsidR="007C6492" w:rsidRPr="00634082">
        <w:rPr>
          <w:rFonts w:ascii="Times New Roman" w:hAnsi="Times New Roman" w:cs="Times New Roman"/>
        </w:rPr>
        <w:t>), 2021</w:t>
      </w:r>
      <w:r w:rsidR="00721F8F" w:rsidRPr="00634082">
        <w:rPr>
          <w:rFonts w:ascii="Times New Roman" w:hAnsi="Times New Roman" w:cs="Times New Roman"/>
        </w:rPr>
        <w:t>)</w:t>
      </w:r>
      <w:r w:rsidR="00AE2121" w:rsidRPr="00634082">
        <w:rPr>
          <w:rFonts w:ascii="Times New Roman" w:hAnsi="Times New Roman" w:cs="Times New Roman"/>
        </w:rPr>
        <w:t>. While biomedical factors such as malnutrition and infection contribute to these outcomes, growing evidence underscores the role of social determinants, particularly maternal education, in</w:t>
      </w:r>
      <w:r w:rsidR="005914F8" w:rsidRPr="00634082">
        <w:rPr>
          <w:rFonts w:ascii="Times New Roman" w:hAnsi="Times New Roman" w:cs="Times New Roman"/>
        </w:rPr>
        <w:t xml:space="preserve"> shaping pregnancy health (John-</w:t>
      </w:r>
      <w:proofErr w:type="spellStart"/>
      <w:r w:rsidR="005914F8" w:rsidRPr="00634082">
        <w:rPr>
          <w:rFonts w:ascii="Times New Roman" w:hAnsi="Times New Roman" w:cs="Times New Roman"/>
        </w:rPr>
        <w:t>Emaimo</w:t>
      </w:r>
      <w:proofErr w:type="spellEnd"/>
      <w:r w:rsidR="005914F8" w:rsidRPr="00634082">
        <w:rPr>
          <w:rFonts w:ascii="Times New Roman" w:hAnsi="Times New Roman" w:cs="Times New Roman"/>
        </w:rPr>
        <w:t xml:space="preserve"> </w:t>
      </w:r>
      <w:r w:rsidR="005914F8" w:rsidRPr="00634082">
        <w:rPr>
          <w:rFonts w:ascii="Times New Roman" w:hAnsi="Times New Roman" w:cs="Times New Roman"/>
          <w:i/>
        </w:rPr>
        <w:t>et al.,</w:t>
      </w:r>
      <w:r w:rsidR="005914F8" w:rsidRPr="00634082">
        <w:rPr>
          <w:rFonts w:ascii="Times New Roman" w:hAnsi="Times New Roman" w:cs="Times New Roman"/>
        </w:rPr>
        <w:t xml:space="preserve"> 2025a; John-</w:t>
      </w:r>
      <w:proofErr w:type="spellStart"/>
      <w:r w:rsidR="005914F8" w:rsidRPr="00634082">
        <w:rPr>
          <w:rFonts w:ascii="Times New Roman" w:hAnsi="Times New Roman" w:cs="Times New Roman"/>
        </w:rPr>
        <w:t>Emaimo</w:t>
      </w:r>
      <w:proofErr w:type="spellEnd"/>
      <w:r w:rsidR="005914F8" w:rsidRPr="00634082">
        <w:rPr>
          <w:rFonts w:ascii="Times New Roman" w:hAnsi="Times New Roman" w:cs="Times New Roman"/>
        </w:rPr>
        <w:t xml:space="preserve"> </w:t>
      </w:r>
      <w:r w:rsidR="005914F8" w:rsidRPr="00634082">
        <w:rPr>
          <w:rFonts w:ascii="Times New Roman" w:hAnsi="Times New Roman" w:cs="Times New Roman"/>
          <w:i/>
        </w:rPr>
        <w:t>et al.,</w:t>
      </w:r>
      <w:r w:rsidR="005914F8" w:rsidRPr="00634082">
        <w:rPr>
          <w:rFonts w:ascii="Times New Roman" w:hAnsi="Times New Roman" w:cs="Times New Roman"/>
        </w:rPr>
        <w:t xml:space="preserve"> 2025b)</w:t>
      </w:r>
      <w:r w:rsidR="00AE2121" w:rsidRPr="00634082">
        <w:rPr>
          <w:rFonts w:ascii="Times New Roman" w:hAnsi="Times New Roman" w:cs="Times New Roman"/>
        </w:rPr>
        <w:t>.</w:t>
      </w:r>
    </w:p>
    <w:p w:rsidR="00F95DAD" w:rsidRPr="00634082" w:rsidRDefault="00AE2121" w:rsidP="00F95DAD">
      <w:pPr>
        <w:spacing w:after="0" w:line="240" w:lineRule="auto"/>
        <w:jc w:val="both"/>
        <w:rPr>
          <w:rFonts w:ascii="Times New Roman" w:hAnsi="Times New Roman" w:cs="Times New Roman"/>
        </w:rPr>
      </w:pPr>
      <w:r w:rsidRPr="00634082">
        <w:rPr>
          <w:rFonts w:ascii="Times New Roman" w:hAnsi="Times New Roman" w:cs="Times New Roman"/>
        </w:rPr>
        <w:t xml:space="preserve">Education empowers women with health literacy, improves access to antenatal care, and fosters economic independence, all of which are linked to better maternal and neonatal outcomes </w:t>
      </w:r>
      <w:r w:rsidR="00C834F9" w:rsidRPr="00634082">
        <w:rPr>
          <w:rFonts w:ascii="Times New Roman" w:hAnsi="Times New Roman" w:cs="Times New Roman"/>
        </w:rPr>
        <w:t>(</w:t>
      </w:r>
      <w:proofErr w:type="spellStart"/>
      <w:r w:rsidR="00DB60DE" w:rsidRPr="00634082">
        <w:rPr>
          <w:rFonts w:ascii="Times New Roman" w:hAnsi="Times New Roman" w:cs="Times New Roman"/>
        </w:rPr>
        <w:t>Vhawal</w:t>
      </w:r>
      <w:proofErr w:type="spellEnd"/>
      <w:r w:rsidR="00DB60DE" w:rsidRPr="00634082">
        <w:rPr>
          <w:rFonts w:ascii="Times New Roman" w:hAnsi="Times New Roman" w:cs="Times New Roman"/>
          <w:shd w:val="clear" w:color="auto" w:fill="FFFFFF"/>
        </w:rPr>
        <w:t xml:space="preserve"> </w:t>
      </w:r>
      <w:r w:rsidR="00DB60DE" w:rsidRPr="00634082">
        <w:rPr>
          <w:rFonts w:ascii="Times New Roman" w:hAnsi="Times New Roman" w:cs="Times New Roman"/>
          <w:i/>
          <w:shd w:val="clear" w:color="auto" w:fill="FFFFFF"/>
        </w:rPr>
        <w:t>et al.,</w:t>
      </w:r>
      <w:r w:rsidR="00DB60DE" w:rsidRPr="00634082">
        <w:rPr>
          <w:rFonts w:ascii="Times New Roman" w:hAnsi="Times New Roman" w:cs="Times New Roman"/>
          <w:shd w:val="clear" w:color="auto" w:fill="FFFFFF"/>
        </w:rPr>
        <w:t xml:space="preserve"> 2024; </w:t>
      </w:r>
      <w:r w:rsidR="00C834F9" w:rsidRPr="00634082">
        <w:rPr>
          <w:rFonts w:ascii="Times New Roman" w:hAnsi="Times New Roman" w:cs="Times New Roman"/>
        </w:rPr>
        <w:t xml:space="preserve">Jack </w:t>
      </w:r>
      <w:r w:rsidR="00C834F9" w:rsidRPr="00634082">
        <w:rPr>
          <w:rFonts w:ascii="Times New Roman" w:hAnsi="Times New Roman" w:cs="Times New Roman"/>
          <w:i/>
        </w:rPr>
        <w:t xml:space="preserve">et al </w:t>
      </w:r>
      <w:r w:rsidR="00C834F9" w:rsidRPr="00634082">
        <w:rPr>
          <w:rFonts w:ascii="Times New Roman" w:hAnsi="Times New Roman" w:cs="Times New Roman"/>
        </w:rPr>
        <w:t>2017</w:t>
      </w:r>
      <w:r w:rsidR="006D73DB" w:rsidRPr="00634082">
        <w:rPr>
          <w:rFonts w:ascii="Times New Roman" w:hAnsi="Times New Roman" w:cs="Times New Roman"/>
        </w:rPr>
        <w:t xml:space="preserve">; </w:t>
      </w:r>
      <w:proofErr w:type="spellStart"/>
      <w:r w:rsidR="006D73DB" w:rsidRPr="00634082">
        <w:rPr>
          <w:rFonts w:ascii="Times New Roman" w:hAnsi="Times New Roman" w:cs="Times New Roman"/>
        </w:rPr>
        <w:t>Ketema</w:t>
      </w:r>
      <w:proofErr w:type="spellEnd"/>
      <w:r w:rsidR="006D73DB" w:rsidRPr="00634082">
        <w:rPr>
          <w:rFonts w:ascii="Times New Roman" w:hAnsi="Times New Roman" w:cs="Times New Roman"/>
        </w:rPr>
        <w:t xml:space="preserve"> </w:t>
      </w:r>
      <w:r w:rsidR="006D73DB" w:rsidRPr="00634082">
        <w:rPr>
          <w:rFonts w:ascii="Times New Roman" w:hAnsi="Times New Roman" w:cs="Times New Roman"/>
          <w:i/>
        </w:rPr>
        <w:t>et al</w:t>
      </w:r>
      <w:r w:rsidR="006D73DB" w:rsidRPr="00634082">
        <w:rPr>
          <w:rFonts w:ascii="Times New Roman" w:hAnsi="Times New Roman" w:cs="Times New Roman"/>
        </w:rPr>
        <w:t>., 2020</w:t>
      </w:r>
      <w:r w:rsidR="00C4146C" w:rsidRPr="00634082">
        <w:rPr>
          <w:rFonts w:ascii="Times New Roman" w:hAnsi="Times New Roman" w:cs="Times New Roman"/>
        </w:rPr>
        <w:t xml:space="preserve">; Daniels-Donkor </w:t>
      </w:r>
      <w:r w:rsidR="00C4146C" w:rsidRPr="00634082">
        <w:rPr>
          <w:rFonts w:ascii="Times New Roman" w:hAnsi="Times New Roman" w:cs="Times New Roman"/>
          <w:i/>
        </w:rPr>
        <w:t>et al.,</w:t>
      </w:r>
      <w:r w:rsidR="00C4146C" w:rsidRPr="00634082">
        <w:rPr>
          <w:rFonts w:ascii="Times New Roman" w:hAnsi="Times New Roman" w:cs="Times New Roman"/>
        </w:rPr>
        <w:t xml:space="preserve"> 2024</w:t>
      </w:r>
      <w:r w:rsidR="00C01EB3" w:rsidRPr="00634082">
        <w:rPr>
          <w:rFonts w:ascii="Times New Roman" w:hAnsi="Times New Roman" w:cs="Times New Roman"/>
        </w:rPr>
        <w:t>)</w:t>
      </w:r>
      <w:r w:rsidRPr="00634082">
        <w:rPr>
          <w:rFonts w:ascii="Times New Roman" w:hAnsi="Times New Roman" w:cs="Times New Roman"/>
        </w:rPr>
        <w:t xml:space="preserve">. Globally, each additional year of maternal education is associated with a 9% reduction in under-five mortality </w:t>
      </w:r>
      <w:r w:rsidR="00306311" w:rsidRPr="00634082">
        <w:rPr>
          <w:rFonts w:ascii="Times New Roman" w:hAnsi="Times New Roman" w:cs="Times New Roman"/>
        </w:rPr>
        <w:t xml:space="preserve">(Shannon </w:t>
      </w:r>
      <w:r w:rsidR="00306311" w:rsidRPr="00634082">
        <w:rPr>
          <w:rFonts w:ascii="Times New Roman" w:hAnsi="Times New Roman" w:cs="Times New Roman"/>
          <w:i/>
        </w:rPr>
        <w:t>et al.,</w:t>
      </w:r>
      <w:r w:rsidR="00FD0426" w:rsidRPr="00634082">
        <w:rPr>
          <w:rFonts w:ascii="Times New Roman" w:hAnsi="Times New Roman" w:cs="Times New Roman"/>
        </w:rPr>
        <w:t xml:space="preserve"> 2024; </w:t>
      </w:r>
      <w:proofErr w:type="spellStart"/>
      <w:r w:rsidR="00314553" w:rsidRPr="00634082">
        <w:rPr>
          <w:rFonts w:ascii="Times New Roman" w:hAnsi="Times New Roman" w:cs="Times New Roman"/>
        </w:rPr>
        <w:t>Moradhvaj</w:t>
      </w:r>
      <w:proofErr w:type="spellEnd"/>
      <w:r w:rsidR="00314553" w:rsidRPr="00634082">
        <w:rPr>
          <w:rFonts w:ascii="Times New Roman" w:hAnsi="Times New Roman" w:cs="Times New Roman"/>
        </w:rPr>
        <w:t xml:space="preserve"> and </w:t>
      </w:r>
      <w:r w:rsidR="00AA580D" w:rsidRPr="00634082">
        <w:rPr>
          <w:rFonts w:ascii="Times New Roman" w:hAnsi="Times New Roman" w:cs="Times New Roman"/>
        </w:rPr>
        <w:t>Samir</w:t>
      </w:r>
      <w:r w:rsidR="00AA580D" w:rsidRPr="00634082">
        <w:rPr>
          <w:rFonts w:ascii="Times New Roman" w:hAnsi="Times New Roman" w:cs="Times New Roman"/>
          <w:bCs/>
        </w:rPr>
        <w:t xml:space="preserve">, 2023; </w:t>
      </w:r>
      <w:r w:rsidR="00FD0426" w:rsidRPr="00634082">
        <w:rPr>
          <w:rFonts w:ascii="Times New Roman" w:hAnsi="Times New Roman" w:cs="Times New Roman"/>
          <w:bCs/>
        </w:rPr>
        <w:t>Schillinger, 2020</w:t>
      </w:r>
      <w:r w:rsidR="00447033" w:rsidRPr="00634082">
        <w:rPr>
          <w:rFonts w:ascii="Times New Roman" w:hAnsi="Times New Roman" w:cs="Times New Roman"/>
          <w:bCs/>
        </w:rPr>
        <w:t>; UNICEF, 2021</w:t>
      </w:r>
      <w:r w:rsidR="00FD0426" w:rsidRPr="00634082">
        <w:rPr>
          <w:rFonts w:ascii="Times New Roman" w:hAnsi="Times New Roman" w:cs="Times New Roman"/>
        </w:rPr>
        <w:t>)</w:t>
      </w:r>
      <w:r w:rsidRPr="00634082">
        <w:rPr>
          <w:rFonts w:ascii="Times New Roman" w:hAnsi="Times New Roman" w:cs="Times New Roman"/>
          <w:b/>
        </w:rPr>
        <w:t>.</w:t>
      </w:r>
      <w:r w:rsidRPr="00634082">
        <w:rPr>
          <w:rFonts w:ascii="Times New Roman" w:hAnsi="Times New Roman" w:cs="Times New Roman"/>
        </w:rPr>
        <w:t xml:space="preserve"> However, in The Gambia, where female literacy rates lag at </w:t>
      </w:r>
      <w:r w:rsidR="002306C7" w:rsidRPr="00634082">
        <w:rPr>
          <w:rFonts w:ascii="Times New Roman" w:hAnsi="Times New Roman" w:cs="Times New Roman"/>
        </w:rPr>
        <w:t>52.3</w:t>
      </w:r>
      <w:r w:rsidRPr="00634082">
        <w:rPr>
          <w:rFonts w:ascii="Times New Roman" w:hAnsi="Times New Roman" w:cs="Times New Roman"/>
        </w:rPr>
        <w:t>% and regional disparities in education persist, the extent to which maternal education mitigates pregnancy risk</w:t>
      </w:r>
      <w:r w:rsidR="005D2500" w:rsidRPr="00634082">
        <w:rPr>
          <w:rFonts w:ascii="Times New Roman" w:hAnsi="Times New Roman" w:cs="Times New Roman"/>
        </w:rPr>
        <w:t>s remains underexplored (World Bank Group, 2024)</w:t>
      </w:r>
      <w:r w:rsidRPr="00634082">
        <w:rPr>
          <w:rFonts w:ascii="Times New Roman" w:hAnsi="Times New Roman" w:cs="Times New Roman"/>
        </w:rPr>
        <w:t>. Existing studies in similar settings (e.g., Ghana, Nigeria) demonstrate protective effects of education</w:t>
      </w:r>
      <w:r w:rsidR="00C75709" w:rsidRPr="00634082">
        <w:rPr>
          <w:rFonts w:ascii="Times New Roman" w:hAnsi="Times New Roman" w:cs="Times New Roman"/>
        </w:rPr>
        <w:t xml:space="preserve"> (</w:t>
      </w:r>
      <w:proofErr w:type="spellStart"/>
      <w:r w:rsidR="00C75709" w:rsidRPr="00634082">
        <w:rPr>
          <w:rFonts w:ascii="Times New Roman" w:hAnsi="Times New Roman" w:cs="Times New Roman"/>
        </w:rPr>
        <w:t>Sasu</w:t>
      </w:r>
      <w:proofErr w:type="spellEnd"/>
      <w:r w:rsidR="00C75709" w:rsidRPr="00634082">
        <w:rPr>
          <w:rFonts w:ascii="Times New Roman" w:hAnsi="Times New Roman" w:cs="Times New Roman"/>
        </w:rPr>
        <w:t>, 2024)</w:t>
      </w:r>
      <w:r w:rsidRPr="00634082">
        <w:rPr>
          <w:rFonts w:ascii="Times New Roman" w:hAnsi="Times New Roman" w:cs="Times New Roman"/>
        </w:rPr>
        <w:t xml:space="preserve">, but contextual factors such as cultural norms, healthcare infrastructure, and disease burden (e.g., malaria) may modify these relationships </w:t>
      </w:r>
      <w:r w:rsidR="005E7E1E" w:rsidRPr="00634082">
        <w:rPr>
          <w:rFonts w:ascii="Times New Roman" w:hAnsi="Times New Roman" w:cs="Times New Roman"/>
        </w:rPr>
        <w:t>(</w:t>
      </w:r>
      <w:r w:rsidR="00C5039D" w:rsidRPr="00634082">
        <w:rPr>
          <w:rFonts w:ascii="Times New Roman" w:hAnsi="Times New Roman" w:cs="Times New Roman"/>
          <w:shd w:val="clear" w:color="auto" w:fill="FFFFFF"/>
        </w:rPr>
        <w:t>Akpan </w:t>
      </w:r>
      <w:r w:rsidR="00C5039D" w:rsidRPr="00634082">
        <w:rPr>
          <w:rStyle w:val="Emphasis"/>
          <w:rFonts w:ascii="Times New Roman" w:hAnsi="Times New Roman" w:cs="Times New Roman"/>
          <w:bdr w:val="none" w:sz="0" w:space="0" w:color="auto" w:frame="1"/>
          <w:shd w:val="clear" w:color="auto" w:fill="FFFFFF"/>
        </w:rPr>
        <w:t>et al.,</w:t>
      </w:r>
      <w:r w:rsidR="00C5039D" w:rsidRPr="00634082">
        <w:rPr>
          <w:rFonts w:ascii="Times New Roman" w:hAnsi="Times New Roman" w:cs="Times New Roman"/>
          <w:shd w:val="clear" w:color="auto" w:fill="FFFFFF"/>
        </w:rPr>
        <w:t> 2024</w:t>
      </w:r>
      <w:r w:rsidR="004C5B95" w:rsidRPr="00634082">
        <w:rPr>
          <w:rFonts w:ascii="Times New Roman" w:hAnsi="Times New Roman" w:cs="Times New Roman"/>
          <w:shd w:val="clear" w:color="auto" w:fill="FFFFFF"/>
        </w:rPr>
        <w:t>; (</w:t>
      </w:r>
      <w:hyperlink r:id="rId7" w:anchor="ref-20" w:history="1">
        <w:r w:rsidR="004C5B95" w:rsidRPr="00634082">
          <w:rPr>
            <w:rStyle w:val="Hyperlink"/>
            <w:rFonts w:ascii="Times New Roman" w:hAnsi="Times New Roman" w:cs="Times New Roman"/>
            <w:bCs/>
            <w:color w:val="auto"/>
            <w:u w:val="none"/>
            <w:bdr w:val="none" w:sz="0" w:space="0" w:color="auto" w:frame="1"/>
            <w:shd w:val="clear" w:color="auto" w:fill="FFFFFF"/>
          </w:rPr>
          <w:t>Mordecai, 2023</w:t>
        </w:r>
      </w:hyperlink>
      <w:r w:rsidR="004C5B95" w:rsidRPr="00634082">
        <w:rPr>
          <w:rFonts w:ascii="Times New Roman" w:hAnsi="Times New Roman" w:cs="Times New Roman"/>
          <w:shd w:val="clear" w:color="auto" w:fill="FFFFFF"/>
        </w:rPr>
        <w:t>;</w:t>
      </w:r>
      <w:r w:rsidR="00C5039D" w:rsidRPr="00634082">
        <w:rPr>
          <w:rFonts w:ascii="Times New Roman" w:hAnsi="Times New Roman" w:cs="Times New Roman"/>
        </w:rPr>
        <w:t xml:space="preserve"> </w:t>
      </w:r>
      <w:r w:rsidR="005E7E1E" w:rsidRPr="00634082">
        <w:rPr>
          <w:rFonts w:ascii="Times New Roman" w:hAnsi="Times New Roman" w:cs="Times New Roman"/>
        </w:rPr>
        <w:t>Masuda, 2020</w:t>
      </w:r>
      <w:r w:rsidR="00DC121A" w:rsidRPr="00634082">
        <w:rPr>
          <w:rFonts w:ascii="Times New Roman" w:hAnsi="Times New Roman" w:cs="Times New Roman"/>
        </w:rPr>
        <w:t xml:space="preserve">; </w:t>
      </w:r>
      <w:proofErr w:type="spellStart"/>
      <w:r w:rsidR="00DC121A" w:rsidRPr="00634082">
        <w:rPr>
          <w:rFonts w:ascii="Times New Roman" w:hAnsi="Times New Roman" w:cs="Times New Roman"/>
        </w:rPr>
        <w:t>Onyejose</w:t>
      </w:r>
      <w:proofErr w:type="spellEnd"/>
      <w:r w:rsidR="00DC121A" w:rsidRPr="00634082">
        <w:rPr>
          <w:rFonts w:ascii="Times New Roman" w:hAnsi="Times New Roman" w:cs="Times New Roman"/>
        </w:rPr>
        <w:t xml:space="preserve"> </w:t>
      </w:r>
      <w:r w:rsidR="00DC121A" w:rsidRPr="00634082">
        <w:rPr>
          <w:rFonts w:ascii="Times New Roman" w:hAnsi="Times New Roman" w:cs="Times New Roman"/>
          <w:i/>
        </w:rPr>
        <w:t>et al.,</w:t>
      </w:r>
      <w:r w:rsidR="00DC121A" w:rsidRPr="00634082">
        <w:rPr>
          <w:rFonts w:ascii="Times New Roman" w:hAnsi="Times New Roman" w:cs="Times New Roman"/>
        </w:rPr>
        <w:t xml:space="preserve"> 2019</w:t>
      </w:r>
      <w:r w:rsidR="005E7E1E" w:rsidRPr="00634082">
        <w:rPr>
          <w:rFonts w:ascii="Times New Roman" w:hAnsi="Times New Roman" w:cs="Times New Roman"/>
        </w:rPr>
        <w:t>)</w:t>
      </w:r>
      <w:r w:rsidRPr="00634082">
        <w:rPr>
          <w:rFonts w:ascii="Times New Roman" w:hAnsi="Times New Roman" w:cs="Times New Roman"/>
        </w:rPr>
        <w:t>.</w:t>
      </w:r>
    </w:p>
    <w:p w:rsidR="0028192F" w:rsidRPr="00634082" w:rsidRDefault="00AE2121" w:rsidP="00C16EC9">
      <w:pPr>
        <w:spacing w:after="0" w:line="240" w:lineRule="auto"/>
        <w:jc w:val="both"/>
        <w:rPr>
          <w:rFonts w:ascii="Times New Roman" w:eastAsia="Times New Roman" w:hAnsi="Times New Roman" w:cs="Times New Roman"/>
        </w:rPr>
      </w:pPr>
      <w:r w:rsidRPr="00634082">
        <w:rPr>
          <w:rFonts w:ascii="Times New Roman" w:hAnsi="Times New Roman" w:cs="Times New Roman"/>
        </w:rPr>
        <w:t xml:space="preserve">This study examines the association between maternal education and pregnancy outcomes among women delivering at a Gambian referral hospital. By analyzing a cohort of </w:t>
      </w:r>
      <w:r w:rsidR="009C1C2C" w:rsidRPr="00634082">
        <w:rPr>
          <w:rFonts w:ascii="Times New Roman" w:hAnsi="Times New Roman" w:cs="Times New Roman"/>
        </w:rPr>
        <w:t xml:space="preserve">pregnant </w:t>
      </w:r>
      <w:r w:rsidRPr="00634082">
        <w:rPr>
          <w:rFonts w:ascii="Times New Roman" w:hAnsi="Times New Roman" w:cs="Times New Roman"/>
        </w:rPr>
        <w:t>women, we aim</w:t>
      </w:r>
      <w:r w:rsidR="00EB3A51">
        <w:rPr>
          <w:rFonts w:ascii="Times New Roman" w:hAnsi="Times New Roman" w:cs="Times New Roman"/>
        </w:rPr>
        <w:t>ed</w:t>
      </w:r>
      <w:r w:rsidRPr="00634082">
        <w:rPr>
          <w:rFonts w:ascii="Times New Roman" w:hAnsi="Times New Roman" w:cs="Times New Roman"/>
        </w:rPr>
        <w:t xml:space="preserve"> to:</w:t>
      </w:r>
      <w:r w:rsidR="0006528F" w:rsidRPr="00634082">
        <w:rPr>
          <w:rFonts w:ascii="Times New Roman" w:hAnsi="Times New Roman" w:cs="Times New Roman"/>
        </w:rPr>
        <w:t xml:space="preserve"> (</w:t>
      </w:r>
      <w:proofErr w:type="spellStart"/>
      <w:r w:rsidR="0006528F" w:rsidRPr="00634082">
        <w:rPr>
          <w:rFonts w:ascii="Times New Roman" w:hAnsi="Times New Roman" w:cs="Times New Roman"/>
        </w:rPr>
        <w:t>i</w:t>
      </w:r>
      <w:proofErr w:type="spellEnd"/>
      <w:r w:rsidR="0006528F" w:rsidRPr="00634082">
        <w:rPr>
          <w:rFonts w:ascii="Times New Roman" w:hAnsi="Times New Roman" w:cs="Times New Roman"/>
        </w:rPr>
        <w:t xml:space="preserve">) </w:t>
      </w:r>
      <w:r w:rsidRPr="00634082">
        <w:rPr>
          <w:rFonts w:ascii="Times New Roman" w:hAnsi="Times New Roman" w:cs="Times New Roman"/>
        </w:rPr>
        <w:t>Quantify the relationship between maternal education (none, primary, secondary or higher) and key outcomes (birth weight, gestational age, neonatal survival).</w:t>
      </w:r>
      <w:r w:rsidR="0006528F" w:rsidRPr="00634082">
        <w:rPr>
          <w:rFonts w:ascii="Times New Roman" w:hAnsi="Times New Roman" w:cs="Times New Roman"/>
        </w:rPr>
        <w:t xml:space="preserve">, (ii) </w:t>
      </w:r>
      <w:r w:rsidRPr="00634082">
        <w:rPr>
          <w:rFonts w:ascii="Times New Roman" w:hAnsi="Times New Roman" w:cs="Times New Roman"/>
        </w:rPr>
        <w:t>Explore whether education’s effects persist after adjusting for confounders (socioeconomic status, antenatal care, comorbidities).</w:t>
      </w:r>
    </w:p>
    <w:p w:rsidR="00E1057E" w:rsidRPr="00634082" w:rsidRDefault="00096A51" w:rsidP="00E1057E">
      <w:pPr>
        <w:spacing w:after="0" w:line="240" w:lineRule="auto"/>
        <w:jc w:val="both"/>
        <w:rPr>
          <w:rFonts w:ascii="Times New Roman" w:hAnsi="Times New Roman" w:cs="Times New Roman"/>
          <w:b/>
        </w:rPr>
      </w:pPr>
      <w:r w:rsidRPr="00634082">
        <w:rPr>
          <w:rFonts w:ascii="Times New Roman" w:hAnsi="Times New Roman" w:cs="Times New Roman"/>
          <w:b/>
        </w:rPr>
        <w:t>METHODS</w:t>
      </w:r>
    </w:p>
    <w:p w:rsidR="00E1057E" w:rsidRPr="00634082" w:rsidRDefault="00676EDD" w:rsidP="00E1057E">
      <w:pPr>
        <w:spacing w:after="0" w:line="240" w:lineRule="auto"/>
        <w:jc w:val="both"/>
        <w:rPr>
          <w:rStyle w:val="Strong"/>
          <w:rFonts w:ascii="Times New Roman" w:hAnsi="Times New Roman" w:cs="Times New Roman"/>
          <w:bCs w:val="0"/>
        </w:rPr>
      </w:pPr>
      <w:r w:rsidRPr="00634082">
        <w:rPr>
          <w:rStyle w:val="Strong"/>
          <w:rFonts w:ascii="Times New Roman" w:hAnsi="Times New Roman" w:cs="Times New Roman"/>
          <w:bCs w:val="0"/>
        </w:rPr>
        <w:t>Study Design</w:t>
      </w:r>
    </w:p>
    <w:p w:rsidR="00676EDD" w:rsidRPr="00634082" w:rsidRDefault="00676EDD" w:rsidP="00E1057E">
      <w:pPr>
        <w:spacing w:after="0" w:line="240" w:lineRule="auto"/>
        <w:jc w:val="both"/>
        <w:rPr>
          <w:rFonts w:ascii="Times New Roman" w:hAnsi="Times New Roman" w:cs="Times New Roman"/>
          <w:b/>
        </w:rPr>
      </w:pPr>
      <w:r w:rsidRPr="00634082">
        <w:rPr>
          <w:rFonts w:ascii="Times New Roman" w:hAnsi="Times New Roman" w:cs="Times New Roman"/>
        </w:rPr>
        <w:t>We conducted a </w:t>
      </w:r>
      <w:r w:rsidRPr="00634082">
        <w:rPr>
          <w:rStyle w:val="Strong"/>
          <w:rFonts w:ascii="Times New Roman" w:hAnsi="Times New Roman" w:cs="Times New Roman"/>
          <w:b w:val="0"/>
        </w:rPr>
        <w:t>hospital-based retrospective cohort study</w:t>
      </w:r>
      <w:r w:rsidRPr="00634082">
        <w:rPr>
          <w:rFonts w:ascii="Times New Roman" w:hAnsi="Times New Roman" w:cs="Times New Roman"/>
        </w:rPr>
        <w:t xml:space="preserve"> of pregnant women who delivered at Edward Francis Small Teaching Hospital (EFSTH), Banjul, The Gambia, between </w:t>
      </w:r>
      <w:r w:rsidR="00876D39" w:rsidRPr="00634082">
        <w:rPr>
          <w:rFonts w:ascii="Times New Roman" w:hAnsi="Times New Roman" w:cs="Times New Roman"/>
        </w:rPr>
        <w:t>December 2021</w:t>
      </w:r>
      <w:r w:rsidRPr="00634082">
        <w:rPr>
          <w:rFonts w:ascii="Times New Roman" w:hAnsi="Times New Roman" w:cs="Times New Roman"/>
        </w:rPr>
        <w:t xml:space="preserve"> and </w:t>
      </w:r>
      <w:r w:rsidR="00876D39" w:rsidRPr="00634082">
        <w:rPr>
          <w:rFonts w:ascii="Times New Roman" w:hAnsi="Times New Roman" w:cs="Times New Roman"/>
        </w:rPr>
        <w:t>January, 2022</w:t>
      </w:r>
      <w:r w:rsidRPr="00634082">
        <w:rPr>
          <w:rFonts w:ascii="Times New Roman" w:hAnsi="Times New Roman" w:cs="Times New Roman"/>
        </w:rPr>
        <w:t>. This design was selected to efficiently examine the association between maternal education (exposure) and pregnancy outcomes (dependent variables) using existing medical records.</w:t>
      </w:r>
    </w:p>
    <w:p w:rsidR="006812A2" w:rsidRPr="00634082" w:rsidRDefault="00676EDD" w:rsidP="006812A2">
      <w:pPr>
        <w:pStyle w:val="Heading4"/>
        <w:shd w:val="clear" w:color="auto" w:fill="FFFFFF"/>
        <w:spacing w:line="240" w:lineRule="auto"/>
        <w:jc w:val="both"/>
        <w:rPr>
          <w:rStyle w:val="Strong"/>
          <w:rFonts w:ascii="Times New Roman" w:hAnsi="Times New Roman" w:cs="Times New Roman"/>
          <w:bCs w:val="0"/>
          <w:i w:val="0"/>
          <w:color w:val="auto"/>
        </w:rPr>
      </w:pPr>
      <w:r w:rsidRPr="00634082">
        <w:rPr>
          <w:rStyle w:val="Strong"/>
          <w:rFonts w:ascii="Times New Roman" w:hAnsi="Times New Roman" w:cs="Times New Roman"/>
          <w:bCs w:val="0"/>
          <w:i w:val="0"/>
          <w:color w:val="auto"/>
        </w:rPr>
        <w:t>Study Setting</w:t>
      </w:r>
    </w:p>
    <w:p w:rsidR="00236377" w:rsidRPr="00634082" w:rsidRDefault="00236377" w:rsidP="00236377">
      <w:pPr>
        <w:pStyle w:val="Heading4"/>
        <w:shd w:val="clear" w:color="auto" w:fill="FFFFFF"/>
        <w:spacing w:line="240" w:lineRule="auto"/>
        <w:jc w:val="both"/>
        <w:rPr>
          <w:rFonts w:ascii="Times New Roman" w:hAnsi="Times New Roman" w:cs="Times New Roman"/>
          <w:i w:val="0"/>
          <w:color w:val="auto"/>
          <w:shd w:val="clear" w:color="auto" w:fill="FFFFFF"/>
        </w:rPr>
      </w:pPr>
      <w:r w:rsidRPr="00634082">
        <w:rPr>
          <w:rFonts w:ascii="Times New Roman" w:hAnsi="Times New Roman" w:cs="Times New Roman"/>
          <w:i w:val="0"/>
          <w:color w:val="auto"/>
          <w:shd w:val="clear" w:color="auto" w:fill="FFFFFF"/>
        </w:rPr>
        <w:t>Edward Francis Small Teaching Hospital (EFSTH), The Gambia's largest tertiary referral hospital serving both urban and rural populations, was selected as the study setting based on medical records from its Medical Records Department showing it admits approximately 400 pregnant women monthly and handles about 4,800 deliveries annually, providing a representative sample of regional pregnancy outcomes (John-</w:t>
      </w:r>
      <w:proofErr w:type="spellStart"/>
      <w:r w:rsidRPr="00634082">
        <w:rPr>
          <w:rFonts w:ascii="Times New Roman" w:hAnsi="Times New Roman" w:cs="Times New Roman"/>
          <w:i w:val="0"/>
          <w:color w:val="auto"/>
          <w:shd w:val="clear" w:color="auto" w:fill="FFFFFF"/>
        </w:rPr>
        <w:t>Emaimo</w:t>
      </w:r>
      <w:proofErr w:type="spellEnd"/>
      <w:r w:rsidRPr="00634082">
        <w:rPr>
          <w:rFonts w:ascii="Times New Roman" w:hAnsi="Times New Roman" w:cs="Times New Roman"/>
          <w:i w:val="0"/>
          <w:color w:val="auto"/>
          <w:shd w:val="clear" w:color="auto" w:fill="FFFFFF"/>
        </w:rPr>
        <w:t xml:space="preserve"> </w:t>
      </w:r>
      <w:r w:rsidRPr="00634082">
        <w:rPr>
          <w:rFonts w:ascii="Times New Roman" w:hAnsi="Times New Roman" w:cs="Times New Roman"/>
          <w:color w:val="auto"/>
          <w:shd w:val="clear" w:color="auto" w:fill="FFFFFF"/>
        </w:rPr>
        <w:t>et al</w:t>
      </w:r>
      <w:r w:rsidRPr="00634082">
        <w:rPr>
          <w:rFonts w:ascii="Times New Roman" w:hAnsi="Times New Roman" w:cs="Times New Roman"/>
          <w:i w:val="0"/>
          <w:color w:val="auto"/>
          <w:shd w:val="clear" w:color="auto" w:fill="FFFFFF"/>
        </w:rPr>
        <w:t>., 2025a)</w:t>
      </w:r>
    </w:p>
    <w:p w:rsidR="00676EDD" w:rsidRPr="00634082" w:rsidRDefault="00676EDD" w:rsidP="00C16EC9">
      <w:pPr>
        <w:pStyle w:val="Heading4"/>
        <w:shd w:val="clear" w:color="auto" w:fill="FFFFFF"/>
        <w:spacing w:line="240" w:lineRule="auto"/>
        <w:rPr>
          <w:rFonts w:ascii="Times New Roman" w:hAnsi="Times New Roman" w:cs="Times New Roman"/>
          <w:i w:val="0"/>
          <w:color w:val="auto"/>
        </w:rPr>
      </w:pPr>
      <w:r w:rsidRPr="00634082">
        <w:rPr>
          <w:rStyle w:val="Strong"/>
          <w:rFonts w:ascii="Times New Roman" w:hAnsi="Times New Roman" w:cs="Times New Roman"/>
          <w:bCs w:val="0"/>
          <w:i w:val="0"/>
          <w:color w:val="auto"/>
        </w:rPr>
        <w:t>Study Population</w:t>
      </w:r>
    </w:p>
    <w:p w:rsidR="00676EDD" w:rsidRPr="00634082" w:rsidRDefault="00E54D64" w:rsidP="00E54D64">
      <w:pPr>
        <w:pStyle w:val="ds-markdown-paragraph"/>
        <w:shd w:val="clear" w:color="auto" w:fill="FFFFFF"/>
        <w:spacing w:before="0" w:beforeAutospacing="0" w:after="0" w:afterAutospacing="0"/>
        <w:jc w:val="both"/>
        <w:rPr>
          <w:sz w:val="22"/>
          <w:szCs w:val="22"/>
        </w:rPr>
      </w:pPr>
      <w:r w:rsidRPr="00634082">
        <w:rPr>
          <w:sz w:val="22"/>
          <w:szCs w:val="22"/>
          <w:shd w:val="clear" w:color="auto" w:fill="FFFFFF"/>
        </w:rPr>
        <w:t>The study population included singleton live births to women aged 15–49 years with documented education levels and complete delivery records, while excluding participants with multiple gestations, major congenital anomalies, or missing data on maternal education or key outcomes</w:t>
      </w:r>
      <w:r w:rsidR="00676EDD" w:rsidRPr="00634082">
        <w:rPr>
          <w:sz w:val="22"/>
          <w:szCs w:val="22"/>
        </w:rPr>
        <w:t>.</w:t>
      </w:r>
    </w:p>
    <w:p w:rsidR="00090602" w:rsidRPr="00634082" w:rsidRDefault="00676EDD" w:rsidP="00090602">
      <w:pPr>
        <w:pStyle w:val="Heading4"/>
        <w:shd w:val="clear" w:color="auto" w:fill="FFFFFF"/>
        <w:spacing w:line="240" w:lineRule="auto"/>
        <w:rPr>
          <w:rStyle w:val="Strong"/>
          <w:rFonts w:ascii="Times New Roman" w:hAnsi="Times New Roman" w:cs="Times New Roman"/>
          <w:bCs w:val="0"/>
          <w:i w:val="0"/>
          <w:color w:val="auto"/>
        </w:rPr>
      </w:pPr>
      <w:r w:rsidRPr="00634082">
        <w:rPr>
          <w:rStyle w:val="Strong"/>
          <w:rFonts w:ascii="Times New Roman" w:hAnsi="Times New Roman" w:cs="Times New Roman"/>
          <w:bCs w:val="0"/>
          <w:i w:val="0"/>
          <w:color w:val="auto"/>
        </w:rPr>
        <w:t>Sample Size Calculation</w:t>
      </w:r>
    </w:p>
    <w:p w:rsidR="00676EDD" w:rsidRPr="00634082" w:rsidRDefault="00DF1490" w:rsidP="00090602">
      <w:pPr>
        <w:pStyle w:val="Heading4"/>
        <w:shd w:val="clear" w:color="auto" w:fill="FFFFFF"/>
        <w:spacing w:line="240" w:lineRule="auto"/>
        <w:jc w:val="both"/>
        <w:rPr>
          <w:rFonts w:ascii="Times New Roman" w:hAnsi="Times New Roman" w:cs="Times New Roman"/>
          <w:i w:val="0"/>
          <w:color w:val="auto"/>
        </w:rPr>
      </w:pPr>
      <w:r w:rsidRPr="00634082">
        <w:rPr>
          <w:rFonts w:ascii="Times New Roman" w:hAnsi="Times New Roman" w:cs="Times New Roman"/>
          <w:i w:val="0"/>
          <w:color w:val="auto"/>
          <w:shd w:val="clear" w:color="auto" w:fill="FFFFFF"/>
        </w:rPr>
        <w:t>The sample size was calculated based on The Gambia’s neonatal mortality rate (36.2 per 1,000 live births)</w:t>
      </w:r>
      <w:r w:rsidR="00C33BBF" w:rsidRPr="00634082">
        <w:rPr>
          <w:rFonts w:ascii="Times New Roman" w:hAnsi="Times New Roman" w:cs="Times New Roman"/>
          <w:i w:val="0"/>
          <w:color w:val="auto"/>
          <w:shd w:val="clear" w:color="auto" w:fill="FFFFFF"/>
        </w:rPr>
        <w:t xml:space="preserve"> </w:t>
      </w:r>
      <w:r w:rsidR="00C33BBF" w:rsidRPr="00634082">
        <w:rPr>
          <w:rFonts w:ascii="Times New Roman" w:hAnsi="Times New Roman" w:cs="Times New Roman"/>
          <w:i w:val="0"/>
          <w:color w:val="auto"/>
        </w:rPr>
        <w:t>(</w:t>
      </w:r>
      <w:proofErr w:type="spellStart"/>
      <w:r w:rsidR="00C33BBF" w:rsidRPr="00634082">
        <w:rPr>
          <w:rFonts w:ascii="Times New Roman" w:hAnsi="Times New Roman" w:cs="Times New Roman"/>
          <w:i w:val="0"/>
          <w:color w:val="auto"/>
        </w:rPr>
        <w:t>GBoS</w:t>
      </w:r>
      <w:proofErr w:type="spellEnd"/>
      <w:r w:rsidR="00C33BBF" w:rsidRPr="00634082">
        <w:rPr>
          <w:rFonts w:ascii="Times New Roman" w:hAnsi="Times New Roman" w:cs="Times New Roman"/>
          <w:i w:val="0"/>
          <w:color w:val="auto"/>
        </w:rPr>
        <w:t>, 2021)</w:t>
      </w:r>
      <w:r w:rsidRPr="00634082">
        <w:rPr>
          <w:rFonts w:ascii="Times New Roman" w:hAnsi="Times New Roman" w:cs="Times New Roman"/>
          <w:i w:val="0"/>
          <w:color w:val="auto"/>
          <w:shd w:val="clear" w:color="auto" w:fill="FFFFFF"/>
        </w:rPr>
        <w:t xml:space="preserve"> and an assumed 30% prevalence of low maternal education, estimating that 1,600 women were required to detect a 20% reduction in adverse outcomes with 80% power (α = 0.05, two-tailed)</w:t>
      </w:r>
      <w:r w:rsidR="00676EDD" w:rsidRPr="00634082">
        <w:rPr>
          <w:rFonts w:ascii="Times New Roman" w:hAnsi="Times New Roman" w:cs="Times New Roman"/>
          <w:i w:val="0"/>
          <w:color w:val="auto"/>
        </w:rPr>
        <w:t>.</w:t>
      </w:r>
      <w:r w:rsidR="00B8001E" w:rsidRPr="00634082">
        <w:rPr>
          <w:rFonts w:ascii="Times New Roman" w:hAnsi="Times New Roman" w:cs="Times New Roman"/>
          <w:i w:val="0"/>
          <w:color w:val="auto"/>
        </w:rPr>
        <w:t xml:space="preserve"> </w:t>
      </w:r>
      <w:r w:rsidR="00B8001E" w:rsidRPr="00634082">
        <w:rPr>
          <w:rFonts w:ascii="Times New Roman" w:hAnsi="Times New Roman" w:cs="Times New Roman"/>
          <w:i w:val="0"/>
          <w:color w:val="auto"/>
          <w:shd w:val="clear" w:color="auto" w:fill="FFFFFF"/>
        </w:rPr>
        <w:t>This calculation was performed using Stata 18.0's </w:t>
      </w:r>
      <w:r w:rsidR="00B8001E" w:rsidRPr="00634082">
        <w:rPr>
          <w:rStyle w:val="HTMLCode"/>
          <w:rFonts w:ascii="Times New Roman" w:eastAsiaTheme="majorEastAsia" w:hAnsi="Times New Roman" w:cs="Times New Roman"/>
          <w:i w:val="0"/>
          <w:color w:val="auto"/>
          <w:sz w:val="22"/>
          <w:szCs w:val="22"/>
        </w:rPr>
        <w:t>power</w:t>
      </w:r>
      <w:r w:rsidR="00B8001E" w:rsidRPr="00634082">
        <w:rPr>
          <w:rFonts w:ascii="Times New Roman" w:hAnsi="Times New Roman" w:cs="Times New Roman"/>
          <w:i w:val="0"/>
          <w:color w:val="auto"/>
          <w:shd w:val="clear" w:color="auto" w:fill="FFFFFF"/>
        </w:rPr>
        <w:t> command.</w:t>
      </w:r>
    </w:p>
    <w:p w:rsidR="00676EDD" w:rsidRPr="00634082" w:rsidRDefault="00676EDD" w:rsidP="00C16EC9">
      <w:pPr>
        <w:pStyle w:val="Heading4"/>
        <w:shd w:val="clear" w:color="auto" w:fill="FFFFFF"/>
        <w:spacing w:line="240" w:lineRule="auto"/>
        <w:rPr>
          <w:rFonts w:ascii="Times New Roman" w:hAnsi="Times New Roman" w:cs="Times New Roman"/>
          <w:i w:val="0"/>
          <w:color w:val="auto"/>
        </w:rPr>
      </w:pPr>
      <w:r w:rsidRPr="00634082">
        <w:rPr>
          <w:rStyle w:val="Strong"/>
          <w:rFonts w:ascii="Times New Roman" w:hAnsi="Times New Roman" w:cs="Times New Roman"/>
          <w:bCs w:val="0"/>
          <w:i w:val="0"/>
          <w:color w:val="auto"/>
        </w:rPr>
        <w:t>Variables and Data Collection</w:t>
      </w:r>
    </w:p>
    <w:p w:rsidR="00EB3980" w:rsidRPr="00634082" w:rsidRDefault="00EB3980" w:rsidP="001A3262">
      <w:pPr>
        <w:pStyle w:val="ds-markdown-paragraph"/>
        <w:shd w:val="clear" w:color="auto" w:fill="FFFFFF"/>
        <w:spacing w:before="0" w:beforeAutospacing="0" w:after="0" w:afterAutospacing="0"/>
        <w:rPr>
          <w:sz w:val="22"/>
          <w:szCs w:val="22"/>
          <w:shd w:val="clear" w:color="auto" w:fill="FFFFFF"/>
        </w:rPr>
      </w:pPr>
      <w:r w:rsidRPr="00634082">
        <w:rPr>
          <w:sz w:val="22"/>
          <w:szCs w:val="22"/>
          <w:shd w:val="clear" w:color="auto" w:fill="FFFFFF"/>
        </w:rPr>
        <w:t xml:space="preserve">The exposure variable was maternal education, categorized as none, primary, </w:t>
      </w:r>
      <w:r w:rsidR="00FE7826" w:rsidRPr="00634082">
        <w:rPr>
          <w:sz w:val="22"/>
          <w:szCs w:val="22"/>
          <w:shd w:val="clear" w:color="auto" w:fill="FFFFFF"/>
        </w:rPr>
        <w:t xml:space="preserve">secondary and </w:t>
      </w:r>
      <w:r w:rsidRPr="00634082">
        <w:rPr>
          <w:sz w:val="22"/>
          <w:szCs w:val="22"/>
          <w:shd w:val="clear" w:color="auto" w:fill="FFFFFF"/>
        </w:rPr>
        <w:t>higher</w:t>
      </w:r>
      <w:r w:rsidR="00FE7826" w:rsidRPr="00634082">
        <w:rPr>
          <w:sz w:val="22"/>
          <w:szCs w:val="22"/>
          <w:shd w:val="clear" w:color="auto" w:fill="FFFFFF"/>
        </w:rPr>
        <w:t xml:space="preserve"> (tertiary)</w:t>
      </w:r>
      <w:r w:rsidRPr="00634082">
        <w:rPr>
          <w:sz w:val="22"/>
          <w:szCs w:val="22"/>
          <w:shd w:val="clear" w:color="auto" w:fill="FFFFFF"/>
        </w:rPr>
        <w:t>, as extracted from antenatal records.</w:t>
      </w:r>
    </w:p>
    <w:p w:rsidR="00676EDD" w:rsidRPr="00634082" w:rsidRDefault="00676EDD" w:rsidP="001A3262">
      <w:pPr>
        <w:pStyle w:val="ds-markdown-paragraph"/>
        <w:shd w:val="clear" w:color="auto" w:fill="FFFFFF"/>
        <w:spacing w:before="0" w:beforeAutospacing="0" w:after="0" w:afterAutospacing="0"/>
        <w:rPr>
          <w:sz w:val="22"/>
          <w:szCs w:val="22"/>
        </w:rPr>
      </w:pPr>
      <w:r w:rsidRPr="00634082">
        <w:rPr>
          <w:rStyle w:val="Strong"/>
          <w:sz w:val="22"/>
          <w:szCs w:val="22"/>
        </w:rPr>
        <w:t>Outcome Variables:</w:t>
      </w:r>
    </w:p>
    <w:p w:rsidR="00551BD9" w:rsidRPr="00634082" w:rsidRDefault="00551BD9" w:rsidP="00551BD9">
      <w:pPr>
        <w:pStyle w:val="ds-markdown-paragraph"/>
        <w:shd w:val="clear" w:color="auto" w:fill="FFFFFF"/>
        <w:spacing w:before="0" w:beforeAutospacing="0" w:after="0" w:afterAutospacing="0"/>
        <w:jc w:val="both"/>
        <w:rPr>
          <w:sz w:val="22"/>
          <w:szCs w:val="22"/>
          <w:shd w:val="clear" w:color="auto" w:fill="FFFFFF"/>
        </w:rPr>
      </w:pPr>
      <w:r w:rsidRPr="00634082">
        <w:rPr>
          <w:sz w:val="22"/>
          <w:szCs w:val="22"/>
          <w:shd w:val="clear" w:color="auto" w:fill="FFFFFF"/>
        </w:rPr>
        <w:t xml:space="preserve">The primary outcomes included low birth weight (&lt;2.5 kg) and preterm birth (&lt;37 weeks, confirmed by ultrasound or last menstrual period), while the secondary outcomes comprised neonatal mortality (death within 28 days) and Apgar score &lt;7 at 5 minutes. Potential confounders adjusted for in the analysis were </w:t>
      </w:r>
      <w:r w:rsidRPr="00634082">
        <w:rPr>
          <w:sz w:val="22"/>
          <w:szCs w:val="22"/>
          <w:shd w:val="clear" w:color="auto" w:fill="FFFFFF"/>
        </w:rPr>
        <w:lastRenderedPageBreak/>
        <w:t>maternal age, parity, socioeconomic status (household income/occupation), antenatal care (ANC) visits (&lt;4 vs. ≥4), and medical comorbidities (malaria, HIV, and hypertension)</w:t>
      </w:r>
      <w:r w:rsidR="00A905C0" w:rsidRPr="00634082">
        <w:rPr>
          <w:sz w:val="22"/>
          <w:szCs w:val="22"/>
          <w:shd w:val="clear" w:color="auto" w:fill="FFFFFF"/>
        </w:rPr>
        <w:t>.</w:t>
      </w:r>
    </w:p>
    <w:p w:rsidR="00AD6B24" w:rsidRPr="00634082" w:rsidRDefault="00D54D9F" w:rsidP="00286D89">
      <w:pPr>
        <w:pStyle w:val="ds-markdown-paragraph"/>
        <w:shd w:val="clear" w:color="auto" w:fill="FFFFFF"/>
        <w:spacing w:before="0" w:beforeAutospacing="0" w:after="0" w:afterAutospacing="0"/>
        <w:jc w:val="both"/>
        <w:rPr>
          <w:sz w:val="22"/>
          <w:szCs w:val="22"/>
          <w:shd w:val="clear" w:color="auto" w:fill="FFFFFF"/>
        </w:rPr>
      </w:pPr>
      <w:r w:rsidRPr="00634082">
        <w:rPr>
          <w:rStyle w:val="Strong"/>
          <w:sz w:val="22"/>
          <w:szCs w:val="22"/>
        </w:rPr>
        <w:t>Data Sources</w:t>
      </w:r>
      <w:r w:rsidR="00286D89" w:rsidRPr="00634082">
        <w:rPr>
          <w:rStyle w:val="Strong"/>
          <w:sz w:val="22"/>
          <w:szCs w:val="22"/>
        </w:rPr>
        <w:t xml:space="preserve"> </w:t>
      </w:r>
      <w:r w:rsidR="00286D89" w:rsidRPr="00634082">
        <w:rPr>
          <w:sz w:val="22"/>
          <w:szCs w:val="22"/>
          <w:shd w:val="clear" w:color="auto" w:fill="FFFFFF"/>
        </w:rPr>
        <w:t>As a retrospective study, the data were sourced exclusively from </w:t>
      </w:r>
      <w:r w:rsidR="00286D89" w:rsidRPr="00634082">
        <w:rPr>
          <w:rStyle w:val="Strong"/>
          <w:b w:val="0"/>
          <w:sz w:val="22"/>
          <w:szCs w:val="22"/>
          <w:shd w:val="clear" w:color="auto" w:fill="FFFFFF"/>
        </w:rPr>
        <w:t>existing</w:t>
      </w:r>
      <w:r w:rsidR="00286D89" w:rsidRPr="00634082">
        <w:rPr>
          <w:rStyle w:val="Strong"/>
          <w:sz w:val="22"/>
          <w:szCs w:val="22"/>
          <w:shd w:val="clear" w:color="auto" w:fill="FFFFFF"/>
        </w:rPr>
        <w:t xml:space="preserve"> </w:t>
      </w:r>
      <w:r w:rsidR="00286D89" w:rsidRPr="00634082">
        <w:rPr>
          <w:rStyle w:val="Strong"/>
          <w:b w:val="0"/>
          <w:sz w:val="22"/>
          <w:szCs w:val="22"/>
          <w:shd w:val="clear" w:color="auto" w:fill="FFFFFF"/>
        </w:rPr>
        <w:t>hospital records</w:t>
      </w:r>
      <w:r w:rsidR="00286D89" w:rsidRPr="00634082">
        <w:rPr>
          <w:sz w:val="22"/>
          <w:szCs w:val="22"/>
          <w:shd w:val="clear" w:color="auto" w:fill="FFFFFF"/>
        </w:rPr>
        <w:t>, including delivery logs, antenatal care (ANC) registers, and electronic medical records. </w:t>
      </w:r>
      <w:r w:rsidR="00286D89" w:rsidRPr="00634082">
        <w:rPr>
          <w:rStyle w:val="Strong"/>
          <w:b w:val="0"/>
          <w:sz w:val="22"/>
          <w:szCs w:val="22"/>
          <w:shd w:val="clear" w:color="auto" w:fill="FFFFFF"/>
        </w:rPr>
        <w:t>No interviews or questionnaires were administered</w:t>
      </w:r>
      <w:r w:rsidR="00286D89" w:rsidRPr="00634082">
        <w:rPr>
          <w:rStyle w:val="Strong"/>
          <w:sz w:val="22"/>
          <w:szCs w:val="22"/>
          <w:shd w:val="clear" w:color="auto" w:fill="FFFFFF"/>
        </w:rPr>
        <w:t>.</w:t>
      </w:r>
      <w:r w:rsidR="00286D89" w:rsidRPr="00634082">
        <w:rPr>
          <w:sz w:val="22"/>
          <w:szCs w:val="22"/>
          <w:shd w:val="clear" w:color="auto" w:fill="FFFFFF"/>
        </w:rPr>
        <w:t> Trained research assistants extracted the data using a standardized, piloted data abstraction form</w:t>
      </w:r>
      <w:r w:rsidR="00B6616D" w:rsidRPr="00634082">
        <w:rPr>
          <w:sz w:val="22"/>
          <w:szCs w:val="22"/>
          <w:shd w:val="clear" w:color="auto" w:fill="FFFFFF"/>
        </w:rPr>
        <w:t>.</w:t>
      </w:r>
    </w:p>
    <w:p w:rsidR="00AD6B24" w:rsidRPr="00634082" w:rsidRDefault="00AD6B24" w:rsidP="00AD6B24">
      <w:pPr>
        <w:pStyle w:val="ds-markdown-paragraph"/>
        <w:shd w:val="clear" w:color="auto" w:fill="FFFFFF"/>
        <w:spacing w:before="0" w:beforeAutospacing="0" w:after="0" w:afterAutospacing="0"/>
        <w:rPr>
          <w:rStyle w:val="Strong"/>
          <w:bCs w:val="0"/>
          <w:sz w:val="22"/>
          <w:szCs w:val="22"/>
        </w:rPr>
      </w:pPr>
      <w:r w:rsidRPr="00634082">
        <w:rPr>
          <w:rStyle w:val="Strong"/>
          <w:bCs w:val="0"/>
          <w:sz w:val="22"/>
          <w:szCs w:val="22"/>
        </w:rPr>
        <w:t>Statistical Analysis</w:t>
      </w:r>
    </w:p>
    <w:p w:rsidR="00D91549" w:rsidRPr="00634082" w:rsidRDefault="00D91549" w:rsidP="00C04FF7">
      <w:pPr>
        <w:pStyle w:val="Heading4"/>
        <w:shd w:val="clear" w:color="auto" w:fill="FFFFFF"/>
        <w:spacing w:line="240" w:lineRule="auto"/>
        <w:jc w:val="both"/>
        <w:rPr>
          <w:rFonts w:ascii="Segoe UI" w:hAnsi="Segoe UI" w:cs="Segoe UI"/>
          <w:color w:val="auto"/>
          <w:shd w:val="clear" w:color="auto" w:fill="FFFFFF"/>
        </w:rPr>
      </w:pPr>
      <w:r w:rsidRPr="00634082">
        <w:rPr>
          <w:rFonts w:ascii="Times New Roman" w:hAnsi="Times New Roman" w:cs="Times New Roman"/>
          <w:i w:val="0"/>
          <w:color w:val="auto"/>
          <w:shd w:val="clear" w:color="auto" w:fill="FFFFFF"/>
        </w:rPr>
        <w:t>Data analysis was performed using Stata version 18.0 (</w:t>
      </w:r>
      <w:proofErr w:type="spellStart"/>
      <w:r w:rsidRPr="00634082">
        <w:rPr>
          <w:rFonts w:ascii="Times New Roman" w:hAnsi="Times New Roman" w:cs="Times New Roman"/>
          <w:i w:val="0"/>
          <w:color w:val="auto"/>
          <w:shd w:val="clear" w:color="auto" w:fill="FFFFFF"/>
        </w:rPr>
        <w:t>StataCorp</w:t>
      </w:r>
      <w:proofErr w:type="spellEnd"/>
      <w:r w:rsidRPr="00634082">
        <w:rPr>
          <w:rFonts w:ascii="Times New Roman" w:hAnsi="Times New Roman" w:cs="Times New Roman"/>
          <w:i w:val="0"/>
          <w:color w:val="auto"/>
          <w:shd w:val="clear" w:color="auto" w:fill="FFFFFF"/>
        </w:rPr>
        <w:t>, TX, USA). Descriptive statistics characterized the study population, with categorical variables presented as frequencies and percentages and continuous variables as means ± standard deviations following confirmation of normality. Bivariate analyses utilized Chi-square tests and ANOVA to examine unadjusted associations between maternal education and outcomes. Multivariable logistic regression models, adjusted for maternal age, parity, socioeconomic status, antenatal care visits, and comorbidities, were employed to quantify independent associations, presented as adjusted odds ratios (</w:t>
      </w:r>
      <w:proofErr w:type="spellStart"/>
      <w:r w:rsidRPr="00634082">
        <w:rPr>
          <w:rFonts w:ascii="Times New Roman" w:hAnsi="Times New Roman" w:cs="Times New Roman"/>
          <w:i w:val="0"/>
          <w:color w:val="auto"/>
          <w:shd w:val="clear" w:color="auto" w:fill="FFFFFF"/>
        </w:rPr>
        <w:t>aOR</w:t>
      </w:r>
      <w:proofErr w:type="spellEnd"/>
      <w:r w:rsidRPr="00634082">
        <w:rPr>
          <w:rFonts w:ascii="Times New Roman" w:hAnsi="Times New Roman" w:cs="Times New Roman"/>
          <w:i w:val="0"/>
          <w:color w:val="auto"/>
          <w:shd w:val="clear" w:color="auto" w:fill="FFFFFF"/>
        </w:rPr>
        <w:t xml:space="preserve">) with 95% confidence intervals (CI). Pre-specified subgroup analyses tested for effect modification via interaction terms, and mediation analysis quantified the role of socioeconomic status using the Karlson-Holm-Breen method. Sensitivity analysis confirmed the robustness of findings after excluding records with missing data (n=50), and double data entry validation demonstrated excellent agreement (κ &gt; 0.90). A two-tailed </w:t>
      </w:r>
      <w:r w:rsidRPr="00634082">
        <w:rPr>
          <w:rFonts w:ascii="Times New Roman" w:hAnsi="Times New Roman" w:cs="Times New Roman"/>
          <w:color w:val="auto"/>
          <w:shd w:val="clear" w:color="auto" w:fill="FFFFFF"/>
        </w:rPr>
        <w:t>p</w:t>
      </w:r>
      <w:r w:rsidRPr="00634082">
        <w:rPr>
          <w:rFonts w:ascii="Times New Roman" w:hAnsi="Times New Roman" w:cs="Times New Roman"/>
          <w:i w:val="0"/>
          <w:color w:val="auto"/>
          <w:shd w:val="clear" w:color="auto" w:fill="FFFFFF"/>
        </w:rPr>
        <w:t>-value &lt; 0.05 defined statistical significance</w:t>
      </w:r>
      <w:r w:rsidRPr="00634082">
        <w:rPr>
          <w:rFonts w:ascii="Segoe UI" w:hAnsi="Segoe UI" w:cs="Segoe UI"/>
          <w:color w:val="auto"/>
          <w:shd w:val="clear" w:color="auto" w:fill="FFFFFF"/>
        </w:rPr>
        <w:t>.</w:t>
      </w:r>
    </w:p>
    <w:p w:rsidR="00461123" w:rsidRDefault="00AD6B24" w:rsidP="00C04FF7">
      <w:pPr>
        <w:pStyle w:val="Heading4"/>
        <w:shd w:val="clear" w:color="auto" w:fill="FFFFFF"/>
        <w:spacing w:line="240" w:lineRule="auto"/>
        <w:jc w:val="both"/>
        <w:rPr>
          <w:rFonts w:ascii="Times New Roman" w:hAnsi="Times New Roman" w:cs="Times New Roman"/>
          <w:i w:val="0"/>
          <w:color w:val="auto"/>
        </w:rPr>
      </w:pPr>
      <w:r w:rsidRPr="00634082">
        <w:rPr>
          <w:rStyle w:val="Strong"/>
          <w:rFonts w:ascii="Times New Roman" w:hAnsi="Times New Roman" w:cs="Times New Roman"/>
          <w:bCs w:val="0"/>
          <w:i w:val="0"/>
          <w:color w:val="auto"/>
        </w:rPr>
        <w:t>Quality Control:</w:t>
      </w:r>
      <w:r w:rsidRPr="00634082">
        <w:rPr>
          <w:rStyle w:val="Strong"/>
          <w:rFonts w:ascii="Times New Roman" w:hAnsi="Times New Roman" w:cs="Times New Roman"/>
          <w:b w:val="0"/>
          <w:bCs w:val="0"/>
          <w:i w:val="0"/>
          <w:color w:val="auto"/>
        </w:rPr>
        <w:t xml:space="preserve"> </w:t>
      </w:r>
      <w:r w:rsidRPr="00634082">
        <w:rPr>
          <w:rFonts w:ascii="Times New Roman" w:hAnsi="Times New Roman" w:cs="Times New Roman"/>
          <w:i w:val="0"/>
          <w:color w:val="auto"/>
          <w:shd w:val="clear" w:color="auto" w:fill="FFFFFF"/>
        </w:rPr>
        <w:t>Quality control was ensured through double data entry for 10% of records to achieve high accuracy (</w:t>
      </w:r>
      <w:r w:rsidRPr="00634082">
        <w:rPr>
          <w:rFonts w:ascii="Times New Roman" w:hAnsi="Times New Roman" w:cs="Times New Roman"/>
          <w:color w:val="auto"/>
          <w:shd w:val="clear" w:color="auto" w:fill="FFFFFF"/>
        </w:rPr>
        <w:t>κ &gt; 0.90</w:t>
      </w:r>
      <w:r w:rsidRPr="00634082">
        <w:rPr>
          <w:rFonts w:ascii="Times New Roman" w:hAnsi="Times New Roman" w:cs="Times New Roman"/>
          <w:i w:val="0"/>
          <w:color w:val="auto"/>
          <w:shd w:val="clear" w:color="auto" w:fill="FFFFFF"/>
        </w:rPr>
        <w:t>), and sensitivity analyses were conducted by excluding records with missing key variables</w:t>
      </w:r>
      <w:r w:rsidRPr="00634082">
        <w:rPr>
          <w:rFonts w:ascii="Times New Roman" w:hAnsi="Times New Roman" w:cs="Times New Roman"/>
          <w:i w:val="0"/>
          <w:color w:val="auto"/>
        </w:rPr>
        <w:t>.</w:t>
      </w:r>
    </w:p>
    <w:p w:rsidR="00EB3A51" w:rsidRPr="00EB3A51" w:rsidRDefault="00EB3A51" w:rsidP="00EB3A51"/>
    <w:p w:rsidR="00EB3A51" w:rsidRDefault="003D5751" w:rsidP="003D5751">
      <w:pPr>
        <w:rPr>
          <w:rFonts w:ascii="Times New Roman" w:hAnsi="Times New Roman" w:cs="Times New Roman"/>
          <w:b/>
        </w:rPr>
      </w:pPr>
      <w:r w:rsidRPr="00634082">
        <w:rPr>
          <w:rFonts w:ascii="Times New Roman" w:hAnsi="Times New Roman" w:cs="Times New Roman"/>
          <w:b/>
        </w:rPr>
        <w:t>RESULTS</w:t>
      </w:r>
      <w:r w:rsidR="00222CCA" w:rsidRPr="00634082">
        <w:rPr>
          <w:rFonts w:ascii="Times New Roman" w:hAnsi="Times New Roman" w:cs="Times New Roman"/>
          <w:b/>
        </w:rPr>
        <w:t xml:space="preserve"> </w:t>
      </w:r>
    </w:p>
    <w:p w:rsidR="00461123" w:rsidRPr="00634082" w:rsidRDefault="00461123" w:rsidP="003D5751">
      <w:pPr>
        <w:rPr>
          <w:rFonts w:ascii="Times New Roman" w:hAnsi="Times New Roman" w:cs="Times New Roman"/>
        </w:rPr>
      </w:pPr>
      <w:r w:rsidRPr="00634082">
        <w:rPr>
          <w:rStyle w:val="Strong"/>
          <w:rFonts w:ascii="Times New Roman" w:hAnsi="Times New Roman" w:cs="Times New Roman"/>
          <w:bCs w:val="0"/>
        </w:rPr>
        <w:t>Descriptive Characteristics of the Study Population</w:t>
      </w:r>
    </w:p>
    <w:p w:rsidR="00461123" w:rsidRPr="00634082" w:rsidRDefault="00461123" w:rsidP="00461123">
      <w:pPr>
        <w:pStyle w:val="Heading3"/>
        <w:shd w:val="clear" w:color="auto" w:fill="FFFFFF"/>
        <w:jc w:val="both"/>
        <w:rPr>
          <w:rStyle w:val="Emphasis"/>
          <w:rFonts w:ascii="Times New Roman" w:hAnsi="Times New Roman" w:cs="Times New Roman"/>
          <w:i w:val="0"/>
          <w:color w:val="auto"/>
          <w:sz w:val="22"/>
          <w:szCs w:val="22"/>
          <w:shd w:val="clear" w:color="auto" w:fill="FFFFFF"/>
        </w:rPr>
      </w:pPr>
      <w:r w:rsidRPr="00634082">
        <w:rPr>
          <w:rStyle w:val="Emphasis"/>
          <w:rFonts w:ascii="Times New Roman" w:hAnsi="Times New Roman" w:cs="Times New Roman"/>
          <w:i w:val="0"/>
          <w:color w:val="auto"/>
          <w:sz w:val="22"/>
          <w:szCs w:val="22"/>
          <w:shd w:val="clear" w:color="auto" w:fill="FFFFFF"/>
        </w:rPr>
        <w:t xml:space="preserve">The study population of 1,600 Gambian women (mean age 26.4 years) showed significant disparities by education level: mothers with no formal education were older (27.1 years), had fewer antenatal care visits (52.4% attended ≥4 visits), and were more likely to be of low socioeconomic status (68.3%) or have comorbidities (31.5%) compared to those with higher education, who were younger (25.0 years), had more ANC visits (85.0%), and lower socioeconomic disadvantage (12.0%) (all </w:t>
      </w:r>
      <w:r w:rsidRPr="00634082">
        <w:rPr>
          <w:rStyle w:val="Emphasis"/>
          <w:rFonts w:ascii="Times New Roman" w:hAnsi="Times New Roman" w:cs="Times New Roman"/>
          <w:color w:val="auto"/>
          <w:sz w:val="22"/>
          <w:szCs w:val="22"/>
          <w:shd w:val="clear" w:color="auto" w:fill="FFFFFF"/>
        </w:rPr>
        <w:t>p</w:t>
      </w:r>
      <w:r w:rsidRPr="00634082">
        <w:rPr>
          <w:rStyle w:val="Emphasis"/>
          <w:rFonts w:ascii="Times New Roman" w:hAnsi="Times New Roman" w:cs="Times New Roman"/>
          <w:i w:val="0"/>
          <w:color w:val="auto"/>
          <w:sz w:val="22"/>
          <w:szCs w:val="22"/>
          <w:shd w:val="clear" w:color="auto" w:fill="FFFFFF"/>
        </w:rPr>
        <w:t xml:space="preserve"> &lt; 0.05).</w:t>
      </w:r>
    </w:p>
    <w:p w:rsidR="007E1F7A" w:rsidRPr="00634082" w:rsidRDefault="002061C6" w:rsidP="002061C6">
      <w:pPr>
        <w:jc w:val="both"/>
        <w:rPr>
          <w:rFonts w:ascii="Times New Roman" w:hAnsi="Times New Roman" w:cs="Times New Roman"/>
          <w:shd w:val="clear" w:color="auto" w:fill="FFFFFF"/>
        </w:rPr>
      </w:pPr>
      <w:r w:rsidRPr="00634082">
        <w:rPr>
          <w:rStyle w:val="Strong"/>
          <w:rFonts w:ascii="Times New Roman" w:hAnsi="Times New Roman" w:cs="Times New Roman"/>
          <w:bCs w:val="0"/>
        </w:rPr>
        <w:t>Pregnancy Outcomes by Maternal Education Level</w:t>
      </w:r>
    </w:p>
    <w:p w:rsidR="002061C6" w:rsidRPr="00634082" w:rsidRDefault="002061C6" w:rsidP="002061C6">
      <w:pPr>
        <w:jc w:val="both"/>
        <w:rPr>
          <w:rFonts w:ascii="Times New Roman" w:hAnsi="Times New Roman" w:cs="Times New Roman"/>
          <w:shd w:val="clear" w:color="auto" w:fill="FFFFFF"/>
        </w:rPr>
      </w:pPr>
      <w:r w:rsidRPr="00634082">
        <w:rPr>
          <w:rFonts w:ascii="Times New Roman" w:hAnsi="Times New Roman" w:cs="Times New Roman"/>
          <w:shd w:val="clear" w:color="auto" w:fill="FFFFFF"/>
        </w:rPr>
        <w:t xml:space="preserve">The results in Table 2 demonstrate a clear gradient in pregnancy outcomes based on maternal education level. Mothers with no formal education had the highest rates of adverse outcomes, including low birth weight (32.4%), preterm birth (19.8%), neonatal mortality (6.5%), and low Apgar scores (14.2%). In contrast, mothers with higher education exhibited significantly better outcomes, with the lowest rates of low birth weight (6.2%), preterm birth (5.0%), neonatal mortality (1.0%), and low Apgar scores (2.0%). Intermediate education levels (primary and secondary) showed progressively improved outcomes, highlighting a dose-response relationship where increased maternal education correlates with reduced risks of adverse pregnancy outcomes (all p-values &lt;0.05). </w:t>
      </w:r>
    </w:p>
    <w:p w:rsidR="00AE0E1A" w:rsidRPr="00634082" w:rsidRDefault="00AE0E1A" w:rsidP="00AE0E1A">
      <w:pPr>
        <w:jc w:val="both"/>
        <w:rPr>
          <w:rStyle w:val="Strong"/>
          <w:rFonts w:ascii="Times New Roman" w:hAnsi="Times New Roman" w:cs="Times New Roman"/>
          <w:shd w:val="clear" w:color="auto" w:fill="FFFFFF"/>
        </w:rPr>
      </w:pPr>
      <w:r w:rsidRPr="00634082">
        <w:rPr>
          <w:rStyle w:val="Strong"/>
          <w:rFonts w:ascii="Times New Roman" w:hAnsi="Times New Roman" w:cs="Times New Roman"/>
          <w:bCs w:val="0"/>
        </w:rPr>
        <w:t>Adjusted Odds Ratios (</w:t>
      </w:r>
      <w:proofErr w:type="spellStart"/>
      <w:r w:rsidRPr="00634082">
        <w:rPr>
          <w:rStyle w:val="Strong"/>
          <w:rFonts w:ascii="Times New Roman" w:hAnsi="Times New Roman" w:cs="Times New Roman"/>
          <w:bCs w:val="0"/>
        </w:rPr>
        <w:t>aOR</w:t>
      </w:r>
      <w:proofErr w:type="spellEnd"/>
      <w:r w:rsidRPr="00634082">
        <w:rPr>
          <w:rStyle w:val="Strong"/>
          <w:rFonts w:ascii="Times New Roman" w:hAnsi="Times New Roman" w:cs="Times New Roman"/>
          <w:bCs w:val="0"/>
        </w:rPr>
        <w:t>) for Maternal Education and Adverse Outcomes</w:t>
      </w:r>
    </w:p>
    <w:p w:rsidR="00AE0E1A" w:rsidRPr="00634082" w:rsidRDefault="00AE0E1A" w:rsidP="00AE0E1A">
      <w:pPr>
        <w:jc w:val="both"/>
        <w:rPr>
          <w:rStyle w:val="Strong"/>
          <w:rFonts w:ascii="Times New Roman" w:hAnsi="Times New Roman" w:cs="Times New Roman"/>
          <w:shd w:val="clear" w:color="auto" w:fill="FFFFFF"/>
        </w:rPr>
      </w:pPr>
      <w:r w:rsidRPr="00634082">
        <w:rPr>
          <w:rStyle w:val="Strong"/>
          <w:rFonts w:ascii="Times New Roman" w:hAnsi="Times New Roman" w:cs="Times New Roman"/>
          <w:b w:val="0"/>
          <w:shd w:val="clear" w:color="auto" w:fill="FFFFFF"/>
        </w:rPr>
        <w:t>After adjusting for confounders (maternal age, parity, socioeconomic status, ANC visits, and comorbidities), higher maternal education levels were strongly associated with reduced odds of adverse pregnancy outcomes: mothers with secondary education had 45% lower odds of low birth weight (</w:t>
      </w:r>
      <w:proofErr w:type="spellStart"/>
      <w:r w:rsidRPr="00634082">
        <w:rPr>
          <w:rStyle w:val="Strong"/>
          <w:rFonts w:ascii="Times New Roman" w:hAnsi="Times New Roman" w:cs="Times New Roman"/>
          <w:b w:val="0"/>
          <w:shd w:val="clear" w:color="auto" w:fill="FFFFFF"/>
        </w:rPr>
        <w:t>aOR</w:t>
      </w:r>
      <w:proofErr w:type="spellEnd"/>
      <w:r w:rsidRPr="00634082">
        <w:rPr>
          <w:rStyle w:val="Strong"/>
          <w:rFonts w:ascii="Times New Roman" w:hAnsi="Times New Roman" w:cs="Times New Roman"/>
          <w:b w:val="0"/>
          <w:shd w:val="clear" w:color="auto" w:fill="FFFFFF"/>
        </w:rPr>
        <w:t>: 0.55, 95% CI: 0.42–0.72) and 50% lower odds of preterm birth (</w:t>
      </w:r>
      <w:proofErr w:type="spellStart"/>
      <w:r w:rsidRPr="00634082">
        <w:rPr>
          <w:rStyle w:val="Strong"/>
          <w:rFonts w:ascii="Times New Roman" w:hAnsi="Times New Roman" w:cs="Times New Roman"/>
          <w:b w:val="0"/>
          <w:shd w:val="clear" w:color="auto" w:fill="FFFFFF"/>
        </w:rPr>
        <w:t>aOR</w:t>
      </w:r>
      <w:proofErr w:type="spellEnd"/>
      <w:r w:rsidRPr="00634082">
        <w:rPr>
          <w:rStyle w:val="Strong"/>
          <w:rFonts w:ascii="Times New Roman" w:hAnsi="Times New Roman" w:cs="Times New Roman"/>
          <w:b w:val="0"/>
          <w:shd w:val="clear" w:color="auto" w:fill="FFFFFF"/>
        </w:rPr>
        <w:t xml:space="preserve">: 0.50, 95% CI: 0.35–0.71), while those with higher (tertiary) education had </w:t>
      </w:r>
      <w:r w:rsidR="00710BD4" w:rsidRPr="00634082">
        <w:rPr>
          <w:rStyle w:val="Strong"/>
          <w:rFonts w:ascii="Times New Roman" w:hAnsi="Times New Roman" w:cs="Times New Roman"/>
          <w:b w:val="0"/>
          <w:shd w:val="clear" w:color="auto" w:fill="FFFFFF"/>
        </w:rPr>
        <w:t xml:space="preserve">even greater protective effects </w:t>
      </w:r>
      <w:r w:rsidRPr="00634082">
        <w:rPr>
          <w:rStyle w:val="Strong"/>
          <w:rFonts w:ascii="Times New Roman" w:hAnsi="Times New Roman" w:cs="Times New Roman"/>
          <w:b w:val="0"/>
          <w:shd w:val="clear" w:color="auto" w:fill="FFFFFF"/>
        </w:rPr>
        <w:t>70% lower odds of low birth weight (</w:t>
      </w:r>
      <w:proofErr w:type="spellStart"/>
      <w:r w:rsidRPr="00634082">
        <w:rPr>
          <w:rStyle w:val="Strong"/>
          <w:rFonts w:ascii="Times New Roman" w:hAnsi="Times New Roman" w:cs="Times New Roman"/>
          <w:b w:val="0"/>
          <w:shd w:val="clear" w:color="auto" w:fill="FFFFFF"/>
        </w:rPr>
        <w:t>aOR</w:t>
      </w:r>
      <w:proofErr w:type="spellEnd"/>
      <w:r w:rsidRPr="00634082">
        <w:rPr>
          <w:rStyle w:val="Strong"/>
          <w:rFonts w:ascii="Times New Roman" w:hAnsi="Times New Roman" w:cs="Times New Roman"/>
          <w:b w:val="0"/>
          <w:shd w:val="clear" w:color="auto" w:fill="FFFFFF"/>
        </w:rPr>
        <w:t>: 0.30, 95% CI: 0.18–0.51) and 75% lower odds of preterm birth (</w:t>
      </w:r>
      <w:proofErr w:type="spellStart"/>
      <w:r w:rsidRPr="00634082">
        <w:rPr>
          <w:rStyle w:val="Strong"/>
          <w:rFonts w:ascii="Times New Roman" w:hAnsi="Times New Roman" w:cs="Times New Roman"/>
          <w:b w:val="0"/>
          <w:shd w:val="clear" w:color="auto" w:fill="FFFFFF"/>
        </w:rPr>
        <w:t>aOR</w:t>
      </w:r>
      <w:proofErr w:type="spellEnd"/>
      <w:r w:rsidRPr="00634082">
        <w:rPr>
          <w:rStyle w:val="Strong"/>
          <w:rFonts w:ascii="Times New Roman" w:hAnsi="Times New Roman" w:cs="Times New Roman"/>
          <w:b w:val="0"/>
          <w:shd w:val="clear" w:color="auto" w:fill="FFFFFF"/>
        </w:rPr>
        <w:t>: 0.25, 95% CI: 0.12–</w:t>
      </w:r>
      <w:r w:rsidRPr="00634082">
        <w:rPr>
          <w:rStyle w:val="Strong"/>
          <w:rFonts w:ascii="Times New Roman" w:hAnsi="Times New Roman" w:cs="Times New Roman"/>
          <w:b w:val="0"/>
          <w:shd w:val="clear" w:color="auto" w:fill="FFFFFF"/>
        </w:rPr>
        <w:lastRenderedPageBreak/>
        <w:t>0.53). Neonatal mortality was also significantly reduced by 80% among mothers with higher education (</w:t>
      </w:r>
      <w:proofErr w:type="spellStart"/>
      <w:r w:rsidRPr="00634082">
        <w:rPr>
          <w:rStyle w:val="Strong"/>
          <w:rFonts w:ascii="Times New Roman" w:hAnsi="Times New Roman" w:cs="Times New Roman"/>
          <w:b w:val="0"/>
          <w:shd w:val="clear" w:color="auto" w:fill="FFFFFF"/>
        </w:rPr>
        <w:t>aOR</w:t>
      </w:r>
      <w:proofErr w:type="spellEnd"/>
      <w:r w:rsidRPr="00634082">
        <w:rPr>
          <w:rStyle w:val="Strong"/>
          <w:rFonts w:ascii="Times New Roman" w:hAnsi="Times New Roman" w:cs="Times New Roman"/>
          <w:b w:val="0"/>
          <w:shd w:val="clear" w:color="auto" w:fill="FFFFFF"/>
        </w:rPr>
        <w:t>: 0.20, 95% CI: 0.06–0.65) as shown in Table 3. These results demonstrate a dose-response relationship, where each increase in education level corresponded to progressively better outcomes</w:t>
      </w:r>
      <w:r w:rsidRPr="00634082">
        <w:rPr>
          <w:rStyle w:val="Strong"/>
          <w:rFonts w:ascii="Times New Roman" w:hAnsi="Times New Roman" w:cs="Times New Roman"/>
          <w:shd w:val="clear" w:color="auto" w:fill="FFFFFF"/>
        </w:rPr>
        <w:t>.</w:t>
      </w:r>
    </w:p>
    <w:p w:rsidR="00340CD7" w:rsidRPr="00634082" w:rsidRDefault="00340CD7" w:rsidP="00340CD7">
      <w:pPr>
        <w:jc w:val="both"/>
        <w:rPr>
          <w:rFonts w:ascii="Times New Roman" w:hAnsi="Times New Roman" w:cs="Times New Roman"/>
        </w:rPr>
      </w:pPr>
      <w:r w:rsidRPr="00634082">
        <w:rPr>
          <w:rStyle w:val="Strong"/>
          <w:rFonts w:ascii="Times New Roman" w:hAnsi="Times New Roman" w:cs="Times New Roman"/>
          <w:bCs w:val="0"/>
        </w:rPr>
        <w:t>Subgroup Analyses of Maternal Education and Pregnancy Outcomes</w:t>
      </w:r>
    </w:p>
    <w:p w:rsidR="00C04FF7" w:rsidRPr="00634082" w:rsidRDefault="00340CD7" w:rsidP="005E03A3">
      <w:pPr>
        <w:jc w:val="both"/>
        <w:rPr>
          <w:rStyle w:val="Strong"/>
          <w:rFonts w:ascii="Times New Roman" w:hAnsi="Times New Roman" w:cs="Times New Roman"/>
          <w:shd w:val="clear" w:color="auto" w:fill="FFFFFF"/>
        </w:rPr>
        <w:sectPr w:rsidR="00C04FF7" w:rsidRPr="006340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634082">
        <w:rPr>
          <w:rStyle w:val="Strong"/>
          <w:rFonts w:ascii="Times New Roman" w:hAnsi="Times New Roman" w:cs="Times New Roman"/>
          <w:b w:val="0"/>
          <w:shd w:val="clear" w:color="auto" w:fill="FFFFFF"/>
        </w:rPr>
        <w:t xml:space="preserve">Subgroup analyses in Table 4 revealed that the protective effects of maternal education on pregnancy outcomes were stronger in rural areas (e.g., 60% lower odds of low birth weight, </w:t>
      </w:r>
      <w:r w:rsidRPr="00634082">
        <w:rPr>
          <w:rStyle w:val="Strong"/>
          <w:rFonts w:ascii="Times New Roman" w:hAnsi="Times New Roman" w:cs="Times New Roman"/>
          <w:b w:val="0"/>
          <w:i/>
          <w:shd w:val="clear" w:color="auto" w:fill="FFFFFF"/>
        </w:rPr>
        <w:t>p</w:t>
      </w:r>
      <w:r w:rsidRPr="00634082">
        <w:rPr>
          <w:rStyle w:val="Strong"/>
          <w:rFonts w:ascii="Times New Roman" w:hAnsi="Times New Roman" w:cs="Times New Roman"/>
          <w:b w:val="0"/>
          <w:shd w:val="clear" w:color="auto" w:fill="FFFFFF"/>
        </w:rPr>
        <w:t xml:space="preserve"> = 0.03 for interaction) and among women with fewer antenatal care visits (&lt;4), where higher education reduced neonatal mortality by 75% (</w:t>
      </w:r>
      <w:proofErr w:type="spellStart"/>
      <w:r w:rsidRPr="00634082">
        <w:rPr>
          <w:rStyle w:val="Strong"/>
          <w:rFonts w:ascii="Times New Roman" w:hAnsi="Times New Roman" w:cs="Times New Roman"/>
          <w:b w:val="0"/>
          <w:shd w:val="clear" w:color="auto" w:fill="FFFFFF"/>
        </w:rPr>
        <w:t>aOR</w:t>
      </w:r>
      <w:proofErr w:type="spellEnd"/>
      <w:r w:rsidRPr="00634082">
        <w:rPr>
          <w:rStyle w:val="Strong"/>
          <w:rFonts w:ascii="Times New Roman" w:hAnsi="Times New Roman" w:cs="Times New Roman"/>
          <w:b w:val="0"/>
          <w:shd w:val="clear" w:color="auto" w:fill="FFFFFF"/>
        </w:rPr>
        <w:t xml:space="preserve">: 0.25, </w:t>
      </w:r>
      <w:r w:rsidRPr="00634082">
        <w:rPr>
          <w:rStyle w:val="Strong"/>
          <w:rFonts w:ascii="Times New Roman" w:hAnsi="Times New Roman" w:cs="Times New Roman"/>
          <w:b w:val="0"/>
          <w:i/>
          <w:shd w:val="clear" w:color="auto" w:fill="FFFFFF"/>
        </w:rPr>
        <w:t>p</w:t>
      </w:r>
      <w:r w:rsidRPr="00634082">
        <w:rPr>
          <w:rStyle w:val="Strong"/>
          <w:rFonts w:ascii="Times New Roman" w:hAnsi="Times New Roman" w:cs="Times New Roman"/>
          <w:b w:val="0"/>
          <w:shd w:val="clear" w:color="auto" w:fill="FFFFFF"/>
        </w:rPr>
        <w:t xml:space="preserve"> = 0.01 for interaction). Socioeconomic status mediated 20–30% of education’s benefits, suggesting its role as a partial pathway for these improvements</w:t>
      </w:r>
      <w:r w:rsidRPr="00634082">
        <w:rPr>
          <w:rStyle w:val="Strong"/>
          <w:rFonts w:ascii="Times New Roman" w:hAnsi="Times New Roman" w:cs="Times New Roman"/>
          <w:shd w:val="clear" w:color="auto" w:fill="FFFFFF"/>
        </w:rPr>
        <w:t>.</w:t>
      </w:r>
    </w:p>
    <w:p w:rsidR="000F2D59" w:rsidRPr="00634082" w:rsidRDefault="000F2D59" w:rsidP="005E03A3">
      <w:pPr>
        <w:jc w:val="both"/>
        <w:rPr>
          <w:rStyle w:val="Strong"/>
          <w:rFonts w:ascii="Times New Roman" w:hAnsi="Times New Roman" w:cs="Times New Roman"/>
          <w:bCs w:val="0"/>
        </w:rPr>
      </w:pPr>
    </w:p>
    <w:p w:rsidR="000F2D59" w:rsidRPr="00634082" w:rsidRDefault="000F2D59" w:rsidP="003309F5">
      <w:pPr>
        <w:pStyle w:val="Heading3"/>
        <w:shd w:val="clear" w:color="auto" w:fill="FFFFFF"/>
        <w:rPr>
          <w:rStyle w:val="Strong"/>
          <w:rFonts w:ascii="Times New Roman" w:hAnsi="Times New Roman" w:cs="Times New Roman"/>
          <w:bCs w:val="0"/>
          <w:color w:val="auto"/>
          <w:sz w:val="22"/>
          <w:szCs w:val="22"/>
        </w:rPr>
      </w:pPr>
    </w:p>
    <w:p w:rsidR="003309F5" w:rsidRPr="00634082" w:rsidRDefault="003309F5" w:rsidP="003309F5">
      <w:pPr>
        <w:pStyle w:val="Heading3"/>
        <w:shd w:val="clear" w:color="auto" w:fill="FFFFFF"/>
        <w:rPr>
          <w:rStyle w:val="Strong"/>
          <w:rFonts w:ascii="Times New Roman" w:hAnsi="Times New Roman" w:cs="Times New Roman"/>
          <w:b w:val="0"/>
          <w:bCs w:val="0"/>
          <w:color w:val="auto"/>
          <w:sz w:val="22"/>
          <w:szCs w:val="22"/>
        </w:rPr>
      </w:pPr>
      <w:r w:rsidRPr="00634082">
        <w:rPr>
          <w:rStyle w:val="Strong"/>
          <w:rFonts w:ascii="Times New Roman" w:hAnsi="Times New Roman" w:cs="Times New Roman"/>
          <w:bCs w:val="0"/>
          <w:color w:val="auto"/>
          <w:sz w:val="22"/>
          <w:szCs w:val="22"/>
        </w:rPr>
        <w:t>Table 1:</w:t>
      </w:r>
      <w:r w:rsidRPr="00634082">
        <w:rPr>
          <w:rStyle w:val="Strong"/>
          <w:rFonts w:ascii="Times New Roman" w:hAnsi="Times New Roman" w:cs="Times New Roman"/>
          <w:b w:val="0"/>
          <w:bCs w:val="0"/>
          <w:color w:val="auto"/>
          <w:sz w:val="22"/>
          <w:szCs w:val="22"/>
        </w:rPr>
        <w:t xml:space="preserve"> Descriptive Characteristics of the Study Population (N = 1,600)</w:t>
      </w:r>
    </w:p>
    <w:tbl>
      <w:tblPr>
        <w:tblStyle w:val="TableGrid"/>
        <w:tblW w:w="0" w:type="auto"/>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1527"/>
        <w:gridCol w:w="2160"/>
        <w:gridCol w:w="1710"/>
        <w:gridCol w:w="1800"/>
        <w:gridCol w:w="1710"/>
        <w:gridCol w:w="1170"/>
      </w:tblGrid>
      <w:tr w:rsidR="00634082" w:rsidRPr="00634082" w:rsidTr="00C04FF7">
        <w:tc>
          <w:tcPr>
            <w:tcW w:w="2168" w:type="dxa"/>
            <w:tcBorders>
              <w:top w:val="single" w:sz="4" w:space="0" w:color="auto"/>
              <w:bottom w:val="single" w:sz="4" w:space="0" w:color="auto"/>
            </w:tcBorders>
          </w:tcPr>
          <w:p w:rsidR="00B64172" w:rsidRPr="00634082" w:rsidRDefault="00B64172" w:rsidP="00B64172">
            <w:pPr>
              <w:rPr>
                <w:rFonts w:ascii="Times New Roman" w:hAnsi="Times New Roman" w:cs="Times New Roman"/>
                <w:b/>
              </w:rPr>
            </w:pPr>
            <w:r w:rsidRPr="00634082">
              <w:rPr>
                <w:rFonts w:ascii="Times New Roman" w:hAnsi="Times New Roman" w:cs="Times New Roman"/>
                <w:b/>
              </w:rPr>
              <w:t>Characteristic</w:t>
            </w:r>
          </w:p>
        </w:tc>
        <w:tc>
          <w:tcPr>
            <w:tcW w:w="1527" w:type="dxa"/>
            <w:tcBorders>
              <w:top w:val="single" w:sz="4" w:space="0" w:color="auto"/>
              <w:bottom w:val="single" w:sz="4" w:space="0" w:color="auto"/>
            </w:tcBorders>
          </w:tcPr>
          <w:p w:rsidR="00B64172" w:rsidRPr="00634082" w:rsidRDefault="00B64172" w:rsidP="00B64172">
            <w:pPr>
              <w:rPr>
                <w:rFonts w:ascii="Times New Roman" w:hAnsi="Times New Roman" w:cs="Times New Roman"/>
              </w:rPr>
            </w:pPr>
            <w:r w:rsidRPr="00634082">
              <w:rPr>
                <w:rStyle w:val="Strong"/>
                <w:rFonts w:ascii="Times New Roman" w:hAnsi="Times New Roman" w:cs="Times New Roman"/>
                <w:shd w:val="clear" w:color="auto" w:fill="FFFFFF"/>
              </w:rPr>
              <w:t>Overall (%)</w:t>
            </w:r>
          </w:p>
        </w:tc>
        <w:tc>
          <w:tcPr>
            <w:tcW w:w="2160" w:type="dxa"/>
            <w:tcBorders>
              <w:top w:val="single" w:sz="4" w:space="0" w:color="auto"/>
              <w:bottom w:val="single" w:sz="4" w:space="0" w:color="auto"/>
            </w:tcBorders>
          </w:tcPr>
          <w:p w:rsidR="00B64172" w:rsidRPr="00634082" w:rsidRDefault="00B64172" w:rsidP="00B64172">
            <w:pPr>
              <w:rPr>
                <w:rFonts w:ascii="Times New Roman" w:hAnsi="Times New Roman" w:cs="Times New Roman"/>
              </w:rPr>
            </w:pPr>
            <w:r w:rsidRPr="00634082">
              <w:rPr>
                <w:rStyle w:val="Strong"/>
                <w:rFonts w:ascii="Times New Roman" w:hAnsi="Times New Roman" w:cs="Times New Roman"/>
                <w:shd w:val="clear" w:color="auto" w:fill="FFFFFF"/>
              </w:rPr>
              <w:t>No Education (%)</w:t>
            </w:r>
          </w:p>
        </w:tc>
        <w:tc>
          <w:tcPr>
            <w:tcW w:w="1710" w:type="dxa"/>
            <w:tcBorders>
              <w:top w:val="single" w:sz="4" w:space="0" w:color="auto"/>
              <w:bottom w:val="single" w:sz="4" w:space="0" w:color="auto"/>
            </w:tcBorders>
          </w:tcPr>
          <w:p w:rsidR="00B64172" w:rsidRPr="00634082" w:rsidRDefault="00B64172" w:rsidP="00B64172">
            <w:pPr>
              <w:rPr>
                <w:rFonts w:ascii="Times New Roman" w:hAnsi="Times New Roman" w:cs="Times New Roman"/>
              </w:rPr>
            </w:pPr>
            <w:r w:rsidRPr="00634082">
              <w:rPr>
                <w:rStyle w:val="Strong"/>
                <w:rFonts w:ascii="Times New Roman" w:hAnsi="Times New Roman" w:cs="Times New Roman"/>
                <w:shd w:val="clear" w:color="auto" w:fill="FFFFFF"/>
              </w:rPr>
              <w:t>Primary (%)</w:t>
            </w:r>
          </w:p>
        </w:tc>
        <w:tc>
          <w:tcPr>
            <w:tcW w:w="1800" w:type="dxa"/>
            <w:tcBorders>
              <w:top w:val="single" w:sz="4" w:space="0" w:color="auto"/>
              <w:bottom w:val="single" w:sz="4" w:space="0" w:color="auto"/>
            </w:tcBorders>
          </w:tcPr>
          <w:p w:rsidR="00B64172" w:rsidRPr="00634082" w:rsidRDefault="00B64172" w:rsidP="00B64172">
            <w:pPr>
              <w:rPr>
                <w:rFonts w:ascii="Times New Roman" w:hAnsi="Times New Roman" w:cs="Times New Roman"/>
                <w:b/>
                <w:bCs/>
              </w:rPr>
            </w:pPr>
            <w:r w:rsidRPr="00634082">
              <w:rPr>
                <w:rStyle w:val="Strong"/>
                <w:rFonts w:ascii="Times New Roman" w:hAnsi="Times New Roman" w:cs="Times New Roman"/>
              </w:rPr>
              <w:t>Secondary (%)</w:t>
            </w:r>
          </w:p>
        </w:tc>
        <w:tc>
          <w:tcPr>
            <w:tcW w:w="1710" w:type="dxa"/>
            <w:tcBorders>
              <w:top w:val="single" w:sz="4" w:space="0" w:color="auto"/>
              <w:bottom w:val="single" w:sz="4" w:space="0" w:color="auto"/>
            </w:tcBorders>
          </w:tcPr>
          <w:p w:rsidR="00B64172" w:rsidRPr="00634082" w:rsidRDefault="00B64172" w:rsidP="00B64172">
            <w:pPr>
              <w:rPr>
                <w:rFonts w:ascii="Times New Roman" w:hAnsi="Times New Roman" w:cs="Times New Roman"/>
              </w:rPr>
            </w:pPr>
            <w:r w:rsidRPr="00634082">
              <w:rPr>
                <w:rStyle w:val="Strong"/>
                <w:rFonts w:ascii="Times New Roman" w:hAnsi="Times New Roman" w:cs="Times New Roman"/>
                <w:shd w:val="clear" w:color="auto" w:fill="FFFFFF"/>
              </w:rPr>
              <w:t>Higher (%)</w:t>
            </w:r>
          </w:p>
        </w:tc>
        <w:tc>
          <w:tcPr>
            <w:tcW w:w="1170" w:type="dxa"/>
            <w:tcBorders>
              <w:top w:val="single" w:sz="4" w:space="0" w:color="auto"/>
              <w:bottom w:val="single" w:sz="4" w:space="0" w:color="auto"/>
            </w:tcBorders>
          </w:tcPr>
          <w:p w:rsidR="00B64172" w:rsidRPr="00634082" w:rsidRDefault="00B64172" w:rsidP="00B64172">
            <w:pPr>
              <w:rPr>
                <w:rFonts w:ascii="Times New Roman" w:hAnsi="Times New Roman" w:cs="Times New Roman"/>
              </w:rPr>
            </w:pPr>
            <w:r w:rsidRPr="00634082">
              <w:rPr>
                <w:rStyle w:val="Strong"/>
                <w:rFonts w:ascii="Times New Roman" w:hAnsi="Times New Roman" w:cs="Times New Roman"/>
                <w:shd w:val="clear" w:color="auto" w:fill="FFFFFF"/>
              </w:rPr>
              <w:t>p-value</w:t>
            </w:r>
          </w:p>
        </w:tc>
      </w:tr>
      <w:tr w:rsidR="00634082" w:rsidRPr="00634082" w:rsidTr="00C04FF7">
        <w:tc>
          <w:tcPr>
            <w:tcW w:w="2168" w:type="dxa"/>
            <w:tcBorders>
              <w:top w:val="single" w:sz="4" w:space="0" w:color="auto"/>
            </w:tcBorders>
          </w:tcPr>
          <w:p w:rsidR="00B43DB9" w:rsidRPr="00634082" w:rsidRDefault="00B43DB9" w:rsidP="00B43DB9">
            <w:pPr>
              <w:rPr>
                <w:rFonts w:ascii="Times New Roman" w:hAnsi="Times New Roman" w:cs="Times New Roman"/>
              </w:rPr>
            </w:pPr>
            <w:r w:rsidRPr="00634082">
              <w:rPr>
                <w:rStyle w:val="Strong"/>
                <w:rFonts w:ascii="Times New Roman" w:hAnsi="Times New Roman" w:cs="Times New Roman"/>
                <w:shd w:val="clear" w:color="auto" w:fill="FFFFFF"/>
              </w:rPr>
              <w:t>Maternal Age (Mean ± SD)</w:t>
            </w:r>
          </w:p>
        </w:tc>
        <w:tc>
          <w:tcPr>
            <w:tcW w:w="1527" w:type="dxa"/>
            <w:tcBorders>
              <w:top w:val="single" w:sz="4" w:space="0" w:color="auto"/>
            </w:tcBorders>
            <w:vAlign w:val="center"/>
          </w:tcPr>
          <w:p w:rsidR="00B43DB9" w:rsidRPr="00634082" w:rsidRDefault="00B43DB9" w:rsidP="00B43DB9">
            <w:pPr>
              <w:rPr>
                <w:rFonts w:ascii="Times New Roman" w:hAnsi="Times New Roman" w:cs="Times New Roman"/>
              </w:rPr>
            </w:pPr>
            <w:r w:rsidRPr="00634082">
              <w:rPr>
                <w:rFonts w:ascii="Times New Roman" w:hAnsi="Times New Roman" w:cs="Times New Roman"/>
              </w:rPr>
              <w:t>26.4 ± 5.8</w:t>
            </w:r>
          </w:p>
        </w:tc>
        <w:tc>
          <w:tcPr>
            <w:tcW w:w="2160" w:type="dxa"/>
            <w:tcBorders>
              <w:top w:val="single" w:sz="4" w:space="0" w:color="auto"/>
            </w:tcBorders>
            <w:vAlign w:val="center"/>
          </w:tcPr>
          <w:p w:rsidR="00B43DB9" w:rsidRPr="00634082" w:rsidRDefault="00B43DB9" w:rsidP="00B43DB9">
            <w:pPr>
              <w:rPr>
                <w:rFonts w:ascii="Times New Roman" w:hAnsi="Times New Roman" w:cs="Times New Roman"/>
              </w:rPr>
            </w:pPr>
            <w:r w:rsidRPr="00634082">
              <w:rPr>
                <w:rFonts w:ascii="Times New Roman" w:hAnsi="Times New Roman" w:cs="Times New Roman"/>
              </w:rPr>
              <w:t>27.1 ± 6.2</w:t>
            </w:r>
          </w:p>
        </w:tc>
        <w:tc>
          <w:tcPr>
            <w:tcW w:w="1710" w:type="dxa"/>
            <w:tcBorders>
              <w:top w:val="single" w:sz="4" w:space="0" w:color="auto"/>
            </w:tcBorders>
          </w:tcPr>
          <w:p w:rsidR="00B43DB9" w:rsidRPr="00634082" w:rsidRDefault="00B43DB9" w:rsidP="00B43DB9">
            <w:pPr>
              <w:rPr>
                <w:rFonts w:ascii="Times New Roman" w:hAnsi="Times New Roman" w:cs="Times New Roman"/>
              </w:rPr>
            </w:pPr>
            <w:r w:rsidRPr="00634082">
              <w:rPr>
                <w:rFonts w:ascii="Times New Roman" w:hAnsi="Times New Roman" w:cs="Times New Roman"/>
                <w:shd w:val="clear" w:color="auto" w:fill="FFFFFF"/>
              </w:rPr>
              <w:t>26.3 ± 5.5</w:t>
            </w:r>
          </w:p>
        </w:tc>
        <w:tc>
          <w:tcPr>
            <w:tcW w:w="1800" w:type="dxa"/>
            <w:tcBorders>
              <w:top w:val="single" w:sz="4" w:space="0" w:color="auto"/>
            </w:tcBorders>
            <w:vAlign w:val="center"/>
          </w:tcPr>
          <w:p w:rsidR="00B43DB9" w:rsidRPr="00634082" w:rsidRDefault="00B43DB9" w:rsidP="00B43DB9">
            <w:pPr>
              <w:rPr>
                <w:rFonts w:ascii="Times New Roman" w:hAnsi="Times New Roman" w:cs="Times New Roman"/>
              </w:rPr>
            </w:pPr>
            <w:r w:rsidRPr="00634082">
              <w:rPr>
                <w:rFonts w:ascii="Times New Roman" w:hAnsi="Times New Roman" w:cs="Times New Roman"/>
              </w:rPr>
              <w:t>25.8 ± 5.4</w:t>
            </w:r>
          </w:p>
        </w:tc>
        <w:tc>
          <w:tcPr>
            <w:tcW w:w="1710" w:type="dxa"/>
            <w:tcBorders>
              <w:top w:val="single" w:sz="4" w:space="0" w:color="auto"/>
            </w:tcBorders>
            <w:vAlign w:val="center"/>
          </w:tcPr>
          <w:p w:rsidR="00B43DB9" w:rsidRPr="00634082" w:rsidRDefault="00B43DB9" w:rsidP="00B43DB9">
            <w:pPr>
              <w:rPr>
                <w:rFonts w:ascii="Times New Roman" w:hAnsi="Times New Roman" w:cs="Times New Roman"/>
              </w:rPr>
            </w:pPr>
            <w:r w:rsidRPr="00634082">
              <w:rPr>
                <w:rFonts w:ascii="Times New Roman" w:hAnsi="Times New Roman" w:cs="Times New Roman"/>
              </w:rPr>
              <w:t>25.0 ± 4.9</w:t>
            </w:r>
          </w:p>
        </w:tc>
        <w:tc>
          <w:tcPr>
            <w:tcW w:w="1170" w:type="dxa"/>
            <w:tcBorders>
              <w:top w:val="single" w:sz="4" w:space="0" w:color="auto"/>
            </w:tcBorders>
            <w:vAlign w:val="center"/>
          </w:tcPr>
          <w:p w:rsidR="00B43DB9" w:rsidRPr="00634082" w:rsidRDefault="00B43DB9" w:rsidP="00B43DB9">
            <w:pPr>
              <w:rPr>
                <w:rFonts w:ascii="Times New Roman" w:hAnsi="Times New Roman" w:cs="Times New Roman"/>
              </w:rPr>
            </w:pPr>
            <w:r w:rsidRPr="00634082">
              <w:rPr>
                <w:rFonts w:ascii="Times New Roman" w:hAnsi="Times New Roman" w:cs="Times New Roman"/>
              </w:rPr>
              <w:t>0.02</w:t>
            </w:r>
          </w:p>
        </w:tc>
      </w:tr>
      <w:tr w:rsidR="00634082" w:rsidRPr="00634082" w:rsidTr="00C04FF7">
        <w:tc>
          <w:tcPr>
            <w:tcW w:w="2168" w:type="dxa"/>
          </w:tcPr>
          <w:p w:rsidR="0066256F" w:rsidRPr="00634082" w:rsidRDefault="0066256F" w:rsidP="0066256F">
            <w:pPr>
              <w:rPr>
                <w:rFonts w:ascii="Times New Roman" w:hAnsi="Times New Roman" w:cs="Times New Roman"/>
              </w:rPr>
            </w:pPr>
            <w:r w:rsidRPr="00634082">
              <w:rPr>
                <w:rStyle w:val="Strong"/>
                <w:rFonts w:ascii="Times New Roman" w:hAnsi="Times New Roman" w:cs="Times New Roman"/>
                <w:shd w:val="clear" w:color="auto" w:fill="FFFFFF"/>
              </w:rPr>
              <w:t>ANC Visits (≥4)</w:t>
            </w:r>
          </w:p>
        </w:tc>
        <w:tc>
          <w:tcPr>
            <w:tcW w:w="1527" w:type="dxa"/>
            <w:vAlign w:val="center"/>
          </w:tcPr>
          <w:p w:rsidR="0066256F" w:rsidRPr="00634082" w:rsidRDefault="00704055" w:rsidP="0066256F">
            <w:pPr>
              <w:rPr>
                <w:rFonts w:ascii="Times New Roman" w:hAnsi="Times New Roman" w:cs="Times New Roman"/>
              </w:rPr>
            </w:pPr>
            <w:r w:rsidRPr="00634082">
              <w:rPr>
                <w:rFonts w:ascii="Times New Roman" w:hAnsi="Times New Roman" w:cs="Times New Roman"/>
                <w:shd w:val="clear" w:color="auto" w:fill="FFFFFF"/>
              </w:rPr>
              <w:t>1,092 (68.2</w:t>
            </w:r>
            <w:r w:rsidR="001C3DBD" w:rsidRPr="00634082">
              <w:rPr>
                <w:rFonts w:ascii="Times New Roman" w:hAnsi="Times New Roman" w:cs="Times New Roman"/>
                <w:shd w:val="clear" w:color="auto" w:fill="FFFFFF"/>
              </w:rPr>
              <w:t>)</w:t>
            </w:r>
          </w:p>
        </w:tc>
        <w:tc>
          <w:tcPr>
            <w:tcW w:w="2160" w:type="dxa"/>
            <w:vAlign w:val="center"/>
          </w:tcPr>
          <w:p w:rsidR="0066256F" w:rsidRPr="00634082" w:rsidRDefault="00A27BB0" w:rsidP="0066256F">
            <w:pPr>
              <w:rPr>
                <w:rFonts w:ascii="Times New Roman" w:hAnsi="Times New Roman" w:cs="Times New Roman"/>
              </w:rPr>
            </w:pPr>
            <w:r w:rsidRPr="00634082">
              <w:rPr>
                <w:rFonts w:ascii="Times New Roman" w:hAnsi="Times New Roman" w:cs="Times New Roman"/>
                <w:shd w:val="clear" w:color="auto" w:fill="FFFFFF"/>
              </w:rPr>
              <w:t>224/450(</w:t>
            </w:r>
            <w:r w:rsidR="0066256F" w:rsidRPr="00634082">
              <w:rPr>
                <w:rFonts w:ascii="Times New Roman" w:hAnsi="Times New Roman" w:cs="Times New Roman"/>
              </w:rPr>
              <w:t>52.4</w:t>
            </w:r>
            <w:r w:rsidRPr="00634082">
              <w:rPr>
                <w:rFonts w:ascii="Times New Roman" w:hAnsi="Times New Roman" w:cs="Times New Roman"/>
              </w:rPr>
              <w:t>)</w:t>
            </w:r>
          </w:p>
        </w:tc>
        <w:tc>
          <w:tcPr>
            <w:tcW w:w="1710" w:type="dxa"/>
          </w:tcPr>
          <w:p w:rsidR="0066256F" w:rsidRPr="00634082" w:rsidRDefault="00504E4F" w:rsidP="0066256F">
            <w:pPr>
              <w:rPr>
                <w:rFonts w:ascii="Times New Roman" w:hAnsi="Times New Roman" w:cs="Times New Roman"/>
              </w:rPr>
            </w:pPr>
            <w:r w:rsidRPr="00634082">
              <w:rPr>
                <w:rFonts w:ascii="Times New Roman" w:hAnsi="Times New Roman" w:cs="Times New Roman"/>
                <w:shd w:val="clear" w:color="auto" w:fill="FFFFFF"/>
              </w:rPr>
              <w:t>475/676 (70.1</w:t>
            </w:r>
            <w:r w:rsidR="00DC5843" w:rsidRPr="00634082">
              <w:rPr>
                <w:rFonts w:ascii="Times New Roman" w:hAnsi="Times New Roman" w:cs="Times New Roman"/>
                <w:shd w:val="clear" w:color="auto" w:fill="FFFFFF"/>
              </w:rPr>
              <w:t>)</w:t>
            </w:r>
          </w:p>
        </w:tc>
        <w:tc>
          <w:tcPr>
            <w:tcW w:w="1800" w:type="dxa"/>
            <w:vAlign w:val="center"/>
          </w:tcPr>
          <w:p w:rsidR="0066256F" w:rsidRPr="00634082" w:rsidRDefault="00504E4F" w:rsidP="0066256F">
            <w:pPr>
              <w:rPr>
                <w:rFonts w:ascii="Times New Roman" w:hAnsi="Times New Roman" w:cs="Times New Roman"/>
              </w:rPr>
            </w:pPr>
            <w:r w:rsidRPr="00634082">
              <w:rPr>
                <w:rFonts w:ascii="Times New Roman" w:hAnsi="Times New Roman" w:cs="Times New Roman"/>
                <w:shd w:val="clear" w:color="auto" w:fill="FFFFFF"/>
              </w:rPr>
              <w:t>303/394 (78.5</w:t>
            </w:r>
            <w:r w:rsidR="00694EF9" w:rsidRPr="00634082">
              <w:rPr>
                <w:rFonts w:ascii="Times New Roman" w:hAnsi="Times New Roman" w:cs="Times New Roman"/>
                <w:shd w:val="clear" w:color="auto" w:fill="FFFFFF"/>
              </w:rPr>
              <w:t>)</w:t>
            </w:r>
          </w:p>
        </w:tc>
        <w:tc>
          <w:tcPr>
            <w:tcW w:w="1710" w:type="dxa"/>
            <w:vAlign w:val="center"/>
          </w:tcPr>
          <w:p w:rsidR="0066256F" w:rsidRPr="00634082" w:rsidRDefault="00504E4F" w:rsidP="0066256F">
            <w:pPr>
              <w:rPr>
                <w:rFonts w:ascii="Times New Roman" w:hAnsi="Times New Roman" w:cs="Times New Roman"/>
              </w:rPr>
            </w:pPr>
            <w:r w:rsidRPr="00634082">
              <w:rPr>
                <w:rFonts w:ascii="Times New Roman" w:hAnsi="Times New Roman" w:cs="Times New Roman"/>
                <w:shd w:val="clear" w:color="auto" w:fill="FFFFFF"/>
              </w:rPr>
              <w:t>68/80 (85.0</w:t>
            </w:r>
            <w:r w:rsidR="00C17C76" w:rsidRPr="00634082">
              <w:rPr>
                <w:rFonts w:ascii="Times New Roman" w:hAnsi="Times New Roman" w:cs="Times New Roman"/>
                <w:shd w:val="clear" w:color="auto" w:fill="FFFFFF"/>
              </w:rPr>
              <w:t>)</w:t>
            </w:r>
          </w:p>
        </w:tc>
        <w:tc>
          <w:tcPr>
            <w:tcW w:w="1170" w:type="dxa"/>
            <w:vAlign w:val="center"/>
          </w:tcPr>
          <w:p w:rsidR="0066256F" w:rsidRPr="00634082" w:rsidRDefault="0066256F" w:rsidP="0066256F">
            <w:pPr>
              <w:rPr>
                <w:rFonts w:ascii="Times New Roman" w:hAnsi="Times New Roman" w:cs="Times New Roman"/>
              </w:rPr>
            </w:pPr>
            <w:r w:rsidRPr="00634082">
              <w:rPr>
                <w:rFonts w:ascii="Times New Roman" w:hAnsi="Times New Roman" w:cs="Times New Roman"/>
              </w:rPr>
              <w:t>&lt;0.001</w:t>
            </w:r>
          </w:p>
        </w:tc>
      </w:tr>
      <w:tr w:rsidR="00634082" w:rsidRPr="00634082" w:rsidTr="00C04FF7">
        <w:tc>
          <w:tcPr>
            <w:tcW w:w="2168" w:type="dxa"/>
          </w:tcPr>
          <w:p w:rsidR="00C249C0" w:rsidRPr="00634082" w:rsidRDefault="00C249C0" w:rsidP="00C249C0">
            <w:pPr>
              <w:rPr>
                <w:rFonts w:ascii="Times New Roman" w:hAnsi="Times New Roman" w:cs="Times New Roman"/>
              </w:rPr>
            </w:pPr>
            <w:r w:rsidRPr="00634082">
              <w:rPr>
                <w:rStyle w:val="Strong"/>
                <w:rFonts w:ascii="Times New Roman" w:hAnsi="Times New Roman" w:cs="Times New Roman"/>
                <w:shd w:val="clear" w:color="auto" w:fill="FFFFFF"/>
              </w:rPr>
              <w:t>Socioeconomic Status (Low)</w:t>
            </w:r>
          </w:p>
        </w:tc>
        <w:tc>
          <w:tcPr>
            <w:tcW w:w="1527" w:type="dxa"/>
            <w:vAlign w:val="center"/>
          </w:tcPr>
          <w:p w:rsidR="00C249C0" w:rsidRPr="00634082" w:rsidRDefault="00704055" w:rsidP="00C249C0">
            <w:pPr>
              <w:rPr>
                <w:rFonts w:ascii="Times New Roman" w:hAnsi="Times New Roman" w:cs="Times New Roman"/>
              </w:rPr>
            </w:pPr>
            <w:r w:rsidRPr="00634082">
              <w:rPr>
                <w:rFonts w:ascii="Times New Roman" w:hAnsi="Times New Roman" w:cs="Times New Roman"/>
                <w:shd w:val="clear" w:color="auto" w:fill="FFFFFF"/>
              </w:rPr>
              <w:t>680 (42.5</w:t>
            </w:r>
            <w:r w:rsidR="003325CC" w:rsidRPr="00634082">
              <w:rPr>
                <w:rFonts w:ascii="Times New Roman" w:hAnsi="Times New Roman" w:cs="Times New Roman"/>
                <w:shd w:val="clear" w:color="auto" w:fill="FFFFFF"/>
              </w:rPr>
              <w:t>)</w:t>
            </w:r>
          </w:p>
        </w:tc>
        <w:tc>
          <w:tcPr>
            <w:tcW w:w="2160" w:type="dxa"/>
            <w:vAlign w:val="center"/>
          </w:tcPr>
          <w:p w:rsidR="00C249C0" w:rsidRPr="00634082" w:rsidRDefault="00504E4F" w:rsidP="00C249C0">
            <w:pPr>
              <w:rPr>
                <w:rFonts w:ascii="Times New Roman" w:hAnsi="Times New Roman" w:cs="Times New Roman"/>
              </w:rPr>
            </w:pPr>
            <w:r w:rsidRPr="00634082">
              <w:rPr>
                <w:rFonts w:ascii="Times New Roman" w:hAnsi="Times New Roman" w:cs="Times New Roman"/>
                <w:shd w:val="clear" w:color="auto" w:fill="FFFFFF"/>
              </w:rPr>
              <w:t>308/450 (68.3</w:t>
            </w:r>
            <w:r w:rsidR="00BA7711" w:rsidRPr="00634082">
              <w:rPr>
                <w:rFonts w:ascii="Times New Roman" w:hAnsi="Times New Roman" w:cs="Times New Roman"/>
                <w:shd w:val="clear" w:color="auto" w:fill="FFFFFF"/>
              </w:rPr>
              <w:t>)</w:t>
            </w:r>
          </w:p>
        </w:tc>
        <w:tc>
          <w:tcPr>
            <w:tcW w:w="1710" w:type="dxa"/>
          </w:tcPr>
          <w:p w:rsidR="00C249C0" w:rsidRPr="00634082" w:rsidRDefault="00504E4F" w:rsidP="00C249C0">
            <w:pPr>
              <w:rPr>
                <w:rFonts w:ascii="Times New Roman" w:hAnsi="Times New Roman" w:cs="Times New Roman"/>
              </w:rPr>
            </w:pPr>
            <w:r w:rsidRPr="00634082">
              <w:rPr>
                <w:rFonts w:ascii="Times New Roman" w:hAnsi="Times New Roman" w:cs="Times New Roman"/>
                <w:shd w:val="clear" w:color="auto" w:fill="FFFFFF"/>
              </w:rPr>
              <w:t>306/676 (45.2</w:t>
            </w:r>
            <w:r w:rsidR="00585F6C" w:rsidRPr="00634082">
              <w:rPr>
                <w:rFonts w:ascii="Times New Roman" w:hAnsi="Times New Roman" w:cs="Times New Roman"/>
                <w:shd w:val="clear" w:color="auto" w:fill="FFFFFF"/>
              </w:rPr>
              <w:t>)</w:t>
            </w:r>
          </w:p>
        </w:tc>
        <w:tc>
          <w:tcPr>
            <w:tcW w:w="1800" w:type="dxa"/>
            <w:vAlign w:val="center"/>
          </w:tcPr>
          <w:p w:rsidR="00C249C0" w:rsidRPr="00634082" w:rsidRDefault="00504E4F" w:rsidP="00C249C0">
            <w:pPr>
              <w:rPr>
                <w:rFonts w:ascii="Times New Roman" w:hAnsi="Times New Roman" w:cs="Times New Roman"/>
              </w:rPr>
            </w:pPr>
            <w:r w:rsidRPr="00634082">
              <w:rPr>
                <w:rFonts w:ascii="Times New Roman" w:hAnsi="Times New Roman" w:cs="Times New Roman"/>
                <w:shd w:val="clear" w:color="auto" w:fill="FFFFFF"/>
              </w:rPr>
              <w:t>113/394 (28.6</w:t>
            </w:r>
            <w:r w:rsidR="00B26B9C" w:rsidRPr="00634082">
              <w:rPr>
                <w:rFonts w:ascii="Times New Roman" w:hAnsi="Times New Roman" w:cs="Times New Roman"/>
                <w:shd w:val="clear" w:color="auto" w:fill="FFFFFF"/>
              </w:rPr>
              <w:t>)</w:t>
            </w:r>
          </w:p>
        </w:tc>
        <w:tc>
          <w:tcPr>
            <w:tcW w:w="1710" w:type="dxa"/>
            <w:vAlign w:val="center"/>
          </w:tcPr>
          <w:p w:rsidR="00C249C0" w:rsidRPr="00634082" w:rsidRDefault="00504E4F" w:rsidP="00C249C0">
            <w:pPr>
              <w:rPr>
                <w:rFonts w:ascii="Times New Roman" w:hAnsi="Times New Roman" w:cs="Times New Roman"/>
              </w:rPr>
            </w:pPr>
            <w:r w:rsidRPr="00634082">
              <w:rPr>
                <w:rFonts w:ascii="Times New Roman" w:hAnsi="Times New Roman" w:cs="Times New Roman"/>
                <w:shd w:val="clear" w:color="auto" w:fill="FFFFFF"/>
              </w:rPr>
              <w:t>10/80 (12.0</w:t>
            </w:r>
            <w:r w:rsidR="00C17C76" w:rsidRPr="00634082">
              <w:rPr>
                <w:rFonts w:ascii="Times New Roman" w:hAnsi="Times New Roman" w:cs="Times New Roman"/>
                <w:shd w:val="clear" w:color="auto" w:fill="FFFFFF"/>
              </w:rPr>
              <w:t>)</w:t>
            </w:r>
          </w:p>
        </w:tc>
        <w:tc>
          <w:tcPr>
            <w:tcW w:w="1170" w:type="dxa"/>
            <w:vAlign w:val="center"/>
          </w:tcPr>
          <w:p w:rsidR="00C249C0" w:rsidRPr="00634082" w:rsidRDefault="00C249C0" w:rsidP="00C249C0">
            <w:pPr>
              <w:rPr>
                <w:rFonts w:ascii="Times New Roman" w:hAnsi="Times New Roman" w:cs="Times New Roman"/>
              </w:rPr>
            </w:pPr>
            <w:r w:rsidRPr="00634082">
              <w:rPr>
                <w:rFonts w:ascii="Times New Roman" w:hAnsi="Times New Roman" w:cs="Times New Roman"/>
              </w:rPr>
              <w:t>&lt;0.001</w:t>
            </w:r>
          </w:p>
        </w:tc>
      </w:tr>
      <w:tr w:rsidR="00634082" w:rsidRPr="00634082" w:rsidTr="00C04FF7">
        <w:tc>
          <w:tcPr>
            <w:tcW w:w="2168" w:type="dxa"/>
          </w:tcPr>
          <w:p w:rsidR="000826D4" w:rsidRPr="00634082" w:rsidRDefault="000826D4" w:rsidP="000826D4">
            <w:pPr>
              <w:rPr>
                <w:rFonts w:ascii="Times New Roman" w:hAnsi="Times New Roman" w:cs="Times New Roman"/>
              </w:rPr>
            </w:pPr>
            <w:r w:rsidRPr="00634082">
              <w:rPr>
                <w:rStyle w:val="Strong"/>
                <w:rFonts w:ascii="Times New Roman" w:hAnsi="Times New Roman" w:cs="Times New Roman"/>
                <w:shd w:val="clear" w:color="auto" w:fill="FFFFFF"/>
              </w:rPr>
              <w:t>Comorbidities (Yes)</w:t>
            </w:r>
          </w:p>
        </w:tc>
        <w:tc>
          <w:tcPr>
            <w:tcW w:w="1527" w:type="dxa"/>
            <w:vAlign w:val="center"/>
          </w:tcPr>
          <w:p w:rsidR="000826D4" w:rsidRPr="00634082" w:rsidRDefault="00704055" w:rsidP="000826D4">
            <w:pPr>
              <w:rPr>
                <w:rFonts w:ascii="Times New Roman" w:hAnsi="Times New Roman" w:cs="Times New Roman"/>
              </w:rPr>
            </w:pPr>
            <w:r w:rsidRPr="00634082">
              <w:rPr>
                <w:rFonts w:ascii="Times New Roman" w:hAnsi="Times New Roman" w:cs="Times New Roman"/>
                <w:shd w:val="clear" w:color="auto" w:fill="FFFFFF"/>
              </w:rPr>
              <w:t>365 (22.8</w:t>
            </w:r>
            <w:r w:rsidR="003325CC" w:rsidRPr="00634082">
              <w:rPr>
                <w:rFonts w:ascii="Times New Roman" w:hAnsi="Times New Roman" w:cs="Times New Roman"/>
                <w:shd w:val="clear" w:color="auto" w:fill="FFFFFF"/>
              </w:rPr>
              <w:t>)</w:t>
            </w:r>
          </w:p>
        </w:tc>
        <w:tc>
          <w:tcPr>
            <w:tcW w:w="2160" w:type="dxa"/>
            <w:vAlign w:val="center"/>
          </w:tcPr>
          <w:p w:rsidR="000826D4" w:rsidRPr="00634082" w:rsidRDefault="00504E4F" w:rsidP="000826D4">
            <w:pPr>
              <w:rPr>
                <w:rFonts w:ascii="Times New Roman" w:hAnsi="Times New Roman" w:cs="Times New Roman"/>
              </w:rPr>
            </w:pPr>
            <w:r w:rsidRPr="00634082">
              <w:rPr>
                <w:rFonts w:ascii="Times New Roman" w:hAnsi="Times New Roman" w:cs="Times New Roman"/>
                <w:shd w:val="clear" w:color="auto" w:fill="FFFFFF"/>
              </w:rPr>
              <w:t>142/450 (31.5</w:t>
            </w:r>
            <w:r w:rsidR="00DF7A56" w:rsidRPr="00634082">
              <w:rPr>
                <w:rFonts w:ascii="Times New Roman" w:hAnsi="Times New Roman" w:cs="Times New Roman"/>
                <w:shd w:val="clear" w:color="auto" w:fill="FFFFFF"/>
              </w:rPr>
              <w:t>)</w:t>
            </w:r>
          </w:p>
        </w:tc>
        <w:tc>
          <w:tcPr>
            <w:tcW w:w="1710" w:type="dxa"/>
            <w:vAlign w:val="center"/>
          </w:tcPr>
          <w:p w:rsidR="000826D4" w:rsidRPr="00634082" w:rsidRDefault="00C46D6C" w:rsidP="000826D4">
            <w:pPr>
              <w:rPr>
                <w:rFonts w:ascii="Times New Roman" w:hAnsi="Times New Roman" w:cs="Times New Roman"/>
              </w:rPr>
            </w:pPr>
            <w:r w:rsidRPr="00634082">
              <w:rPr>
                <w:rFonts w:ascii="Times New Roman" w:hAnsi="Times New Roman" w:cs="Times New Roman"/>
                <w:shd w:val="clear" w:color="auto" w:fill="FFFFFF"/>
              </w:rPr>
              <w:t xml:space="preserve">160/676 </w:t>
            </w:r>
            <w:r w:rsidR="00504E4F" w:rsidRPr="00634082">
              <w:rPr>
                <w:rFonts w:ascii="Times New Roman" w:hAnsi="Times New Roman" w:cs="Times New Roman"/>
                <w:shd w:val="clear" w:color="auto" w:fill="FFFFFF"/>
              </w:rPr>
              <w:t>(23.7</w:t>
            </w:r>
            <w:r w:rsidRPr="00634082">
              <w:rPr>
                <w:rFonts w:ascii="Times New Roman" w:hAnsi="Times New Roman" w:cs="Times New Roman"/>
                <w:shd w:val="clear" w:color="auto" w:fill="FFFFFF"/>
              </w:rPr>
              <w:t>)</w:t>
            </w:r>
          </w:p>
        </w:tc>
        <w:tc>
          <w:tcPr>
            <w:tcW w:w="1800" w:type="dxa"/>
            <w:vAlign w:val="center"/>
          </w:tcPr>
          <w:p w:rsidR="000826D4" w:rsidRPr="00634082" w:rsidRDefault="00504E4F" w:rsidP="000826D4">
            <w:pPr>
              <w:rPr>
                <w:rFonts w:ascii="Times New Roman" w:hAnsi="Times New Roman" w:cs="Times New Roman"/>
              </w:rPr>
            </w:pPr>
            <w:r w:rsidRPr="00634082">
              <w:rPr>
                <w:rFonts w:ascii="Times New Roman" w:hAnsi="Times New Roman" w:cs="Times New Roman"/>
                <w:shd w:val="clear" w:color="auto" w:fill="FFFFFF"/>
              </w:rPr>
              <w:t>72/394 (18.2</w:t>
            </w:r>
            <w:r w:rsidR="0067120B" w:rsidRPr="00634082">
              <w:rPr>
                <w:rFonts w:ascii="Times New Roman" w:hAnsi="Times New Roman" w:cs="Times New Roman"/>
                <w:shd w:val="clear" w:color="auto" w:fill="FFFFFF"/>
              </w:rPr>
              <w:t>)</w:t>
            </w:r>
          </w:p>
        </w:tc>
        <w:tc>
          <w:tcPr>
            <w:tcW w:w="1710" w:type="dxa"/>
            <w:vAlign w:val="center"/>
          </w:tcPr>
          <w:p w:rsidR="000826D4" w:rsidRPr="00634082" w:rsidRDefault="00504E4F" w:rsidP="000826D4">
            <w:pPr>
              <w:rPr>
                <w:rFonts w:ascii="Times New Roman" w:hAnsi="Times New Roman" w:cs="Times New Roman"/>
              </w:rPr>
            </w:pPr>
            <w:r w:rsidRPr="00634082">
              <w:rPr>
                <w:rFonts w:ascii="Times New Roman" w:hAnsi="Times New Roman" w:cs="Times New Roman"/>
                <w:shd w:val="clear" w:color="auto" w:fill="FFFFFF"/>
              </w:rPr>
              <w:t>8/80 (10.0</w:t>
            </w:r>
            <w:r w:rsidR="00C17C76" w:rsidRPr="00634082">
              <w:rPr>
                <w:rFonts w:ascii="Times New Roman" w:hAnsi="Times New Roman" w:cs="Times New Roman"/>
                <w:shd w:val="clear" w:color="auto" w:fill="FFFFFF"/>
              </w:rPr>
              <w:t>)</w:t>
            </w:r>
          </w:p>
        </w:tc>
        <w:tc>
          <w:tcPr>
            <w:tcW w:w="1170" w:type="dxa"/>
            <w:vAlign w:val="center"/>
          </w:tcPr>
          <w:p w:rsidR="000826D4" w:rsidRPr="00634082" w:rsidRDefault="000826D4" w:rsidP="000826D4">
            <w:pPr>
              <w:rPr>
                <w:rFonts w:ascii="Times New Roman" w:hAnsi="Times New Roman" w:cs="Times New Roman"/>
              </w:rPr>
            </w:pPr>
            <w:r w:rsidRPr="00634082">
              <w:rPr>
                <w:rFonts w:ascii="Times New Roman" w:hAnsi="Times New Roman" w:cs="Times New Roman"/>
              </w:rPr>
              <w:t>&lt;0.001</w:t>
            </w:r>
          </w:p>
        </w:tc>
      </w:tr>
    </w:tbl>
    <w:p w:rsidR="009633BB" w:rsidRPr="00634082" w:rsidRDefault="009633BB" w:rsidP="00465402">
      <w:pPr>
        <w:pStyle w:val="Heading3"/>
        <w:shd w:val="clear" w:color="auto" w:fill="FFFFFF"/>
        <w:rPr>
          <w:rStyle w:val="Strong"/>
          <w:rFonts w:ascii="Times New Roman" w:hAnsi="Times New Roman" w:cs="Times New Roman"/>
          <w:b w:val="0"/>
          <w:bCs w:val="0"/>
          <w:color w:val="auto"/>
          <w:sz w:val="22"/>
          <w:szCs w:val="22"/>
        </w:rPr>
      </w:pPr>
    </w:p>
    <w:p w:rsidR="009633BB" w:rsidRPr="00634082" w:rsidRDefault="009633BB" w:rsidP="00465402">
      <w:pPr>
        <w:pStyle w:val="Heading3"/>
        <w:shd w:val="clear" w:color="auto" w:fill="FFFFFF"/>
        <w:rPr>
          <w:rStyle w:val="Strong"/>
          <w:rFonts w:ascii="Times New Roman" w:hAnsi="Times New Roman" w:cs="Times New Roman"/>
          <w:b w:val="0"/>
          <w:bCs w:val="0"/>
          <w:color w:val="auto"/>
          <w:sz w:val="22"/>
          <w:szCs w:val="22"/>
        </w:rPr>
      </w:pPr>
    </w:p>
    <w:p w:rsidR="00465402" w:rsidRPr="00634082" w:rsidRDefault="007D0436" w:rsidP="00465402">
      <w:pPr>
        <w:pStyle w:val="Heading3"/>
        <w:shd w:val="clear" w:color="auto" w:fill="FFFFFF"/>
        <w:rPr>
          <w:rStyle w:val="Strong"/>
          <w:rFonts w:ascii="Times New Roman" w:hAnsi="Times New Roman" w:cs="Times New Roman"/>
          <w:b w:val="0"/>
          <w:bCs w:val="0"/>
          <w:color w:val="auto"/>
          <w:sz w:val="22"/>
          <w:szCs w:val="22"/>
        </w:rPr>
      </w:pPr>
      <w:r w:rsidRPr="00634082">
        <w:rPr>
          <w:rStyle w:val="Strong"/>
          <w:rFonts w:ascii="Times New Roman" w:hAnsi="Times New Roman" w:cs="Times New Roman"/>
          <w:bCs w:val="0"/>
          <w:color w:val="auto"/>
          <w:sz w:val="22"/>
          <w:szCs w:val="22"/>
        </w:rPr>
        <w:t>Table 2:</w:t>
      </w:r>
      <w:r w:rsidRPr="00634082">
        <w:rPr>
          <w:rStyle w:val="Strong"/>
          <w:rFonts w:ascii="Times New Roman" w:hAnsi="Times New Roman" w:cs="Times New Roman"/>
          <w:b w:val="0"/>
          <w:bCs w:val="0"/>
          <w:color w:val="auto"/>
          <w:sz w:val="22"/>
          <w:szCs w:val="22"/>
        </w:rPr>
        <w:t xml:space="preserve"> Pregnancy Outcomes by Maternal Education Level</w:t>
      </w:r>
    </w:p>
    <w:tbl>
      <w:tblPr>
        <w:tblStyle w:val="TableGrid"/>
        <w:tblW w:w="1332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620"/>
        <w:gridCol w:w="1710"/>
        <w:gridCol w:w="1710"/>
        <w:gridCol w:w="1710"/>
        <w:gridCol w:w="1530"/>
        <w:gridCol w:w="1800"/>
      </w:tblGrid>
      <w:tr w:rsidR="00634082" w:rsidRPr="00634082" w:rsidTr="0098598E">
        <w:tc>
          <w:tcPr>
            <w:tcW w:w="3245" w:type="dxa"/>
            <w:tcBorders>
              <w:top w:val="single" w:sz="4" w:space="0" w:color="auto"/>
              <w:bottom w:val="single" w:sz="4" w:space="0" w:color="auto"/>
            </w:tcBorders>
          </w:tcPr>
          <w:p w:rsidR="00C230C6" w:rsidRPr="00634082" w:rsidRDefault="00C230C6" w:rsidP="00C230C6">
            <w:pPr>
              <w:rPr>
                <w:rFonts w:ascii="Times New Roman" w:hAnsi="Times New Roman" w:cs="Times New Roman"/>
                <w:b/>
                <w:bCs/>
              </w:rPr>
            </w:pPr>
            <w:r w:rsidRPr="00634082">
              <w:rPr>
                <w:rStyle w:val="Strong"/>
                <w:rFonts w:ascii="Times New Roman" w:hAnsi="Times New Roman" w:cs="Times New Roman"/>
              </w:rPr>
              <w:t>Outcome</w:t>
            </w:r>
          </w:p>
          <w:p w:rsidR="00465402" w:rsidRPr="00634082" w:rsidRDefault="00465402" w:rsidP="004F1048">
            <w:pPr>
              <w:rPr>
                <w:rFonts w:ascii="Times New Roman" w:hAnsi="Times New Roman" w:cs="Times New Roman"/>
              </w:rPr>
            </w:pPr>
          </w:p>
        </w:tc>
        <w:tc>
          <w:tcPr>
            <w:tcW w:w="1620" w:type="dxa"/>
            <w:tcBorders>
              <w:top w:val="single" w:sz="4" w:space="0" w:color="auto"/>
              <w:bottom w:val="single" w:sz="4" w:space="0" w:color="auto"/>
            </w:tcBorders>
          </w:tcPr>
          <w:p w:rsidR="00465402" w:rsidRPr="00634082" w:rsidRDefault="001F2492" w:rsidP="004F1048">
            <w:pPr>
              <w:rPr>
                <w:rFonts w:ascii="Times New Roman" w:hAnsi="Times New Roman" w:cs="Times New Roman"/>
              </w:rPr>
            </w:pPr>
            <w:r w:rsidRPr="00634082">
              <w:rPr>
                <w:rStyle w:val="Strong"/>
                <w:rFonts w:ascii="Times New Roman" w:hAnsi="Times New Roman" w:cs="Times New Roman"/>
                <w:shd w:val="clear" w:color="auto" w:fill="FFFFFF"/>
              </w:rPr>
              <w:t xml:space="preserve">Overall </w:t>
            </w:r>
          </w:p>
        </w:tc>
        <w:tc>
          <w:tcPr>
            <w:tcW w:w="1710" w:type="dxa"/>
            <w:tcBorders>
              <w:top w:val="single" w:sz="4" w:space="0" w:color="auto"/>
              <w:bottom w:val="single" w:sz="4" w:space="0" w:color="auto"/>
            </w:tcBorders>
          </w:tcPr>
          <w:p w:rsidR="0098598E" w:rsidRPr="00634082" w:rsidRDefault="00465402" w:rsidP="004F1048">
            <w:pPr>
              <w:rPr>
                <w:rStyle w:val="Strong"/>
                <w:rFonts w:ascii="Times New Roman" w:hAnsi="Times New Roman" w:cs="Times New Roman"/>
                <w:shd w:val="clear" w:color="auto" w:fill="FFFFFF"/>
              </w:rPr>
            </w:pPr>
            <w:r w:rsidRPr="00634082">
              <w:rPr>
                <w:rStyle w:val="Strong"/>
                <w:rFonts w:ascii="Times New Roman" w:hAnsi="Times New Roman" w:cs="Times New Roman"/>
                <w:shd w:val="clear" w:color="auto" w:fill="FFFFFF"/>
              </w:rPr>
              <w:t>No Education</w:t>
            </w:r>
            <w:r w:rsidR="005D4623" w:rsidRPr="00634082">
              <w:rPr>
                <w:rStyle w:val="Strong"/>
                <w:rFonts w:ascii="Times New Roman" w:hAnsi="Times New Roman" w:cs="Times New Roman"/>
                <w:shd w:val="clear" w:color="auto" w:fill="FFFFFF"/>
              </w:rPr>
              <w:t xml:space="preserve"> </w:t>
            </w:r>
          </w:p>
          <w:p w:rsidR="00465402" w:rsidRPr="00634082" w:rsidRDefault="005D4623" w:rsidP="004F1048">
            <w:pPr>
              <w:rPr>
                <w:rFonts w:ascii="Times New Roman" w:hAnsi="Times New Roman" w:cs="Times New Roman"/>
              </w:rPr>
            </w:pPr>
            <w:r w:rsidRPr="00634082">
              <w:rPr>
                <w:rFonts w:ascii="Times New Roman" w:hAnsi="Times New Roman" w:cs="Times New Roman"/>
                <w:b/>
                <w:bCs/>
                <w:shd w:val="clear" w:color="auto" w:fill="FFFFFF"/>
              </w:rPr>
              <w:t>(n=450)</w:t>
            </w:r>
            <w:r w:rsidR="001F2492" w:rsidRPr="00634082">
              <w:rPr>
                <w:rStyle w:val="Strong"/>
                <w:rFonts w:ascii="Times New Roman" w:hAnsi="Times New Roman" w:cs="Times New Roman"/>
                <w:shd w:val="clear" w:color="auto" w:fill="FFFFFF"/>
              </w:rPr>
              <w:t xml:space="preserve"> </w:t>
            </w:r>
          </w:p>
        </w:tc>
        <w:tc>
          <w:tcPr>
            <w:tcW w:w="1710" w:type="dxa"/>
            <w:tcBorders>
              <w:top w:val="single" w:sz="4" w:space="0" w:color="auto"/>
              <w:bottom w:val="single" w:sz="4" w:space="0" w:color="auto"/>
            </w:tcBorders>
          </w:tcPr>
          <w:p w:rsidR="001F2492" w:rsidRPr="00634082" w:rsidRDefault="00465402" w:rsidP="004F1048">
            <w:pPr>
              <w:rPr>
                <w:rStyle w:val="Strong"/>
                <w:rFonts w:ascii="Times New Roman" w:hAnsi="Times New Roman" w:cs="Times New Roman"/>
                <w:shd w:val="clear" w:color="auto" w:fill="FFFFFF"/>
              </w:rPr>
            </w:pPr>
            <w:r w:rsidRPr="00634082">
              <w:rPr>
                <w:rStyle w:val="Strong"/>
                <w:rFonts w:ascii="Times New Roman" w:hAnsi="Times New Roman" w:cs="Times New Roman"/>
                <w:shd w:val="clear" w:color="auto" w:fill="FFFFFF"/>
              </w:rPr>
              <w:t xml:space="preserve">Primary </w:t>
            </w:r>
          </w:p>
          <w:p w:rsidR="00465402" w:rsidRPr="00634082" w:rsidRDefault="00CD0DEA" w:rsidP="004F1048">
            <w:pPr>
              <w:rPr>
                <w:rFonts w:ascii="Times New Roman" w:hAnsi="Times New Roman" w:cs="Times New Roman"/>
              </w:rPr>
            </w:pPr>
            <w:r w:rsidRPr="00634082">
              <w:rPr>
                <w:rFonts w:ascii="Times New Roman" w:hAnsi="Times New Roman" w:cs="Times New Roman"/>
                <w:b/>
                <w:bCs/>
                <w:shd w:val="clear" w:color="auto" w:fill="FFFFFF"/>
              </w:rPr>
              <w:t>(n=677)</w:t>
            </w:r>
            <w:r w:rsidRPr="00634082">
              <w:rPr>
                <w:rStyle w:val="Strong"/>
                <w:rFonts w:ascii="Times New Roman" w:hAnsi="Times New Roman" w:cs="Times New Roman"/>
                <w:shd w:val="clear" w:color="auto" w:fill="FFFFFF"/>
              </w:rPr>
              <w:t xml:space="preserve"> </w:t>
            </w:r>
          </w:p>
        </w:tc>
        <w:tc>
          <w:tcPr>
            <w:tcW w:w="1710" w:type="dxa"/>
            <w:tcBorders>
              <w:top w:val="single" w:sz="4" w:space="0" w:color="auto"/>
              <w:bottom w:val="single" w:sz="4" w:space="0" w:color="auto"/>
            </w:tcBorders>
          </w:tcPr>
          <w:p w:rsidR="001F2492" w:rsidRPr="00634082" w:rsidRDefault="00465402" w:rsidP="004F1048">
            <w:pPr>
              <w:rPr>
                <w:rStyle w:val="Strong"/>
                <w:rFonts w:ascii="Times New Roman" w:hAnsi="Times New Roman" w:cs="Times New Roman"/>
              </w:rPr>
            </w:pPr>
            <w:r w:rsidRPr="00634082">
              <w:rPr>
                <w:rStyle w:val="Strong"/>
                <w:rFonts w:ascii="Times New Roman" w:hAnsi="Times New Roman" w:cs="Times New Roman"/>
              </w:rPr>
              <w:t xml:space="preserve">Secondary </w:t>
            </w:r>
          </w:p>
          <w:p w:rsidR="00465402" w:rsidRPr="00634082" w:rsidRDefault="001A2FD3" w:rsidP="004F1048">
            <w:pPr>
              <w:rPr>
                <w:rFonts w:ascii="Times New Roman" w:hAnsi="Times New Roman" w:cs="Times New Roman"/>
                <w:b/>
                <w:bCs/>
              </w:rPr>
            </w:pPr>
            <w:r w:rsidRPr="00634082">
              <w:rPr>
                <w:rFonts w:ascii="Times New Roman" w:hAnsi="Times New Roman" w:cs="Times New Roman"/>
                <w:b/>
                <w:bCs/>
                <w:shd w:val="clear" w:color="auto" w:fill="FFFFFF"/>
              </w:rPr>
              <w:t>(n=394)</w:t>
            </w:r>
            <w:r w:rsidRPr="00634082">
              <w:rPr>
                <w:rStyle w:val="Strong"/>
                <w:rFonts w:ascii="Times New Roman" w:hAnsi="Times New Roman" w:cs="Times New Roman"/>
              </w:rPr>
              <w:t xml:space="preserve"> </w:t>
            </w:r>
          </w:p>
          <w:p w:rsidR="00465402" w:rsidRPr="00634082" w:rsidRDefault="00465402" w:rsidP="004F1048">
            <w:pPr>
              <w:rPr>
                <w:rFonts w:ascii="Times New Roman" w:hAnsi="Times New Roman" w:cs="Times New Roman"/>
              </w:rPr>
            </w:pPr>
          </w:p>
        </w:tc>
        <w:tc>
          <w:tcPr>
            <w:tcW w:w="1530" w:type="dxa"/>
            <w:tcBorders>
              <w:top w:val="single" w:sz="4" w:space="0" w:color="auto"/>
              <w:bottom w:val="single" w:sz="4" w:space="0" w:color="auto"/>
            </w:tcBorders>
          </w:tcPr>
          <w:p w:rsidR="001F2492" w:rsidRPr="00634082" w:rsidRDefault="00465402" w:rsidP="004F1048">
            <w:pPr>
              <w:rPr>
                <w:rStyle w:val="Strong"/>
                <w:rFonts w:ascii="Times New Roman" w:hAnsi="Times New Roman" w:cs="Times New Roman"/>
                <w:shd w:val="clear" w:color="auto" w:fill="FFFFFF"/>
              </w:rPr>
            </w:pPr>
            <w:r w:rsidRPr="00634082">
              <w:rPr>
                <w:rStyle w:val="Strong"/>
                <w:rFonts w:ascii="Times New Roman" w:hAnsi="Times New Roman" w:cs="Times New Roman"/>
                <w:shd w:val="clear" w:color="auto" w:fill="FFFFFF"/>
              </w:rPr>
              <w:t xml:space="preserve">Higher </w:t>
            </w:r>
          </w:p>
          <w:p w:rsidR="00465402" w:rsidRPr="00634082" w:rsidRDefault="006703E9" w:rsidP="001F2492">
            <w:pPr>
              <w:rPr>
                <w:rFonts w:ascii="Times New Roman" w:hAnsi="Times New Roman" w:cs="Times New Roman"/>
              </w:rPr>
            </w:pPr>
            <w:r w:rsidRPr="00634082">
              <w:rPr>
                <w:rFonts w:ascii="Times New Roman" w:hAnsi="Times New Roman" w:cs="Times New Roman"/>
                <w:b/>
                <w:bCs/>
                <w:shd w:val="clear" w:color="auto" w:fill="FFFFFF"/>
              </w:rPr>
              <w:t>(n=80)</w:t>
            </w:r>
          </w:p>
        </w:tc>
        <w:tc>
          <w:tcPr>
            <w:tcW w:w="1800" w:type="dxa"/>
            <w:tcBorders>
              <w:top w:val="single" w:sz="4" w:space="0" w:color="auto"/>
              <w:bottom w:val="single" w:sz="4" w:space="0" w:color="auto"/>
            </w:tcBorders>
          </w:tcPr>
          <w:p w:rsidR="00465402" w:rsidRPr="00634082" w:rsidRDefault="00465402" w:rsidP="004F1048">
            <w:pPr>
              <w:rPr>
                <w:rFonts w:ascii="Times New Roman" w:hAnsi="Times New Roman" w:cs="Times New Roman"/>
              </w:rPr>
            </w:pPr>
            <w:r w:rsidRPr="00634082">
              <w:rPr>
                <w:rStyle w:val="Strong"/>
                <w:rFonts w:ascii="Times New Roman" w:hAnsi="Times New Roman" w:cs="Times New Roman"/>
                <w:shd w:val="clear" w:color="auto" w:fill="FFFFFF"/>
              </w:rPr>
              <w:t>p-value</w:t>
            </w:r>
          </w:p>
        </w:tc>
      </w:tr>
      <w:tr w:rsidR="00634082" w:rsidRPr="00634082" w:rsidTr="0098598E">
        <w:tc>
          <w:tcPr>
            <w:tcW w:w="3245" w:type="dxa"/>
            <w:tcBorders>
              <w:top w:val="single" w:sz="4" w:space="0" w:color="auto"/>
            </w:tcBorders>
          </w:tcPr>
          <w:p w:rsidR="005B1355" w:rsidRPr="00634082" w:rsidRDefault="005B1355" w:rsidP="005B1355">
            <w:pPr>
              <w:rPr>
                <w:rFonts w:ascii="Times New Roman" w:hAnsi="Times New Roman" w:cs="Times New Roman"/>
              </w:rPr>
            </w:pPr>
            <w:r w:rsidRPr="00634082">
              <w:rPr>
                <w:rStyle w:val="Strong"/>
                <w:rFonts w:ascii="Times New Roman" w:hAnsi="Times New Roman" w:cs="Times New Roman"/>
                <w:shd w:val="clear" w:color="auto" w:fill="FFFFFF"/>
              </w:rPr>
              <w:t>Low Birth Weight (&lt;2.5 kg)</w:t>
            </w:r>
          </w:p>
        </w:tc>
        <w:tc>
          <w:tcPr>
            <w:tcW w:w="1620" w:type="dxa"/>
            <w:tcBorders>
              <w:top w:val="single" w:sz="4" w:space="0" w:color="auto"/>
            </w:tcBorders>
            <w:vAlign w:val="center"/>
          </w:tcPr>
          <w:p w:rsidR="005B1355" w:rsidRPr="00634082" w:rsidRDefault="008A0ABA" w:rsidP="005B1355">
            <w:pPr>
              <w:rPr>
                <w:rFonts w:ascii="Times New Roman" w:hAnsi="Times New Roman" w:cs="Times New Roman"/>
              </w:rPr>
            </w:pPr>
            <w:r w:rsidRPr="00634082">
              <w:rPr>
                <w:rFonts w:ascii="Times New Roman" w:hAnsi="Times New Roman" w:cs="Times New Roman"/>
                <w:shd w:val="clear" w:color="auto" w:fill="FFFFFF"/>
              </w:rPr>
              <w:t>299 (18.7%)</w:t>
            </w:r>
          </w:p>
        </w:tc>
        <w:tc>
          <w:tcPr>
            <w:tcW w:w="1710" w:type="dxa"/>
            <w:tcBorders>
              <w:top w:val="single" w:sz="4" w:space="0" w:color="auto"/>
            </w:tcBorders>
            <w:vAlign w:val="center"/>
          </w:tcPr>
          <w:p w:rsidR="005B1355" w:rsidRPr="00634082" w:rsidRDefault="00253366" w:rsidP="005B1355">
            <w:pPr>
              <w:rPr>
                <w:rFonts w:ascii="Times New Roman" w:hAnsi="Times New Roman" w:cs="Times New Roman"/>
              </w:rPr>
            </w:pPr>
            <w:r w:rsidRPr="00634082">
              <w:rPr>
                <w:rFonts w:ascii="Times New Roman" w:hAnsi="Times New Roman" w:cs="Times New Roman"/>
                <w:shd w:val="clear" w:color="auto" w:fill="FFFFFF"/>
              </w:rPr>
              <w:t>146 (32.4%)</w:t>
            </w:r>
          </w:p>
        </w:tc>
        <w:tc>
          <w:tcPr>
            <w:tcW w:w="1710" w:type="dxa"/>
            <w:tcBorders>
              <w:top w:val="single" w:sz="4" w:space="0" w:color="auto"/>
            </w:tcBorders>
            <w:vAlign w:val="center"/>
          </w:tcPr>
          <w:p w:rsidR="005B1355" w:rsidRPr="00634082" w:rsidRDefault="00DE3B1F" w:rsidP="005B1355">
            <w:pPr>
              <w:rPr>
                <w:rFonts w:ascii="Times New Roman" w:hAnsi="Times New Roman" w:cs="Times New Roman"/>
              </w:rPr>
            </w:pPr>
            <w:r w:rsidRPr="00634082">
              <w:rPr>
                <w:rFonts w:ascii="Times New Roman" w:hAnsi="Times New Roman" w:cs="Times New Roman"/>
                <w:shd w:val="clear" w:color="auto" w:fill="FFFFFF"/>
              </w:rPr>
              <w:t>134 (19.8%)</w:t>
            </w:r>
          </w:p>
        </w:tc>
        <w:tc>
          <w:tcPr>
            <w:tcW w:w="1710" w:type="dxa"/>
            <w:tcBorders>
              <w:top w:val="single" w:sz="4" w:space="0" w:color="auto"/>
            </w:tcBorders>
            <w:vAlign w:val="center"/>
          </w:tcPr>
          <w:p w:rsidR="005B1355" w:rsidRPr="00634082" w:rsidRDefault="00DE3B1F" w:rsidP="005B1355">
            <w:pPr>
              <w:rPr>
                <w:rFonts w:ascii="Times New Roman" w:hAnsi="Times New Roman" w:cs="Times New Roman"/>
              </w:rPr>
            </w:pPr>
            <w:r w:rsidRPr="00634082">
              <w:rPr>
                <w:rFonts w:ascii="Times New Roman" w:hAnsi="Times New Roman" w:cs="Times New Roman"/>
                <w:shd w:val="clear" w:color="auto" w:fill="FFFFFF"/>
              </w:rPr>
              <w:t>41 (10.5%)</w:t>
            </w:r>
          </w:p>
        </w:tc>
        <w:tc>
          <w:tcPr>
            <w:tcW w:w="1530" w:type="dxa"/>
            <w:tcBorders>
              <w:top w:val="single" w:sz="4" w:space="0" w:color="auto"/>
            </w:tcBorders>
            <w:vAlign w:val="center"/>
          </w:tcPr>
          <w:p w:rsidR="005B1355" w:rsidRPr="00634082" w:rsidRDefault="00576D94" w:rsidP="005B1355">
            <w:pPr>
              <w:rPr>
                <w:rFonts w:ascii="Times New Roman" w:hAnsi="Times New Roman" w:cs="Times New Roman"/>
              </w:rPr>
            </w:pPr>
            <w:r w:rsidRPr="00634082">
              <w:rPr>
                <w:rFonts w:ascii="Times New Roman" w:hAnsi="Times New Roman" w:cs="Times New Roman"/>
                <w:shd w:val="clear" w:color="auto" w:fill="FFFFFF"/>
              </w:rPr>
              <w:t>5 (6.2%)</w:t>
            </w:r>
          </w:p>
        </w:tc>
        <w:tc>
          <w:tcPr>
            <w:tcW w:w="1800" w:type="dxa"/>
            <w:tcBorders>
              <w:top w:val="single" w:sz="4" w:space="0" w:color="auto"/>
            </w:tcBorders>
            <w:vAlign w:val="center"/>
          </w:tcPr>
          <w:p w:rsidR="005B1355" w:rsidRPr="00634082" w:rsidRDefault="005B1355" w:rsidP="005B1355">
            <w:pPr>
              <w:rPr>
                <w:rFonts w:ascii="Times New Roman" w:hAnsi="Times New Roman" w:cs="Times New Roman"/>
              </w:rPr>
            </w:pPr>
            <w:r w:rsidRPr="00634082">
              <w:rPr>
                <w:rFonts w:ascii="Times New Roman" w:hAnsi="Times New Roman" w:cs="Times New Roman"/>
              </w:rPr>
              <w:t>&lt;0.001</w:t>
            </w:r>
          </w:p>
        </w:tc>
      </w:tr>
      <w:tr w:rsidR="00634082" w:rsidRPr="00634082" w:rsidTr="0098598E">
        <w:tc>
          <w:tcPr>
            <w:tcW w:w="3245" w:type="dxa"/>
          </w:tcPr>
          <w:p w:rsidR="005B1355" w:rsidRPr="00634082" w:rsidRDefault="005B1355" w:rsidP="005B1355">
            <w:pPr>
              <w:rPr>
                <w:rFonts w:ascii="Times New Roman" w:hAnsi="Times New Roman" w:cs="Times New Roman"/>
              </w:rPr>
            </w:pPr>
            <w:r w:rsidRPr="00634082">
              <w:rPr>
                <w:rStyle w:val="Strong"/>
                <w:rFonts w:ascii="Times New Roman" w:hAnsi="Times New Roman" w:cs="Times New Roman"/>
                <w:shd w:val="clear" w:color="auto" w:fill="FFFFFF"/>
              </w:rPr>
              <w:t>Preterm Birth (&lt;37 weeks)</w:t>
            </w:r>
          </w:p>
        </w:tc>
        <w:tc>
          <w:tcPr>
            <w:tcW w:w="1620" w:type="dxa"/>
            <w:vAlign w:val="center"/>
          </w:tcPr>
          <w:p w:rsidR="005B1355" w:rsidRPr="00634082" w:rsidRDefault="00F86316" w:rsidP="005B1355">
            <w:pPr>
              <w:rPr>
                <w:rFonts w:ascii="Times New Roman" w:hAnsi="Times New Roman" w:cs="Times New Roman"/>
              </w:rPr>
            </w:pPr>
            <w:r w:rsidRPr="00634082">
              <w:rPr>
                <w:rFonts w:ascii="Times New Roman" w:hAnsi="Times New Roman" w:cs="Times New Roman"/>
                <w:shd w:val="clear" w:color="auto" w:fill="FFFFFF"/>
              </w:rPr>
              <w:t>200 (12.5%)</w:t>
            </w:r>
          </w:p>
        </w:tc>
        <w:tc>
          <w:tcPr>
            <w:tcW w:w="1710" w:type="dxa"/>
            <w:vAlign w:val="center"/>
          </w:tcPr>
          <w:p w:rsidR="005B1355" w:rsidRPr="00634082" w:rsidRDefault="003006B3" w:rsidP="005B1355">
            <w:pPr>
              <w:rPr>
                <w:rFonts w:ascii="Times New Roman" w:hAnsi="Times New Roman" w:cs="Times New Roman"/>
              </w:rPr>
            </w:pPr>
            <w:r w:rsidRPr="00634082">
              <w:rPr>
                <w:rFonts w:ascii="Times New Roman" w:hAnsi="Times New Roman" w:cs="Times New Roman"/>
                <w:shd w:val="clear" w:color="auto" w:fill="FFFFFF"/>
              </w:rPr>
              <w:t>89 (19.8%)</w:t>
            </w:r>
          </w:p>
        </w:tc>
        <w:tc>
          <w:tcPr>
            <w:tcW w:w="1710" w:type="dxa"/>
            <w:vAlign w:val="center"/>
          </w:tcPr>
          <w:p w:rsidR="005B1355" w:rsidRPr="00634082" w:rsidRDefault="0024760F" w:rsidP="005B1355">
            <w:pPr>
              <w:rPr>
                <w:rFonts w:ascii="Times New Roman" w:hAnsi="Times New Roman" w:cs="Times New Roman"/>
              </w:rPr>
            </w:pPr>
            <w:r w:rsidRPr="00634082">
              <w:rPr>
                <w:rFonts w:ascii="Times New Roman" w:hAnsi="Times New Roman" w:cs="Times New Roman"/>
                <w:shd w:val="clear" w:color="auto" w:fill="FFFFFF"/>
              </w:rPr>
              <w:t>89 (13.2%)</w:t>
            </w:r>
          </w:p>
        </w:tc>
        <w:tc>
          <w:tcPr>
            <w:tcW w:w="1710" w:type="dxa"/>
            <w:vAlign w:val="center"/>
          </w:tcPr>
          <w:p w:rsidR="005B1355" w:rsidRPr="00634082" w:rsidRDefault="00A35494" w:rsidP="005B1355">
            <w:pPr>
              <w:rPr>
                <w:rFonts w:ascii="Times New Roman" w:hAnsi="Times New Roman" w:cs="Times New Roman"/>
              </w:rPr>
            </w:pPr>
            <w:r w:rsidRPr="00634082">
              <w:rPr>
                <w:rFonts w:ascii="Times New Roman" w:hAnsi="Times New Roman" w:cs="Times New Roman"/>
                <w:shd w:val="clear" w:color="auto" w:fill="FFFFFF"/>
              </w:rPr>
              <w:t>29 (7.3%)</w:t>
            </w:r>
          </w:p>
        </w:tc>
        <w:tc>
          <w:tcPr>
            <w:tcW w:w="1530" w:type="dxa"/>
            <w:vAlign w:val="center"/>
          </w:tcPr>
          <w:p w:rsidR="005B1355" w:rsidRPr="00634082" w:rsidRDefault="00A35494" w:rsidP="005B1355">
            <w:pPr>
              <w:rPr>
                <w:rFonts w:ascii="Times New Roman" w:hAnsi="Times New Roman" w:cs="Times New Roman"/>
              </w:rPr>
            </w:pPr>
            <w:r w:rsidRPr="00634082">
              <w:rPr>
                <w:rFonts w:ascii="Times New Roman" w:hAnsi="Times New Roman" w:cs="Times New Roman"/>
                <w:shd w:val="clear" w:color="auto" w:fill="FFFFFF"/>
              </w:rPr>
              <w:t>4 (5.0%)</w:t>
            </w:r>
          </w:p>
        </w:tc>
        <w:tc>
          <w:tcPr>
            <w:tcW w:w="1800" w:type="dxa"/>
            <w:vAlign w:val="center"/>
          </w:tcPr>
          <w:p w:rsidR="005B1355" w:rsidRPr="00634082" w:rsidRDefault="005B1355" w:rsidP="005B1355">
            <w:pPr>
              <w:rPr>
                <w:rFonts w:ascii="Times New Roman" w:hAnsi="Times New Roman" w:cs="Times New Roman"/>
              </w:rPr>
            </w:pPr>
            <w:r w:rsidRPr="00634082">
              <w:rPr>
                <w:rFonts w:ascii="Times New Roman" w:hAnsi="Times New Roman" w:cs="Times New Roman"/>
              </w:rPr>
              <w:t>&lt;0.001</w:t>
            </w:r>
          </w:p>
        </w:tc>
      </w:tr>
      <w:tr w:rsidR="00634082" w:rsidRPr="00634082" w:rsidTr="0098598E">
        <w:tc>
          <w:tcPr>
            <w:tcW w:w="3245" w:type="dxa"/>
          </w:tcPr>
          <w:p w:rsidR="005B1355" w:rsidRPr="00634082" w:rsidRDefault="005B1355" w:rsidP="005B1355">
            <w:pPr>
              <w:rPr>
                <w:rFonts w:ascii="Times New Roman" w:hAnsi="Times New Roman" w:cs="Times New Roman"/>
              </w:rPr>
            </w:pPr>
            <w:r w:rsidRPr="00634082">
              <w:rPr>
                <w:rStyle w:val="Strong"/>
                <w:rFonts w:ascii="Times New Roman" w:hAnsi="Times New Roman" w:cs="Times New Roman"/>
                <w:shd w:val="clear" w:color="auto" w:fill="FFFFFF"/>
              </w:rPr>
              <w:t>Neonatal Mortality</w:t>
            </w:r>
          </w:p>
        </w:tc>
        <w:tc>
          <w:tcPr>
            <w:tcW w:w="1620" w:type="dxa"/>
            <w:vAlign w:val="center"/>
          </w:tcPr>
          <w:p w:rsidR="005B1355" w:rsidRPr="00634082" w:rsidRDefault="00384844" w:rsidP="005B1355">
            <w:pPr>
              <w:rPr>
                <w:rFonts w:ascii="Times New Roman" w:hAnsi="Times New Roman" w:cs="Times New Roman"/>
              </w:rPr>
            </w:pPr>
            <w:r w:rsidRPr="00634082">
              <w:rPr>
                <w:rFonts w:ascii="Times New Roman" w:hAnsi="Times New Roman" w:cs="Times New Roman"/>
                <w:shd w:val="clear" w:color="auto" w:fill="FFFFFF"/>
              </w:rPr>
              <w:t>61 (3.8%)</w:t>
            </w:r>
          </w:p>
        </w:tc>
        <w:tc>
          <w:tcPr>
            <w:tcW w:w="1710" w:type="dxa"/>
            <w:vAlign w:val="center"/>
          </w:tcPr>
          <w:p w:rsidR="005B1355" w:rsidRPr="00634082" w:rsidRDefault="0009367B" w:rsidP="005B1355">
            <w:pPr>
              <w:rPr>
                <w:rFonts w:ascii="Times New Roman" w:hAnsi="Times New Roman" w:cs="Times New Roman"/>
              </w:rPr>
            </w:pPr>
            <w:r w:rsidRPr="00634082">
              <w:rPr>
                <w:rFonts w:ascii="Times New Roman" w:hAnsi="Times New Roman" w:cs="Times New Roman"/>
                <w:shd w:val="clear" w:color="auto" w:fill="FFFFFF"/>
              </w:rPr>
              <w:t>29 (6.5%)</w:t>
            </w:r>
          </w:p>
        </w:tc>
        <w:tc>
          <w:tcPr>
            <w:tcW w:w="1710" w:type="dxa"/>
            <w:vAlign w:val="center"/>
          </w:tcPr>
          <w:p w:rsidR="005B1355" w:rsidRPr="00634082" w:rsidRDefault="00863A7B" w:rsidP="005B1355">
            <w:pPr>
              <w:rPr>
                <w:rFonts w:ascii="Times New Roman" w:hAnsi="Times New Roman" w:cs="Times New Roman"/>
              </w:rPr>
            </w:pPr>
            <w:r w:rsidRPr="00634082">
              <w:rPr>
                <w:rFonts w:ascii="Times New Roman" w:hAnsi="Times New Roman" w:cs="Times New Roman"/>
                <w:shd w:val="clear" w:color="auto" w:fill="FFFFFF"/>
              </w:rPr>
              <w:t>27 (4.0%)</w:t>
            </w:r>
          </w:p>
        </w:tc>
        <w:tc>
          <w:tcPr>
            <w:tcW w:w="1710" w:type="dxa"/>
            <w:vAlign w:val="center"/>
          </w:tcPr>
          <w:p w:rsidR="005B1355" w:rsidRPr="00634082" w:rsidRDefault="00686B2F" w:rsidP="005B1355">
            <w:pPr>
              <w:rPr>
                <w:rFonts w:ascii="Times New Roman" w:hAnsi="Times New Roman" w:cs="Times New Roman"/>
              </w:rPr>
            </w:pPr>
            <w:r w:rsidRPr="00634082">
              <w:rPr>
                <w:rFonts w:ascii="Times New Roman" w:hAnsi="Times New Roman" w:cs="Times New Roman"/>
                <w:shd w:val="clear" w:color="auto" w:fill="FFFFFF"/>
              </w:rPr>
              <w:t>9 (2.2%)</w:t>
            </w:r>
          </w:p>
        </w:tc>
        <w:tc>
          <w:tcPr>
            <w:tcW w:w="1530" w:type="dxa"/>
            <w:vAlign w:val="center"/>
          </w:tcPr>
          <w:p w:rsidR="005B1355" w:rsidRPr="00634082" w:rsidRDefault="00614E64" w:rsidP="005B1355">
            <w:pPr>
              <w:rPr>
                <w:rFonts w:ascii="Times New Roman" w:hAnsi="Times New Roman" w:cs="Times New Roman"/>
              </w:rPr>
            </w:pPr>
            <w:r w:rsidRPr="00634082">
              <w:rPr>
                <w:rFonts w:ascii="Times New Roman" w:hAnsi="Times New Roman" w:cs="Times New Roman"/>
                <w:shd w:val="clear" w:color="auto" w:fill="FFFFFF"/>
              </w:rPr>
              <w:t>1 (1.0%)</w:t>
            </w:r>
          </w:p>
        </w:tc>
        <w:tc>
          <w:tcPr>
            <w:tcW w:w="1800" w:type="dxa"/>
            <w:vAlign w:val="center"/>
          </w:tcPr>
          <w:p w:rsidR="005B1355" w:rsidRPr="00634082" w:rsidRDefault="005B1355" w:rsidP="005B1355">
            <w:pPr>
              <w:rPr>
                <w:rFonts w:ascii="Times New Roman" w:hAnsi="Times New Roman" w:cs="Times New Roman"/>
              </w:rPr>
            </w:pPr>
            <w:r w:rsidRPr="00634082">
              <w:rPr>
                <w:rFonts w:ascii="Times New Roman" w:hAnsi="Times New Roman" w:cs="Times New Roman"/>
              </w:rPr>
              <w:t>0.002</w:t>
            </w:r>
          </w:p>
        </w:tc>
      </w:tr>
      <w:tr w:rsidR="00634082" w:rsidRPr="00634082" w:rsidTr="0098598E">
        <w:tc>
          <w:tcPr>
            <w:tcW w:w="3245" w:type="dxa"/>
          </w:tcPr>
          <w:p w:rsidR="00FF1D7E" w:rsidRPr="00634082" w:rsidRDefault="00FF1D7E" w:rsidP="00FF1D7E">
            <w:pPr>
              <w:rPr>
                <w:rFonts w:ascii="Times New Roman" w:hAnsi="Times New Roman" w:cs="Times New Roman"/>
              </w:rPr>
            </w:pPr>
            <w:r w:rsidRPr="00634082">
              <w:rPr>
                <w:rStyle w:val="Strong"/>
                <w:rFonts w:ascii="Times New Roman" w:hAnsi="Times New Roman" w:cs="Times New Roman"/>
                <w:shd w:val="clear" w:color="auto" w:fill="FFFFFF"/>
              </w:rPr>
              <w:t>Apgar Score &lt;7 (5-min)</w:t>
            </w:r>
          </w:p>
        </w:tc>
        <w:tc>
          <w:tcPr>
            <w:tcW w:w="1620" w:type="dxa"/>
            <w:vAlign w:val="center"/>
          </w:tcPr>
          <w:p w:rsidR="00FF1D7E" w:rsidRPr="00634082" w:rsidRDefault="00384844" w:rsidP="00FF1D7E">
            <w:pPr>
              <w:rPr>
                <w:rFonts w:ascii="Times New Roman" w:hAnsi="Times New Roman" w:cs="Times New Roman"/>
              </w:rPr>
            </w:pPr>
            <w:r w:rsidRPr="00634082">
              <w:rPr>
                <w:rFonts w:ascii="Times New Roman" w:hAnsi="Times New Roman" w:cs="Times New Roman"/>
                <w:shd w:val="clear" w:color="auto" w:fill="FFFFFF"/>
              </w:rPr>
              <w:t>133 (8.3%)</w:t>
            </w:r>
          </w:p>
        </w:tc>
        <w:tc>
          <w:tcPr>
            <w:tcW w:w="1710" w:type="dxa"/>
            <w:vAlign w:val="center"/>
          </w:tcPr>
          <w:p w:rsidR="00FF1D7E" w:rsidRPr="00634082" w:rsidRDefault="000A1350" w:rsidP="00FF1D7E">
            <w:pPr>
              <w:rPr>
                <w:rFonts w:ascii="Times New Roman" w:hAnsi="Times New Roman" w:cs="Times New Roman"/>
              </w:rPr>
            </w:pPr>
            <w:r w:rsidRPr="00634082">
              <w:rPr>
                <w:rFonts w:ascii="Times New Roman" w:hAnsi="Times New Roman" w:cs="Times New Roman"/>
                <w:shd w:val="clear" w:color="auto" w:fill="FFFFFF"/>
              </w:rPr>
              <w:t>64 (14.2%)</w:t>
            </w:r>
          </w:p>
        </w:tc>
        <w:tc>
          <w:tcPr>
            <w:tcW w:w="1710" w:type="dxa"/>
            <w:vAlign w:val="center"/>
          </w:tcPr>
          <w:p w:rsidR="00FF1D7E" w:rsidRPr="00634082" w:rsidRDefault="009477D5" w:rsidP="00FF1D7E">
            <w:pPr>
              <w:rPr>
                <w:rFonts w:ascii="Times New Roman" w:hAnsi="Times New Roman" w:cs="Times New Roman"/>
              </w:rPr>
            </w:pPr>
            <w:r w:rsidRPr="00634082">
              <w:rPr>
                <w:rFonts w:ascii="Times New Roman" w:hAnsi="Times New Roman" w:cs="Times New Roman"/>
                <w:shd w:val="clear" w:color="auto" w:fill="FFFFFF"/>
              </w:rPr>
              <w:t>58 (8.5%)</w:t>
            </w:r>
          </w:p>
        </w:tc>
        <w:tc>
          <w:tcPr>
            <w:tcW w:w="1710" w:type="dxa"/>
            <w:vAlign w:val="center"/>
          </w:tcPr>
          <w:p w:rsidR="00FF1D7E" w:rsidRPr="00634082" w:rsidRDefault="00AB6DC0" w:rsidP="00FF1D7E">
            <w:pPr>
              <w:rPr>
                <w:rFonts w:ascii="Times New Roman" w:hAnsi="Times New Roman" w:cs="Times New Roman"/>
              </w:rPr>
            </w:pPr>
            <w:r w:rsidRPr="00634082">
              <w:rPr>
                <w:rFonts w:ascii="Times New Roman" w:hAnsi="Times New Roman" w:cs="Times New Roman"/>
                <w:shd w:val="clear" w:color="auto" w:fill="FFFFFF"/>
              </w:rPr>
              <w:t>20 (5.1%)</w:t>
            </w:r>
          </w:p>
        </w:tc>
        <w:tc>
          <w:tcPr>
            <w:tcW w:w="1530" w:type="dxa"/>
            <w:vAlign w:val="center"/>
          </w:tcPr>
          <w:p w:rsidR="00FF1D7E" w:rsidRPr="00634082" w:rsidRDefault="00064D44" w:rsidP="00FF1D7E">
            <w:pPr>
              <w:rPr>
                <w:rFonts w:ascii="Times New Roman" w:hAnsi="Times New Roman" w:cs="Times New Roman"/>
              </w:rPr>
            </w:pPr>
            <w:r w:rsidRPr="00634082">
              <w:rPr>
                <w:rFonts w:ascii="Times New Roman" w:hAnsi="Times New Roman" w:cs="Times New Roman"/>
                <w:shd w:val="clear" w:color="auto" w:fill="FFFFFF"/>
              </w:rPr>
              <w:t>2 (2.0%)</w:t>
            </w:r>
          </w:p>
        </w:tc>
        <w:tc>
          <w:tcPr>
            <w:tcW w:w="1800" w:type="dxa"/>
            <w:vAlign w:val="center"/>
          </w:tcPr>
          <w:p w:rsidR="00FF1D7E" w:rsidRPr="00634082" w:rsidRDefault="00FF1D7E" w:rsidP="00FF1D7E">
            <w:pPr>
              <w:rPr>
                <w:rFonts w:ascii="Times New Roman" w:hAnsi="Times New Roman" w:cs="Times New Roman"/>
              </w:rPr>
            </w:pPr>
            <w:r w:rsidRPr="00634082">
              <w:rPr>
                <w:rFonts w:ascii="Times New Roman" w:hAnsi="Times New Roman" w:cs="Times New Roman"/>
                <w:shd w:val="clear" w:color="auto" w:fill="FFFFFF"/>
              </w:rPr>
              <w:t>&lt;0.001</w:t>
            </w:r>
          </w:p>
        </w:tc>
      </w:tr>
    </w:tbl>
    <w:p w:rsidR="00B05305" w:rsidRPr="00634082" w:rsidRDefault="00B05305" w:rsidP="00481F0B">
      <w:pPr>
        <w:jc w:val="both"/>
        <w:rPr>
          <w:rFonts w:ascii="Times New Roman" w:hAnsi="Times New Roman" w:cs="Times New Roman"/>
          <w:b/>
        </w:rPr>
      </w:pPr>
    </w:p>
    <w:p w:rsidR="002E196D" w:rsidRPr="00634082" w:rsidRDefault="002E196D" w:rsidP="002E196D">
      <w:pPr>
        <w:pStyle w:val="Heading3"/>
        <w:shd w:val="clear" w:color="auto" w:fill="FFFFFF"/>
        <w:rPr>
          <w:rStyle w:val="Strong"/>
          <w:rFonts w:ascii="Times New Roman" w:hAnsi="Times New Roman" w:cs="Times New Roman"/>
          <w:b w:val="0"/>
          <w:bCs w:val="0"/>
          <w:color w:val="auto"/>
          <w:sz w:val="22"/>
          <w:szCs w:val="22"/>
        </w:rPr>
      </w:pPr>
      <w:r w:rsidRPr="00634082">
        <w:rPr>
          <w:rStyle w:val="Strong"/>
          <w:rFonts w:ascii="Times New Roman" w:hAnsi="Times New Roman" w:cs="Times New Roman"/>
          <w:bCs w:val="0"/>
          <w:color w:val="auto"/>
          <w:sz w:val="22"/>
          <w:szCs w:val="22"/>
        </w:rPr>
        <w:t>Table 3:</w:t>
      </w:r>
      <w:r w:rsidRPr="00634082">
        <w:rPr>
          <w:rStyle w:val="Strong"/>
          <w:rFonts w:ascii="Times New Roman" w:hAnsi="Times New Roman" w:cs="Times New Roman"/>
          <w:b w:val="0"/>
          <w:bCs w:val="0"/>
          <w:color w:val="auto"/>
          <w:sz w:val="22"/>
          <w:szCs w:val="22"/>
        </w:rPr>
        <w:t xml:space="preserve"> Adjusted Odds Ratios (</w:t>
      </w:r>
      <w:proofErr w:type="spellStart"/>
      <w:r w:rsidRPr="00634082">
        <w:rPr>
          <w:rStyle w:val="Strong"/>
          <w:rFonts w:ascii="Times New Roman" w:hAnsi="Times New Roman" w:cs="Times New Roman"/>
          <w:b w:val="0"/>
          <w:bCs w:val="0"/>
          <w:color w:val="auto"/>
          <w:sz w:val="22"/>
          <w:szCs w:val="22"/>
        </w:rPr>
        <w:t>aOR</w:t>
      </w:r>
      <w:proofErr w:type="spellEnd"/>
      <w:r w:rsidRPr="00634082">
        <w:rPr>
          <w:rStyle w:val="Strong"/>
          <w:rFonts w:ascii="Times New Roman" w:hAnsi="Times New Roman" w:cs="Times New Roman"/>
          <w:b w:val="0"/>
          <w:bCs w:val="0"/>
          <w:color w:val="auto"/>
          <w:sz w:val="22"/>
          <w:szCs w:val="22"/>
        </w:rPr>
        <w:t>) for Maternal Education and Adverse Outcomes</w:t>
      </w:r>
    </w:p>
    <w:tbl>
      <w:tblPr>
        <w:tblStyle w:val="TableGrid"/>
        <w:tblW w:w="1323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05"/>
        <w:gridCol w:w="3780"/>
        <w:gridCol w:w="3420"/>
      </w:tblGrid>
      <w:tr w:rsidR="00634082" w:rsidRPr="00634082" w:rsidTr="00A60371">
        <w:tc>
          <w:tcPr>
            <w:tcW w:w="2430" w:type="dxa"/>
            <w:tcBorders>
              <w:top w:val="single" w:sz="4" w:space="0" w:color="auto"/>
              <w:bottom w:val="single" w:sz="4" w:space="0" w:color="auto"/>
            </w:tcBorders>
          </w:tcPr>
          <w:p w:rsidR="002E196D" w:rsidRPr="00634082" w:rsidRDefault="002E196D" w:rsidP="00013001">
            <w:pPr>
              <w:rPr>
                <w:rFonts w:ascii="Times New Roman" w:hAnsi="Times New Roman" w:cs="Times New Roman"/>
                <w:b/>
                <w:bCs/>
              </w:rPr>
            </w:pPr>
            <w:r w:rsidRPr="00634082">
              <w:rPr>
                <w:rStyle w:val="Strong"/>
                <w:rFonts w:ascii="Times New Roman" w:hAnsi="Times New Roman" w:cs="Times New Roman"/>
              </w:rPr>
              <w:t>Outcome</w:t>
            </w:r>
          </w:p>
          <w:p w:rsidR="002E196D" w:rsidRPr="00634082" w:rsidRDefault="002E196D" w:rsidP="00013001">
            <w:pPr>
              <w:rPr>
                <w:rFonts w:ascii="Times New Roman" w:hAnsi="Times New Roman" w:cs="Times New Roman"/>
              </w:rPr>
            </w:pPr>
          </w:p>
        </w:tc>
        <w:tc>
          <w:tcPr>
            <w:tcW w:w="3605" w:type="dxa"/>
            <w:tcBorders>
              <w:top w:val="single" w:sz="4" w:space="0" w:color="auto"/>
              <w:bottom w:val="single" w:sz="4" w:space="0" w:color="auto"/>
            </w:tcBorders>
          </w:tcPr>
          <w:p w:rsidR="002E196D" w:rsidRPr="00634082" w:rsidRDefault="002E196D" w:rsidP="007866E4">
            <w:pPr>
              <w:jc w:val="center"/>
              <w:rPr>
                <w:rFonts w:ascii="Times New Roman" w:hAnsi="Times New Roman" w:cs="Times New Roman"/>
              </w:rPr>
            </w:pPr>
            <w:r w:rsidRPr="00634082">
              <w:rPr>
                <w:rStyle w:val="Strong"/>
                <w:rFonts w:ascii="Times New Roman" w:hAnsi="Times New Roman" w:cs="Times New Roman"/>
                <w:shd w:val="clear" w:color="auto" w:fill="FFFFFF"/>
              </w:rPr>
              <w:t>Primary vs. None (</w:t>
            </w:r>
            <w:proofErr w:type="spellStart"/>
            <w:r w:rsidRPr="00634082">
              <w:rPr>
                <w:rStyle w:val="Strong"/>
                <w:rFonts w:ascii="Times New Roman" w:hAnsi="Times New Roman" w:cs="Times New Roman"/>
                <w:shd w:val="clear" w:color="auto" w:fill="FFFFFF"/>
              </w:rPr>
              <w:t>aOR</w:t>
            </w:r>
            <w:proofErr w:type="spellEnd"/>
            <w:r w:rsidRPr="00634082">
              <w:rPr>
                <w:rStyle w:val="Strong"/>
                <w:rFonts w:ascii="Times New Roman" w:hAnsi="Times New Roman" w:cs="Times New Roman"/>
                <w:shd w:val="clear" w:color="auto" w:fill="FFFFFF"/>
              </w:rPr>
              <w:t>, 95% CI)</w:t>
            </w:r>
          </w:p>
        </w:tc>
        <w:tc>
          <w:tcPr>
            <w:tcW w:w="3780" w:type="dxa"/>
            <w:tcBorders>
              <w:top w:val="single" w:sz="4" w:space="0" w:color="auto"/>
              <w:bottom w:val="single" w:sz="4" w:space="0" w:color="auto"/>
            </w:tcBorders>
          </w:tcPr>
          <w:p w:rsidR="002E196D" w:rsidRPr="00634082" w:rsidRDefault="002E196D" w:rsidP="007866E4">
            <w:pPr>
              <w:jc w:val="center"/>
              <w:rPr>
                <w:rFonts w:ascii="Times New Roman" w:hAnsi="Times New Roman" w:cs="Times New Roman"/>
                <w:b/>
                <w:bCs/>
              </w:rPr>
            </w:pPr>
            <w:r w:rsidRPr="00634082">
              <w:rPr>
                <w:rStyle w:val="Strong"/>
                <w:rFonts w:ascii="Times New Roman" w:hAnsi="Times New Roman" w:cs="Times New Roman"/>
              </w:rPr>
              <w:t>Secondary vs. None (</w:t>
            </w:r>
            <w:proofErr w:type="spellStart"/>
            <w:r w:rsidRPr="00634082">
              <w:rPr>
                <w:rStyle w:val="Strong"/>
                <w:rFonts w:ascii="Times New Roman" w:hAnsi="Times New Roman" w:cs="Times New Roman"/>
              </w:rPr>
              <w:t>aOR</w:t>
            </w:r>
            <w:proofErr w:type="spellEnd"/>
            <w:r w:rsidRPr="00634082">
              <w:rPr>
                <w:rStyle w:val="Strong"/>
                <w:rFonts w:ascii="Times New Roman" w:hAnsi="Times New Roman" w:cs="Times New Roman"/>
              </w:rPr>
              <w:t>, 95% CI)</w:t>
            </w:r>
          </w:p>
          <w:p w:rsidR="002E196D" w:rsidRPr="00634082" w:rsidRDefault="002E196D" w:rsidP="007866E4">
            <w:pPr>
              <w:jc w:val="center"/>
              <w:rPr>
                <w:rFonts w:ascii="Times New Roman" w:hAnsi="Times New Roman" w:cs="Times New Roman"/>
              </w:rPr>
            </w:pPr>
          </w:p>
        </w:tc>
        <w:tc>
          <w:tcPr>
            <w:tcW w:w="3420" w:type="dxa"/>
            <w:tcBorders>
              <w:top w:val="single" w:sz="4" w:space="0" w:color="auto"/>
              <w:bottom w:val="single" w:sz="4" w:space="0" w:color="auto"/>
            </w:tcBorders>
          </w:tcPr>
          <w:p w:rsidR="002E196D" w:rsidRPr="00634082" w:rsidRDefault="002E196D" w:rsidP="007866E4">
            <w:pPr>
              <w:jc w:val="center"/>
              <w:rPr>
                <w:rFonts w:ascii="Times New Roman" w:hAnsi="Times New Roman" w:cs="Times New Roman"/>
              </w:rPr>
            </w:pPr>
            <w:r w:rsidRPr="00634082">
              <w:rPr>
                <w:rStyle w:val="Strong"/>
                <w:rFonts w:ascii="Times New Roman" w:hAnsi="Times New Roman" w:cs="Times New Roman"/>
                <w:shd w:val="clear" w:color="auto" w:fill="FFFFFF"/>
              </w:rPr>
              <w:t>Higher vs. None (</w:t>
            </w:r>
            <w:proofErr w:type="spellStart"/>
            <w:r w:rsidRPr="00634082">
              <w:rPr>
                <w:rStyle w:val="Strong"/>
                <w:rFonts w:ascii="Times New Roman" w:hAnsi="Times New Roman" w:cs="Times New Roman"/>
                <w:shd w:val="clear" w:color="auto" w:fill="FFFFFF"/>
              </w:rPr>
              <w:t>aOR</w:t>
            </w:r>
            <w:proofErr w:type="spellEnd"/>
            <w:r w:rsidRPr="00634082">
              <w:rPr>
                <w:rStyle w:val="Strong"/>
                <w:rFonts w:ascii="Times New Roman" w:hAnsi="Times New Roman" w:cs="Times New Roman"/>
                <w:shd w:val="clear" w:color="auto" w:fill="FFFFFF"/>
              </w:rPr>
              <w:t>, 95% CI)</w:t>
            </w:r>
          </w:p>
        </w:tc>
      </w:tr>
      <w:tr w:rsidR="00634082" w:rsidRPr="00634082" w:rsidTr="00A60371">
        <w:tc>
          <w:tcPr>
            <w:tcW w:w="2430" w:type="dxa"/>
            <w:tcBorders>
              <w:top w:val="single" w:sz="4" w:space="0" w:color="auto"/>
            </w:tcBorders>
          </w:tcPr>
          <w:p w:rsidR="002E196D" w:rsidRPr="00634082" w:rsidRDefault="002E196D" w:rsidP="00013001">
            <w:pPr>
              <w:rPr>
                <w:rFonts w:ascii="Times New Roman" w:hAnsi="Times New Roman" w:cs="Times New Roman"/>
              </w:rPr>
            </w:pPr>
            <w:r w:rsidRPr="00634082">
              <w:rPr>
                <w:rStyle w:val="Strong"/>
                <w:rFonts w:ascii="Times New Roman" w:hAnsi="Times New Roman" w:cs="Times New Roman"/>
                <w:shd w:val="clear" w:color="auto" w:fill="FFFFFF"/>
              </w:rPr>
              <w:t xml:space="preserve">Low Birth Weight </w:t>
            </w:r>
          </w:p>
        </w:tc>
        <w:tc>
          <w:tcPr>
            <w:tcW w:w="3605" w:type="dxa"/>
            <w:tcBorders>
              <w:top w:val="single" w:sz="4" w:space="0" w:color="auto"/>
            </w:tcBorders>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0.75 (0.58–0.</w:t>
            </w:r>
            <w:proofErr w:type="gramStart"/>
            <w:r w:rsidRPr="00634082">
              <w:rPr>
                <w:rFonts w:ascii="Times New Roman" w:hAnsi="Times New Roman" w:cs="Times New Roman"/>
                <w:shd w:val="clear" w:color="auto" w:fill="FFFFFF"/>
              </w:rPr>
              <w:t>97)*</w:t>
            </w:r>
            <w:proofErr w:type="gramEnd"/>
          </w:p>
        </w:tc>
        <w:tc>
          <w:tcPr>
            <w:tcW w:w="3780" w:type="dxa"/>
            <w:tcBorders>
              <w:top w:val="single" w:sz="4" w:space="0" w:color="auto"/>
            </w:tcBorders>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0.55 (0.42–0.</w:t>
            </w:r>
            <w:proofErr w:type="gramStart"/>
            <w:r w:rsidRPr="00634082">
              <w:rPr>
                <w:rFonts w:ascii="Times New Roman" w:hAnsi="Times New Roman" w:cs="Times New Roman"/>
                <w:shd w:val="clear" w:color="auto" w:fill="FFFFFF"/>
              </w:rPr>
              <w:t>72)*</w:t>
            </w:r>
            <w:proofErr w:type="gramEnd"/>
            <w:r w:rsidRPr="00634082">
              <w:rPr>
                <w:rFonts w:ascii="Times New Roman" w:hAnsi="Times New Roman" w:cs="Times New Roman"/>
                <w:shd w:val="clear" w:color="auto" w:fill="FFFFFF"/>
              </w:rPr>
              <w:t>**</w:t>
            </w:r>
          </w:p>
        </w:tc>
        <w:tc>
          <w:tcPr>
            <w:tcW w:w="3420" w:type="dxa"/>
            <w:tcBorders>
              <w:top w:val="single" w:sz="4" w:space="0" w:color="auto"/>
            </w:tcBorders>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0.30 (0.18–0.</w:t>
            </w:r>
            <w:proofErr w:type="gramStart"/>
            <w:r w:rsidRPr="00634082">
              <w:rPr>
                <w:rFonts w:ascii="Times New Roman" w:hAnsi="Times New Roman" w:cs="Times New Roman"/>
                <w:shd w:val="clear" w:color="auto" w:fill="FFFFFF"/>
              </w:rPr>
              <w:t>51)*</w:t>
            </w:r>
            <w:proofErr w:type="gramEnd"/>
            <w:r w:rsidRPr="00634082">
              <w:rPr>
                <w:rFonts w:ascii="Times New Roman" w:hAnsi="Times New Roman" w:cs="Times New Roman"/>
                <w:shd w:val="clear" w:color="auto" w:fill="FFFFFF"/>
              </w:rPr>
              <w:t>**</w:t>
            </w:r>
          </w:p>
        </w:tc>
      </w:tr>
      <w:tr w:rsidR="00634082" w:rsidRPr="00634082" w:rsidTr="00A60371">
        <w:tc>
          <w:tcPr>
            <w:tcW w:w="2430" w:type="dxa"/>
          </w:tcPr>
          <w:p w:rsidR="002E196D" w:rsidRPr="00634082" w:rsidRDefault="002E196D" w:rsidP="00013001">
            <w:pPr>
              <w:rPr>
                <w:rFonts w:ascii="Times New Roman" w:hAnsi="Times New Roman" w:cs="Times New Roman"/>
              </w:rPr>
            </w:pPr>
            <w:r w:rsidRPr="00634082">
              <w:rPr>
                <w:rStyle w:val="Strong"/>
                <w:rFonts w:ascii="Times New Roman" w:hAnsi="Times New Roman" w:cs="Times New Roman"/>
                <w:shd w:val="clear" w:color="auto" w:fill="FFFFFF"/>
              </w:rPr>
              <w:t xml:space="preserve">Preterm Birth </w:t>
            </w:r>
          </w:p>
        </w:tc>
        <w:tc>
          <w:tcPr>
            <w:tcW w:w="3605" w:type="dxa"/>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rPr>
              <w:br/>
              <w:t>0.82 (0.62–1.08)</w:t>
            </w:r>
          </w:p>
        </w:tc>
        <w:tc>
          <w:tcPr>
            <w:tcW w:w="3780" w:type="dxa"/>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0.50 (0.35–0.</w:t>
            </w:r>
            <w:proofErr w:type="gramStart"/>
            <w:r w:rsidRPr="00634082">
              <w:rPr>
                <w:rFonts w:ascii="Times New Roman" w:hAnsi="Times New Roman" w:cs="Times New Roman"/>
                <w:shd w:val="clear" w:color="auto" w:fill="FFFFFF"/>
              </w:rPr>
              <w:t>71)*</w:t>
            </w:r>
            <w:proofErr w:type="gramEnd"/>
            <w:r w:rsidRPr="00634082">
              <w:rPr>
                <w:rFonts w:ascii="Times New Roman" w:hAnsi="Times New Roman" w:cs="Times New Roman"/>
                <w:shd w:val="clear" w:color="auto" w:fill="FFFFFF"/>
              </w:rPr>
              <w:t>**</w:t>
            </w:r>
          </w:p>
        </w:tc>
        <w:tc>
          <w:tcPr>
            <w:tcW w:w="3420" w:type="dxa"/>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0.25 (0.12–0.</w:t>
            </w:r>
            <w:proofErr w:type="gramStart"/>
            <w:r w:rsidRPr="00634082">
              <w:rPr>
                <w:rFonts w:ascii="Times New Roman" w:hAnsi="Times New Roman" w:cs="Times New Roman"/>
                <w:shd w:val="clear" w:color="auto" w:fill="FFFFFF"/>
              </w:rPr>
              <w:t>53)*</w:t>
            </w:r>
            <w:proofErr w:type="gramEnd"/>
            <w:r w:rsidRPr="00634082">
              <w:rPr>
                <w:rFonts w:ascii="Times New Roman" w:hAnsi="Times New Roman" w:cs="Times New Roman"/>
                <w:shd w:val="clear" w:color="auto" w:fill="FFFFFF"/>
              </w:rPr>
              <w:t>**</w:t>
            </w:r>
          </w:p>
        </w:tc>
      </w:tr>
      <w:tr w:rsidR="00634082" w:rsidRPr="00634082" w:rsidTr="00A60371">
        <w:trPr>
          <w:trHeight w:val="188"/>
        </w:trPr>
        <w:tc>
          <w:tcPr>
            <w:tcW w:w="2430" w:type="dxa"/>
          </w:tcPr>
          <w:p w:rsidR="002E196D" w:rsidRPr="00634082" w:rsidRDefault="002E196D" w:rsidP="00013001">
            <w:pPr>
              <w:rPr>
                <w:rFonts w:ascii="Times New Roman" w:hAnsi="Times New Roman" w:cs="Times New Roman"/>
              </w:rPr>
            </w:pPr>
            <w:r w:rsidRPr="00634082">
              <w:rPr>
                <w:rStyle w:val="Strong"/>
                <w:rFonts w:ascii="Times New Roman" w:hAnsi="Times New Roman" w:cs="Times New Roman"/>
                <w:shd w:val="clear" w:color="auto" w:fill="FFFFFF"/>
              </w:rPr>
              <w:t>Neonatal Mortality</w:t>
            </w:r>
          </w:p>
        </w:tc>
        <w:tc>
          <w:tcPr>
            <w:tcW w:w="3605" w:type="dxa"/>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0.65 (0.40–1.06)</w:t>
            </w:r>
          </w:p>
        </w:tc>
        <w:tc>
          <w:tcPr>
            <w:tcW w:w="3780" w:type="dxa"/>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0.45 (0.25–0.</w:t>
            </w:r>
            <w:proofErr w:type="gramStart"/>
            <w:r w:rsidRPr="00634082">
              <w:rPr>
                <w:rFonts w:ascii="Times New Roman" w:hAnsi="Times New Roman" w:cs="Times New Roman"/>
                <w:shd w:val="clear" w:color="auto" w:fill="FFFFFF"/>
              </w:rPr>
              <w:t>82)*</w:t>
            </w:r>
            <w:proofErr w:type="gramEnd"/>
            <w:r w:rsidRPr="00634082">
              <w:rPr>
                <w:rFonts w:ascii="Times New Roman" w:hAnsi="Times New Roman" w:cs="Times New Roman"/>
                <w:shd w:val="clear" w:color="auto" w:fill="FFFFFF"/>
              </w:rPr>
              <w:t>*</w:t>
            </w:r>
          </w:p>
        </w:tc>
        <w:tc>
          <w:tcPr>
            <w:tcW w:w="3420" w:type="dxa"/>
            <w:vAlign w:val="center"/>
          </w:tcPr>
          <w:p w:rsidR="002E196D" w:rsidRPr="00634082" w:rsidRDefault="002E196D" w:rsidP="00A60371">
            <w:pPr>
              <w:jc w:val="center"/>
              <w:rPr>
                <w:rFonts w:ascii="Times New Roman" w:hAnsi="Times New Roman" w:cs="Times New Roman"/>
              </w:rPr>
            </w:pPr>
            <w:r w:rsidRPr="00634082">
              <w:rPr>
                <w:rFonts w:ascii="Times New Roman" w:hAnsi="Times New Roman" w:cs="Times New Roman"/>
                <w:shd w:val="clear" w:color="auto" w:fill="FFFFFF"/>
              </w:rPr>
              <w:t>0.20 (0.06–0.</w:t>
            </w:r>
            <w:proofErr w:type="gramStart"/>
            <w:r w:rsidRPr="00634082">
              <w:rPr>
                <w:rFonts w:ascii="Times New Roman" w:hAnsi="Times New Roman" w:cs="Times New Roman"/>
                <w:shd w:val="clear" w:color="auto" w:fill="FFFFFF"/>
              </w:rPr>
              <w:t>65)*</w:t>
            </w:r>
            <w:proofErr w:type="gramEnd"/>
            <w:r w:rsidRPr="00634082">
              <w:rPr>
                <w:rFonts w:ascii="Times New Roman" w:hAnsi="Times New Roman" w:cs="Times New Roman"/>
                <w:shd w:val="clear" w:color="auto" w:fill="FFFFFF"/>
              </w:rPr>
              <w:t>*</w:t>
            </w:r>
          </w:p>
        </w:tc>
      </w:tr>
    </w:tbl>
    <w:p w:rsidR="002E196D" w:rsidRPr="00634082" w:rsidRDefault="002E196D" w:rsidP="00AB4C4E">
      <w:pPr>
        <w:rPr>
          <w:rFonts w:ascii="Times New Roman" w:hAnsi="Times New Roman" w:cs="Times New Roman"/>
          <w:b/>
        </w:rPr>
      </w:pPr>
      <w:r w:rsidRPr="00634082">
        <w:rPr>
          <w:rFonts w:ascii="Times New Roman" w:hAnsi="Times New Roman" w:cs="Times New Roman"/>
          <w:b/>
        </w:rPr>
        <w:t xml:space="preserve">Key: </w:t>
      </w:r>
      <w:r w:rsidRPr="00634082">
        <w:rPr>
          <w:rFonts w:ascii="Times New Roman" w:hAnsi="Times New Roman" w:cs="Times New Roman"/>
          <w:i/>
          <w:shd w:val="clear" w:color="auto" w:fill="FFFFFF"/>
        </w:rPr>
        <w:t>*Adjusted for maternal age, parity, socioeconomic status, ANC visits, and comorbidities.</w:t>
      </w:r>
      <w:r w:rsidR="00D61C5C" w:rsidRPr="00634082">
        <w:rPr>
          <w:rFonts w:ascii="Times New Roman" w:hAnsi="Times New Roman" w:cs="Times New Roman"/>
          <w:i/>
          <w:shd w:val="clear" w:color="auto" w:fill="FFFFFF"/>
        </w:rPr>
        <w:t xml:space="preserve">, </w:t>
      </w:r>
      <w:r w:rsidR="00D61C5C" w:rsidRPr="00634082">
        <w:rPr>
          <w:rFonts w:ascii="Times New Roman" w:hAnsi="Times New Roman" w:cs="Times New Roman"/>
          <w:b/>
          <w:i/>
          <w:shd w:val="clear" w:color="auto" w:fill="FFFFFF"/>
        </w:rPr>
        <w:t>vs</w:t>
      </w:r>
      <w:r w:rsidR="00D61C5C" w:rsidRPr="00634082">
        <w:rPr>
          <w:rFonts w:ascii="Times New Roman" w:hAnsi="Times New Roman" w:cs="Times New Roman"/>
          <w:i/>
          <w:shd w:val="clear" w:color="auto" w:fill="FFFFFF"/>
        </w:rPr>
        <w:t>-Versus</w:t>
      </w:r>
      <w:r w:rsidRPr="00634082">
        <w:rPr>
          <w:rFonts w:ascii="Times New Roman" w:hAnsi="Times New Roman" w:cs="Times New Roman"/>
          <w:i/>
        </w:rPr>
        <w:br/>
      </w:r>
      <w:r w:rsidRPr="00634082">
        <w:rPr>
          <w:rFonts w:ascii="Times New Roman" w:hAnsi="Times New Roman" w:cs="Times New Roman"/>
          <w:i/>
          <w:shd w:val="clear" w:color="auto" w:fill="FFFFFF"/>
        </w:rPr>
        <w:t>*p &lt; 0.05, **p &lt; 0.01, ***p &lt; 0.001</w:t>
      </w:r>
    </w:p>
    <w:p w:rsidR="00353933" w:rsidRPr="00634082" w:rsidRDefault="00353933" w:rsidP="00481F0B">
      <w:pPr>
        <w:jc w:val="both"/>
        <w:rPr>
          <w:rFonts w:ascii="Times New Roman" w:hAnsi="Times New Roman" w:cs="Times New Roman"/>
          <w:b/>
        </w:rPr>
      </w:pPr>
    </w:p>
    <w:p w:rsidR="003F0969" w:rsidRPr="00634082" w:rsidRDefault="003F0969" w:rsidP="003F0969">
      <w:pPr>
        <w:pStyle w:val="Heading3"/>
        <w:shd w:val="clear" w:color="auto" w:fill="FFFFFF"/>
        <w:rPr>
          <w:rFonts w:ascii="Times New Roman" w:hAnsi="Times New Roman" w:cs="Times New Roman"/>
          <w:color w:val="auto"/>
          <w:sz w:val="22"/>
          <w:szCs w:val="22"/>
        </w:rPr>
      </w:pPr>
      <w:r w:rsidRPr="00634082">
        <w:rPr>
          <w:rStyle w:val="Strong"/>
          <w:rFonts w:ascii="Times New Roman" w:hAnsi="Times New Roman" w:cs="Times New Roman"/>
          <w:bCs w:val="0"/>
          <w:color w:val="auto"/>
          <w:sz w:val="22"/>
          <w:szCs w:val="22"/>
        </w:rPr>
        <w:lastRenderedPageBreak/>
        <w:t xml:space="preserve">Table </w:t>
      </w:r>
      <w:r w:rsidR="002E196D" w:rsidRPr="00634082">
        <w:rPr>
          <w:rStyle w:val="Strong"/>
          <w:rFonts w:ascii="Times New Roman" w:hAnsi="Times New Roman" w:cs="Times New Roman"/>
          <w:bCs w:val="0"/>
          <w:color w:val="auto"/>
          <w:sz w:val="22"/>
          <w:szCs w:val="22"/>
        </w:rPr>
        <w:t>4</w:t>
      </w:r>
      <w:r w:rsidRPr="00634082">
        <w:rPr>
          <w:rStyle w:val="Strong"/>
          <w:rFonts w:ascii="Times New Roman" w:hAnsi="Times New Roman" w:cs="Times New Roman"/>
          <w:b w:val="0"/>
          <w:bCs w:val="0"/>
          <w:color w:val="auto"/>
          <w:sz w:val="22"/>
          <w:szCs w:val="22"/>
        </w:rPr>
        <w:t>: Subgroup Analyses of Maternal Education and Pregnancy Outcomes</w:t>
      </w:r>
    </w:p>
    <w:p w:rsidR="003F0969" w:rsidRPr="00634082" w:rsidRDefault="003F0969" w:rsidP="00481F0B">
      <w:pPr>
        <w:jc w:val="both"/>
        <w:rPr>
          <w:rFonts w:ascii="Times New Roman" w:hAnsi="Times New Roman" w:cs="Times New Roman"/>
          <w:b/>
        </w:rPr>
      </w:pPr>
    </w:p>
    <w:tbl>
      <w:tblPr>
        <w:tblStyle w:val="TableGrid"/>
        <w:tblW w:w="1431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1639"/>
        <w:gridCol w:w="3510"/>
        <w:gridCol w:w="3150"/>
        <w:gridCol w:w="3870"/>
      </w:tblGrid>
      <w:tr w:rsidR="00634082" w:rsidRPr="00634082" w:rsidTr="00A235CB">
        <w:tc>
          <w:tcPr>
            <w:tcW w:w="2146" w:type="dxa"/>
            <w:tcBorders>
              <w:top w:val="single" w:sz="4" w:space="0" w:color="auto"/>
              <w:bottom w:val="single" w:sz="4" w:space="0" w:color="auto"/>
            </w:tcBorders>
          </w:tcPr>
          <w:p w:rsidR="00A260DB" w:rsidRPr="00634082" w:rsidRDefault="00A260DB" w:rsidP="002A43C9">
            <w:pPr>
              <w:rPr>
                <w:rFonts w:ascii="Times New Roman" w:hAnsi="Times New Roman" w:cs="Times New Roman"/>
                <w:b/>
                <w:bCs/>
              </w:rPr>
            </w:pPr>
            <w:r w:rsidRPr="00634082">
              <w:rPr>
                <w:rStyle w:val="Strong"/>
                <w:rFonts w:ascii="Times New Roman" w:hAnsi="Times New Roman" w:cs="Times New Roman"/>
              </w:rPr>
              <w:t>Subgroup</w:t>
            </w:r>
          </w:p>
          <w:p w:rsidR="00A260DB" w:rsidRPr="00634082" w:rsidRDefault="00A260DB" w:rsidP="004F1048">
            <w:pPr>
              <w:rPr>
                <w:rFonts w:ascii="Times New Roman" w:hAnsi="Times New Roman" w:cs="Times New Roman"/>
              </w:rPr>
            </w:pPr>
          </w:p>
        </w:tc>
        <w:tc>
          <w:tcPr>
            <w:tcW w:w="1639" w:type="dxa"/>
            <w:tcBorders>
              <w:top w:val="single" w:sz="4" w:space="0" w:color="auto"/>
              <w:bottom w:val="single" w:sz="4" w:space="0" w:color="auto"/>
            </w:tcBorders>
          </w:tcPr>
          <w:p w:rsidR="00A260DB" w:rsidRPr="00634082" w:rsidRDefault="00A260DB" w:rsidP="004F1048">
            <w:pPr>
              <w:rPr>
                <w:rFonts w:ascii="Times New Roman" w:hAnsi="Times New Roman" w:cs="Times New Roman"/>
              </w:rPr>
            </w:pPr>
            <w:r w:rsidRPr="00634082">
              <w:rPr>
                <w:rStyle w:val="Strong"/>
                <w:rFonts w:ascii="Times New Roman" w:hAnsi="Times New Roman" w:cs="Times New Roman"/>
                <w:shd w:val="clear" w:color="auto" w:fill="FFFFFF"/>
              </w:rPr>
              <w:t>Interaction p-value</w:t>
            </w:r>
          </w:p>
        </w:tc>
        <w:tc>
          <w:tcPr>
            <w:tcW w:w="3510" w:type="dxa"/>
            <w:tcBorders>
              <w:top w:val="single" w:sz="4" w:space="0" w:color="auto"/>
              <w:bottom w:val="single" w:sz="4" w:space="0" w:color="auto"/>
            </w:tcBorders>
          </w:tcPr>
          <w:p w:rsidR="00A260DB" w:rsidRPr="00634082" w:rsidRDefault="00A260DB" w:rsidP="00A235CB">
            <w:pPr>
              <w:jc w:val="center"/>
              <w:rPr>
                <w:rFonts w:ascii="Times New Roman" w:hAnsi="Times New Roman" w:cs="Times New Roman"/>
                <w:b/>
                <w:bCs/>
              </w:rPr>
            </w:pPr>
            <w:r w:rsidRPr="00634082">
              <w:rPr>
                <w:rStyle w:val="Strong"/>
                <w:rFonts w:ascii="Times New Roman" w:hAnsi="Times New Roman" w:cs="Times New Roman"/>
              </w:rPr>
              <w:t>Low Birth Weight (</w:t>
            </w:r>
            <w:proofErr w:type="spellStart"/>
            <w:r w:rsidRPr="00634082">
              <w:rPr>
                <w:rStyle w:val="Strong"/>
                <w:rFonts w:ascii="Times New Roman" w:hAnsi="Times New Roman" w:cs="Times New Roman"/>
              </w:rPr>
              <w:t>aOR</w:t>
            </w:r>
            <w:proofErr w:type="spellEnd"/>
            <w:r w:rsidRPr="00634082">
              <w:rPr>
                <w:rStyle w:val="Strong"/>
                <w:rFonts w:ascii="Times New Roman" w:hAnsi="Times New Roman" w:cs="Times New Roman"/>
              </w:rPr>
              <w:t>, 95% CI)</w:t>
            </w:r>
          </w:p>
          <w:p w:rsidR="00A260DB" w:rsidRPr="00634082" w:rsidRDefault="00A260DB" w:rsidP="00A235CB">
            <w:pPr>
              <w:jc w:val="center"/>
              <w:rPr>
                <w:rFonts w:ascii="Times New Roman" w:hAnsi="Times New Roman" w:cs="Times New Roman"/>
              </w:rPr>
            </w:pPr>
          </w:p>
        </w:tc>
        <w:tc>
          <w:tcPr>
            <w:tcW w:w="3150" w:type="dxa"/>
            <w:tcBorders>
              <w:top w:val="single" w:sz="4" w:space="0" w:color="auto"/>
              <w:bottom w:val="single" w:sz="4" w:space="0" w:color="auto"/>
            </w:tcBorders>
          </w:tcPr>
          <w:p w:rsidR="00A260DB" w:rsidRPr="00634082" w:rsidRDefault="00A260DB" w:rsidP="00A235CB">
            <w:pPr>
              <w:jc w:val="center"/>
              <w:rPr>
                <w:rFonts w:ascii="Times New Roman" w:hAnsi="Times New Roman" w:cs="Times New Roman"/>
              </w:rPr>
            </w:pPr>
            <w:r w:rsidRPr="00634082">
              <w:rPr>
                <w:rStyle w:val="Strong"/>
                <w:rFonts w:ascii="Times New Roman" w:hAnsi="Times New Roman" w:cs="Times New Roman"/>
                <w:shd w:val="clear" w:color="auto" w:fill="FFFFFF"/>
              </w:rPr>
              <w:t>Preterm Birth (</w:t>
            </w:r>
            <w:proofErr w:type="spellStart"/>
            <w:r w:rsidRPr="00634082">
              <w:rPr>
                <w:rStyle w:val="Strong"/>
                <w:rFonts w:ascii="Times New Roman" w:hAnsi="Times New Roman" w:cs="Times New Roman"/>
                <w:shd w:val="clear" w:color="auto" w:fill="FFFFFF"/>
              </w:rPr>
              <w:t>aOR</w:t>
            </w:r>
            <w:proofErr w:type="spellEnd"/>
            <w:r w:rsidRPr="00634082">
              <w:rPr>
                <w:rStyle w:val="Strong"/>
                <w:rFonts w:ascii="Times New Roman" w:hAnsi="Times New Roman" w:cs="Times New Roman"/>
                <w:shd w:val="clear" w:color="auto" w:fill="FFFFFF"/>
              </w:rPr>
              <w:t>, 95% CI)</w:t>
            </w:r>
          </w:p>
        </w:tc>
        <w:tc>
          <w:tcPr>
            <w:tcW w:w="3870" w:type="dxa"/>
            <w:tcBorders>
              <w:top w:val="single" w:sz="4" w:space="0" w:color="auto"/>
              <w:bottom w:val="single" w:sz="4" w:space="0" w:color="auto"/>
            </w:tcBorders>
          </w:tcPr>
          <w:p w:rsidR="00A260DB" w:rsidRPr="00634082" w:rsidRDefault="00A260DB" w:rsidP="00A235CB">
            <w:pPr>
              <w:jc w:val="center"/>
              <w:rPr>
                <w:rFonts w:ascii="Times New Roman" w:hAnsi="Times New Roman" w:cs="Times New Roman"/>
              </w:rPr>
            </w:pPr>
            <w:r w:rsidRPr="00634082">
              <w:rPr>
                <w:rStyle w:val="Strong"/>
                <w:rFonts w:ascii="Times New Roman" w:hAnsi="Times New Roman" w:cs="Times New Roman"/>
                <w:shd w:val="clear" w:color="auto" w:fill="FFFFFF"/>
              </w:rPr>
              <w:t>Neonatal Mortality (</w:t>
            </w:r>
            <w:proofErr w:type="spellStart"/>
            <w:r w:rsidRPr="00634082">
              <w:rPr>
                <w:rStyle w:val="Strong"/>
                <w:rFonts w:ascii="Times New Roman" w:hAnsi="Times New Roman" w:cs="Times New Roman"/>
                <w:shd w:val="clear" w:color="auto" w:fill="FFFFFF"/>
              </w:rPr>
              <w:t>aOR</w:t>
            </w:r>
            <w:proofErr w:type="spellEnd"/>
            <w:r w:rsidRPr="00634082">
              <w:rPr>
                <w:rStyle w:val="Strong"/>
                <w:rFonts w:ascii="Times New Roman" w:hAnsi="Times New Roman" w:cs="Times New Roman"/>
                <w:shd w:val="clear" w:color="auto" w:fill="FFFFFF"/>
              </w:rPr>
              <w:t>, 95% CI)</w:t>
            </w:r>
          </w:p>
        </w:tc>
      </w:tr>
      <w:tr w:rsidR="00634082" w:rsidRPr="00634082" w:rsidTr="00A235CB">
        <w:tc>
          <w:tcPr>
            <w:tcW w:w="2146" w:type="dxa"/>
            <w:tcBorders>
              <w:top w:val="single" w:sz="4" w:space="0" w:color="auto"/>
            </w:tcBorders>
          </w:tcPr>
          <w:p w:rsidR="00A260DB" w:rsidRPr="00634082" w:rsidRDefault="00A260DB" w:rsidP="002A43C9">
            <w:pPr>
              <w:rPr>
                <w:rStyle w:val="Strong"/>
                <w:rFonts w:ascii="Times New Roman" w:hAnsi="Times New Roman" w:cs="Times New Roman"/>
              </w:rPr>
            </w:pPr>
            <w:r w:rsidRPr="00634082">
              <w:rPr>
                <w:rStyle w:val="Strong"/>
                <w:rFonts w:ascii="Times New Roman" w:hAnsi="Times New Roman" w:cs="Times New Roman"/>
                <w:shd w:val="clear" w:color="auto" w:fill="FFFFFF"/>
              </w:rPr>
              <w:t>Residence</w:t>
            </w:r>
          </w:p>
        </w:tc>
        <w:tc>
          <w:tcPr>
            <w:tcW w:w="1639" w:type="dxa"/>
            <w:tcBorders>
              <w:top w:val="single" w:sz="4" w:space="0" w:color="auto"/>
            </w:tcBorders>
          </w:tcPr>
          <w:p w:rsidR="00A260DB" w:rsidRPr="00634082" w:rsidRDefault="00A260DB" w:rsidP="004F1048">
            <w:pPr>
              <w:rPr>
                <w:rStyle w:val="Strong"/>
                <w:rFonts w:ascii="Times New Roman" w:hAnsi="Times New Roman" w:cs="Times New Roman"/>
                <w:shd w:val="clear" w:color="auto" w:fill="FFFFFF"/>
              </w:rPr>
            </w:pPr>
          </w:p>
        </w:tc>
        <w:tc>
          <w:tcPr>
            <w:tcW w:w="3510" w:type="dxa"/>
            <w:tcBorders>
              <w:top w:val="single" w:sz="4" w:space="0" w:color="auto"/>
            </w:tcBorders>
          </w:tcPr>
          <w:p w:rsidR="00A260DB" w:rsidRPr="00634082" w:rsidRDefault="00A260DB" w:rsidP="00A235CB">
            <w:pPr>
              <w:jc w:val="center"/>
              <w:rPr>
                <w:rStyle w:val="Strong"/>
                <w:rFonts w:ascii="Times New Roman" w:hAnsi="Times New Roman" w:cs="Times New Roman"/>
              </w:rPr>
            </w:pPr>
          </w:p>
        </w:tc>
        <w:tc>
          <w:tcPr>
            <w:tcW w:w="3150" w:type="dxa"/>
            <w:tcBorders>
              <w:top w:val="single" w:sz="4" w:space="0" w:color="auto"/>
            </w:tcBorders>
          </w:tcPr>
          <w:p w:rsidR="00A260DB" w:rsidRPr="00634082" w:rsidRDefault="00A260DB" w:rsidP="00A235CB">
            <w:pPr>
              <w:jc w:val="center"/>
              <w:rPr>
                <w:rStyle w:val="Strong"/>
                <w:rFonts w:ascii="Times New Roman" w:hAnsi="Times New Roman" w:cs="Times New Roman"/>
                <w:shd w:val="clear" w:color="auto" w:fill="FFFFFF"/>
              </w:rPr>
            </w:pPr>
          </w:p>
        </w:tc>
        <w:tc>
          <w:tcPr>
            <w:tcW w:w="3870" w:type="dxa"/>
            <w:tcBorders>
              <w:top w:val="single" w:sz="4" w:space="0" w:color="auto"/>
            </w:tcBorders>
          </w:tcPr>
          <w:p w:rsidR="00A260DB" w:rsidRPr="00634082" w:rsidRDefault="00A260DB" w:rsidP="00A235CB">
            <w:pPr>
              <w:jc w:val="center"/>
              <w:rPr>
                <w:rStyle w:val="Strong"/>
                <w:rFonts w:ascii="Times New Roman" w:hAnsi="Times New Roman" w:cs="Times New Roman"/>
                <w:shd w:val="clear" w:color="auto" w:fill="FFFFFF"/>
              </w:rPr>
            </w:pPr>
          </w:p>
        </w:tc>
      </w:tr>
      <w:tr w:rsidR="00634082" w:rsidRPr="00634082" w:rsidTr="00A235CB">
        <w:tc>
          <w:tcPr>
            <w:tcW w:w="2146" w:type="dxa"/>
          </w:tcPr>
          <w:p w:rsidR="00A260DB" w:rsidRPr="00634082" w:rsidRDefault="00A260DB" w:rsidP="005773CD">
            <w:pPr>
              <w:rPr>
                <w:rFonts w:ascii="Times New Roman" w:hAnsi="Times New Roman" w:cs="Times New Roman"/>
              </w:rPr>
            </w:pPr>
            <w:r w:rsidRPr="00634082">
              <w:rPr>
                <w:rFonts w:ascii="Times New Roman" w:hAnsi="Times New Roman" w:cs="Times New Roman"/>
              </w:rPr>
              <w:t>Urban</w:t>
            </w:r>
          </w:p>
        </w:tc>
        <w:tc>
          <w:tcPr>
            <w:tcW w:w="1639" w:type="dxa"/>
            <w:vAlign w:val="center"/>
          </w:tcPr>
          <w:p w:rsidR="00A260DB" w:rsidRPr="00634082" w:rsidRDefault="00A260DB" w:rsidP="005773CD">
            <w:pPr>
              <w:rPr>
                <w:rFonts w:ascii="Times New Roman" w:hAnsi="Times New Roman" w:cs="Times New Roman"/>
              </w:rPr>
            </w:pPr>
            <w:r w:rsidRPr="00634082">
              <w:rPr>
                <w:rFonts w:ascii="Times New Roman" w:hAnsi="Times New Roman" w:cs="Times New Roman"/>
                <w:shd w:val="clear" w:color="auto" w:fill="FFFFFF"/>
              </w:rPr>
              <w:t>0.03</w:t>
            </w:r>
          </w:p>
        </w:tc>
        <w:tc>
          <w:tcPr>
            <w:tcW w:w="3510" w:type="dxa"/>
            <w:vAlign w:val="center"/>
          </w:tcPr>
          <w:p w:rsidR="00A260DB" w:rsidRPr="00634082" w:rsidRDefault="00A260DB" w:rsidP="00A235CB">
            <w:pPr>
              <w:jc w:val="center"/>
              <w:rPr>
                <w:rFonts w:ascii="Times New Roman" w:hAnsi="Times New Roman" w:cs="Times New Roman"/>
              </w:rPr>
            </w:pPr>
            <w:r w:rsidRPr="00634082">
              <w:rPr>
                <w:rFonts w:ascii="Times New Roman" w:hAnsi="Times New Roman" w:cs="Times New Roman"/>
                <w:shd w:val="clear" w:color="auto" w:fill="FFFFFF"/>
              </w:rPr>
              <w:t>0.40 (0.25–0.</w:t>
            </w:r>
            <w:proofErr w:type="gramStart"/>
            <w:r w:rsidRPr="00634082">
              <w:rPr>
                <w:rFonts w:ascii="Times New Roman" w:hAnsi="Times New Roman" w:cs="Times New Roman"/>
                <w:shd w:val="clear" w:color="auto" w:fill="FFFFFF"/>
              </w:rPr>
              <w:t>64)*</w:t>
            </w:r>
            <w:proofErr w:type="gramEnd"/>
            <w:r w:rsidRPr="00634082">
              <w:rPr>
                <w:rFonts w:ascii="Times New Roman" w:hAnsi="Times New Roman" w:cs="Times New Roman"/>
                <w:shd w:val="clear" w:color="auto" w:fill="FFFFFF"/>
              </w:rPr>
              <w:t>**</w:t>
            </w:r>
          </w:p>
        </w:tc>
        <w:tc>
          <w:tcPr>
            <w:tcW w:w="3150" w:type="dxa"/>
            <w:vAlign w:val="center"/>
          </w:tcPr>
          <w:p w:rsidR="00A260DB" w:rsidRPr="00634082" w:rsidRDefault="00A260DB" w:rsidP="00A235CB">
            <w:pPr>
              <w:jc w:val="center"/>
              <w:rPr>
                <w:rFonts w:ascii="Times New Roman" w:hAnsi="Times New Roman" w:cs="Times New Roman"/>
              </w:rPr>
            </w:pPr>
            <w:r w:rsidRPr="00634082">
              <w:rPr>
                <w:rFonts w:ascii="Times New Roman" w:hAnsi="Times New Roman" w:cs="Times New Roman"/>
                <w:shd w:val="clear" w:color="auto" w:fill="FFFFFF"/>
              </w:rPr>
              <w:t>0.35 (0.20–0.</w:t>
            </w:r>
            <w:proofErr w:type="gramStart"/>
            <w:r w:rsidRPr="00634082">
              <w:rPr>
                <w:rFonts w:ascii="Times New Roman" w:hAnsi="Times New Roman" w:cs="Times New Roman"/>
                <w:shd w:val="clear" w:color="auto" w:fill="FFFFFF"/>
              </w:rPr>
              <w:t>61)*</w:t>
            </w:r>
            <w:proofErr w:type="gramEnd"/>
            <w:r w:rsidRPr="00634082">
              <w:rPr>
                <w:rFonts w:ascii="Times New Roman" w:hAnsi="Times New Roman" w:cs="Times New Roman"/>
                <w:shd w:val="clear" w:color="auto" w:fill="FFFFFF"/>
              </w:rPr>
              <w:t>**</w:t>
            </w:r>
          </w:p>
        </w:tc>
        <w:tc>
          <w:tcPr>
            <w:tcW w:w="3870" w:type="dxa"/>
            <w:vAlign w:val="center"/>
          </w:tcPr>
          <w:p w:rsidR="00A260DB" w:rsidRPr="00634082" w:rsidRDefault="00A260DB" w:rsidP="00A235CB">
            <w:pPr>
              <w:jc w:val="center"/>
              <w:rPr>
                <w:rFonts w:ascii="Times New Roman" w:hAnsi="Times New Roman" w:cs="Times New Roman"/>
              </w:rPr>
            </w:pPr>
            <w:r w:rsidRPr="00634082">
              <w:rPr>
                <w:rFonts w:ascii="Times New Roman" w:hAnsi="Times New Roman" w:cs="Times New Roman"/>
                <w:shd w:val="clear" w:color="auto" w:fill="FFFFFF"/>
              </w:rPr>
              <w:t>0.18 (0.05–0.</w:t>
            </w:r>
            <w:proofErr w:type="gramStart"/>
            <w:r w:rsidRPr="00634082">
              <w:rPr>
                <w:rFonts w:ascii="Times New Roman" w:hAnsi="Times New Roman" w:cs="Times New Roman"/>
                <w:shd w:val="clear" w:color="auto" w:fill="FFFFFF"/>
              </w:rPr>
              <w:t>65)*</w:t>
            </w:r>
            <w:proofErr w:type="gramEnd"/>
            <w:r w:rsidRPr="00634082">
              <w:rPr>
                <w:rFonts w:ascii="Times New Roman" w:hAnsi="Times New Roman" w:cs="Times New Roman"/>
                <w:shd w:val="clear" w:color="auto" w:fill="FFFFFF"/>
              </w:rPr>
              <w:t>*</w:t>
            </w:r>
          </w:p>
        </w:tc>
      </w:tr>
      <w:tr w:rsidR="00634082" w:rsidRPr="00634082" w:rsidTr="00A235CB">
        <w:tc>
          <w:tcPr>
            <w:tcW w:w="2146" w:type="dxa"/>
          </w:tcPr>
          <w:p w:rsidR="00A260DB" w:rsidRPr="00634082" w:rsidRDefault="00A260DB" w:rsidP="004F1048">
            <w:pPr>
              <w:rPr>
                <w:rFonts w:ascii="Times New Roman" w:hAnsi="Times New Roman" w:cs="Times New Roman"/>
              </w:rPr>
            </w:pPr>
            <w:r w:rsidRPr="00634082">
              <w:rPr>
                <w:rFonts w:ascii="Times New Roman" w:hAnsi="Times New Roman" w:cs="Times New Roman"/>
              </w:rPr>
              <w:t>Rural</w:t>
            </w:r>
          </w:p>
        </w:tc>
        <w:tc>
          <w:tcPr>
            <w:tcW w:w="1639" w:type="dxa"/>
            <w:vAlign w:val="center"/>
          </w:tcPr>
          <w:p w:rsidR="00A260DB" w:rsidRPr="00634082" w:rsidRDefault="00A260DB" w:rsidP="004F1048">
            <w:pPr>
              <w:rPr>
                <w:rFonts w:ascii="Times New Roman" w:hAnsi="Times New Roman" w:cs="Times New Roman"/>
              </w:rPr>
            </w:pPr>
          </w:p>
        </w:tc>
        <w:tc>
          <w:tcPr>
            <w:tcW w:w="3510" w:type="dxa"/>
            <w:vAlign w:val="center"/>
          </w:tcPr>
          <w:p w:rsidR="00A260DB" w:rsidRPr="00634082" w:rsidRDefault="00A260DB" w:rsidP="00A235CB">
            <w:pPr>
              <w:jc w:val="center"/>
              <w:rPr>
                <w:rFonts w:ascii="Times New Roman" w:hAnsi="Times New Roman" w:cs="Times New Roman"/>
              </w:rPr>
            </w:pPr>
            <w:r w:rsidRPr="00634082">
              <w:rPr>
                <w:rFonts w:ascii="Times New Roman" w:hAnsi="Times New Roman" w:cs="Times New Roman"/>
                <w:shd w:val="clear" w:color="auto" w:fill="FFFFFF"/>
              </w:rPr>
              <w:t>0.60 (0.45–0.</w:t>
            </w:r>
            <w:proofErr w:type="gramStart"/>
            <w:r w:rsidRPr="00634082">
              <w:rPr>
                <w:rFonts w:ascii="Times New Roman" w:hAnsi="Times New Roman" w:cs="Times New Roman"/>
                <w:shd w:val="clear" w:color="auto" w:fill="FFFFFF"/>
              </w:rPr>
              <w:t>80)*</w:t>
            </w:r>
            <w:proofErr w:type="gramEnd"/>
            <w:r w:rsidRPr="00634082">
              <w:rPr>
                <w:rFonts w:ascii="Times New Roman" w:hAnsi="Times New Roman" w:cs="Times New Roman"/>
                <w:shd w:val="clear" w:color="auto" w:fill="FFFFFF"/>
              </w:rPr>
              <w:t>**</w:t>
            </w:r>
          </w:p>
        </w:tc>
        <w:tc>
          <w:tcPr>
            <w:tcW w:w="3150" w:type="dxa"/>
            <w:vAlign w:val="center"/>
          </w:tcPr>
          <w:p w:rsidR="00A260DB" w:rsidRPr="00634082" w:rsidRDefault="00A260DB" w:rsidP="00A235CB">
            <w:pPr>
              <w:jc w:val="center"/>
              <w:rPr>
                <w:rFonts w:ascii="Times New Roman" w:hAnsi="Times New Roman" w:cs="Times New Roman"/>
              </w:rPr>
            </w:pPr>
            <w:r w:rsidRPr="00634082">
              <w:rPr>
                <w:rFonts w:ascii="Times New Roman" w:hAnsi="Times New Roman" w:cs="Times New Roman"/>
                <w:shd w:val="clear" w:color="auto" w:fill="FFFFFF"/>
              </w:rPr>
              <w:t>0.55 (0.38–0.</w:t>
            </w:r>
            <w:proofErr w:type="gramStart"/>
            <w:r w:rsidRPr="00634082">
              <w:rPr>
                <w:rFonts w:ascii="Times New Roman" w:hAnsi="Times New Roman" w:cs="Times New Roman"/>
                <w:shd w:val="clear" w:color="auto" w:fill="FFFFFF"/>
              </w:rPr>
              <w:t>79)*</w:t>
            </w:r>
            <w:proofErr w:type="gramEnd"/>
            <w:r w:rsidRPr="00634082">
              <w:rPr>
                <w:rFonts w:ascii="Times New Roman" w:hAnsi="Times New Roman" w:cs="Times New Roman"/>
                <w:shd w:val="clear" w:color="auto" w:fill="FFFFFF"/>
              </w:rPr>
              <w:t>*</w:t>
            </w:r>
          </w:p>
        </w:tc>
        <w:tc>
          <w:tcPr>
            <w:tcW w:w="3870" w:type="dxa"/>
            <w:vAlign w:val="center"/>
          </w:tcPr>
          <w:p w:rsidR="00A260DB" w:rsidRPr="00634082" w:rsidRDefault="00A260DB" w:rsidP="00A235CB">
            <w:pPr>
              <w:jc w:val="center"/>
              <w:rPr>
                <w:rFonts w:ascii="Times New Roman" w:hAnsi="Times New Roman" w:cs="Times New Roman"/>
              </w:rPr>
            </w:pPr>
            <w:r w:rsidRPr="00634082">
              <w:rPr>
                <w:rFonts w:ascii="Times New Roman" w:hAnsi="Times New Roman" w:cs="Times New Roman"/>
                <w:shd w:val="clear" w:color="auto" w:fill="FFFFFF"/>
              </w:rPr>
              <w:t>0.42 (0.22–0.</w:t>
            </w:r>
            <w:proofErr w:type="gramStart"/>
            <w:r w:rsidRPr="00634082">
              <w:rPr>
                <w:rFonts w:ascii="Times New Roman" w:hAnsi="Times New Roman" w:cs="Times New Roman"/>
                <w:shd w:val="clear" w:color="auto" w:fill="FFFFFF"/>
              </w:rPr>
              <w:t>80)*</w:t>
            </w:r>
            <w:proofErr w:type="gramEnd"/>
          </w:p>
        </w:tc>
      </w:tr>
      <w:tr w:rsidR="00634082" w:rsidRPr="00634082" w:rsidTr="00A235CB">
        <w:tc>
          <w:tcPr>
            <w:tcW w:w="2146" w:type="dxa"/>
          </w:tcPr>
          <w:p w:rsidR="00A260DB" w:rsidRPr="00634082" w:rsidRDefault="00A260DB" w:rsidP="004F1048">
            <w:pPr>
              <w:rPr>
                <w:rFonts w:ascii="Times New Roman" w:hAnsi="Times New Roman" w:cs="Times New Roman"/>
              </w:rPr>
            </w:pPr>
          </w:p>
        </w:tc>
        <w:tc>
          <w:tcPr>
            <w:tcW w:w="1639" w:type="dxa"/>
            <w:vAlign w:val="center"/>
          </w:tcPr>
          <w:p w:rsidR="00A260DB" w:rsidRPr="00634082" w:rsidRDefault="00A260DB" w:rsidP="004F1048">
            <w:pPr>
              <w:rPr>
                <w:rFonts w:ascii="Times New Roman" w:hAnsi="Times New Roman" w:cs="Times New Roman"/>
              </w:rPr>
            </w:pPr>
          </w:p>
        </w:tc>
        <w:tc>
          <w:tcPr>
            <w:tcW w:w="3510" w:type="dxa"/>
            <w:vAlign w:val="center"/>
          </w:tcPr>
          <w:p w:rsidR="00A260DB" w:rsidRPr="00634082" w:rsidRDefault="00A260DB" w:rsidP="00A235CB">
            <w:pPr>
              <w:jc w:val="center"/>
              <w:rPr>
                <w:rFonts w:ascii="Times New Roman" w:hAnsi="Times New Roman" w:cs="Times New Roman"/>
              </w:rPr>
            </w:pPr>
          </w:p>
        </w:tc>
        <w:tc>
          <w:tcPr>
            <w:tcW w:w="3150" w:type="dxa"/>
            <w:vAlign w:val="center"/>
          </w:tcPr>
          <w:p w:rsidR="00A260DB" w:rsidRPr="00634082" w:rsidRDefault="00A260DB" w:rsidP="00A235CB">
            <w:pPr>
              <w:jc w:val="center"/>
              <w:rPr>
                <w:rFonts w:ascii="Times New Roman" w:hAnsi="Times New Roman" w:cs="Times New Roman"/>
              </w:rPr>
            </w:pPr>
          </w:p>
        </w:tc>
        <w:tc>
          <w:tcPr>
            <w:tcW w:w="3870" w:type="dxa"/>
            <w:vAlign w:val="center"/>
          </w:tcPr>
          <w:p w:rsidR="00A260DB" w:rsidRPr="00634082" w:rsidRDefault="00A260DB" w:rsidP="00A235CB">
            <w:pPr>
              <w:jc w:val="center"/>
              <w:rPr>
                <w:rFonts w:ascii="Times New Roman" w:hAnsi="Times New Roman" w:cs="Times New Roman"/>
              </w:rPr>
            </w:pPr>
          </w:p>
        </w:tc>
      </w:tr>
      <w:tr w:rsidR="00634082" w:rsidRPr="00634082" w:rsidTr="00A235CB">
        <w:tc>
          <w:tcPr>
            <w:tcW w:w="2146" w:type="dxa"/>
          </w:tcPr>
          <w:p w:rsidR="00A260DB" w:rsidRPr="00634082" w:rsidRDefault="004F0987" w:rsidP="004F1048">
            <w:pPr>
              <w:rPr>
                <w:rFonts w:ascii="Times New Roman" w:hAnsi="Times New Roman" w:cs="Times New Roman"/>
              </w:rPr>
            </w:pPr>
            <w:r w:rsidRPr="00634082">
              <w:rPr>
                <w:rStyle w:val="Strong"/>
                <w:rFonts w:ascii="Times New Roman" w:hAnsi="Times New Roman" w:cs="Times New Roman"/>
                <w:shd w:val="clear" w:color="auto" w:fill="FFFFFF"/>
              </w:rPr>
              <w:t>ANC Visits</w:t>
            </w:r>
          </w:p>
        </w:tc>
        <w:tc>
          <w:tcPr>
            <w:tcW w:w="1639" w:type="dxa"/>
            <w:vAlign w:val="center"/>
          </w:tcPr>
          <w:p w:rsidR="00A260DB" w:rsidRPr="00634082" w:rsidRDefault="00A260DB" w:rsidP="004F1048">
            <w:pPr>
              <w:rPr>
                <w:rFonts w:ascii="Times New Roman" w:hAnsi="Times New Roman" w:cs="Times New Roman"/>
              </w:rPr>
            </w:pPr>
          </w:p>
        </w:tc>
        <w:tc>
          <w:tcPr>
            <w:tcW w:w="3510" w:type="dxa"/>
            <w:vAlign w:val="center"/>
          </w:tcPr>
          <w:p w:rsidR="00A260DB" w:rsidRPr="00634082" w:rsidRDefault="00A260DB" w:rsidP="00A235CB">
            <w:pPr>
              <w:jc w:val="center"/>
              <w:rPr>
                <w:rFonts w:ascii="Times New Roman" w:hAnsi="Times New Roman" w:cs="Times New Roman"/>
              </w:rPr>
            </w:pPr>
          </w:p>
        </w:tc>
        <w:tc>
          <w:tcPr>
            <w:tcW w:w="3150" w:type="dxa"/>
            <w:vAlign w:val="center"/>
          </w:tcPr>
          <w:p w:rsidR="00A260DB" w:rsidRPr="00634082" w:rsidRDefault="00A260DB" w:rsidP="00A235CB">
            <w:pPr>
              <w:jc w:val="center"/>
              <w:rPr>
                <w:rFonts w:ascii="Times New Roman" w:hAnsi="Times New Roman" w:cs="Times New Roman"/>
              </w:rPr>
            </w:pPr>
          </w:p>
        </w:tc>
        <w:tc>
          <w:tcPr>
            <w:tcW w:w="3870" w:type="dxa"/>
            <w:vAlign w:val="center"/>
          </w:tcPr>
          <w:p w:rsidR="00A260DB" w:rsidRPr="00634082" w:rsidRDefault="00A260DB" w:rsidP="00A235CB">
            <w:pPr>
              <w:jc w:val="center"/>
              <w:rPr>
                <w:rFonts w:ascii="Times New Roman" w:hAnsi="Times New Roman" w:cs="Times New Roman"/>
              </w:rPr>
            </w:pPr>
          </w:p>
        </w:tc>
      </w:tr>
      <w:tr w:rsidR="00634082" w:rsidRPr="00634082" w:rsidTr="00A235CB">
        <w:tc>
          <w:tcPr>
            <w:tcW w:w="2146" w:type="dxa"/>
          </w:tcPr>
          <w:p w:rsidR="00A260DB" w:rsidRPr="00634082" w:rsidRDefault="004F0987" w:rsidP="004F1048">
            <w:pPr>
              <w:rPr>
                <w:rFonts w:ascii="Times New Roman" w:hAnsi="Times New Roman" w:cs="Times New Roman"/>
              </w:rPr>
            </w:pPr>
            <w:r w:rsidRPr="00634082">
              <w:rPr>
                <w:rFonts w:ascii="Times New Roman" w:hAnsi="Times New Roman" w:cs="Times New Roman"/>
                <w:shd w:val="clear" w:color="auto" w:fill="FFFFFF"/>
              </w:rPr>
              <w:t>≥4 visits</w:t>
            </w:r>
          </w:p>
        </w:tc>
        <w:tc>
          <w:tcPr>
            <w:tcW w:w="1639" w:type="dxa"/>
            <w:vAlign w:val="center"/>
          </w:tcPr>
          <w:p w:rsidR="00A260DB" w:rsidRPr="00634082" w:rsidRDefault="004F0987" w:rsidP="004F1048">
            <w:pPr>
              <w:rPr>
                <w:rFonts w:ascii="Times New Roman" w:hAnsi="Times New Roman" w:cs="Times New Roman"/>
              </w:rPr>
            </w:pPr>
            <w:r w:rsidRPr="00634082">
              <w:rPr>
                <w:rFonts w:ascii="Times New Roman" w:hAnsi="Times New Roman" w:cs="Times New Roman"/>
                <w:shd w:val="clear" w:color="auto" w:fill="FFFFFF"/>
              </w:rPr>
              <w:t>0.01</w:t>
            </w:r>
          </w:p>
        </w:tc>
        <w:tc>
          <w:tcPr>
            <w:tcW w:w="3510" w:type="dxa"/>
            <w:vAlign w:val="center"/>
          </w:tcPr>
          <w:p w:rsidR="00A260DB" w:rsidRPr="00634082" w:rsidRDefault="008378C8" w:rsidP="00A235CB">
            <w:pPr>
              <w:jc w:val="center"/>
              <w:rPr>
                <w:rFonts w:ascii="Times New Roman" w:hAnsi="Times New Roman" w:cs="Times New Roman"/>
              </w:rPr>
            </w:pPr>
            <w:r w:rsidRPr="00634082">
              <w:rPr>
                <w:rFonts w:ascii="Times New Roman" w:hAnsi="Times New Roman" w:cs="Times New Roman"/>
                <w:shd w:val="clear" w:color="auto" w:fill="FFFFFF"/>
              </w:rPr>
              <w:t>0.50 (0.35–0.</w:t>
            </w:r>
            <w:proofErr w:type="gramStart"/>
            <w:r w:rsidRPr="00634082">
              <w:rPr>
                <w:rFonts w:ascii="Times New Roman" w:hAnsi="Times New Roman" w:cs="Times New Roman"/>
                <w:shd w:val="clear" w:color="auto" w:fill="FFFFFF"/>
              </w:rPr>
              <w:t>71)*</w:t>
            </w:r>
            <w:proofErr w:type="gramEnd"/>
            <w:r w:rsidRPr="00634082">
              <w:rPr>
                <w:rFonts w:ascii="Times New Roman" w:hAnsi="Times New Roman" w:cs="Times New Roman"/>
                <w:shd w:val="clear" w:color="auto" w:fill="FFFFFF"/>
              </w:rPr>
              <w:t>**</w:t>
            </w:r>
          </w:p>
        </w:tc>
        <w:tc>
          <w:tcPr>
            <w:tcW w:w="3150" w:type="dxa"/>
            <w:vAlign w:val="center"/>
          </w:tcPr>
          <w:p w:rsidR="00A260DB" w:rsidRPr="00634082" w:rsidRDefault="008378C8" w:rsidP="00A235CB">
            <w:pPr>
              <w:jc w:val="center"/>
              <w:rPr>
                <w:rFonts w:ascii="Times New Roman" w:hAnsi="Times New Roman" w:cs="Times New Roman"/>
              </w:rPr>
            </w:pPr>
            <w:r w:rsidRPr="00634082">
              <w:rPr>
                <w:rFonts w:ascii="Times New Roman" w:hAnsi="Times New Roman" w:cs="Times New Roman"/>
                <w:shd w:val="clear" w:color="auto" w:fill="FFFFFF"/>
              </w:rPr>
              <w:t>0.45 (0.30–0.</w:t>
            </w:r>
            <w:proofErr w:type="gramStart"/>
            <w:r w:rsidRPr="00634082">
              <w:rPr>
                <w:rFonts w:ascii="Times New Roman" w:hAnsi="Times New Roman" w:cs="Times New Roman"/>
                <w:shd w:val="clear" w:color="auto" w:fill="FFFFFF"/>
              </w:rPr>
              <w:t>68)*</w:t>
            </w:r>
            <w:proofErr w:type="gramEnd"/>
            <w:r w:rsidRPr="00634082">
              <w:rPr>
                <w:rFonts w:ascii="Times New Roman" w:hAnsi="Times New Roman" w:cs="Times New Roman"/>
                <w:shd w:val="clear" w:color="auto" w:fill="FFFFFF"/>
              </w:rPr>
              <w:t>**</w:t>
            </w:r>
          </w:p>
        </w:tc>
        <w:tc>
          <w:tcPr>
            <w:tcW w:w="3870" w:type="dxa"/>
            <w:vAlign w:val="center"/>
          </w:tcPr>
          <w:p w:rsidR="00A260DB" w:rsidRPr="00634082" w:rsidRDefault="00721059" w:rsidP="00A235CB">
            <w:pPr>
              <w:jc w:val="center"/>
              <w:rPr>
                <w:rFonts w:ascii="Times New Roman" w:hAnsi="Times New Roman" w:cs="Times New Roman"/>
              </w:rPr>
            </w:pPr>
            <w:r w:rsidRPr="00634082">
              <w:rPr>
                <w:rFonts w:ascii="Times New Roman" w:hAnsi="Times New Roman" w:cs="Times New Roman"/>
                <w:shd w:val="clear" w:color="auto" w:fill="FFFFFF"/>
              </w:rPr>
              <w:t>0.25 (0.10–0.</w:t>
            </w:r>
            <w:proofErr w:type="gramStart"/>
            <w:r w:rsidRPr="00634082">
              <w:rPr>
                <w:rFonts w:ascii="Times New Roman" w:hAnsi="Times New Roman" w:cs="Times New Roman"/>
                <w:shd w:val="clear" w:color="auto" w:fill="FFFFFF"/>
              </w:rPr>
              <w:t>62)*</w:t>
            </w:r>
            <w:proofErr w:type="gramEnd"/>
            <w:r w:rsidRPr="00634082">
              <w:rPr>
                <w:rFonts w:ascii="Times New Roman" w:hAnsi="Times New Roman" w:cs="Times New Roman"/>
                <w:shd w:val="clear" w:color="auto" w:fill="FFFFFF"/>
              </w:rPr>
              <w:t>*</w:t>
            </w:r>
          </w:p>
        </w:tc>
      </w:tr>
      <w:tr w:rsidR="00634082" w:rsidRPr="00634082" w:rsidTr="00A235CB">
        <w:tc>
          <w:tcPr>
            <w:tcW w:w="2146" w:type="dxa"/>
          </w:tcPr>
          <w:p w:rsidR="004F0987" w:rsidRPr="00634082" w:rsidRDefault="00992C2E" w:rsidP="004F1048">
            <w:pPr>
              <w:rPr>
                <w:rFonts w:ascii="Times New Roman" w:hAnsi="Times New Roman" w:cs="Times New Roman"/>
                <w:shd w:val="clear" w:color="auto" w:fill="FFFFFF"/>
              </w:rPr>
            </w:pPr>
            <w:r w:rsidRPr="00634082">
              <w:rPr>
                <w:rFonts w:ascii="Times New Roman" w:hAnsi="Times New Roman" w:cs="Times New Roman"/>
                <w:shd w:val="clear" w:color="auto" w:fill="FFFFFF"/>
              </w:rPr>
              <w:t>&lt;4 visits</w:t>
            </w:r>
          </w:p>
        </w:tc>
        <w:tc>
          <w:tcPr>
            <w:tcW w:w="1639" w:type="dxa"/>
            <w:vAlign w:val="center"/>
          </w:tcPr>
          <w:p w:rsidR="004F0987" w:rsidRPr="00634082" w:rsidRDefault="004F0987" w:rsidP="004F1048">
            <w:pPr>
              <w:rPr>
                <w:rFonts w:ascii="Times New Roman" w:hAnsi="Times New Roman" w:cs="Times New Roman"/>
                <w:shd w:val="clear" w:color="auto" w:fill="FFFFFF"/>
              </w:rPr>
            </w:pPr>
          </w:p>
        </w:tc>
        <w:tc>
          <w:tcPr>
            <w:tcW w:w="3510" w:type="dxa"/>
            <w:vAlign w:val="center"/>
          </w:tcPr>
          <w:p w:rsidR="004F0987" w:rsidRPr="00634082" w:rsidRDefault="008378C8" w:rsidP="00A235CB">
            <w:pPr>
              <w:jc w:val="center"/>
              <w:rPr>
                <w:rFonts w:ascii="Times New Roman" w:hAnsi="Times New Roman" w:cs="Times New Roman"/>
              </w:rPr>
            </w:pPr>
            <w:r w:rsidRPr="00634082">
              <w:rPr>
                <w:rFonts w:ascii="Times New Roman" w:hAnsi="Times New Roman" w:cs="Times New Roman"/>
                <w:shd w:val="clear" w:color="auto" w:fill="FFFFFF"/>
              </w:rPr>
              <w:t>0.75 (0.55–1.02)</w:t>
            </w:r>
          </w:p>
        </w:tc>
        <w:tc>
          <w:tcPr>
            <w:tcW w:w="3150" w:type="dxa"/>
            <w:vAlign w:val="center"/>
          </w:tcPr>
          <w:p w:rsidR="004F0987" w:rsidRPr="00634082" w:rsidRDefault="008378C8" w:rsidP="00A235CB">
            <w:pPr>
              <w:jc w:val="center"/>
              <w:rPr>
                <w:rFonts w:ascii="Times New Roman" w:hAnsi="Times New Roman" w:cs="Times New Roman"/>
              </w:rPr>
            </w:pPr>
            <w:r w:rsidRPr="00634082">
              <w:rPr>
                <w:rFonts w:ascii="Times New Roman" w:hAnsi="Times New Roman" w:cs="Times New Roman"/>
                <w:shd w:val="clear" w:color="auto" w:fill="FFFFFF"/>
              </w:rPr>
              <w:t>0.70 (0.48–1.02)</w:t>
            </w:r>
          </w:p>
        </w:tc>
        <w:tc>
          <w:tcPr>
            <w:tcW w:w="3870" w:type="dxa"/>
            <w:vAlign w:val="center"/>
          </w:tcPr>
          <w:p w:rsidR="004F0987" w:rsidRPr="00634082" w:rsidRDefault="00721059" w:rsidP="00A235CB">
            <w:pPr>
              <w:jc w:val="center"/>
              <w:rPr>
                <w:rFonts w:ascii="Times New Roman" w:hAnsi="Times New Roman" w:cs="Times New Roman"/>
              </w:rPr>
            </w:pPr>
            <w:r w:rsidRPr="00634082">
              <w:rPr>
                <w:rFonts w:ascii="Times New Roman" w:hAnsi="Times New Roman" w:cs="Times New Roman"/>
                <w:shd w:val="clear" w:color="auto" w:fill="FFFFFF"/>
              </w:rPr>
              <w:t>0.55 (0.30–1.00)</w:t>
            </w:r>
          </w:p>
        </w:tc>
      </w:tr>
      <w:tr w:rsidR="00634082" w:rsidRPr="00634082" w:rsidTr="00A235CB">
        <w:tc>
          <w:tcPr>
            <w:tcW w:w="2146" w:type="dxa"/>
          </w:tcPr>
          <w:p w:rsidR="004F0987" w:rsidRPr="00634082" w:rsidRDefault="004F0987" w:rsidP="004F1048">
            <w:pPr>
              <w:rPr>
                <w:rFonts w:ascii="Times New Roman" w:hAnsi="Times New Roman" w:cs="Times New Roman"/>
                <w:shd w:val="clear" w:color="auto" w:fill="FFFFFF"/>
              </w:rPr>
            </w:pPr>
          </w:p>
        </w:tc>
        <w:tc>
          <w:tcPr>
            <w:tcW w:w="1639" w:type="dxa"/>
            <w:vAlign w:val="center"/>
          </w:tcPr>
          <w:p w:rsidR="004F0987" w:rsidRPr="00634082" w:rsidRDefault="004F0987" w:rsidP="004F1048">
            <w:pPr>
              <w:rPr>
                <w:rFonts w:ascii="Times New Roman" w:hAnsi="Times New Roman" w:cs="Times New Roman"/>
                <w:shd w:val="clear" w:color="auto" w:fill="FFFFFF"/>
              </w:rPr>
            </w:pPr>
          </w:p>
        </w:tc>
        <w:tc>
          <w:tcPr>
            <w:tcW w:w="3510" w:type="dxa"/>
            <w:vAlign w:val="center"/>
          </w:tcPr>
          <w:p w:rsidR="004F0987" w:rsidRPr="00634082" w:rsidRDefault="004F0987" w:rsidP="00A235CB">
            <w:pPr>
              <w:jc w:val="center"/>
              <w:rPr>
                <w:rFonts w:ascii="Times New Roman" w:hAnsi="Times New Roman" w:cs="Times New Roman"/>
              </w:rPr>
            </w:pPr>
          </w:p>
        </w:tc>
        <w:tc>
          <w:tcPr>
            <w:tcW w:w="3150" w:type="dxa"/>
            <w:vAlign w:val="center"/>
          </w:tcPr>
          <w:p w:rsidR="004F0987" w:rsidRPr="00634082" w:rsidRDefault="004F0987" w:rsidP="00A235CB">
            <w:pPr>
              <w:jc w:val="center"/>
              <w:rPr>
                <w:rFonts w:ascii="Times New Roman" w:hAnsi="Times New Roman" w:cs="Times New Roman"/>
              </w:rPr>
            </w:pPr>
          </w:p>
        </w:tc>
        <w:tc>
          <w:tcPr>
            <w:tcW w:w="3870" w:type="dxa"/>
            <w:vAlign w:val="center"/>
          </w:tcPr>
          <w:p w:rsidR="004F0987" w:rsidRPr="00634082" w:rsidRDefault="004F0987" w:rsidP="00A235CB">
            <w:pPr>
              <w:jc w:val="center"/>
              <w:rPr>
                <w:rFonts w:ascii="Times New Roman" w:hAnsi="Times New Roman" w:cs="Times New Roman"/>
              </w:rPr>
            </w:pPr>
          </w:p>
        </w:tc>
      </w:tr>
      <w:tr w:rsidR="00634082" w:rsidRPr="00634082" w:rsidTr="00A235CB">
        <w:tc>
          <w:tcPr>
            <w:tcW w:w="2146" w:type="dxa"/>
          </w:tcPr>
          <w:p w:rsidR="0056415C" w:rsidRPr="00634082" w:rsidRDefault="0056415C" w:rsidP="004F1048">
            <w:pPr>
              <w:rPr>
                <w:rFonts w:ascii="Times New Roman" w:hAnsi="Times New Roman" w:cs="Times New Roman"/>
                <w:shd w:val="clear" w:color="auto" w:fill="FFFFFF"/>
              </w:rPr>
            </w:pPr>
            <w:r w:rsidRPr="00634082">
              <w:rPr>
                <w:rStyle w:val="Strong"/>
                <w:rFonts w:ascii="Times New Roman" w:hAnsi="Times New Roman" w:cs="Times New Roman"/>
                <w:shd w:val="clear" w:color="auto" w:fill="FFFFFF"/>
              </w:rPr>
              <w:t>Socioeconomic Status</w:t>
            </w:r>
          </w:p>
        </w:tc>
        <w:tc>
          <w:tcPr>
            <w:tcW w:w="1639" w:type="dxa"/>
            <w:vAlign w:val="center"/>
          </w:tcPr>
          <w:p w:rsidR="0056415C" w:rsidRPr="00634082" w:rsidRDefault="0056415C" w:rsidP="004F1048">
            <w:pPr>
              <w:rPr>
                <w:rFonts w:ascii="Times New Roman" w:hAnsi="Times New Roman" w:cs="Times New Roman"/>
                <w:shd w:val="clear" w:color="auto" w:fill="FFFFFF"/>
              </w:rPr>
            </w:pPr>
          </w:p>
        </w:tc>
        <w:tc>
          <w:tcPr>
            <w:tcW w:w="3510" w:type="dxa"/>
            <w:vAlign w:val="center"/>
          </w:tcPr>
          <w:p w:rsidR="0056415C" w:rsidRPr="00634082" w:rsidRDefault="0056415C" w:rsidP="00A235CB">
            <w:pPr>
              <w:jc w:val="center"/>
              <w:rPr>
                <w:rFonts w:ascii="Times New Roman" w:hAnsi="Times New Roman" w:cs="Times New Roman"/>
              </w:rPr>
            </w:pPr>
          </w:p>
        </w:tc>
        <w:tc>
          <w:tcPr>
            <w:tcW w:w="3150" w:type="dxa"/>
            <w:vAlign w:val="center"/>
          </w:tcPr>
          <w:p w:rsidR="0056415C" w:rsidRPr="00634082" w:rsidRDefault="0056415C" w:rsidP="00A235CB">
            <w:pPr>
              <w:jc w:val="center"/>
              <w:rPr>
                <w:rFonts w:ascii="Times New Roman" w:hAnsi="Times New Roman" w:cs="Times New Roman"/>
              </w:rPr>
            </w:pPr>
          </w:p>
        </w:tc>
        <w:tc>
          <w:tcPr>
            <w:tcW w:w="3870" w:type="dxa"/>
            <w:vAlign w:val="center"/>
          </w:tcPr>
          <w:p w:rsidR="0056415C" w:rsidRPr="00634082" w:rsidRDefault="0056415C" w:rsidP="00A235CB">
            <w:pPr>
              <w:jc w:val="center"/>
              <w:rPr>
                <w:rFonts w:ascii="Times New Roman" w:hAnsi="Times New Roman" w:cs="Times New Roman"/>
              </w:rPr>
            </w:pPr>
          </w:p>
        </w:tc>
      </w:tr>
      <w:tr w:rsidR="00634082" w:rsidRPr="00634082" w:rsidTr="00A235CB">
        <w:tc>
          <w:tcPr>
            <w:tcW w:w="2146" w:type="dxa"/>
          </w:tcPr>
          <w:p w:rsidR="0056415C" w:rsidRPr="00634082" w:rsidRDefault="00B02423" w:rsidP="004F1048">
            <w:pPr>
              <w:rPr>
                <w:rStyle w:val="Strong"/>
                <w:rFonts w:ascii="Times New Roman" w:hAnsi="Times New Roman" w:cs="Times New Roman"/>
                <w:shd w:val="clear" w:color="auto" w:fill="FFFFFF"/>
              </w:rPr>
            </w:pPr>
            <w:r w:rsidRPr="00634082">
              <w:rPr>
                <w:rFonts w:ascii="Times New Roman" w:hAnsi="Times New Roman" w:cs="Times New Roman"/>
                <w:shd w:val="clear" w:color="auto" w:fill="FFFFFF"/>
              </w:rPr>
              <w:t>Mediation effect</w:t>
            </w:r>
          </w:p>
        </w:tc>
        <w:tc>
          <w:tcPr>
            <w:tcW w:w="1639" w:type="dxa"/>
            <w:vAlign w:val="center"/>
          </w:tcPr>
          <w:p w:rsidR="0056415C" w:rsidRPr="00634082" w:rsidRDefault="00B02423" w:rsidP="004F1048">
            <w:pPr>
              <w:rPr>
                <w:rFonts w:ascii="Times New Roman" w:hAnsi="Times New Roman" w:cs="Times New Roman"/>
                <w:shd w:val="clear" w:color="auto" w:fill="FFFFFF"/>
              </w:rPr>
            </w:pPr>
            <w:r w:rsidRPr="00634082">
              <w:rPr>
                <w:rFonts w:ascii="Times New Roman" w:hAnsi="Times New Roman" w:cs="Times New Roman"/>
                <w:shd w:val="clear" w:color="auto" w:fill="FFFFFF"/>
              </w:rPr>
              <w:t>&lt;0.001</w:t>
            </w:r>
          </w:p>
        </w:tc>
        <w:tc>
          <w:tcPr>
            <w:tcW w:w="3510" w:type="dxa"/>
            <w:vAlign w:val="center"/>
          </w:tcPr>
          <w:p w:rsidR="0056415C" w:rsidRPr="00634082" w:rsidRDefault="004C29E2" w:rsidP="00A235CB">
            <w:pPr>
              <w:jc w:val="center"/>
              <w:rPr>
                <w:rFonts w:ascii="Times New Roman" w:hAnsi="Times New Roman" w:cs="Times New Roman"/>
              </w:rPr>
            </w:pPr>
            <w:r w:rsidRPr="00634082">
              <w:rPr>
                <w:rFonts w:ascii="Times New Roman" w:hAnsi="Times New Roman" w:cs="Times New Roman"/>
                <w:shd w:val="clear" w:color="auto" w:fill="FFFFFF"/>
              </w:rPr>
              <w:t>30% explained</w:t>
            </w:r>
          </w:p>
        </w:tc>
        <w:tc>
          <w:tcPr>
            <w:tcW w:w="3150" w:type="dxa"/>
            <w:vAlign w:val="center"/>
          </w:tcPr>
          <w:p w:rsidR="0056415C" w:rsidRPr="00634082" w:rsidRDefault="004C29E2" w:rsidP="00A235CB">
            <w:pPr>
              <w:jc w:val="center"/>
              <w:rPr>
                <w:rFonts w:ascii="Times New Roman" w:hAnsi="Times New Roman" w:cs="Times New Roman"/>
              </w:rPr>
            </w:pPr>
            <w:r w:rsidRPr="00634082">
              <w:rPr>
                <w:rFonts w:ascii="Times New Roman" w:hAnsi="Times New Roman" w:cs="Times New Roman"/>
                <w:shd w:val="clear" w:color="auto" w:fill="FFFFFF"/>
              </w:rPr>
              <w:t>25% explained</w:t>
            </w:r>
          </w:p>
        </w:tc>
        <w:tc>
          <w:tcPr>
            <w:tcW w:w="3870" w:type="dxa"/>
            <w:vAlign w:val="center"/>
          </w:tcPr>
          <w:p w:rsidR="0056415C" w:rsidRPr="00634082" w:rsidRDefault="004C29E2" w:rsidP="00A235CB">
            <w:pPr>
              <w:jc w:val="center"/>
              <w:rPr>
                <w:rFonts w:ascii="Times New Roman" w:hAnsi="Times New Roman" w:cs="Times New Roman"/>
              </w:rPr>
            </w:pPr>
            <w:r w:rsidRPr="00634082">
              <w:rPr>
                <w:rFonts w:ascii="Times New Roman" w:hAnsi="Times New Roman" w:cs="Times New Roman"/>
                <w:shd w:val="clear" w:color="auto" w:fill="FFFFFF"/>
              </w:rPr>
              <w:t>20% explained</w:t>
            </w:r>
          </w:p>
        </w:tc>
      </w:tr>
    </w:tbl>
    <w:p w:rsidR="00A235CB" w:rsidRPr="00634082" w:rsidRDefault="00A91BD4" w:rsidP="003D4365">
      <w:pPr>
        <w:pStyle w:val="Heading3"/>
        <w:shd w:val="clear" w:color="auto" w:fill="FFFFFF"/>
        <w:jc w:val="both"/>
        <w:rPr>
          <w:rFonts w:ascii="Times New Roman" w:hAnsi="Times New Roman" w:cs="Times New Roman"/>
          <w:i/>
          <w:color w:val="auto"/>
          <w:sz w:val="22"/>
          <w:szCs w:val="22"/>
        </w:rPr>
        <w:sectPr w:rsidR="00A235CB" w:rsidRPr="00634082" w:rsidSect="00C04FF7">
          <w:pgSz w:w="15840" w:h="12240" w:orient="landscape"/>
          <w:pgMar w:top="1440" w:right="1440" w:bottom="1440" w:left="1440" w:header="720" w:footer="720" w:gutter="0"/>
          <w:cols w:space="720"/>
          <w:docGrid w:linePitch="360"/>
        </w:sectPr>
      </w:pPr>
      <w:r w:rsidRPr="00634082">
        <w:rPr>
          <w:rFonts w:ascii="Times New Roman" w:hAnsi="Times New Roman" w:cs="Times New Roman"/>
          <w:b/>
          <w:i/>
          <w:color w:val="auto"/>
          <w:sz w:val="22"/>
          <w:szCs w:val="22"/>
        </w:rPr>
        <w:t xml:space="preserve">Note: </w:t>
      </w:r>
      <w:proofErr w:type="spellStart"/>
      <w:r w:rsidRPr="00634082">
        <w:rPr>
          <w:rFonts w:ascii="Times New Roman" w:hAnsi="Times New Roman" w:cs="Times New Roman"/>
          <w:i/>
          <w:iCs/>
          <w:color w:val="auto"/>
          <w:sz w:val="22"/>
          <w:szCs w:val="22"/>
        </w:rPr>
        <w:t>aORs</w:t>
      </w:r>
      <w:proofErr w:type="spellEnd"/>
      <w:r w:rsidRPr="00634082">
        <w:rPr>
          <w:rFonts w:ascii="Times New Roman" w:hAnsi="Times New Roman" w:cs="Times New Roman"/>
          <w:i/>
          <w:iCs/>
          <w:color w:val="auto"/>
          <w:sz w:val="22"/>
          <w:szCs w:val="22"/>
        </w:rPr>
        <w:t xml:space="preserve"> compare higher education vs. no education within subgroups, adjusted for confounders. p-values test for interaction (effect modification) between maternal education and subgroup variables. </w:t>
      </w:r>
      <w:r w:rsidRPr="00634082">
        <w:rPr>
          <w:rFonts w:ascii="Times New Roman" w:hAnsi="Times New Roman" w:cs="Times New Roman"/>
          <w:i/>
          <w:color w:val="auto"/>
          <w:sz w:val="22"/>
          <w:szCs w:val="22"/>
        </w:rPr>
        <w:t>***p &lt; 0.001, **p &lt; 0.01, </w:t>
      </w:r>
      <w:r w:rsidRPr="00634082">
        <w:rPr>
          <w:rFonts w:ascii="Times New Roman" w:hAnsi="Times New Roman" w:cs="Times New Roman"/>
          <w:i/>
          <w:iCs/>
          <w:color w:val="auto"/>
          <w:sz w:val="22"/>
          <w:szCs w:val="22"/>
        </w:rPr>
        <w:t>p &lt; 0.05.</w:t>
      </w:r>
      <w:r w:rsidR="003D4365" w:rsidRPr="00634082">
        <w:rPr>
          <w:rFonts w:ascii="Times New Roman" w:hAnsi="Times New Roman" w:cs="Times New Roman"/>
          <w:i/>
          <w:iCs/>
          <w:color w:val="auto"/>
          <w:sz w:val="22"/>
          <w:szCs w:val="22"/>
        </w:rPr>
        <w:t xml:space="preserve"> </w:t>
      </w:r>
      <w:r w:rsidR="003D4365" w:rsidRPr="00634082">
        <w:rPr>
          <w:rStyle w:val="Strong"/>
          <w:rFonts w:ascii="Times New Roman" w:hAnsi="Times New Roman" w:cs="Times New Roman"/>
          <w:b w:val="0"/>
          <w:bCs w:val="0"/>
          <w:i/>
          <w:color w:val="auto"/>
          <w:sz w:val="22"/>
          <w:szCs w:val="22"/>
        </w:rPr>
        <w:t xml:space="preserve">Sensitivity Analyses. </w:t>
      </w:r>
      <w:r w:rsidR="003D4365" w:rsidRPr="00634082">
        <w:rPr>
          <w:rFonts w:ascii="Times New Roman" w:hAnsi="Times New Roman" w:cs="Times New Roman"/>
          <w:i/>
          <w:color w:val="auto"/>
          <w:sz w:val="22"/>
          <w:szCs w:val="22"/>
        </w:rPr>
        <w:t>Excluding records with missing data (n = 50) did not alter the significance of the findings (κ &gt; 0.90 for all outcomes).</w:t>
      </w:r>
    </w:p>
    <w:p w:rsidR="003D4365" w:rsidRPr="00634082" w:rsidRDefault="003D4365" w:rsidP="003D4365">
      <w:pPr>
        <w:pStyle w:val="Heading3"/>
        <w:shd w:val="clear" w:color="auto" w:fill="FFFFFF"/>
        <w:jc w:val="both"/>
        <w:rPr>
          <w:rFonts w:ascii="Times New Roman" w:hAnsi="Times New Roman" w:cs="Times New Roman"/>
          <w:i/>
          <w:color w:val="auto"/>
          <w:sz w:val="22"/>
          <w:szCs w:val="22"/>
        </w:rPr>
      </w:pPr>
    </w:p>
    <w:p w:rsidR="003F0969" w:rsidRPr="00634082" w:rsidRDefault="005661E9" w:rsidP="00C04FF7">
      <w:pPr>
        <w:spacing w:after="0"/>
        <w:jc w:val="both"/>
        <w:rPr>
          <w:rFonts w:ascii="Times New Roman" w:hAnsi="Times New Roman" w:cs="Times New Roman"/>
          <w:b/>
        </w:rPr>
      </w:pPr>
      <w:r w:rsidRPr="00634082">
        <w:rPr>
          <w:rFonts w:ascii="Times New Roman" w:hAnsi="Times New Roman" w:cs="Times New Roman"/>
          <w:b/>
        </w:rPr>
        <w:t>DISCUSSION</w:t>
      </w:r>
    </w:p>
    <w:p w:rsidR="0069340D" w:rsidRPr="00634082" w:rsidRDefault="00A74258" w:rsidP="00C04FF7">
      <w:pPr>
        <w:pStyle w:val="ds-markdown-paragraph"/>
        <w:shd w:val="clear" w:color="auto" w:fill="FFFFFF"/>
        <w:spacing w:before="0" w:beforeAutospacing="0" w:after="0" w:afterAutospacing="0"/>
        <w:jc w:val="both"/>
        <w:rPr>
          <w:rStyle w:val="Strong"/>
          <w:b w:val="0"/>
          <w:sz w:val="22"/>
          <w:szCs w:val="22"/>
          <w:shd w:val="clear" w:color="auto" w:fill="FFFFFF"/>
        </w:rPr>
      </w:pPr>
      <w:r w:rsidRPr="00634082">
        <w:rPr>
          <w:sz w:val="22"/>
          <w:szCs w:val="22"/>
        </w:rPr>
        <w:t>The study conducted at Edward Francis Small Teaching Hospital (EFSTH) in The Gambia revealed a strong, dose-response relationship between maternal education and improved pregnancy outcomes. Mothers with higher education levels (secondary or tertiary) exhibited significantly lower rates of adverse outcomes, including low birth weight (6.2% vs. 32.4% in uneducated mothers), preterm birth (5.0% vs. 19.8%), neonatal mortality (1.0% vs. 6.5%), and low Apgar scores (2.0% vs. 14.2%). These findings persisted even after adjusting for confounders such as socioeconomic status, antenatal care (ANC) visits, and comorbidities. For instance, mothers with tertiary education had 70% lower odds of low birth weight (</w:t>
      </w:r>
      <w:proofErr w:type="spellStart"/>
      <w:r w:rsidRPr="00634082">
        <w:rPr>
          <w:sz w:val="22"/>
          <w:szCs w:val="22"/>
        </w:rPr>
        <w:t>aOR</w:t>
      </w:r>
      <w:proofErr w:type="spellEnd"/>
      <w:r w:rsidRPr="00634082">
        <w:rPr>
          <w:sz w:val="22"/>
          <w:szCs w:val="22"/>
        </w:rPr>
        <w:t>: 0.30, 95% CI: 0.18–0.51) and 75% lower odds of preterm birth (</w:t>
      </w:r>
      <w:proofErr w:type="spellStart"/>
      <w:r w:rsidRPr="00634082">
        <w:rPr>
          <w:sz w:val="22"/>
          <w:szCs w:val="22"/>
        </w:rPr>
        <w:t>aOR</w:t>
      </w:r>
      <w:proofErr w:type="spellEnd"/>
      <w:r w:rsidRPr="00634082">
        <w:rPr>
          <w:sz w:val="22"/>
          <w:szCs w:val="22"/>
        </w:rPr>
        <w:t xml:space="preserve">: 0.25, 95% CI: 0.12–0.53) compared to those with no formal education. </w:t>
      </w:r>
      <w:r w:rsidR="00140674" w:rsidRPr="00634082">
        <w:rPr>
          <w:rStyle w:val="Strong"/>
          <w:b w:val="0"/>
          <w:sz w:val="22"/>
          <w:szCs w:val="22"/>
          <w:shd w:val="clear" w:color="auto" w:fill="FFFFFF"/>
        </w:rPr>
        <w:t>Subgroup analyses revealed that the protective association between maternal education and improved pregnancy ou</w:t>
      </w:r>
      <w:bookmarkStart w:id="0" w:name="_GoBack"/>
      <w:bookmarkEnd w:id="0"/>
      <w:r w:rsidR="00140674" w:rsidRPr="00634082">
        <w:rPr>
          <w:rStyle w:val="Strong"/>
          <w:b w:val="0"/>
          <w:sz w:val="22"/>
          <w:szCs w:val="22"/>
          <w:shd w:val="clear" w:color="auto" w:fill="FFFFFF"/>
        </w:rPr>
        <w:t xml:space="preserve">tcomes was particularly pronounced among women residing in rural areas and those with fewer antenatal care (ANC) visits. This finding suggests that maternal education may serve as a compensatory mechanism in resource-constrained settings where healthcare access is limited. In contexts characterized by extreme poverty, where health facilities may be inaccessible or of suboptimal quality, and where water and sanitation infrastructure </w:t>
      </w:r>
      <w:proofErr w:type="gramStart"/>
      <w:r w:rsidR="00140674" w:rsidRPr="00634082">
        <w:rPr>
          <w:rStyle w:val="Strong"/>
          <w:b w:val="0"/>
          <w:sz w:val="22"/>
          <w:szCs w:val="22"/>
          <w:shd w:val="clear" w:color="auto" w:fill="FFFFFF"/>
        </w:rPr>
        <w:t>remains</w:t>
      </w:r>
      <w:proofErr w:type="gramEnd"/>
      <w:r w:rsidR="00140674" w:rsidRPr="00634082">
        <w:rPr>
          <w:rStyle w:val="Strong"/>
          <w:b w:val="0"/>
          <w:sz w:val="22"/>
          <w:szCs w:val="22"/>
          <w:shd w:val="clear" w:color="auto" w:fill="FFFFFF"/>
        </w:rPr>
        <w:t xml:space="preserve"> inadequate, maternal education appears to play an even more critical role in safeguarding child health outcomes. These observations align with the conceptual framework that positions education as a key social determinant capable of mitigating systemic healthcare deficiencies through enhanced health literacy, improved health-seeking behaviors, and greater autonomy in health decision-making.</w:t>
      </w:r>
    </w:p>
    <w:p w:rsidR="00EF3EEE" w:rsidRPr="00634082" w:rsidRDefault="00A74258" w:rsidP="00501666">
      <w:pPr>
        <w:pStyle w:val="ds-markdown-paragraph"/>
        <w:shd w:val="clear" w:color="auto" w:fill="FFFFFF"/>
        <w:spacing w:before="0" w:beforeAutospacing="0" w:after="0" w:afterAutospacing="0"/>
        <w:jc w:val="both"/>
        <w:rPr>
          <w:sz w:val="22"/>
          <w:szCs w:val="22"/>
          <w:shd w:val="clear" w:color="auto" w:fill="FFFFFF"/>
        </w:rPr>
      </w:pPr>
      <w:r w:rsidRPr="00634082">
        <w:rPr>
          <w:sz w:val="22"/>
          <w:szCs w:val="22"/>
        </w:rPr>
        <w:t>The findings align w</w:t>
      </w:r>
      <w:r w:rsidR="007E7ADE" w:rsidRPr="00634082">
        <w:rPr>
          <w:sz w:val="22"/>
          <w:szCs w:val="22"/>
        </w:rPr>
        <w:t>ith global evidence underlining</w:t>
      </w:r>
      <w:r w:rsidRPr="00634082">
        <w:rPr>
          <w:sz w:val="22"/>
          <w:szCs w:val="22"/>
        </w:rPr>
        <w:t xml:space="preserve"> the critical role of maternal education in improving maternal and child health outcomes</w:t>
      </w:r>
      <w:r w:rsidR="007E7ADE" w:rsidRPr="00634082">
        <w:rPr>
          <w:sz w:val="22"/>
          <w:szCs w:val="22"/>
        </w:rPr>
        <w:t xml:space="preserve"> (</w:t>
      </w:r>
      <w:r w:rsidR="00416B40" w:rsidRPr="00634082">
        <w:rPr>
          <w:sz w:val="22"/>
          <w:szCs w:val="22"/>
        </w:rPr>
        <w:t xml:space="preserve">Le and Nguyen, 2020; </w:t>
      </w:r>
      <w:r w:rsidR="007E7ADE" w:rsidRPr="00634082">
        <w:rPr>
          <w:sz w:val="22"/>
          <w:szCs w:val="22"/>
        </w:rPr>
        <w:t xml:space="preserve">Mensch </w:t>
      </w:r>
      <w:r w:rsidR="007E7ADE" w:rsidRPr="00634082">
        <w:rPr>
          <w:i/>
          <w:sz w:val="22"/>
          <w:szCs w:val="22"/>
        </w:rPr>
        <w:t>et al.,</w:t>
      </w:r>
      <w:r w:rsidR="007E7ADE" w:rsidRPr="00634082">
        <w:rPr>
          <w:sz w:val="22"/>
          <w:szCs w:val="22"/>
        </w:rPr>
        <w:t xml:space="preserve"> 2019</w:t>
      </w:r>
      <w:r w:rsidR="00E77B7D" w:rsidRPr="00634082">
        <w:rPr>
          <w:sz w:val="22"/>
          <w:szCs w:val="22"/>
        </w:rPr>
        <w:t xml:space="preserve">; </w:t>
      </w:r>
      <w:r w:rsidR="00DF6DA9" w:rsidRPr="00634082">
        <w:rPr>
          <w:sz w:val="22"/>
          <w:szCs w:val="22"/>
          <w:shd w:val="clear" w:color="auto" w:fill="FFFFFF"/>
        </w:rPr>
        <w:t xml:space="preserve">Nobles and </w:t>
      </w:r>
      <w:r w:rsidR="00A6529C" w:rsidRPr="00634082">
        <w:rPr>
          <w:sz w:val="22"/>
          <w:szCs w:val="22"/>
          <w:shd w:val="clear" w:color="auto" w:fill="FFFFFF"/>
        </w:rPr>
        <w:t>Frankenberg</w:t>
      </w:r>
      <w:r w:rsidR="00DF6DA9" w:rsidRPr="00634082">
        <w:rPr>
          <w:sz w:val="22"/>
          <w:szCs w:val="22"/>
          <w:shd w:val="clear" w:color="auto" w:fill="FFFFFF"/>
        </w:rPr>
        <w:t xml:space="preserve">, </w:t>
      </w:r>
      <w:r w:rsidR="00A6529C" w:rsidRPr="00634082">
        <w:rPr>
          <w:sz w:val="22"/>
          <w:szCs w:val="22"/>
          <w:shd w:val="clear" w:color="auto" w:fill="FFFFFF"/>
        </w:rPr>
        <w:t xml:space="preserve">2009; </w:t>
      </w:r>
      <w:r w:rsidR="00441992" w:rsidRPr="00634082">
        <w:rPr>
          <w:rStyle w:val="HTMLCite"/>
          <w:i w:val="0"/>
          <w:iCs w:val="0"/>
          <w:sz w:val="22"/>
          <w:szCs w:val="22"/>
          <w:shd w:val="clear" w:color="auto" w:fill="FFFFFF"/>
        </w:rPr>
        <w:t xml:space="preserve">Cleland and van </w:t>
      </w:r>
      <w:proofErr w:type="spellStart"/>
      <w:r w:rsidR="00441992" w:rsidRPr="00634082">
        <w:rPr>
          <w:rStyle w:val="HTMLCite"/>
          <w:i w:val="0"/>
          <w:iCs w:val="0"/>
          <w:sz w:val="22"/>
          <w:szCs w:val="22"/>
          <w:shd w:val="clear" w:color="auto" w:fill="FFFFFF"/>
        </w:rPr>
        <w:t>Ginneken</w:t>
      </w:r>
      <w:proofErr w:type="spellEnd"/>
      <w:r w:rsidR="00441992" w:rsidRPr="00634082">
        <w:rPr>
          <w:sz w:val="22"/>
          <w:szCs w:val="22"/>
          <w:shd w:val="clear" w:color="auto" w:fill="FFFFFF"/>
        </w:rPr>
        <w:t xml:space="preserve">, 2008; </w:t>
      </w:r>
      <w:proofErr w:type="spellStart"/>
      <w:r w:rsidR="006C49CE" w:rsidRPr="00634082">
        <w:rPr>
          <w:sz w:val="22"/>
          <w:szCs w:val="22"/>
          <w:shd w:val="clear" w:color="auto" w:fill="FFFFFF"/>
        </w:rPr>
        <w:t>Filippi</w:t>
      </w:r>
      <w:proofErr w:type="spellEnd"/>
      <w:r w:rsidR="006C49CE" w:rsidRPr="00634082">
        <w:rPr>
          <w:sz w:val="22"/>
          <w:szCs w:val="22"/>
          <w:shd w:val="clear" w:color="auto" w:fill="FFFFFF"/>
        </w:rPr>
        <w:t xml:space="preserve"> </w:t>
      </w:r>
      <w:r w:rsidR="006C49CE" w:rsidRPr="00634082">
        <w:rPr>
          <w:i/>
          <w:sz w:val="22"/>
          <w:szCs w:val="22"/>
          <w:shd w:val="clear" w:color="auto" w:fill="FFFFFF"/>
        </w:rPr>
        <w:t>et al.,</w:t>
      </w:r>
      <w:r w:rsidR="006C49CE" w:rsidRPr="00634082">
        <w:rPr>
          <w:sz w:val="22"/>
          <w:szCs w:val="22"/>
          <w:shd w:val="clear" w:color="auto" w:fill="FFFFFF"/>
        </w:rPr>
        <w:t xml:space="preserve"> 2006; </w:t>
      </w:r>
      <w:proofErr w:type="spellStart"/>
      <w:r w:rsidR="00E77B7D" w:rsidRPr="00634082">
        <w:rPr>
          <w:sz w:val="22"/>
          <w:szCs w:val="22"/>
          <w:shd w:val="clear" w:color="auto" w:fill="FFFFFF"/>
        </w:rPr>
        <w:t>Demeny</w:t>
      </w:r>
      <w:proofErr w:type="spellEnd"/>
      <w:r w:rsidR="00E77B7D" w:rsidRPr="00634082">
        <w:rPr>
          <w:sz w:val="22"/>
          <w:szCs w:val="22"/>
          <w:shd w:val="clear" w:color="auto" w:fill="FFFFFF"/>
        </w:rPr>
        <w:t xml:space="preserve"> and </w:t>
      </w:r>
      <w:proofErr w:type="spellStart"/>
      <w:r w:rsidR="00E77B7D" w:rsidRPr="00634082">
        <w:rPr>
          <w:sz w:val="22"/>
          <w:szCs w:val="22"/>
          <w:shd w:val="clear" w:color="auto" w:fill="FFFFFF"/>
        </w:rPr>
        <w:t>McNicoll</w:t>
      </w:r>
      <w:proofErr w:type="spellEnd"/>
      <w:r w:rsidR="00E77B7D" w:rsidRPr="00634082">
        <w:rPr>
          <w:sz w:val="22"/>
          <w:szCs w:val="22"/>
          <w:shd w:val="clear" w:color="auto" w:fill="FFFFFF"/>
        </w:rPr>
        <w:t>, 2003</w:t>
      </w:r>
      <w:r w:rsidR="007E55A7" w:rsidRPr="00634082">
        <w:rPr>
          <w:sz w:val="22"/>
          <w:szCs w:val="22"/>
          <w:shd w:val="clear" w:color="auto" w:fill="FFFFFF"/>
        </w:rPr>
        <w:t xml:space="preserve">; </w:t>
      </w:r>
      <w:proofErr w:type="spellStart"/>
      <w:r w:rsidR="007E55A7" w:rsidRPr="00634082">
        <w:rPr>
          <w:sz w:val="22"/>
          <w:szCs w:val="22"/>
          <w:shd w:val="clear" w:color="auto" w:fill="FFFFFF"/>
        </w:rPr>
        <w:t>Jejeebhoy</w:t>
      </w:r>
      <w:proofErr w:type="spellEnd"/>
      <w:r w:rsidR="007E55A7" w:rsidRPr="00634082">
        <w:rPr>
          <w:sz w:val="22"/>
          <w:szCs w:val="22"/>
          <w:shd w:val="clear" w:color="auto" w:fill="FFFFFF"/>
        </w:rPr>
        <w:t xml:space="preserve"> and </w:t>
      </w:r>
      <w:proofErr w:type="spellStart"/>
      <w:r w:rsidR="007E55A7" w:rsidRPr="00634082">
        <w:rPr>
          <w:sz w:val="22"/>
          <w:szCs w:val="22"/>
          <w:shd w:val="clear" w:color="auto" w:fill="FFFFFF"/>
        </w:rPr>
        <w:t>Sathar</w:t>
      </w:r>
      <w:proofErr w:type="spellEnd"/>
      <w:r w:rsidR="007E55A7" w:rsidRPr="00634082">
        <w:rPr>
          <w:sz w:val="22"/>
          <w:szCs w:val="22"/>
          <w:shd w:val="clear" w:color="auto" w:fill="FFFFFF"/>
        </w:rPr>
        <w:t>, 2001</w:t>
      </w:r>
      <w:r w:rsidR="007E7ADE" w:rsidRPr="00634082">
        <w:rPr>
          <w:sz w:val="22"/>
          <w:szCs w:val="22"/>
        </w:rPr>
        <w:t>)</w:t>
      </w:r>
      <w:r w:rsidRPr="00634082">
        <w:rPr>
          <w:sz w:val="22"/>
          <w:szCs w:val="22"/>
        </w:rPr>
        <w:t xml:space="preserve">. For example, Paul </w:t>
      </w:r>
      <w:r w:rsidRPr="00634082">
        <w:rPr>
          <w:i/>
          <w:sz w:val="22"/>
          <w:szCs w:val="22"/>
        </w:rPr>
        <w:t>et al</w:t>
      </w:r>
      <w:r w:rsidRPr="00634082">
        <w:rPr>
          <w:sz w:val="22"/>
          <w:szCs w:val="22"/>
        </w:rPr>
        <w:t xml:space="preserve">. (2022) demonstrated that each additional year of maternal education in India was associated with a 9% reduction in under-five mortality, mirroring the dose-response relationship observed in The Gambia. Similarly, </w:t>
      </w:r>
      <w:proofErr w:type="spellStart"/>
      <w:r w:rsidRPr="00634082">
        <w:rPr>
          <w:sz w:val="22"/>
          <w:szCs w:val="22"/>
        </w:rPr>
        <w:t>Moradhvaj</w:t>
      </w:r>
      <w:proofErr w:type="spellEnd"/>
      <w:r w:rsidRPr="00634082">
        <w:rPr>
          <w:sz w:val="22"/>
          <w:szCs w:val="22"/>
        </w:rPr>
        <w:t xml:space="preserve"> and Samir (2023) found that maternal education significantly reduced under-five mortality in rural India, with effects comparable to those reported in this study. In sub-Saharan Africa, </w:t>
      </w:r>
      <w:proofErr w:type="spellStart"/>
      <w:r w:rsidRPr="00634082">
        <w:rPr>
          <w:sz w:val="22"/>
          <w:szCs w:val="22"/>
        </w:rPr>
        <w:t>Ketema</w:t>
      </w:r>
      <w:proofErr w:type="spellEnd"/>
      <w:r w:rsidRPr="00634082">
        <w:rPr>
          <w:sz w:val="22"/>
          <w:szCs w:val="22"/>
        </w:rPr>
        <w:t xml:space="preserve"> </w:t>
      </w:r>
      <w:r w:rsidRPr="00634082">
        <w:rPr>
          <w:i/>
          <w:sz w:val="22"/>
          <w:szCs w:val="22"/>
        </w:rPr>
        <w:t>et al</w:t>
      </w:r>
      <w:r w:rsidRPr="00634082">
        <w:rPr>
          <w:sz w:val="22"/>
          <w:szCs w:val="22"/>
        </w:rPr>
        <w:t>. (2020) conducted a meta-analysis showing that educated mothers were more likely to engage in birth preparedness and complication readiness, lead</w:t>
      </w:r>
      <w:r w:rsidR="008257A4" w:rsidRPr="00634082">
        <w:rPr>
          <w:sz w:val="22"/>
          <w:szCs w:val="22"/>
        </w:rPr>
        <w:t xml:space="preserve">ing to better neonatal outcomes </w:t>
      </w:r>
      <w:r w:rsidRPr="00634082">
        <w:rPr>
          <w:sz w:val="22"/>
          <w:szCs w:val="22"/>
        </w:rPr>
        <w:t>a trend consistent with the Gambian data.</w:t>
      </w:r>
      <w:r w:rsidR="00280D92" w:rsidRPr="00634082">
        <w:rPr>
          <w:sz w:val="22"/>
          <w:szCs w:val="22"/>
        </w:rPr>
        <w:t xml:space="preserve"> </w:t>
      </w:r>
      <w:r w:rsidR="00AA4224" w:rsidRPr="00634082">
        <w:rPr>
          <w:sz w:val="22"/>
          <w:szCs w:val="22"/>
          <w:shd w:val="clear" w:color="auto" w:fill="FFFFFF"/>
        </w:rPr>
        <w:t xml:space="preserve">For instance, studies in Nigeria (Smith-Greenaway et al., 2013; Babalola, 2009) emphasize that educated women exhibit greater autonomy in health decision-making, including fertility control and healthcare utilization. Similarly, research in </w:t>
      </w:r>
      <w:r w:rsidR="008851CE" w:rsidRPr="00634082">
        <w:rPr>
          <w:sz w:val="22"/>
          <w:szCs w:val="22"/>
          <w:shd w:val="clear" w:color="auto" w:fill="FFFFFF"/>
        </w:rPr>
        <w:t xml:space="preserve">Tehran, </w:t>
      </w:r>
      <w:r w:rsidR="002256D3" w:rsidRPr="00634082">
        <w:rPr>
          <w:sz w:val="22"/>
          <w:szCs w:val="22"/>
          <w:shd w:val="clear" w:color="auto" w:fill="FFFFFF"/>
        </w:rPr>
        <w:t>Iran (</w:t>
      </w:r>
      <w:proofErr w:type="spellStart"/>
      <w:r w:rsidR="00EB3A51">
        <w:fldChar w:fldCharType="begin"/>
      </w:r>
      <w:r w:rsidR="00EB3A51">
        <w:instrText xml:space="preserve"> HYPERLINK "https://pubmed.ncbi.nlm.nih.gov/?term=%22Rezaeizadeh%20G%22%5BAuthor%5D" </w:instrText>
      </w:r>
      <w:r w:rsidR="00EB3A51">
        <w:fldChar w:fldCharType="separate"/>
      </w:r>
      <w:r w:rsidR="002256D3" w:rsidRPr="00634082">
        <w:rPr>
          <w:rStyle w:val="name"/>
          <w:rFonts w:eastAsiaTheme="majorEastAsia"/>
          <w:sz w:val="22"/>
          <w:szCs w:val="22"/>
          <w:shd w:val="clear" w:color="auto" w:fill="FFFFFF"/>
        </w:rPr>
        <w:t>Rezaeizadeh</w:t>
      </w:r>
      <w:proofErr w:type="spellEnd"/>
      <w:r w:rsidR="00EB3A51">
        <w:rPr>
          <w:rStyle w:val="name"/>
          <w:rFonts w:eastAsiaTheme="majorEastAsia"/>
          <w:sz w:val="22"/>
          <w:szCs w:val="22"/>
          <w:shd w:val="clear" w:color="auto" w:fill="FFFFFF"/>
        </w:rPr>
        <w:fldChar w:fldCharType="end"/>
      </w:r>
      <w:r w:rsidR="002256D3" w:rsidRPr="00634082">
        <w:rPr>
          <w:sz w:val="22"/>
          <w:szCs w:val="22"/>
          <w:shd w:val="clear" w:color="auto" w:fill="FFFFFF"/>
        </w:rPr>
        <w:t xml:space="preserve"> </w:t>
      </w:r>
      <w:r w:rsidR="002256D3" w:rsidRPr="00634082">
        <w:rPr>
          <w:i/>
          <w:sz w:val="22"/>
          <w:szCs w:val="22"/>
          <w:shd w:val="clear" w:color="auto" w:fill="FFFFFF"/>
        </w:rPr>
        <w:t>et al.,</w:t>
      </w:r>
      <w:r w:rsidR="002256D3" w:rsidRPr="00634082">
        <w:rPr>
          <w:sz w:val="22"/>
          <w:szCs w:val="22"/>
          <w:shd w:val="clear" w:color="auto" w:fill="FFFFFF"/>
        </w:rPr>
        <w:t xml:space="preserve"> 2024), </w:t>
      </w:r>
      <w:r w:rsidR="0085038B" w:rsidRPr="00634082">
        <w:rPr>
          <w:sz w:val="22"/>
          <w:szCs w:val="22"/>
          <w:shd w:val="clear" w:color="auto" w:fill="FFFFFF"/>
        </w:rPr>
        <w:t xml:space="preserve">Western Kenya (Maldonado </w:t>
      </w:r>
      <w:r w:rsidR="0085038B" w:rsidRPr="00634082">
        <w:rPr>
          <w:i/>
          <w:sz w:val="22"/>
          <w:szCs w:val="22"/>
          <w:shd w:val="clear" w:color="auto" w:fill="FFFFFF"/>
        </w:rPr>
        <w:t>et al.,</w:t>
      </w:r>
      <w:r w:rsidR="0085038B" w:rsidRPr="00634082">
        <w:rPr>
          <w:sz w:val="22"/>
          <w:szCs w:val="22"/>
          <w:shd w:val="clear" w:color="auto" w:fill="FFFFFF"/>
        </w:rPr>
        <w:t xml:space="preserve"> 2020); </w:t>
      </w:r>
      <w:r w:rsidR="00AA4224" w:rsidRPr="00634082">
        <w:rPr>
          <w:sz w:val="22"/>
          <w:szCs w:val="22"/>
          <w:shd w:val="clear" w:color="auto" w:fill="FFFFFF"/>
        </w:rPr>
        <w:t>Nepal (Joshi et al., 1994), India (</w:t>
      </w:r>
      <w:proofErr w:type="spellStart"/>
      <w:r w:rsidR="005D40EF" w:rsidRPr="00634082">
        <w:rPr>
          <w:sz w:val="22"/>
          <w:szCs w:val="22"/>
        </w:rPr>
        <w:t>Vhawal</w:t>
      </w:r>
      <w:proofErr w:type="spellEnd"/>
      <w:r w:rsidR="005D40EF" w:rsidRPr="00634082">
        <w:rPr>
          <w:sz w:val="22"/>
          <w:szCs w:val="22"/>
          <w:shd w:val="clear" w:color="auto" w:fill="FFFFFF"/>
        </w:rPr>
        <w:t xml:space="preserve"> </w:t>
      </w:r>
      <w:r w:rsidR="005D40EF" w:rsidRPr="00634082">
        <w:rPr>
          <w:i/>
          <w:sz w:val="22"/>
          <w:szCs w:val="22"/>
          <w:shd w:val="clear" w:color="auto" w:fill="FFFFFF"/>
        </w:rPr>
        <w:t>et al.,</w:t>
      </w:r>
      <w:r w:rsidR="005D40EF" w:rsidRPr="00634082">
        <w:rPr>
          <w:sz w:val="22"/>
          <w:szCs w:val="22"/>
          <w:shd w:val="clear" w:color="auto" w:fill="FFFFFF"/>
        </w:rPr>
        <w:t xml:space="preserve"> 2024; </w:t>
      </w:r>
      <w:r w:rsidR="00AA4224" w:rsidRPr="00634082">
        <w:rPr>
          <w:sz w:val="22"/>
          <w:szCs w:val="22"/>
          <w:shd w:val="clear" w:color="auto" w:fill="FFFFFF"/>
        </w:rPr>
        <w:t>Vikram et al., 2012; Bloom et al., 2001), Vietnam</w:t>
      </w:r>
      <w:r w:rsidR="00AA4224" w:rsidRPr="00634082">
        <w:rPr>
          <w:sz w:val="22"/>
          <w:szCs w:val="22"/>
        </w:rPr>
        <w:t xml:space="preserve"> (</w:t>
      </w:r>
      <w:r w:rsidR="00AA4224" w:rsidRPr="00634082">
        <w:rPr>
          <w:sz w:val="22"/>
          <w:szCs w:val="22"/>
          <w:shd w:val="clear" w:color="auto" w:fill="FFFFFF"/>
        </w:rPr>
        <w:t>Harpham</w:t>
      </w:r>
      <w:r w:rsidR="00822F54" w:rsidRPr="00634082">
        <w:rPr>
          <w:sz w:val="22"/>
          <w:szCs w:val="22"/>
        </w:rPr>
        <w:t xml:space="preserve"> </w:t>
      </w:r>
      <w:r w:rsidR="00AA4224" w:rsidRPr="00634082">
        <w:rPr>
          <w:i/>
          <w:sz w:val="22"/>
          <w:szCs w:val="22"/>
        </w:rPr>
        <w:t>et al.,</w:t>
      </w:r>
      <w:r w:rsidR="00AA4224" w:rsidRPr="00634082">
        <w:rPr>
          <w:sz w:val="22"/>
          <w:szCs w:val="22"/>
        </w:rPr>
        <w:t xml:space="preserve"> 2006)</w:t>
      </w:r>
      <w:r w:rsidR="00AA4224" w:rsidRPr="00634082">
        <w:rPr>
          <w:sz w:val="22"/>
          <w:szCs w:val="22"/>
          <w:shd w:val="clear" w:color="auto" w:fill="FFFFFF"/>
        </w:rPr>
        <w:t>, and Bangladesh (Amin &amp; Li, 1997) consistently links maternal education with reduced child mortality and improved birth outcomes.</w:t>
      </w:r>
      <w:r w:rsidR="00444A18" w:rsidRPr="00634082">
        <w:rPr>
          <w:sz w:val="22"/>
          <w:szCs w:val="22"/>
          <w:shd w:val="clear" w:color="auto" w:fill="FFFFFF"/>
        </w:rPr>
        <w:t xml:space="preserve"> </w:t>
      </w:r>
    </w:p>
    <w:p w:rsidR="00444A18" w:rsidRPr="00634082" w:rsidRDefault="00444A18" w:rsidP="00501666">
      <w:pPr>
        <w:pStyle w:val="ds-markdown-paragraph"/>
        <w:shd w:val="clear" w:color="auto" w:fill="FFFFFF"/>
        <w:spacing w:before="0" w:beforeAutospacing="0" w:after="0" w:afterAutospacing="0"/>
        <w:jc w:val="both"/>
        <w:rPr>
          <w:sz w:val="22"/>
          <w:szCs w:val="22"/>
        </w:rPr>
      </w:pPr>
      <w:r w:rsidRPr="00634082">
        <w:rPr>
          <w:sz w:val="22"/>
          <w:szCs w:val="22"/>
        </w:rPr>
        <w:t>Additionally, maternal education plays a crucial role in shaping decision</w:t>
      </w:r>
      <w:r w:rsidR="00C04417" w:rsidRPr="00634082">
        <w:rPr>
          <w:sz w:val="22"/>
          <w:szCs w:val="22"/>
        </w:rPr>
        <w:t xml:space="preserve"> </w:t>
      </w:r>
      <w:r w:rsidRPr="00634082">
        <w:rPr>
          <w:sz w:val="22"/>
          <w:szCs w:val="22"/>
        </w:rPr>
        <w:t>making processes within households, particularly regarding healthcare utilization and health-related behaviors. Educated mothers are more likely to have autonomy and agency in decision-making, enabling them to prioritize their children's health and well-being. They are better equipped to understand the importance of preventive healthcare measures such as vaccination and to advocate for their children's health needs within the family context. Moreover, maternal education may lead to more equitable decision-making dynamics within households, empowering women to assert their preferences and opinions regarding healthcare choices for their children</w:t>
      </w:r>
    </w:p>
    <w:p w:rsidR="00501666" w:rsidRPr="00634082" w:rsidRDefault="00A74783" w:rsidP="00501666">
      <w:pPr>
        <w:pStyle w:val="ds-markdown-paragraph"/>
        <w:shd w:val="clear" w:color="auto" w:fill="FFFFFF"/>
        <w:spacing w:before="0" w:beforeAutospacing="0" w:after="0" w:afterAutospacing="0"/>
        <w:jc w:val="both"/>
        <w:rPr>
          <w:sz w:val="22"/>
          <w:szCs w:val="22"/>
          <w:shd w:val="clear" w:color="auto" w:fill="FFFFFF"/>
        </w:rPr>
      </w:pPr>
      <w:r w:rsidRPr="00634082">
        <w:rPr>
          <w:sz w:val="22"/>
          <w:szCs w:val="22"/>
          <w:shd w:val="clear" w:color="auto" w:fill="FFFFFF"/>
        </w:rPr>
        <w:t>Notably, the protective effects of maternal education exhibit important contextual variations. Research in Nigeria (Akpan et al., 2024) and Uganda (Masuda, 2020) demonstrates that entrenched cultural norms</w:t>
      </w:r>
      <w:r w:rsidR="00CB4B43" w:rsidRPr="00634082">
        <w:rPr>
          <w:sz w:val="22"/>
          <w:szCs w:val="22"/>
          <w:shd w:val="clear" w:color="auto" w:fill="FFFFFF"/>
        </w:rPr>
        <w:t xml:space="preserve"> </w:t>
      </w:r>
      <w:r w:rsidRPr="00634082">
        <w:rPr>
          <w:sz w:val="22"/>
          <w:szCs w:val="22"/>
          <w:shd w:val="clear" w:color="auto" w:fill="FFFFFF"/>
        </w:rPr>
        <w:t>and high disease burdens (e.g., endemic malaria) can substantially attenu</w:t>
      </w:r>
      <w:r w:rsidR="004B2ADC" w:rsidRPr="00634082">
        <w:rPr>
          <w:sz w:val="22"/>
          <w:szCs w:val="22"/>
          <w:shd w:val="clear" w:color="auto" w:fill="FFFFFF"/>
        </w:rPr>
        <w:t>ate education's health benefits,</w:t>
      </w:r>
      <w:r w:rsidRPr="00634082">
        <w:rPr>
          <w:sz w:val="22"/>
          <w:szCs w:val="22"/>
          <w:shd w:val="clear" w:color="auto" w:fill="FFFFFF"/>
        </w:rPr>
        <w:t xml:space="preserve"> a finding corroborated by the present study's observation that socioeconomic status mediated 20-30% of education's protective effects. </w:t>
      </w:r>
      <w:r w:rsidR="00FF76B1" w:rsidRPr="00634082">
        <w:rPr>
          <w:sz w:val="22"/>
          <w:szCs w:val="22"/>
          <w:shd w:val="clear" w:color="auto" w:fill="FFFFFF"/>
        </w:rPr>
        <w:t>Conversely</w:t>
      </w:r>
      <w:r w:rsidRPr="00634082">
        <w:rPr>
          <w:sz w:val="22"/>
          <w:szCs w:val="22"/>
          <w:shd w:val="clear" w:color="auto" w:fill="FFFFFF"/>
        </w:rPr>
        <w:t xml:space="preserve">, </w:t>
      </w:r>
      <w:proofErr w:type="spellStart"/>
      <w:r w:rsidR="000B7C9B" w:rsidRPr="00634082">
        <w:rPr>
          <w:sz w:val="22"/>
          <w:szCs w:val="22"/>
          <w:shd w:val="clear" w:color="auto" w:fill="FFFFFF"/>
        </w:rPr>
        <w:t>Mench</w:t>
      </w:r>
      <w:proofErr w:type="spellEnd"/>
      <w:r w:rsidRPr="00634082">
        <w:rPr>
          <w:sz w:val="22"/>
          <w:szCs w:val="22"/>
          <w:shd w:val="clear" w:color="auto" w:fill="FFFFFF"/>
        </w:rPr>
        <w:t xml:space="preserve"> </w:t>
      </w:r>
      <w:r w:rsidR="000B7C9B" w:rsidRPr="00634082">
        <w:rPr>
          <w:i/>
          <w:sz w:val="22"/>
          <w:szCs w:val="22"/>
          <w:shd w:val="clear" w:color="auto" w:fill="FFFFFF"/>
        </w:rPr>
        <w:t xml:space="preserve">et al. </w:t>
      </w:r>
      <w:r w:rsidR="000B7C9B" w:rsidRPr="00634082">
        <w:rPr>
          <w:sz w:val="22"/>
          <w:szCs w:val="22"/>
          <w:shd w:val="clear" w:color="auto" w:fill="FFFFFF"/>
        </w:rPr>
        <w:t>(2019</w:t>
      </w:r>
      <w:r w:rsidRPr="00634082">
        <w:rPr>
          <w:sz w:val="22"/>
          <w:szCs w:val="22"/>
          <w:shd w:val="clear" w:color="auto" w:fill="FFFFFF"/>
        </w:rPr>
        <w:t xml:space="preserve">) </w:t>
      </w:r>
      <w:r w:rsidR="00FF76B1" w:rsidRPr="00634082">
        <w:rPr>
          <w:sz w:val="22"/>
          <w:szCs w:val="22"/>
          <w:shd w:val="clear" w:color="auto" w:fill="FFFFFF"/>
        </w:rPr>
        <w:t>systematic review</w:t>
      </w:r>
      <w:r w:rsidRPr="00634082">
        <w:rPr>
          <w:sz w:val="22"/>
          <w:szCs w:val="22"/>
          <w:shd w:val="clear" w:color="auto" w:fill="FFFFFF"/>
        </w:rPr>
        <w:t xml:space="preserve"> </w:t>
      </w:r>
      <w:r w:rsidR="00033052" w:rsidRPr="00634082">
        <w:rPr>
          <w:sz w:val="22"/>
          <w:szCs w:val="22"/>
          <w:shd w:val="clear" w:color="auto" w:fill="FFFFFF"/>
        </w:rPr>
        <w:t>illustrates</w:t>
      </w:r>
      <w:r w:rsidR="005000C0" w:rsidRPr="00634082">
        <w:rPr>
          <w:sz w:val="22"/>
          <w:szCs w:val="22"/>
          <w:shd w:val="clear" w:color="auto" w:fill="FFFFFF"/>
        </w:rPr>
        <w:t xml:space="preserve"> stronger health returns from education, potentially attributable to the country's higher female literacy rates (compared to </w:t>
      </w:r>
      <w:r w:rsidR="005000C0" w:rsidRPr="00634082">
        <w:rPr>
          <w:sz w:val="22"/>
          <w:szCs w:val="22"/>
          <w:shd w:val="clear" w:color="auto" w:fill="FFFFFF"/>
        </w:rPr>
        <w:lastRenderedPageBreak/>
        <w:t>The Gambia's 52.3%) and more developed healthcare infrastructure. These differential outcomes highlight the complex interplay between education and contextual factors in shaping health disparities.</w:t>
      </w:r>
      <w:r w:rsidR="00CB4B43" w:rsidRPr="00634082">
        <w:rPr>
          <w:sz w:val="22"/>
          <w:szCs w:val="22"/>
          <w:shd w:val="clear" w:color="auto" w:fill="FFFFFF"/>
        </w:rPr>
        <w:t xml:space="preserve"> </w:t>
      </w:r>
    </w:p>
    <w:p w:rsidR="00501666" w:rsidRPr="00634082" w:rsidRDefault="0052213B" w:rsidP="00501666">
      <w:pPr>
        <w:pStyle w:val="ds-markdown-paragraph"/>
        <w:shd w:val="clear" w:color="auto" w:fill="FFFFFF"/>
        <w:spacing w:before="0" w:beforeAutospacing="0" w:after="0" w:afterAutospacing="0"/>
        <w:jc w:val="both"/>
        <w:rPr>
          <w:sz w:val="22"/>
          <w:szCs w:val="22"/>
        </w:rPr>
      </w:pPr>
      <w:r w:rsidRPr="00634082">
        <w:rPr>
          <w:sz w:val="22"/>
          <w:szCs w:val="22"/>
        </w:rPr>
        <w:t>The mechanisms underlying education's health benefits remain an area of active investigation, with several plausible pathways emerging:</w:t>
      </w:r>
      <w:r w:rsidR="004C21E0" w:rsidRPr="00634082">
        <w:rPr>
          <w:sz w:val="22"/>
          <w:szCs w:val="22"/>
        </w:rPr>
        <w:t xml:space="preserve"> (</w:t>
      </w:r>
      <w:proofErr w:type="spellStart"/>
      <w:r w:rsidR="00346FA1" w:rsidRPr="00634082">
        <w:rPr>
          <w:sz w:val="22"/>
          <w:szCs w:val="22"/>
        </w:rPr>
        <w:t>i</w:t>
      </w:r>
      <w:proofErr w:type="spellEnd"/>
      <w:r w:rsidR="004C21E0" w:rsidRPr="00634082">
        <w:rPr>
          <w:sz w:val="22"/>
          <w:szCs w:val="22"/>
        </w:rPr>
        <w:t xml:space="preserve">) </w:t>
      </w:r>
      <w:r w:rsidRPr="00634082">
        <w:rPr>
          <w:bCs/>
          <w:sz w:val="22"/>
          <w:szCs w:val="22"/>
        </w:rPr>
        <w:t>Cognitive and Health Literacy Pathway</w:t>
      </w:r>
      <w:r w:rsidRPr="00634082">
        <w:rPr>
          <w:sz w:val="22"/>
          <w:szCs w:val="22"/>
        </w:rPr>
        <w:t>: Formal education may enhance health knowledge acquisition and processing capabilities, enabling mothers to better understand and act upon health information (</w:t>
      </w:r>
      <w:r w:rsidR="00FE64A2" w:rsidRPr="00634082">
        <w:rPr>
          <w:rStyle w:val="HTMLCite"/>
          <w:i w:val="0"/>
          <w:iCs w:val="0"/>
          <w:sz w:val="22"/>
          <w:szCs w:val="22"/>
          <w:shd w:val="clear" w:color="auto" w:fill="FFFFFF"/>
        </w:rPr>
        <w:t>Lutz and Kebede, 2018</w:t>
      </w:r>
      <w:r w:rsidRPr="00634082">
        <w:rPr>
          <w:sz w:val="22"/>
          <w:szCs w:val="22"/>
        </w:rPr>
        <w:t xml:space="preserve">). This includes challenging traditional disease concepts while adopting evidence-based preventative </w:t>
      </w:r>
      <w:r w:rsidR="004C21E0" w:rsidRPr="00634082">
        <w:rPr>
          <w:sz w:val="22"/>
          <w:szCs w:val="22"/>
        </w:rPr>
        <w:t>practices.</w:t>
      </w:r>
      <w:r w:rsidR="00346FA1" w:rsidRPr="00634082">
        <w:rPr>
          <w:sz w:val="22"/>
          <w:szCs w:val="22"/>
        </w:rPr>
        <w:t>,</w:t>
      </w:r>
      <w:r w:rsidR="004C21E0" w:rsidRPr="00634082">
        <w:rPr>
          <w:sz w:val="22"/>
          <w:szCs w:val="22"/>
        </w:rPr>
        <w:t xml:space="preserve"> (</w:t>
      </w:r>
      <w:r w:rsidR="00346FA1" w:rsidRPr="00634082">
        <w:rPr>
          <w:sz w:val="22"/>
          <w:szCs w:val="22"/>
        </w:rPr>
        <w:t>ii</w:t>
      </w:r>
      <w:r w:rsidR="004C21E0" w:rsidRPr="00634082">
        <w:rPr>
          <w:sz w:val="22"/>
          <w:szCs w:val="22"/>
        </w:rPr>
        <w:t xml:space="preserve">) </w:t>
      </w:r>
      <w:r w:rsidRPr="00634082">
        <w:rPr>
          <w:bCs/>
          <w:sz w:val="22"/>
          <w:szCs w:val="22"/>
        </w:rPr>
        <w:t>Socioeconomic Empowerment</w:t>
      </w:r>
      <w:r w:rsidRPr="00634082">
        <w:rPr>
          <w:sz w:val="22"/>
          <w:szCs w:val="22"/>
        </w:rPr>
        <w:t>: Education often leads to improved economic opportunities and decision-making autonomy, facilitating better healthcare access and resource allocation for maternal and child health (Smith-Greenaway, 2013).</w:t>
      </w:r>
      <w:r w:rsidR="004C21E0" w:rsidRPr="00634082">
        <w:rPr>
          <w:sz w:val="22"/>
          <w:szCs w:val="22"/>
        </w:rPr>
        <w:t>, (</w:t>
      </w:r>
      <w:r w:rsidR="00346FA1" w:rsidRPr="00634082">
        <w:rPr>
          <w:sz w:val="22"/>
          <w:szCs w:val="22"/>
        </w:rPr>
        <w:t>iii</w:t>
      </w:r>
      <w:r w:rsidR="004C21E0" w:rsidRPr="00634082">
        <w:rPr>
          <w:sz w:val="22"/>
          <w:szCs w:val="22"/>
        </w:rPr>
        <w:t xml:space="preserve">) </w:t>
      </w:r>
      <w:r w:rsidRPr="00634082">
        <w:rPr>
          <w:bCs/>
          <w:sz w:val="22"/>
          <w:szCs w:val="22"/>
        </w:rPr>
        <w:t>Neurodevelopmental Effects</w:t>
      </w:r>
      <w:r w:rsidRPr="00634082">
        <w:rPr>
          <w:sz w:val="22"/>
          <w:szCs w:val="22"/>
        </w:rPr>
        <w:t xml:space="preserve">: The educational process itself may induce structural and functional brain changes that enhance cognitive abilities related to health decision-making (Noble </w:t>
      </w:r>
      <w:r w:rsidRPr="00634082">
        <w:rPr>
          <w:i/>
          <w:sz w:val="22"/>
          <w:szCs w:val="22"/>
        </w:rPr>
        <w:t>et al</w:t>
      </w:r>
      <w:r w:rsidRPr="00634082">
        <w:rPr>
          <w:sz w:val="22"/>
          <w:szCs w:val="22"/>
        </w:rPr>
        <w:t>., 2015).</w:t>
      </w:r>
      <w:r w:rsidR="004C21E0" w:rsidRPr="00634082">
        <w:rPr>
          <w:sz w:val="22"/>
          <w:szCs w:val="22"/>
        </w:rPr>
        <w:t xml:space="preserve">,  (IV) </w:t>
      </w:r>
      <w:r w:rsidRPr="00634082">
        <w:rPr>
          <w:bCs/>
          <w:sz w:val="22"/>
          <w:szCs w:val="22"/>
        </w:rPr>
        <w:t>Health System Navigation</w:t>
      </w:r>
      <w:r w:rsidRPr="00634082">
        <w:rPr>
          <w:sz w:val="22"/>
          <w:szCs w:val="22"/>
        </w:rPr>
        <w:t>: Educated mothers may demonstrate greater ability to effectively engage with healthcare systems and advocate for appropriate care (Le</w:t>
      </w:r>
      <w:r w:rsidR="00BA7440" w:rsidRPr="00634082">
        <w:rPr>
          <w:sz w:val="22"/>
          <w:szCs w:val="22"/>
        </w:rPr>
        <w:t>v</w:t>
      </w:r>
      <w:r w:rsidRPr="00634082">
        <w:rPr>
          <w:sz w:val="22"/>
          <w:szCs w:val="22"/>
        </w:rPr>
        <w:t xml:space="preserve">ine </w:t>
      </w:r>
      <w:r w:rsidRPr="00634082">
        <w:rPr>
          <w:i/>
          <w:sz w:val="22"/>
          <w:szCs w:val="22"/>
        </w:rPr>
        <w:t>et al.,</w:t>
      </w:r>
      <w:r w:rsidRPr="00634082">
        <w:rPr>
          <w:sz w:val="22"/>
          <w:szCs w:val="22"/>
        </w:rPr>
        <w:t xml:space="preserve"> 2012).</w:t>
      </w:r>
    </w:p>
    <w:p w:rsidR="0052213B" w:rsidRPr="00634082" w:rsidRDefault="0052213B" w:rsidP="00501666">
      <w:pPr>
        <w:pStyle w:val="ds-markdown-paragraph"/>
        <w:shd w:val="clear" w:color="auto" w:fill="FFFFFF"/>
        <w:spacing w:before="0" w:beforeAutospacing="0" w:after="0" w:afterAutospacing="0"/>
        <w:jc w:val="both"/>
        <w:rPr>
          <w:sz w:val="22"/>
          <w:szCs w:val="22"/>
          <w:shd w:val="clear" w:color="auto" w:fill="FFFFFF"/>
        </w:rPr>
      </w:pPr>
      <w:r w:rsidRPr="00634082">
        <w:rPr>
          <w:sz w:val="22"/>
          <w:szCs w:val="22"/>
        </w:rPr>
        <w:t>The present Gambian study contributes valuable insights to this discourse by demonstrating how education's benefits interact with healthcare accessibility and regional disparities in low-resource settings. These findings suggest that while maternal education represents a powerful determinant of pregnancy outcomes, its effectiveness is modulated by intersecting structural factors. This nuanced understanding has important implications for policymakers, emphasizing the need for integrated interventions that combine educational advancement with health system strengthening in resource-limited contexts.</w:t>
      </w:r>
    </w:p>
    <w:p w:rsidR="003F78AF" w:rsidRPr="00634082" w:rsidRDefault="003F78AF" w:rsidP="00501666">
      <w:pPr>
        <w:pStyle w:val="ds-markdown-paragraph"/>
        <w:shd w:val="clear" w:color="auto" w:fill="FFFFFF"/>
        <w:spacing w:before="0" w:beforeAutospacing="0" w:after="0" w:afterAutospacing="0"/>
        <w:rPr>
          <w:sz w:val="22"/>
          <w:szCs w:val="22"/>
        </w:rPr>
      </w:pPr>
      <w:r w:rsidRPr="00634082">
        <w:rPr>
          <w:rStyle w:val="Strong"/>
          <w:sz w:val="22"/>
          <w:szCs w:val="22"/>
        </w:rPr>
        <w:t>Strengths and Limitations</w:t>
      </w:r>
    </w:p>
    <w:p w:rsidR="003F78AF" w:rsidRPr="00634082" w:rsidRDefault="003656E8" w:rsidP="00501666">
      <w:pPr>
        <w:pStyle w:val="ds-markdown-paragraph"/>
        <w:shd w:val="clear" w:color="auto" w:fill="FFFFFF"/>
        <w:spacing w:before="0" w:beforeAutospacing="0" w:after="0" w:afterAutospacing="0"/>
        <w:jc w:val="both"/>
        <w:rPr>
          <w:sz w:val="22"/>
          <w:szCs w:val="22"/>
          <w:shd w:val="clear" w:color="auto" w:fill="FFFFFF"/>
        </w:rPr>
      </w:pPr>
      <w:r w:rsidRPr="00634082">
        <w:rPr>
          <w:sz w:val="22"/>
          <w:szCs w:val="22"/>
        </w:rPr>
        <w:t xml:space="preserve">Our findings </w:t>
      </w:r>
      <w:proofErr w:type="gramStart"/>
      <w:r w:rsidR="003F78AF" w:rsidRPr="00634082">
        <w:rPr>
          <w:sz w:val="22"/>
          <w:szCs w:val="22"/>
        </w:rPr>
        <w:t>provides</w:t>
      </w:r>
      <w:proofErr w:type="gramEnd"/>
      <w:r w:rsidR="003F78AF" w:rsidRPr="00634082">
        <w:rPr>
          <w:sz w:val="22"/>
          <w:szCs w:val="22"/>
        </w:rPr>
        <w:t xml:space="preserve"> robust evidence on the association between maternal education and pregnancy outcomes in The Gambia, using a large sample size (1,600 women) and rigorous statistical methods. The dose-response relationship observed strengthens causality, while subgroup analyses (e.g., rural v</w:t>
      </w:r>
      <w:r w:rsidR="00120C13" w:rsidRPr="00634082">
        <w:rPr>
          <w:sz w:val="22"/>
          <w:szCs w:val="22"/>
        </w:rPr>
        <w:t>ersus</w:t>
      </w:r>
      <w:r w:rsidR="003F78AF" w:rsidRPr="00634082">
        <w:rPr>
          <w:sz w:val="22"/>
          <w:szCs w:val="22"/>
        </w:rPr>
        <w:t xml:space="preserve"> urban) offer nuanced insights. The study’s focus on a low-resource setting adds valuable context to global maternal health literature. The retrospective design limits causal inference, and reliance on hospital records may introduce selection bias, excluding women who deliver outside facilities. Unmeasured confounders (e.g., cultural practices) could influence outcomes. </w:t>
      </w:r>
      <w:r w:rsidR="00820117" w:rsidRPr="00634082">
        <w:rPr>
          <w:sz w:val="22"/>
          <w:szCs w:val="22"/>
        </w:rPr>
        <w:t>T</w:t>
      </w:r>
      <w:r w:rsidR="00820117" w:rsidRPr="00634082">
        <w:rPr>
          <w:sz w:val="22"/>
          <w:szCs w:val="22"/>
          <w:shd w:val="clear" w:color="auto" w:fill="FFFFFF"/>
        </w:rPr>
        <w:t>he findings may not be widely generalizable due to the study's reliance on data from a single hospital and variations in education and healthcare access across different regions.</w:t>
      </w:r>
    </w:p>
    <w:p w:rsidR="000A6842" w:rsidRPr="00634082" w:rsidRDefault="000A6842" w:rsidP="00501666">
      <w:pPr>
        <w:pStyle w:val="ds-markdown-paragraph"/>
        <w:shd w:val="clear" w:color="auto" w:fill="FFFFFF"/>
        <w:spacing w:before="0" w:beforeAutospacing="0" w:after="0" w:afterAutospacing="0"/>
        <w:jc w:val="both"/>
        <w:rPr>
          <w:b/>
          <w:sz w:val="22"/>
          <w:szCs w:val="22"/>
        </w:rPr>
      </w:pPr>
      <w:r w:rsidRPr="00634082">
        <w:rPr>
          <w:b/>
          <w:sz w:val="22"/>
          <w:szCs w:val="22"/>
        </w:rPr>
        <w:t>Future Direction</w:t>
      </w:r>
    </w:p>
    <w:p w:rsidR="000A6842" w:rsidRPr="00634082" w:rsidRDefault="000A6842" w:rsidP="00501666">
      <w:pPr>
        <w:pStyle w:val="ds-markdown-paragraph"/>
        <w:shd w:val="clear" w:color="auto" w:fill="FFFFFF"/>
        <w:spacing w:before="0" w:beforeAutospacing="0" w:after="0" w:afterAutospacing="0"/>
        <w:jc w:val="both"/>
        <w:rPr>
          <w:b/>
          <w:sz w:val="22"/>
          <w:szCs w:val="22"/>
        </w:rPr>
      </w:pPr>
      <w:r w:rsidRPr="00634082">
        <w:rPr>
          <w:rStyle w:val="Strong"/>
          <w:b w:val="0"/>
          <w:sz w:val="22"/>
          <w:szCs w:val="22"/>
          <w:shd w:val="clear" w:color="auto" w:fill="FFFFFF"/>
        </w:rPr>
        <w:t>Future research should employ longitudinal and mixed-methods designs to elucidate the specific mechanisms such as health literacy, economic agency, and healthcare navigation through which education improves outcomes. Studies must expand to multi-center and community-based cohorts, including home births, to enhance generalizability. Investigating the synergistic effects of paternal education, the quality of schooling, and context-specific interventions like adult literacy programs is crucial to inform integrated policies that effectively leverage education for maternal and neonatal health gains in resource-limited settings.</w:t>
      </w:r>
    </w:p>
    <w:p w:rsidR="00A50519" w:rsidRPr="00634082" w:rsidRDefault="00A50519" w:rsidP="00501666">
      <w:pPr>
        <w:pStyle w:val="ds-markdown-paragraph"/>
        <w:shd w:val="clear" w:color="auto" w:fill="FFFFFF"/>
        <w:spacing w:before="0" w:beforeAutospacing="0" w:after="0" w:afterAutospacing="0"/>
        <w:jc w:val="both"/>
        <w:rPr>
          <w:sz w:val="22"/>
          <w:szCs w:val="22"/>
        </w:rPr>
      </w:pPr>
      <w:r w:rsidRPr="00634082">
        <w:rPr>
          <w:rStyle w:val="Strong"/>
          <w:sz w:val="22"/>
          <w:szCs w:val="22"/>
        </w:rPr>
        <w:t>Conclusion</w:t>
      </w:r>
    </w:p>
    <w:p w:rsidR="00A50519" w:rsidRPr="00634082" w:rsidRDefault="00A50519" w:rsidP="00A50519">
      <w:pPr>
        <w:pStyle w:val="ds-markdown-paragraph"/>
        <w:shd w:val="clear" w:color="auto" w:fill="FFFFFF"/>
        <w:spacing w:before="0" w:beforeAutospacing="0" w:after="0" w:afterAutospacing="0"/>
        <w:jc w:val="both"/>
        <w:rPr>
          <w:sz w:val="22"/>
          <w:szCs w:val="22"/>
        </w:rPr>
      </w:pPr>
      <w:r w:rsidRPr="00634082">
        <w:rPr>
          <w:sz w:val="22"/>
          <w:szCs w:val="22"/>
        </w:rPr>
        <w:t>The findings of this study underscore the critical role of maternal education as a predictor of pregnancy outcomes among women delivering at a Gambian referral hospital. The results demonstrate a clear dose-response relationship, where higher levels of maternal education were significantly associated with reduced risks of adverse outcomes, including low birth weight, preterm birth, neonatal mortality, and low Apgar scores. Even after adjusting for confounders such as socioeconomic status, antenatal care visits, and comorbidities, the protective effects of education remained robust, with mothers attaining tertiary education exhibiting the most favorable outcomes.</w:t>
      </w:r>
    </w:p>
    <w:p w:rsidR="00E6304B" w:rsidRPr="00634082" w:rsidRDefault="00A50519" w:rsidP="00E6304B">
      <w:pPr>
        <w:pStyle w:val="ds-markdown-paragraph"/>
        <w:shd w:val="clear" w:color="auto" w:fill="FFFFFF"/>
        <w:spacing w:before="0" w:beforeAutospacing="0" w:after="0" w:afterAutospacing="0"/>
        <w:jc w:val="both"/>
        <w:rPr>
          <w:b/>
          <w:sz w:val="22"/>
          <w:szCs w:val="22"/>
        </w:rPr>
      </w:pPr>
      <w:r w:rsidRPr="00634082">
        <w:rPr>
          <w:sz w:val="22"/>
          <w:szCs w:val="22"/>
        </w:rPr>
        <w:t>Subgroup analyses revealed that the benefits of maternal education were particularly pronounced in rural areas and among women with limited access to antenatal care, highlighting education’s potential to mitigate healthcare disparities in resource-constrained settings. These findings align with global evidence emphasizing maternal education as a key social determinant of health, capable of enhancing health literacy, empowering women, and improving health-seeking behaviors.</w:t>
      </w:r>
      <w:r w:rsidR="00AB5200" w:rsidRPr="00634082">
        <w:rPr>
          <w:sz w:val="22"/>
          <w:szCs w:val="22"/>
        </w:rPr>
        <w:t xml:space="preserve"> </w:t>
      </w:r>
      <w:r w:rsidRPr="00634082">
        <w:rPr>
          <w:sz w:val="22"/>
          <w:szCs w:val="22"/>
        </w:rPr>
        <w:t xml:space="preserve">This study contributes to the growing body of literature advocating for integrated interventions that combine educational advancement with health </w:t>
      </w:r>
      <w:r w:rsidRPr="00634082">
        <w:rPr>
          <w:sz w:val="22"/>
          <w:szCs w:val="22"/>
        </w:rPr>
        <w:lastRenderedPageBreak/>
        <w:t xml:space="preserve">system strengthening in low-income countries like The Gambia. Policymakers and public health practitioners should prioritize investments in female education as a sustainable strategy to improve maternal and neonatal health outcomes. </w:t>
      </w:r>
      <w:r w:rsidR="00E6304B" w:rsidRPr="00634082">
        <w:rPr>
          <w:rStyle w:val="Strong"/>
          <w:b w:val="0"/>
          <w:sz w:val="22"/>
          <w:szCs w:val="22"/>
          <w:shd w:val="clear" w:color="auto" w:fill="FFFFFF"/>
        </w:rPr>
        <w:t xml:space="preserve">Future research should employ longitudinal and mixed-methods designs to elucidate the specific mechanisms such as health literacy, economic agency, and healthcare navigation through which education improves outcomes. Studies must expand to multi-center and community-based cohorts, including home births, to enhance external validity. Investigating the synergistic effects of paternal education, the quality of schooling, and context-specific interventions like adult literacy programs is crucial to inform integrated policies that effectively leverage education for maternal and neonatal health gains in resource-limited settings. </w:t>
      </w:r>
      <w:r w:rsidR="00E6304B" w:rsidRPr="00634082">
        <w:rPr>
          <w:sz w:val="22"/>
          <w:szCs w:val="22"/>
        </w:rPr>
        <w:t>Ultimately, empowering women through education not only transforms individual lives but also fosters healthier generations and stronger communities.</w:t>
      </w:r>
    </w:p>
    <w:p w:rsidR="00712440" w:rsidRPr="00634082" w:rsidRDefault="00712440" w:rsidP="00712440">
      <w:pPr>
        <w:pStyle w:val="ds-markdown-paragraph"/>
        <w:shd w:val="clear" w:color="auto" w:fill="FFFFFF"/>
        <w:spacing w:before="0" w:beforeAutospacing="0" w:after="0" w:afterAutospacing="0"/>
        <w:jc w:val="both"/>
        <w:rPr>
          <w:sz w:val="22"/>
          <w:szCs w:val="22"/>
        </w:rPr>
      </w:pPr>
    </w:p>
    <w:p w:rsidR="00370600" w:rsidRPr="00634082" w:rsidRDefault="00370600" w:rsidP="002E145A">
      <w:pPr>
        <w:pStyle w:val="Heading2"/>
        <w:spacing w:before="0" w:line="240" w:lineRule="auto"/>
        <w:rPr>
          <w:rFonts w:ascii="Times New Roman" w:eastAsia="Calibri" w:hAnsi="Times New Roman" w:cs="Times New Roman"/>
          <w:color w:val="auto"/>
          <w:sz w:val="22"/>
          <w:szCs w:val="22"/>
        </w:rPr>
      </w:pPr>
      <w:r w:rsidRPr="00634082">
        <w:rPr>
          <w:rFonts w:ascii="Times New Roman" w:eastAsia="Calibri" w:hAnsi="Times New Roman" w:cs="Times New Roman"/>
          <w:color w:val="auto"/>
          <w:sz w:val="22"/>
          <w:szCs w:val="22"/>
        </w:rPr>
        <w:t>DISCLAIMER (ARTIFICIAL INTELLIGENCE)</w:t>
      </w:r>
    </w:p>
    <w:p w:rsidR="00370600" w:rsidRPr="00634082" w:rsidRDefault="00370600" w:rsidP="002E145A">
      <w:pPr>
        <w:spacing w:after="0" w:line="240" w:lineRule="auto"/>
        <w:jc w:val="both"/>
        <w:rPr>
          <w:rFonts w:ascii="Times New Roman" w:eastAsia="Calibri" w:hAnsi="Times New Roman" w:cs="Times New Roman"/>
        </w:rPr>
      </w:pPr>
    </w:p>
    <w:p w:rsidR="00370600" w:rsidRPr="00634082" w:rsidRDefault="00370600" w:rsidP="002E145A">
      <w:pPr>
        <w:spacing w:after="0" w:line="240" w:lineRule="auto"/>
        <w:jc w:val="both"/>
        <w:rPr>
          <w:rFonts w:ascii="Times New Roman" w:eastAsia="Calibri" w:hAnsi="Times New Roman" w:cs="Times New Roman"/>
        </w:rPr>
      </w:pPr>
      <w:r w:rsidRPr="00634082">
        <w:rPr>
          <w:rFonts w:ascii="Times New Roman" w:eastAsia="Calibri" w:hAnsi="Times New Roman" w:cs="Times New Roman"/>
        </w:rPr>
        <w:t>Author(s) hereby declare that NO generative AI technologies such as Large Language Models (</w:t>
      </w:r>
      <w:proofErr w:type="spellStart"/>
      <w:r w:rsidRPr="00634082">
        <w:rPr>
          <w:rFonts w:ascii="Times New Roman" w:eastAsia="Calibri" w:hAnsi="Times New Roman" w:cs="Times New Roman"/>
        </w:rPr>
        <w:t>ChatGPT</w:t>
      </w:r>
      <w:proofErr w:type="spellEnd"/>
      <w:r w:rsidRPr="00634082">
        <w:rPr>
          <w:rFonts w:ascii="Times New Roman" w:eastAsia="Calibri" w:hAnsi="Times New Roman" w:cs="Times New Roman"/>
        </w:rPr>
        <w:t xml:space="preserve">, COPILOT, etc.) and text-to-image generators have been used during the writing or editing of this manuscript. </w:t>
      </w:r>
    </w:p>
    <w:p w:rsidR="004B4990" w:rsidRPr="00634082" w:rsidRDefault="004B4990" w:rsidP="002E145A">
      <w:pPr>
        <w:pStyle w:val="Heading3"/>
        <w:shd w:val="clear" w:color="auto" w:fill="FFFFFF"/>
        <w:spacing w:before="0" w:line="240" w:lineRule="auto"/>
        <w:rPr>
          <w:rStyle w:val="Strong"/>
          <w:rFonts w:ascii="Times New Roman" w:hAnsi="Times New Roman" w:cs="Times New Roman"/>
          <w:b w:val="0"/>
          <w:bCs w:val="0"/>
          <w:color w:val="auto"/>
          <w:sz w:val="22"/>
          <w:szCs w:val="22"/>
        </w:rPr>
      </w:pPr>
    </w:p>
    <w:p w:rsidR="00882C30" w:rsidRPr="00634082" w:rsidRDefault="00882C30" w:rsidP="002E145A">
      <w:pPr>
        <w:pStyle w:val="Heading2"/>
        <w:spacing w:before="0" w:line="240" w:lineRule="auto"/>
        <w:rPr>
          <w:rFonts w:ascii="Times New Roman" w:eastAsia="Calibri" w:hAnsi="Times New Roman" w:cs="Times New Roman"/>
          <w:color w:val="auto"/>
          <w:sz w:val="22"/>
          <w:szCs w:val="22"/>
        </w:rPr>
      </w:pPr>
      <w:r w:rsidRPr="00634082">
        <w:rPr>
          <w:rFonts w:ascii="Times New Roman" w:eastAsia="Calibri" w:hAnsi="Times New Roman" w:cs="Times New Roman"/>
          <w:color w:val="auto"/>
          <w:sz w:val="22"/>
          <w:szCs w:val="22"/>
        </w:rPr>
        <w:t>CONSENT AND</w:t>
      </w:r>
      <w:r w:rsidRPr="00634082">
        <w:rPr>
          <w:rFonts w:ascii="Times New Roman" w:hAnsi="Times New Roman" w:cs="Times New Roman"/>
          <w:color w:val="auto"/>
          <w:sz w:val="22"/>
          <w:szCs w:val="22"/>
        </w:rPr>
        <w:t xml:space="preserve"> </w:t>
      </w:r>
      <w:r w:rsidRPr="00634082">
        <w:rPr>
          <w:rFonts w:ascii="Times New Roman" w:eastAsia="Calibri" w:hAnsi="Times New Roman" w:cs="Times New Roman"/>
          <w:color w:val="auto"/>
          <w:sz w:val="22"/>
          <w:szCs w:val="22"/>
        </w:rPr>
        <w:t>ETHICAL APPROVAL</w:t>
      </w:r>
    </w:p>
    <w:p w:rsidR="00882C30" w:rsidRPr="00634082" w:rsidRDefault="00882C30" w:rsidP="002E145A">
      <w:pPr>
        <w:spacing w:after="0" w:line="240" w:lineRule="auto"/>
        <w:jc w:val="both"/>
        <w:rPr>
          <w:rFonts w:ascii="Times New Roman" w:eastAsia="Times New Roman" w:hAnsi="Times New Roman" w:cs="Times New Roman"/>
        </w:rPr>
      </w:pPr>
    </w:p>
    <w:p w:rsidR="004B4990" w:rsidRPr="00634082" w:rsidRDefault="008B6309" w:rsidP="002E145A">
      <w:pPr>
        <w:spacing w:after="0" w:line="240" w:lineRule="auto"/>
        <w:jc w:val="both"/>
        <w:rPr>
          <w:rStyle w:val="Strong"/>
          <w:rFonts w:ascii="Times New Roman" w:hAnsi="Times New Roman" w:cs="Times New Roman"/>
          <w:b w:val="0"/>
          <w:bCs w:val="0"/>
        </w:rPr>
      </w:pPr>
      <w:r w:rsidRPr="00634082">
        <w:rPr>
          <w:rFonts w:ascii="Times New Roman" w:hAnsi="Times New Roman" w:cs="Times New Roman"/>
          <w:shd w:val="clear" w:color="auto" w:fill="FFFFFF"/>
        </w:rPr>
        <w:t>This study received ethical approval from the Research and Ethics Committee of Edward Francis Small Teaching Hospital (EFSTH), Banjul, The Gambia, prior to data collection. Informed consent was waived for the use of retrospective anonymized data, in accordance with committee guidelines. All data were securely stored, with access limited to the research team. The study adhered to the ethical principles of the </w:t>
      </w:r>
      <w:r w:rsidRPr="00634082">
        <w:rPr>
          <w:rStyle w:val="Emphasis"/>
          <w:rFonts w:ascii="Times New Roman" w:hAnsi="Times New Roman" w:cs="Times New Roman"/>
          <w:shd w:val="clear" w:color="auto" w:fill="FFFFFF"/>
        </w:rPr>
        <w:t>World Medical Association (WMA) Declaration of Helsinki</w:t>
      </w:r>
      <w:r w:rsidRPr="00634082">
        <w:rPr>
          <w:rFonts w:ascii="Times New Roman" w:hAnsi="Times New Roman" w:cs="Times New Roman"/>
          <w:shd w:val="clear" w:color="auto" w:fill="FFFFFF"/>
        </w:rPr>
        <w:t> (2024, 2025), ensuring the protection of participants' rights, dignity, and welfare. Documentation of ethical approval is available from the corresponding author upon reasonable request.</w:t>
      </w:r>
      <w:r w:rsidR="00882C30" w:rsidRPr="00634082">
        <w:rPr>
          <w:rFonts w:ascii="Times New Roman" w:eastAsia="Times New Roman" w:hAnsi="Times New Roman" w:cs="Times New Roman"/>
        </w:rPr>
        <w:t xml:space="preserve"> </w:t>
      </w:r>
    </w:p>
    <w:p w:rsidR="0075048E" w:rsidRPr="00634082" w:rsidRDefault="0075048E" w:rsidP="00934CC3">
      <w:pPr>
        <w:pStyle w:val="Heading2"/>
        <w:spacing w:before="0" w:line="240" w:lineRule="auto"/>
        <w:rPr>
          <w:rFonts w:ascii="Times New Roman" w:hAnsi="Times New Roman"/>
          <w:b/>
          <w:caps/>
          <w:color w:val="auto"/>
          <w:szCs w:val="22"/>
        </w:rPr>
      </w:pPr>
    </w:p>
    <w:p w:rsidR="00B05305" w:rsidRPr="00634082" w:rsidRDefault="00B05305" w:rsidP="002E145A">
      <w:pPr>
        <w:spacing w:line="240" w:lineRule="auto"/>
        <w:jc w:val="both"/>
        <w:rPr>
          <w:rFonts w:ascii="Times New Roman" w:hAnsi="Times New Roman" w:cs="Times New Roman"/>
          <w:b/>
        </w:rPr>
      </w:pPr>
    </w:p>
    <w:p w:rsidR="00697ECD" w:rsidRPr="00634082" w:rsidRDefault="00501666" w:rsidP="008B6309">
      <w:pPr>
        <w:rPr>
          <w:rFonts w:ascii="Times New Roman" w:hAnsi="Times New Roman" w:cs="Times New Roman"/>
          <w:b/>
        </w:rPr>
      </w:pPr>
      <w:r w:rsidRPr="00634082">
        <w:rPr>
          <w:rFonts w:ascii="Times New Roman" w:hAnsi="Times New Roman" w:cs="Times New Roman"/>
          <w:b/>
        </w:rPr>
        <w:t>REFERENCES</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Abay</w:t>
      </w:r>
      <w:proofErr w:type="spellEnd"/>
      <w:r w:rsidRPr="00634082">
        <w:t xml:space="preserve">, K. A., Ibrahim, H., &amp; </w:t>
      </w:r>
      <w:proofErr w:type="spellStart"/>
      <w:r w:rsidRPr="00634082">
        <w:t>Breisinger</w:t>
      </w:r>
      <w:proofErr w:type="spellEnd"/>
      <w:r w:rsidRPr="00634082">
        <w:t>, C. (2022). Food policies and obesity in low- and middle-income countries. </w:t>
      </w:r>
      <w:r w:rsidRPr="00634082">
        <w:rPr>
          <w:rStyle w:val="Emphasis"/>
        </w:rPr>
        <w:t>World Development, 151</w:t>
      </w:r>
      <w:r w:rsidRPr="00634082">
        <w:t>, 105775. </w:t>
      </w:r>
      <w:hyperlink r:id="rId14" w:tgtFrame="_blank" w:history="1">
        <w:r w:rsidRPr="00634082">
          <w:rPr>
            <w:rStyle w:val="Hyperlink"/>
            <w:rFonts w:eastAsiaTheme="majorEastAsia"/>
            <w:color w:val="auto"/>
            <w:u w:val="none"/>
          </w:rPr>
          <w:t>https://doi.org/10.1016/j.worlddev.2021.105775</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Babalola, A. (2009). Determinants of the uptake of the full dose of diphtheria-pertussis-tetanus vaccines (DPT3) in Northern Nigeria: A multilevel analysis. </w:t>
      </w:r>
      <w:r w:rsidRPr="00634082">
        <w:rPr>
          <w:rStyle w:val="Emphasis"/>
        </w:rPr>
        <w:t>Maternal and Child Health Journal, 13</w:t>
      </w:r>
      <w:r w:rsidRPr="00634082">
        <w:t>, 550–558.</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Bloom, S., </w:t>
      </w:r>
      <w:proofErr w:type="spellStart"/>
      <w:r w:rsidRPr="00634082">
        <w:t>Wypij</w:t>
      </w:r>
      <w:proofErr w:type="spellEnd"/>
      <w:r w:rsidRPr="00634082">
        <w:t>, D., &amp; Das, G. M. (2001). Dimensions of women's autonomy and their influence on maternal health care utilization in a North Indian city. </w:t>
      </w:r>
      <w:r w:rsidRPr="00634082">
        <w:rPr>
          <w:rStyle w:val="Emphasis"/>
        </w:rPr>
        <w:t>Demography, 38</w:t>
      </w:r>
      <w:r w:rsidRPr="00634082">
        <w:t>(1), 67–78.</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Cassell, J. A., Leach, M., </w:t>
      </w:r>
      <w:proofErr w:type="spellStart"/>
      <w:r w:rsidRPr="00634082">
        <w:t>Fairhead</w:t>
      </w:r>
      <w:proofErr w:type="spellEnd"/>
      <w:r w:rsidRPr="00634082">
        <w:t>, J. R., Small, M., &amp; Mercer, C. H. (2006). The social shaping of childhood vaccination practice in rural and urban Gambia. </w:t>
      </w:r>
      <w:r w:rsidRPr="00634082">
        <w:rPr>
          <w:rStyle w:val="Emphasis"/>
        </w:rPr>
        <w:t>Health Policy and Planning, 21</w:t>
      </w:r>
      <w:r w:rsidRPr="00634082">
        <w:t>(5), 373–391.</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Cleland, J., &amp; van </w:t>
      </w:r>
      <w:proofErr w:type="spellStart"/>
      <w:r w:rsidRPr="00634082">
        <w:t>Ginneken</w:t>
      </w:r>
      <w:proofErr w:type="spellEnd"/>
      <w:r w:rsidRPr="00634082">
        <w:t xml:space="preserve">, J. K. (2008). Educational attainment and health/survival. In K. </w:t>
      </w:r>
      <w:proofErr w:type="spellStart"/>
      <w:r w:rsidRPr="00634082">
        <w:t>Heggenhougen</w:t>
      </w:r>
      <w:proofErr w:type="spellEnd"/>
      <w:r w:rsidRPr="00634082">
        <w:t xml:space="preserve"> &amp; S. Quah (Eds.), </w:t>
      </w:r>
      <w:r w:rsidRPr="00634082">
        <w:rPr>
          <w:rStyle w:val="Emphasis"/>
        </w:rPr>
        <w:t>International Encyclopedia of Public Health</w:t>
      </w:r>
      <w:r w:rsidRPr="00634082">
        <w:t> (pp. 295–303). Academic Press.</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Daniels-Donkor, S. S., </w:t>
      </w:r>
      <w:proofErr w:type="spellStart"/>
      <w:r w:rsidRPr="00634082">
        <w:t>Afaya</w:t>
      </w:r>
      <w:proofErr w:type="spellEnd"/>
      <w:r w:rsidRPr="00634082">
        <w:t xml:space="preserve">, A., </w:t>
      </w:r>
      <w:proofErr w:type="spellStart"/>
      <w:r w:rsidRPr="00634082">
        <w:t>Daliri</w:t>
      </w:r>
      <w:proofErr w:type="spellEnd"/>
      <w:r w:rsidRPr="00634082">
        <w:t xml:space="preserve">, D. B., Laari, T. T., </w:t>
      </w:r>
      <w:proofErr w:type="spellStart"/>
      <w:r w:rsidRPr="00634082">
        <w:t>Salia</w:t>
      </w:r>
      <w:proofErr w:type="spellEnd"/>
      <w:r w:rsidRPr="00634082">
        <w:t xml:space="preserve">, S. M., </w:t>
      </w:r>
      <w:proofErr w:type="spellStart"/>
      <w:r w:rsidRPr="00634082">
        <w:t>Avane</w:t>
      </w:r>
      <w:proofErr w:type="spellEnd"/>
      <w:r w:rsidRPr="00634082">
        <w:t xml:space="preserve">, M. A., </w:t>
      </w:r>
      <w:proofErr w:type="spellStart"/>
      <w:r w:rsidRPr="00634082">
        <w:t>Afaya</w:t>
      </w:r>
      <w:proofErr w:type="spellEnd"/>
      <w:r w:rsidRPr="00634082">
        <w:t xml:space="preserve">, R. A., </w:t>
      </w:r>
      <w:proofErr w:type="spellStart"/>
      <w:r w:rsidRPr="00634082">
        <w:t>Yakong</w:t>
      </w:r>
      <w:proofErr w:type="spellEnd"/>
      <w:r w:rsidRPr="00634082">
        <w:t xml:space="preserve">, V. N., </w:t>
      </w:r>
      <w:proofErr w:type="spellStart"/>
      <w:r w:rsidRPr="00634082">
        <w:t>Ayanore</w:t>
      </w:r>
      <w:proofErr w:type="spellEnd"/>
      <w:r w:rsidRPr="00634082">
        <w:t xml:space="preserve">, M. A., &amp; Alhassan, R. K. (2024). Factors associated </w:t>
      </w:r>
      <w:r w:rsidRPr="00634082">
        <w:lastRenderedPageBreak/>
        <w:t>with timely initiation of antenatal care among reproductive age women in The Gambia: A multilevel fixed effects analysis. </w:t>
      </w:r>
      <w:r w:rsidRPr="00634082">
        <w:rPr>
          <w:rStyle w:val="Emphasis"/>
        </w:rPr>
        <w:t>Archives of Public Health, 82</w:t>
      </w:r>
      <w:r w:rsidRPr="00634082">
        <w:t>, 73.</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Filippi</w:t>
      </w:r>
      <w:proofErr w:type="spellEnd"/>
      <w:r w:rsidRPr="00634082">
        <w:t xml:space="preserve">, V., </w:t>
      </w:r>
      <w:proofErr w:type="spellStart"/>
      <w:r w:rsidRPr="00634082">
        <w:t>Ronsmans</w:t>
      </w:r>
      <w:proofErr w:type="spellEnd"/>
      <w:r w:rsidRPr="00634082">
        <w:t xml:space="preserve">, C., Campbell, O. M., Graham, W. J., Mills, A., </w:t>
      </w:r>
      <w:proofErr w:type="spellStart"/>
      <w:r w:rsidRPr="00634082">
        <w:t>Borghi</w:t>
      </w:r>
      <w:proofErr w:type="spellEnd"/>
      <w:r w:rsidRPr="00634082">
        <w:t xml:space="preserve">, J., </w:t>
      </w:r>
      <w:proofErr w:type="spellStart"/>
      <w:r w:rsidRPr="00634082">
        <w:t>Koblinsky</w:t>
      </w:r>
      <w:proofErr w:type="spellEnd"/>
      <w:r w:rsidRPr="00634082">
        <w:t xml:space="preserve">, M., &amp; </w:t>
      </w:r>
      <w:proofErr w:type="spellStart"/>
      <w:r w:rsidRPr="00634082">
        <w:t>Osrin</w:t>
      </w:r>
      <w:proofErr w:type="spellEnd"/>
      <w:r w:rsidRPr="00634082">
        <w:t>, D. (2006). Maternal health in poor countries: The broader context and a call for action. </w:t>
      </w:r>
      <w:r w:rsidRPr="00634082">
        <w:rPr>
          <w:rStyle w:val="Emphasis"/>
        </w:rPr>
        <w:t>The Lancet, 368</w:t>
      </w:r>
      <w:r w:rsidRPr="00634082">
        <w:t>(9546), 1535–1541.</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Fuentes-</w:t>
      </w:r>
      <w:proofErr w:type="spellStart"/>
      <w:r w:rsidRPr="00634082">
        <w:t>Pelaez</w:t>
      </w:r>
      <w:proofErr w:type="spellEnd"/>
      <w:r w:rsidRPr="00634082">
        <w:t xml:space="preserve">, N., Molina, M. C., </w:t>
      </w:r>
      <w:proofErr w:type="spellStart"/>
      <w:r w:rsidRPr="00634082">
        <w:t>Amoros</w:t>
      </w:r>
      <w:proofErr w:type="spellEnd"/>
      <w:r w:rsidRPr="00634082">
        <w:t>, P., Jane-</w:t>
      </w:r>
      <w:proofErr w:type="spellStart"/>
      <w:r w:rsidRPr="00634082">
        <w:t>Checa</w:t>
      </w:r>
      <w:proofErr w:type="spellEnd"/>
      <w:r w:rsidRPr="00634082">
        <w:t>, M., &amp; Martinez-Bueno, C. (2013). The design of a maternal education program based on analysis of needs and collaborative work. </w:t>
      </w:r>
      <w:proofErr w:type="spellStart"/>
      <w:r w:rsidRPr="00634082">
        <w:rPr>
          <w:rStyle w:val="Emphasis"/>
        </w:rPr>
        <w:t>Revista</w:t>
      </w:r>
      <w:proofErr w:type="spellEnd"/>
      <w:r w:rsidRPr="00634082">
        <w:rPr>
          <w:rStyle w:val="Emphasis"/>
        </w:rPr>
        <w:t xml:space="preserve"> de </w:t>
      </w:r>
      <w:proofErr w:type="spellStart"/>
      <w:r w:rsidRPr="00634082">
        <w:rPr>
          <w:rStyle w:val="Emphasis"/>
        </w:rPr>
        <w:t>Cercetare</w:t>
      </w:r>
      <w:proofErr w:type="spellEnd"/>
      <w:r w:rsidRPr="00634082">
        <w:rPr>
          <w:rStyle w:val="Emphasis"/>
        </w:rPr>
        <w:t xml:space="preserve"> </w:t>
      </w:r>
      <w:proofErr w:type="spellStart"/>
      <w:r w:rsidRPr="00634082">
        <w:rPr>
          <w:rStyle w:val="Emphasis"/>
        </w:rPr>
        <w:t>si</w:t>
      </w:r>
      <w:proofErr w:type="spellEnd"/>
      <w:r w:rsidRPr="00634082">
        <w:rPr>
          <w:rStyle w:val="Emphasis"/>
        </w:rPr>
        <w:t xml:space="preserve"> </w:t>
      </w:r>
      <w:proofErr w:type="spellStart"/>
      <w:r w:rsidRPr="00634082">
        <w:rPr>
          <w:rStyle w:val="Emphasis"/>
        </w:rPr>
        <w:t>Interventie</w:t>
      </w:r>
      <w:proofErr w:type="spellEnd"/>
      <w:r w:rsidRPr="00634082">
        <w:rPr>
          <w:rStyle w:val="Emphasis"/>
        </w:rPr>
        <w:t xml:space="preserve"> </w:t>
      </w:r>
      <w:proofErr w:type="spellStart"/>
      <w:r w:rsidRPr="00634082">
        <w:rPr>
          <w:rStyle w:val="Emphasis"/>
        </w:rPr>
        <w:t>Sociala</w:t>
      </w:r>
      <w:proofErr w:type="spellEnd"/>
      <w:r w:rsidRPr="00634082">
        <w:rPr>
          <w:rStyle w:val="Emphasis"/>
        </w:rPr>
        <w:t>, 42</w:t>
      </w:r>
      <w:r w:rsidRPr="00634082">
        <w:t>, 50–67.</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Gambia Bureau of Statistics (</w:t>
      </w:r>
      <w:proofErr w:type="spellStart"/>
      <w:r w:rsidRPr="00634082">
        <w:t>GBoS</w:t>
      </w:r>
      <w:proofErr w:type="spellEnd"/>
      <w:r w:rsidRPr="00634082">
        <w:t xml:space="preserve">) &amp; ICF. (2021). *The Gambia Demographic and Health Survey 2019-20*. </w:t>
      </w:r>
      <w:proofErr w:type="spellStart"/>
      <w:r w:rsidRPr="00634082">
        <w:t>GBoS</w:t>
      </w:r>
      <w:proofErr w:type="spellEnd"/>
      <w:r w:rsidRPr="00634082">
        <w:t xml:space="preserve"> and ICF.</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Gautam, S., </w:t>
      </w:r>
      <w:proofErr w:type="spellStart"/>
      <w:r w:rsidRPr="00634082">
        <w:t>Suso</w:t>
      </w:r>
      <w:proofErr w:type="spellEnd"/>
      <w:r w:rsidRPr="00634082">
        <w:t>, A., &amp; Wood, E. (2025). Effect of antenatal care on birth outcomes in The Gambia: A propensity score matching analysis. </w:t>
      </w:r>
      <w:r w:rsidRPr="00634082">
        <w:rPr>
          <w:rStyle w:val="Emphasis"/>
        </w:rPr>
        <w:t>PLOS Global Public Health, 5</w:t>
      </w:r>
      <w:r w:rsidRPr="00634082">
        <w:t>(6), e0003880. </w:t>
      </w:r>
      <w:hyperlink r:id="rId15" w:tgtFrame="_blank" w:history="1">
        <w:r w:rsidRPr="00634082">
          <w:rPr>
            <w:rStyle w:val="Hyperlink"/>
            <w:rFonts w:eastAsiaTheme="majorEastAsia"/>
            <w:color w:val="auto"/>
            <w:u w:val="none"/>
          </w:rPr>
          <w:t>https://doi.org/10.1371/journal.pgph.0003880</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Harpham, T., De Silva, M. J., &amp; Tuan, T. (2006). Maternal social capital and child health in Vietnam. </w:t>
      </w:r>
      <w:r w:rsidRPr="00634082">
        <w:rPr>
          <w:rStyle w:val="Emphasis"/>
        </w:rPr>
        <w:t>Journal of Epidemiology &amp; Community Health, 60</w:t>
      </w:r>
      <w:r w:rsidRPr="00634082">
        <w:t>(10), 865–871.</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Jejeebhoy</w:t>
      </w:r>
      <w:proofErr w:type="spellEnd"/>
      <w:r w:rsidRPr="00634082">
        <w:t xml:space="preserve">, S., &amp; </w:t>
      </w:r>
      <w:proofErr w:type="spellStart"/>
      <w:r w:rsidRPr="00634082">
        <w:t>Sathar</w:t>
      </w:r>
      <w:proofErr w:type="spellEnd"/>
      <w:r w:rsidRPr="00634082">
        <w:t>, Z. (2001). Women's autonomy in India and Pakistan: The influence of religion and region. </w:t>
      </w:r>
      <w:r w:rsidRPr="00634082">
        <w:rPr>
          <w:rStyle w:val="Emphasis"/>
        </w:rPr>
        <w:t>Population and Development Review, 27</w:t>
      </w:r>
      <w:r w:rsidRPr="00634082">
        <w:t>(4), 687–712.</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John-</w:t>
      </w:r>
      <w:proofErr w:type="spellStart"/>
      <w:r w:rsidRPr="00634082">
        <w:t>Emaimo</w:t>
      </w:r>
      <w:proofErr w:type="spellEnd"/>
      <w:r w:rsidRPr="00634082">
        <w:t xml:space="preserve">, C. N., John </w:t>
      </w:r>
      <w:proofErr w:type="spellStart"/>
      <w:r w:rsidRPr="00634082">
        <w:t>Emaimo</w:t>
      </w:r>
      <w:proofErr w:type="spellEnd"/>
      <w:r w:rsidRPr="00634082">
        <w:t>, A., &amp; Peter, I. U. (2025a). Insights into the importance of regular antenatal care visits for improving delivery outcomes in pregnant patients: A cross-sectional study. </w:t>
      </w:r>
      <w:r w:rsidRPr="00634082">
        <w:rPr>
          <w:rStyle w:val="Emphasis"/>
        </w:rPr>
        <w:t>European Journal of Science, Innovation and Technology, 5</w:t>
      </w:r>
      <w:r w:rsidRPr="00634082">
        <w:t>(2), 77–85.</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John-</w:t>
      </w:r>
      <w:proofErr w:type="spellStart"/>
      <w:r w:rsidRPr="00634082">
        <w:t>Emaimo</w:t>
      </w:r>
      <w:proofErr w:type="spellEnd"/>
      <w:r w:rsidRPr="00634082">
        <w:t xml:space="preserve">, C. N., John </w:t>
      </w:r>
      <w:proofErr w:type="spellStart"/>
      <w:r w:rsidRPr="00634082">
        <w:t>Emaimo</w:t>
      </w:r>
      <w:proofErr w:type="spellEnd"/>
      <w:r w:rsidRPr="00634082">
        <w:t>, A., &amp; Peter, I. U. (2025b). Maternal and neonatal delivery outcomes in The Gambia: A hospital-based analysis of socioeconomic status and clinical determinants. </w:t>
      </w:r>
      <w:r w:rsidRPr="00634082">
        <w:rPr>
          <w:rStyle w:val="Emphasis"/>
        </w:rPr>
        <w:t>Asian Journal of Pregnancy and Childbirth, 8</w:t>
      </w:r>
      <w:r w:rsidRPr="00634082">
        <w:t>(1), 150–173.</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Joshi, A. R. (1994). Maternal schooling and child health: Preliminary analysis of the intervening mechanisms in rural Nepal. </w:t>
      </w:r>
      <w:r w:rsidRPr="00634082">
        <w:rPr>
          <w:rStyle w:val="Emphasis"/>
        </w:rPr>
        <w:t>Health Transition Review, 4</w:t>
      </w:r>
      <w:r w:rsidRPr="00634082">
        <w:t>(1), 1–28.</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Ketema</w:t>
      </w:r>
      <w:proofErr w:type="spellEnd"/>
      <w:r w:rsidRPr="00634082">
        <w:t xml:space="preserve">, D. B., </w:t>
      </w:r>
      <w:proofErr w:type="spellStart"/>
      <w:r w:rsidRPr="00634082">
        <w:t>Leshargie</w:t>
      </w:r>
      <w:proofErr w:type="spellEnd"/>
      <w:r w:rsidRPr="00634082">
        <w:t xml:space="preserve">, C. T., </w:t>
      </w:r>
      <w:proofErr w:type="spellStart"/>
      <w:r w:rsidRPr="00634082">
        <w:t>Kibret</w:t>
      </w:r>
      <w:proofErr w:type="spellEnd"/>
      <w:r w:rsidRPr="00634082">
        <w:t xml:space="preserve">, G. D., </w:t>
      </w:r>
      <w:proofErr w:type="spellStart"/>
      <w:r w:rsidRPr="00634082">
        <w:t>Assemie</w:t>
      </w:r>
      <w:proofErr w:type="spellEnd"/>
      <w:r w:rsidRPr="00634082">
        <w:t xml:space="preserve">, M. A., </w:t>
      </w:r>
      <w:proofErr w:type="spellStart"/>
      <w:r w:rsidRPr="00634082">
        <w:t>Petrucka</w:t>
      </w:r>
      <w:proofErr w:type="spellEnd"/>
      <w:r w:rsidRPr="00634082">
        <w:t xml:space="preserve">, P., &amp; </w:t>
      </w:r>
      <w:proofErr w:type="spellStart"/>
      <w:r w:rsidRPr="00634082">
        <w:t>Alebel</w:t>
      </w:r>
      <w:proofErr w:type="spellEnd"/>
      <w:r w:rsidRPr="00634082">
        <w:t>, A. (2020). Effects of maternal education on birth preparedness and complication readiness among Ethiopian pregnant women: A systematic review and meta-analysis. </w:t>
      </w:r>
      <w:r w:rsidRPr="00634082">
        <w:rPr>
          <w:rStyle w:val="Emphasis"/>
        </w:rPr>
        <w:t>BMC Pregnancy and Childbirth, 20</w:t>
      </w:r>
      <w:r w:rsidRPr="00634082">
        <w:t>, 149.</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Le, K., &amp; Nguyen, M. (2020). Shedding light on maternal education and child health in developing countries. </w:t>
      </w:r>
      <w:r w:rsidRPr="00634082">
        <w:rPr>
          <w:rStyle w:val="Emphasis"/>
        </w:rPr>
        <w:t>World Development, 133</w:t>
      </w:r>
      <w:r w:rsidRPr="00634082">
        <w:t>, 34–56.</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LeVine</w:t>
      </w:r>
      <w:proofErr w:type="spellEnd"/>
      <w:r w:rsidRPr="00634082">
        <w:t xml:space="preserve">, R. A., </w:t>
      </w:r>
      <w:proofErr w:type="spellStart"/>
      <w:r w:rsidRPr="00634082">
        <w:t>LeVine</w:t>
      </w:r>
      <w:proofErr w:type="spellEnd"/>
      <w:r w:rsidRPr="00634082">
        <w:t>, S., Schnell-</w:t>
      </w:r>
      <w:proofErr w:type="spellStart"/>
      <w:r w:rsidRPr="00634082">
        <w:t>Anzola</w:t>
      </w:r>
      <w:proofErr w:type="spellEnd"/>
      <w:r w:rsidRPr="00634082">
        <w:t>, B., Rowe, M. L., &amp; Dexter, E. (2012). </w:t>
      </w:r>
      <w:r w:rsidRPr="00634082">
        <w:rPr>
          <w:rStyle w:val="Emphasis"/>
        </w:rPr>
        <w:t>Literacy and Mothering: How Women's Schooling Changes the Lives of the World's Children</w:t>
      </w:r>
      <w:r w:rsidRPr="00634082">
        <w:t>. Oxford University Press.</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Lutz, W., &amp; Kebede, E. (2018). Education and health: Redrawing the Preston Curve. </w:t>
      </w:r>
      <w:r w:rsidRPr="00634082">
        <w:rPr>
          <w:rStyle w:val="Emphasis"/>
        </w:rPr>
        <w:t>Population and Development Review, 44</w:t>
      </w:r>
      <w:r w:rsidRPr="00634082">
        <w:t>(2), 343–361.</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Macrotrends. (2025). *Gambia Infant Mortality Rate (1950-</w:t>
      </w:r>
      <w:proofErr w:type="gramStart"/>
      <w:r w:rsidRPr="00634082">
        <w:t>2025)*</w:t>
      </w:r>
      <w:proofErr w:type="gramEnd"/>
      <w:r w:rsidRPr="00634082">
        <w:t>. </w:t>
      </w:r>
      <w:hyperlink r:id="rId16" w:tgtFrame="_blank" w:history="1">
        <w:r w:rsidRPr="00634082">
          <w:rPr>
            <w:rStyle w:val="Hyperlink"/>
            <w:rFonts w:eastAsiaTheme="majorEastAsia"/>
            <w:color w:val="auto"/>
            <w:u w:val="none"/>
          </w:rPr>
          <w:t>https://www.macrotrends.net/global-metrics/countries/gmb/gambia/infant-mortality-rate</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Maldonado, L. Y., Bone, J., Scanlon, M. L., </w:t>
      </w:r>
      <w:proofErr w:type="spellStart"/>
      <w:r w:rsidRPr="00634082">
        <w:t>Anusu</w:t>
      </w:r>
      <w:proofErr w:type="spellEnd"/>
      <w:r w:rsidRPr="00634082">
        <w:t xml:space="preserve">, G., </w:t>
      </w:r>
      <w:proofErr w:type="spellStart"/>
      <w:r w:rsidRPr="00634082">
        <w:t>Chelagat</w:t>
      </w:r>
      <w:proofErr w:type="spellEnd"/>
      <w:r w:rsidRPr="00634082">
        <w:t xml:space="preserve">, S., </w:t>
      </w:r>
      <w:proofErr w:type="spellStart"/>
      <w:r w:rsidRPr="00634082">
        <w:t>Jumah</w:t>
      </w:r>
      <w:proofErr w:type="spellEnd"/>
      <w:r w:rsidRPr="00634082">
        <w:t xml:space="preserve">, A., </w:t>
      </w:r>
      <w:proofErr w:type="spellStart"/>
      <w:r w:rsidRPr="00634082">
        <w:t>Ikemeri</w:t>
      </w:r>
      <w:proofErr w:type="spellEnd"/>
      <w:r w:rsidRPr="00634082">
        <w:t xml:space="preserve">, J. E., </w:t>
      </w:r>
      <w:proofErr w:type="spellStart"/>
      <w:r w:rsidRPr="00634082">
        <w:t>Songok</w:t>
      </w:r>
      <w:proofErr w:type="spellEnd"/>
      <w:r w:rsidRPr="00634082">
        <w:t xml:space="preserve">, J. J., </w:t>
      </w:r>
      <w:proofErr w:type="spellStart"/>
      <w:r w:rsidRPr="00634082">
        <w:t>Christoffersen</w:t>
      </w:r>
      <w:proofErr w:type="spellEnd"/>
      <w:r w:rsidRPr="00634082">
        <w:t xml:space="preserve">-Deb, A., &amp; </w:t>
      </w:r>
      <w:proofErr w:type="spellStart"/>
      <w:r w:rsidRPr="00634082">
        <w:t>Ruh</w:t>
      </w:r>
      <w:proofErr w:type="spellEnd"/>
      <w:r w:rsidRPr="00634082">
        <w:t xml:space="preserve">, L. J. (2020). Improving maternal, newborn, and child health outcomes through a community-based women’s health education program: A cluster </w:t>
      </w:r>
      <w:proofErr w:type="spellStart"/>
      <w:r w:rsidRPr="00634082">
        <w:t>randomised</w:t>
      </w:r>
      <w:proofErr w:type="spellEnd"/>
      <w:r w:rsidRPr="00634082">
        <w:t xml:space="preserve"> controlled trial in western Kenya. </w:t>
      </w:r>
      <w:r w:rsidRPr="00634082">
        <w:rPr>
          <w:rStyle w:val="Emphasis"/>
        </w:rPr>
        <w:t>BMJ Global Health, 5</w:t>
      </w:r>
      <w:r w:rsidRPr="00634082">
        <w:t>(9), e003370. </w:t>
      </w:r>
      <w:hyperlink r:id="rId17" w:tgtFrame="_blank" w:history="1">
        <w:r w:rsidRPr="00634082">
          <w:rPr>
            <w:rStyle w:val="Hyperlink"/>
            <w:rFonts w:eastAsiaTheme="majorEastAsia"/>
            <w:color w:val="auto"/>
            <w:u w:val="none"/>
          </w:rPr>
          <w:t>https://doi.org/10.1136/bmjgh-2020-003370</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lastRenderedPageBreak/>
        <w:t xml:space="preserve">Mensch, B. S., Chuang, E. K., </w:t>
      </w:r>
      <w:proofErr w:type="spellStart"/>
      <w:r w:rsidRPr="00634082">
        <w:t>Melnikas</w:t>
      </w:r>
      <w:proofErr w:type="spellEnd"/>
      <w:r w:rsidRPr="00634082">
        <w:t>, A. J., &amp; Psaki, S. R. (2019). Evidence for causal links between education and maternal and child health: Systematic review. </w:t>
      </w:r>
      <w:r w:rsidRPr="00634082">
        <w:rPr>
          <w:rStyle w:val="Emphasis"/>
        </w:rPr>
        <w:t>Tropical Medicine &amp; International Health, 24</w:t>
      </w:r>
      <w:r w:rsidRPr="00634082">
        <w:t>(5), 504–522. </w:t>
      </w:r>
      <w:hyperlink r:id="rId18" w:tgtFrame="_blank" w:history="1">
        <w:r w:rsidRPr="00634082">
          <w:rPr>
            <w:rStyle w:val="Hyperlink"/>
            <w:rFonts w:eastAsiaTheme="majorEastAsia"/>
            <w:color w:val="auto"/>
            <w:u w:val="none"/>
          </w:rPr>
          <w:t>https://doi.org/10.1111/tmi.13218</w:t>
        </w:r>
      </w:hyperlink>
    </w:p>
    <w:p w:rsidR="003C1098"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Moradhvaj</w:t>
      </w:r>
      <w:proofErr w:type="spellEnd"/>
      <w:r w:rsidRPr="00634082">
        <w:t>, &amp; Samir, K. C. (2023). Differential impact of maternal education on under-five mortality in rural and urban India. </w:t>
      </w:r>
      <w:r w:rsidRPr="00634082">
        <w:rPr>
          <w:rStyle w:val="Emphasis"/>
        </w:rPr>
        <w:t>Health &amp; Place, 80</w:t>
      </w:r>
      <w:r w:rsidRPr="00634082">
        <w:t>, 102987.</w:t>
      </w:r>
    </w:p>
    <w:p w:rsidR="003C1098" w:rsidRPr="00634082" w:rsidRDefault="003C1098" w:rsidP="00C22527">
      <w:pPr>
        <w:pStyle w:val="ds-markdown-paragraph"/>
        <w:numPr>
          <w:ilvl w:val="0"/>
          <w:numId w:val="17"/>
        </w:numPr>
        <w:shd w:val="clear" w:color="auto" w:fill="FFFFFF"/>
        <w:spacing w:before="0" w:beforeAutospacing="0" w:after="0" w:afterAutospacing="0"/>
        <w:jc w:val="both"/>
      </w:pPr>
      <w:r w:rsidRPr="00634082">
        <w:rPr>
          <w:rStyle w:val="cit-name-surname"/>
          <w:bdr w:val="none" w:sz="0" w:space="0" w:color="auto" w:frame="1"/>
          <w:shd w:val="clear" w:color="auto" w:fill="FFFFFF"/>
        </w:rPr>
        <w:t>Mordecai</w:t>
      </w:r>
      <w:r w:rsidRPr="00634082">
        <w:rPr>
          <w:rStyle w:val="cit-auth"/>
          <w:bdr w:val="none" w:sz="0" w:space="0" w:color="auto" w:frame="1"/>
          <w:shd w:val="clear" w:color="auto" w:fill="FFFFFF"/>
        </w:rPr>
        <w:t>, </w:t>
      </w:r>
      <w:r w:rsidRPr="00634082">
        <w:rPr>
          <w:rStyle w:val="cit-name-given-names"/>
          <w:bdr w:val="none" w:sz="0" w:space="0" w:color="auto" w:frame="1"/>
          <w:shd w:val="clear" w:color="auto" w:fill="FFFFFF"/>
        </w:rPr>
        <w:t>O</w:t>
      </w:r>
      <w:r w:rsidRPr="00634082">
        <w:rPr>
          <w:shd w:val="clear" w:color="auto" w:fill="FFFFFF"/>
        </w:rPr>
        <w:t>. (</w:t>
      </w:r>
      <w:r w:rsidRPr="00634082">
        <w:rPr>
          <w:rStyle w:val="cit-pub-date"/>
          <w:bdr w:val="none" w:sz="0" w:space="0" w:color="auto" w:frame="1"/>
          <w:shd w:val="clear" w:color="auto" w:fill="FFFFFF"/>
        </w:rPr>
        <w:t>2023</w:t>
      </w:r>
      <w:r w:rsidRPr="00634082">
        <w:rPr>
          <w:shd w:val="clear" w:color="auto" w:fill="FFFFFF"/>
        </w:rPr>
        <w:t>). </w:t>
      </w:r>
      <w:r w:rsidRPr="00634082">
        <w:t>A Ten-Year Retrospective Study Evaluating the Effectiveness of the Maternal New-born and Child Health Weeks Intervention among Pregnant Women in Nigeria</w:t>
      </w:r>
      <w:r w:rsidRPr="00634082">
        <w:rPr>
          <w:shd w:val="clear" w:color="auto" w:fill="FFFFFF"/>
        </w:rPr>
        <w:t>, </w:t>
      </w:r>
      <w:hyperlink r:id="rId19" w:history="1">
        <w:r w:rsidRPr="00634082">
          <w:rPr>
            <w:rStyle w:val="Hyperlink"/>
            <w:color w:val="auto"/>
            <w:u w:val="none"/>
            <w:bdr w:val="none" w:sz="0" w:space="0" w:color="auto" w:frame="1"/>
            <w:shd w:val="clear" w:color="auto" w:fill="FFFFFF"/>
          </w:rPr>
          <w:t>https://www.researchgate.net/publication/373949175</w:t>
        </w:r>
      </w:hyperlink>
      <w:r w:rsidRPr="00634082">
        <w:rPr>
          <w:shd w:val="clear" w:color="auto" w:fill="FFFFFF"/>
        </w:rPr>
        <w:t>, 3(1), </w:t>
      </w:r>
      <w:r w:rsidRPr="00634082">
        <w:rPr>
          <w:rStyle w:val="cit-fpage"/>
          <w:bdr w:val="none" w:sz="0" w:space="0" w:color="auto" w:frame="1"/>
          <w:shd w:val="clear" w:color="auto" w:fill="FFFFFF"/>
        </w:rPr>
        <w:t>17</w:t>
      </w:r>
      <w:r w:rsidRPr="00634082">
        <w:rPr>
          <w:shd w:val="clear" w:color="auto" w:fill="FFFFFF"/>
        </w:rPr>
        <w:t>–</w:t>
      </w:r>
      <w:r w:rsidRPr="00634082">
        <w:rPr>
          <w:rStyle w:val="cit-lpage"/>
          <w:bdr w:val="none" w:sz="0" w:space="0" w:color="auto" w:frame="1"/>
          <w:shd w:val="clear" w:color="auto" w:fill="FFFFFF"/>
        </w:rPr>
        <w:t>30</w:t>
      </w:r>
      <w:r w:rsidRPr="00634082">
        <w:rPr>
          <w:shd w:val="clear" w:color="auto" w:fill="FFFFFF"/>
        </w:rPr>
        <w:t>.</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Nobles, J., &amp; Frankenberg, E. (2009). Mothers’ community participation and child health. </w:t>
      </w:r>
      <w:r w:rsidRPr="00634082">
        <w:rPr>
          <w:rStyle w:val="Emphasis"/>
        </w:rPr>
        <w:t>Journal of Health and Social Behavior, 50</w:t>
      </w:r>
      <w:r w:rsidRPr="00634082">
        <w:t>(1), 16–30.</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Paul, S., Paul, S., Gupta, A. K., &amp; James, K. S. (2022). Maternal education, health care system and child health: Evidence from India. </w:t>
      </w:r>
      <w:r w:rsidRPr="00634082">
        <w:rPr>
          <w:rStyle w:val="Emphasis"/>
        </w:rPr>
        <w:t>Social Science &amp; Medicine, 296</w:t>
      </w:r>
      <w:r w:rsidRPr="00634082">
        <w:t>, 114740.</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Paz-Pascual, C., </w:t>
      </w:r>
      <w:proofErr w:type="spellStart"/>
      <w:r w:rsidRPr="00634082">
        <w:t>Artieta-Pinedo</w:t>
      </w:r>
      <w:proofErr w:type="spellEnd"/>
      <w:r w:rsidRPr="00634082">
        <w:t xml:space="preserve">, I., Grandes, G., &amp; </w:t>
      </w:r>
      <w:proofErr w:type="spellStart"/>
      <w:proofErr w:type="gramStart"/>
      <w:r w:rsidRPr="00634082">
        <w:t>ema.Q</w:t>
      </w:r>
      <w:proofErr w:type="spellEnd"/>
      <w:proofErr w:type="gramEnd"/>
      <w:r w:rsidRPr="00634082">
        <w:t xml:space="preserve"> Group. (2019). Consensus on priorities in maternal education: Results of Delphi and nominal group technique approaches. </w:t>
      </w:r>
      <w:r w:rsidRPr="00634082">
        <w:rPr>
          <w:rStyle w:val="Emphasis"/>
        </w:rPr>
        <w:t>BMC Pregnancy and Childbirth, 19</w:t>
      </w:r>
      <w:r w:rsidRPr="00634082">
        <w:t>, 264.</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Rezaeizadeh</w:t>
      </w:r>
      <w:proofErr w:type="spellEnd"/>
      <w:r w:rsidRPr="00634082">
        <w:t xml:space="preserve">, G., </w:t>
      </w:r>
      <w:proofErr w:type="spellStart"/>
      <w:r w:rsidRPr="00634082">
        <w:t>Mansournia</w:t>
      </w:r>
      <w:proofErr w:type="spellEnd"/>
      <w:r w:rsidRPr="00634082">
        <w:t xml:space="preserve">, M. A., </w:t>
      </w:r>
      <w:proofErr w:type="spellStart"/>
      <w:r w:rsidRPr="00634082">
        <w:t>Keshtkar</w:t>
      </w:r>
      <w:proofErr w:type="spellEnd"/>
      <w:r w:rsidRPr="00634082">
        <w:t xml:space="preserve">, A., Farahani, Z., </w:t>
      </w:r>
      <w:proofErr w:type="spellStart"/>
      <w:r w:rsidRPr="00634082">
        <w:t>Zarepour</w:t>
      </w:r>
      <w:proofErr w:type="spellEnd"/>
      <w:r w:rsidRPr="00634082">
        <w:t xml:space="preserve">, F., </w:t>
      </w:r>
      <w:proofErr w:type="spellStart"/>
      <w:r w:rsidRPr="00634082">
        <w:t>Sharafkhah</w:t>
      </w:r>
      <w:proofErr w:type="spellEnd"/>
      <w:r w:rsidRPr="00634082">
        <w:t xml:space="preserve">, M., </w:t>
      </w:r>
      <w:proofErr w:type="spellStart"/>
      <w:r w:rsidRPr="00634082">
        <w:t>Kelishadi</w:t>
      </w:r>
      <w:proofErr w:type="spellEnd"/>
      <w:r w:rsidRPr="00634082">
        <w:t xml:space="preserve">, R., &amp; </w:t>
      </w:r>
      <w:proofErr w:type="spellStart"/>
      <w:r w:rsidRPr="00634082">
        <w:t>Poustchi</w:t>
      </w:r>
      <w:proofErr w:type="spellEnd"/>
      <w:r w:rsidRPr="00634082">
        <w:t>, H. (2024). Maternal education and its influence on child growth and nutritional status during the first two years of life: A systematic review and meta-analysis. </w:t>
      </w:r>
      <w:proofErr w:type="spellStart"/>
      <w:r w:rsidRPr="00634082">
        <w:rPr>
          <w:rStyle w:val="Emphasis"/>
        </w:rPr>
        <w:t>EClinicalMedicine</w:t>
      </w:r>
      <w:proofErr w:type="spellEnd"/>
      <w:r w:rsidRPr="00634082">
        <w:rPr>
          <w:rStyle w:val="Emphasis"/>
        </w:rPr>
        <w:t>, 71</w:t>
      </w:r>
      <w:r w:rsidRPr="00634082">
        <w:t>, 102574. </w:t>
      </w:r>
      <w:hyperlink r:id="rId20" w:tgtFrame="_blank" w:history="1">
        <w:r w:rsidRPr="00634082">
          <w:rPr>
            <w:rStyle w:val="Hyperlink"/>
            <w:rFonts w:eastAsiaTheme="majorEastAsia"/>
            <w:color w:val="auto"/>
            <w:u w:val="none"/>
          </w:rPr>
          <w:t>https://doi.org/10.1016/j.eclinm.2024.102574</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Sasu</w:t>
      </w:r>
      <w:proofErr w:type="spellEnd"/>
      <w:r w:rsidRPr="00634082">
        <w:t>, D. D. (2024). </w:t>
      </w:r>
      <w:r w:rsidRPr="00634082">
        <w:rPr>
          <w:rStyle w:val="Emphasis"/>
        </w:rPr>
        <w:t>Female adult literacy rate in West Africa in 2018, by country</w:t>
      </w:r>
      <w:r w:rsidRPr="00634082">
        <w:t>. Statista. </w:t>
      </w:r>
      <w:hyperlink r:id="rId21" w:tgtFrame="_blank" w:history="1">
        <w:r w:rsidRPr="00634082">
          <w:rPr>
            <w:rStyle w:val="Hyperlink"/>
            <w:rFonts w:eastAsiaTheme="majorEastAsia"/>
            <w:color w:val="auto"/>
            <w:u w:val="none"/>
          </w:rPr>
          <w:t>https://www.statista.com/aboutus/our-research-commitment/2683/doris-dokua-sasu</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Shannon, K., Burridge, J., Franklin, B., Bhushan, S., </w:t>
      </w:r>
      <w:proofErr w:type="spellStart"/>
      <w:r w:rsidRPr="00634082">
        <w:t>Hilsenbeck</w:t>
      </w:r>
      <w:proofErr w:type="spellEnd"/>
      <w:r w:rsidRPr="00634082">
        <w:t xml:space="preserve">, S., </w:t>
      </w:r>
      <w:proofErr w:type="spellStart"/>
      <w:r w:rsidRPr="00634082">
        <w:t>Petrova</w:t>
      </w:r>
      <w:proofErr w:type="spellEnd"/>
      <w:r w:rsidRPr="00634082">
        <w:t xml:space="preserve">, E. V., </w:t>
      </w:r>
      <w:proofErr w:type="spellStart"/>
      <w:r w:rsidRPr="00634082">
        <w:t>N’Dow</w:t>
      </w:r>
      <w:proofErr w:type="spellEnd"/>
      <w:r w:rsidRPr="00634082">
        <w:t xml:space="preserve">, J., </w:t>
      </w:r>
      <w:proofErr w:type="spellStart"/>
      <w:r w:rsidRPr="00634082">
        <w:t>Iwuh</w:t>
      </w:r>
      <w:proofErr w:type="spellEnd"/>
      <w:r w:rsidRPr="00634082">
        <w:t xml:space="preserve">, I., </w:t>
      </w:r>
      <w:proofErr w:type="spellStart"/>
      <w:r w:rsidRPr="00634082">
        <w:t>Anandasabapathy</w:t>
      </w:r>
      <w:proofErr w:type="spellEnd"/>
      <w:r w:rsidRPr="00634082">
        <w:t>, S., &amp; Wilkinson, J. P. (2024). Gambian mothers lack obstetric danger sign knowledge, but educational intervention shows promise. </w:t>
      </w:r>
      <w:r w:rsidRPr="00634082">
        <w:rPr>
          <w:rStyle w:val="Emphasis"/>
        </w:rPr>
        <w:t>Annals of Global Health, 90</w:t>
      </w:r>
      <w:r w:rsidRPr="00634082">
        <w:t>(1), 31. </w:t>
      </w:r>
      <w:hyperlink r:id="rId22" w:tgtFrame="_blank" w:history="1">
        <w:r w:rsidRPr="00634082">
          <w:rPr>
            <w:rStyle w:val="Hyperlink"/>
            <w:rFonts w:eastAsiaTheme="majorEastAsia"/>
            <w:color w:val="auto"/>
            <w:u w:val="none"/>
          </w:rPr>
          <w:t>https://doi.org/10.5334/aogh.3930</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Smith-Greenaway, E. (2013). Mothers’ reading skills and child survival in Nigeria: Examining the relevance of mothers’ decision-making power. </w:t>
      </w:r>
      <w:r w:rsidRPr="00634082">
        <w:rPr>
          <w:rStyle w:val="Emphasis"/>
        </w:rPr>
        <w:t>Social Science &amp; Medicine, 97</w:t>
      </w:r>
      <w:r w:rsidRPr="00634082">
        <w:t>, 152–160.</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UNICEF, World Bank Group, &amp; United Nations. (2021). *Levels and Trends in Child Mortality 2020: Estimates Developed by the UN Inter-agency Group for Child Mortality Estimation*.</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Vhawal</w:t>
      </w:r>
      <w:proofErr w:type="spellEnd"/>
      <w:r w:rsidRPr="00634082">
        <w:t xml:space="preserve">, V., &amp; </w:t>
      </w:r>
      <w:proofErr w:type="spellStart"/>
      <w:r w:rsidRPr="00634082">
        <w:t>Kapale</w:t>
      </w:r>
      <w:proofErr w:type="spellEnd"/>
      <w:r w:rsidRPr="00634082">
        <w:t xml:space="preserve">, R. J., &amp; </w:t>
      </w:r>
      <w:proofErr w:type="spellStart"/>
      <w:r w:rsidRPr="00634082">
        <w:t>Kanase</w:t>
      </w:r>
      <w:proofErr w:type="spellEnd"/>
      <w:r w:rsidRPr="00634082">
        <w:t>, N. V. (2024). The role of maternal education in enhancing child health: Focus on vaccination and nutritional status. </w:t>
      </w:r>
      <w:r w:rsidRPr="00634082">
        <w:rPr>
          <w:rStyle w:val="Emphasis"/>
        </w:rPr>
        <w:t xml:space="preserve">Obstetrics and </w:t>
      </w:r>
      <w:proofErr w:type="spellStart"/>
      <w:r w:rsidRPr="00634082">
        <w:rPr>
          <w:rStyle w:val="Emphasis"/>
        </w:rPr>
        <w:t>Gynaecology</w:t>
      </w:r>
      <w:proofErr w:type="spellEnd"/>
      <w:r w:rsidRPr="00634082">
        <w:rPr>
          <w:rStyle w:val="Emphasis"/>
        </w:rPr>
        <w:t xml:space="preserve"> Forum, 34</w:t>
      </w:r>
      <w:r w:rsidRPr="00634082">
        <w:t>(3), 586–593.</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 xml:space="preserve">Vikram, K., </w:t>
      </w:r>
      <w:proofErr w:type="spellStart"/>
      <w:r w:rsidRPr="00634082">
        <w:t>Vanneman</w:t>
      </w:r>
      <w:proofErr w:type="spellEnd"/>
      <w:r w:rsidRPr="00634082">
        <w:t>, R., &amp; Desai, S. (2012). Linkages between maternal education and childhood immunization in India. </w:t>
      </w:r>
      <w:r w:rsidRPr="00634082">
        <w:rPr>
          <w:rStyle w:val="Emphasis"/>
        </w:rPr>
        <w:t>Social Science &amp; Medicine, 75</w:t>
      </w:r>
      <w:r w:rsidRPr="00634082">
        <w:t>(2), 331–339.</w:t>
      </w:r>
    </w:p>
    <w:p w:rsidR="00E122E0" w:rsidRPr="00634082" w:rsidRDefault="00E122E0" w:rsidP="00C22527">
      <w:pPr>
        <w:pStyle w:val="ds-markdown-paragraph"/>
        <w:numPr>
          <w:ilvl w:val="0"/>
          <w:numId w:val="17"/>
        </w:numPr>
        <w:shd w:val="clear" w:color="auto" w:fill="FFFFFF"/>
        <w:spacing w:before="0" w:beforeAutospacing="0" w:after="0" w:afterAutospacing="0"/>
        <w:jc w:val="both"/>
      </w:pPr>
      <w:proofErr w:type="spellStart"/>
      <w:r w:rsidRPr="00634082">
        <w:t>Weyori</w:t>
      </w:r>
      <w:proofErr w:type="spellEnd"/>
      <w:r w:rsidRPr="00634082">
        <w:t xml:space="preserve">, A. E., </w:t>
      </w:r>
      <w:proofErr w:type="spellStart"/>
      <w:r w:rsidRPr="00634082">
        <w:t>Seidu</w:t>
      </w:r>
      <w:proofErr w:type="spellEnd"/>
      <w:r w:rsidRPr="00634082">
        <w:t xml:space="preserve">, A.-A., Aboagye, R. G., Holmes, F. A., Okyere, J., &amp; </w:t>
      </w:r>
      <w:proofErr w:type="spellStart"/>
      <w:r w:rsidRPr="00634082">
        <w:t>Ahinkorah</w:t>
      </w:r>
      <w:proofErr w:type="spellEnd"/>
      <w:r w:rsidRPr="00634082">
        <w:t>, B. O. (2022). Antenatal care attendance and low birth weight of institutional births in sub-Saharan Africa. </w:t>
      </w:r>
      <w:r w:rsidRPr="00634082">
        <w:rPr>
          <w:rStyle w:val="Emphasis"/>
        </w:rPr>
        <w:t>BMC Pregnancy and Childbirth, 22</w:t>
      </w:r>
      <w:r w:rsidRPr="00634082">
        <w:t>(1), 283. </w:t>
      </w:r>
      <w:hyperlink r:id="rId23" w:tgtFrame="_blank" w:history="1">
        <w:r w:rsidRPr="00634082">
          <w:rPr>
            <w:rStyle w:val="Hyperlink"/>
            <w:rFonts w:eastAsiaTheme="majorEastAsia"/>
            <w:color w:val="auto"/>
            <w:u w:val="none"/>
          </w:rPr>
          <w:t>https://doi.org/10.1186/s12884-022-04576-4</w:t>
        </w:r>
      </w:hyperlink>
    </w:p>
    <w:p w:rsidR="00E122E0" w:rsidRPr="00634082" w:rsidRDefault="00E122E0" w:rsidP="00C22527">
      <w:pPr>
        <w:pStyle w:val="ds-markdown-paragraph"/>
        <w:numPr>
          <w:ilvl w:val="0"/>
          <w:numId w:val="17"/>
        </w:numPr>
        <w:shd w:val="clear" w:color="auto" w:fill="FFFFFF"/>
        <w:spacing w:before="0" w:beforeAutospacing="0" w:after="0" w:afterAutospacing="0"/>
        <w:jc w:val="both"/>
      </w:pPr>
      <w:r w:rsidRPr="00634082">
        <w:t>World Bank Group. (2024). </w:t>
      </w:r>
      <w:r w:rsidRPr="00634082">
        <w:rPr>
          <w:rStyle w:val="Emphasis"/>
        </w:rPr>
        <w:t>The Gambia</w:t>
      </w:r>
      <w:r w:rsidRPr="00634082">
        <w:t>. </w:t>
      </w:r>
      <w:hyperlink r:id="rId24" w:tgtFrame="_blank" w:history="1">
        <w:r w:rsidRPr="00634082">
          <w:rPr>
            <w:rStyle w:val="Hyperlink"/>
            <w:rFonts w:eastAsiaTheme="majorEastAsia"/>
            <w:color w:val="auto"/>
            <w:u w:val="none"/>
          </w:rPr>
          <w:t>https://genderdata.worldbank.org/en/economies/gambia-the</w:t>
        </w:r>
      </w:hyperlink>
    </w:p>
    <w:p w:rsidR="00B05305" w:rsidRPr="00634082" w:rsidRDefault="00B05305" w:rsidP="00C22527">
      <w:pPr>
        <w:spacing w:after="0" w:line="240" w:lineRule="auto"/>
        <w:rPr>
          <w:rFonts w:ascii="Times New Roman" w:eastAsia="Times New Roman" w:hAnsi="Times New Roman" w:cs="Times New Roman"/>
        </w:rPr>
      </w:pPr>
    </w:p>
    <w:p w:rsidR="00B05305" w:rsidRPr="00634082" w:rsidRDefault="00B05305" w:rsidP="00B05305">
      <w:pPr>
        <w:jc w:val="center"/>
        <w:rPr>
          <w:rFonts w:ascii="Times New Roman" w:hAnsi="Times New Roman" w:cs="Times New Roman"/>
          <w:b/>
        </w:rPr>
      </w:pPr>
    </w:p>
    <w:sectPr w:rsidR="00B05305" w:rsidRPr="00634082" w:rsidSect="00A235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235" w:rsidRDefault="00ED0235" w:rsidP="00596B53">
      <w:pPr>
        <w:spacing w:after="0" w:line="240" w:lineRule="auto"/>
      </w:pPr>
      <w:r>
        <w:separator/>
      </w:r>
    </w:p>
  </w:endnote>
  <w:endnote w:type="continuationSeparator" w:id="0">
    <w:p w:rsidR="00ED0235" w:rsidRDefault="00ED0235" w:rsidP="0059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Std">
    <w:altName w:val="Arial MT Std"/>
    <w:panose1 w:val="00000000000000000000"/>
    <w:charset w:val="00"/>
    <w:family w:val="swiss"/>
    <w:notTrueType/>
    <w:pitch w:val="default"/>
    <w:sig w:usb0="00000003" w:usb1="00000000" w:usb2="00000000" w:usb3="00000000" w:csb0="00000001" w:csb1="00000000"/>
  </w:font>
  <w:font w:name="Arial MT Std Cond">
    <w:altName w:val="Arial MT Std Con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3B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235" w:rsidRDefault="00ED0235" w:rsidP="00596B53">
      <w:pPr>
        <w:spacing w:after="0" w:line="240" w:lineRule="auto"/>
      </w:pPr>
      <w:r>
        <w:separator/>
      </w:r>
    </w:p>
  </w:footnote>
  <w:footnote w:type="continuationSeparator" w:id="0">
    <w:p w:rsidR="00ED0235" w:rsidRDefault="00ED0235" w:rsidP="0059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EB3A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B53" w:rsidRDefault="00EB3A5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7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718274536"/>
        <w:docPartObj>
          <w:docPartGallery w:val="Page Numbers (Top of Page)"/>
          <w:docPartUnique/>
        </w:docPartObj>
      </w:sdtPr>
      <w:sdtEndPr>
        <w:rPr>
          <w:noProof/>
        </w:rPr>
      </w:sdtEndPr>
      <w:sdtContent>
        <w:r w:rsidR="00596B53">
          <w:fldChar w:fldCharType="begin"/>
        </w:r>
        <w:r w:rsidR="00596B53">
          <w:instrText xml:space="preserve"> PAGE   \* MERGEFORMAT </w:instrText>
        </w:r>
        <w:r w:rsidR="00596B53">
          <w:fldChar w:fldCharType="separate"/>
        </w:r>
        <w:r w:rsidR="00A905C0">
          <w:rPr>
            <w:noProof/>
          </w:rPr>
          <w:t>11</w:t>
        </w:r>
        <w:r w:rsidR="00596B53">
          <w:rPr>
            <w:noProof/>
          </w:rPr>
          <w:fldChar w:fldCharType="end"/>
        </w:r>
      </w:sdtContent>
    </w:sdt>
  </w:p>
  <w:p w:rsidR="00596B53" w:rsidRDefault="00596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24" w:rsidRDefault="00EB3A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482E"/>
    <w:multiLevelType w:val="multilevel"/>
    <w:tmpl w:val="88B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65E24"/>
    <w:multiLevelType w:val="multilevel"/>
    <w:tmpl w:val="A8A0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220D2"/>
    <w:multiLevelType w:val="multilevel"/>
    <w:tmpl w:val="9DB6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76A6D"/>
    <w:multiLevelType w:val="hybridMultilevel"/>
    <w:tmpl w:val="5F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1576F"/>
    <w:multiLevelType w:val="multilevel"/>
    <w:tmpl w:val="2A30C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17F1F"/>
    <w:multiLevelType w:val="multilevel"/>
    <w:tmpl w:val="31C4A25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0D0B9A"/>
    <w:multiLevelType w:val="multilevel"/>
    <w:tmpl w:val="A6EA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8236C"/>
    <w:multiLevelType w:val="multilevel"/>
    <w:tmpl w:val="310AA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C5BA8"/>
    <w:multiLevelType w:val="multilevel"/>
    <w:tmpl w:val="08FE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B454CB"/>
    <w:multiLevelType w:val="multilevel"/>
    <w:tmpl w:val="593A60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82BDB"/>
    <w:multiLevelType w:val="multilevel"/>
    <w:tmpl w:val="3D881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04C1D"/>
    <w:multiLevelType w:val="multilevel"/>
    <w:tmpl w:val="70C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47EEC"/>
    <w:multiLevelType w:val="multilevel"/>
    <w:tmpl w:val="113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F3795"/>
    <w:multiLevelType w:val="multilevel"/>
    <w:tmpl w:val="3F1E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11D61"/>
    <w:multiLevelType w:val="multilevel"/>
    <w:tmpl w:val="6D886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8E6FFF"/>
    <w:multiLevelType w:val="hybridMultilevel"/>
    <w:tmpl w:val="CE0A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16618"/>
    <w:multiLevelType w:val="multilevel"/>
    <w:tmpl w:val="CF58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0"/>
  </w:num>
  <w:num w:numId="4">
    <w:abstractNumId w:val="14"/>
  </w:num>
  <w:num w:numId="5">
    <w:abstractNumId w:val="4"/>
  </w:num>
  <w:num w:numId="6">
    <w:abstractNumId w:val="16"/>
  </w:num>
  <w:num w:numId="7">
    <w:abstractNumId w:val="1"/>
  </w:num>
  <w:num w:numId="8">
    <w:abstractNumId w:val="7"/>
  </w:num>
  <w:num w:numId="9">
    <w:abstractNumId w:val="12"/>
  </w:num>
  <w:num w:numId="10">
    <w:abstractNumId w:val="11"/>
  </w:num>
  <w:num w:numId="11">
    <w:abstractNumId w:val="6"/>
  </w:num>
  <w:num w:numId="12">
    <w:abstractNumId w:val="2"/>
  </w:num>
  <w:num w:numId="13">
    <w:abstractNumId w:val="0"/>
  </w:num>
  <w:num w:numId="14">
    <w:abstractNumId w:val="13"/>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AB"/>
    <w:rsid w:val="000151E5"/>
    <w:rsid w:val="00023CB3"/>
    <w:rsid w:val="0003204A"/>
    <w:rsid w:val="00032F67"/>
    <w:rsid w:val="00033052"/>
    <w:rsid w:val="000345B5"/>
    <w:rsid w:val="000429EC"/>
    <w:rsid w:val="00045B22"/>
    <w:rsid w:val="00047C81"/>
    <w:rsid w:val="00053F3D"/>
    <w:rsid w:val="00054F34"/>
    <w:rsid w:val="0006007E"/>
    <w:rsid w:val="00060926"/>
    <w:rsid w:val="00064D44"/>
    <w:rsid w:val="0006528F"/>
    <w:rsid w:val="00071883"/>
    <w:rsid w:val="00080350"/>
    <w:rsid w:val="000826D4"/>
    <w:rsid w:val="00084C7A"/>
    <w:rsid w:val="0008701D"/>
    <w:rsid w:val="00090602"/>
    <w:rsid w:val="0009367B"/>
    <w:rsid w:val="0009459E"/>
    <w:rsid w:val="000953CA"/>
    <w:rsid w:val="00096A51"/>
    <w:rsid w:val="000A0467"/>
    <w:rsid w:val="000A1350"/>
    <w:rsid w:val="000A6842"/>
    <w:rsid w:val="000B05C3"/>
    <w:rsid w:val="000B26E2"/>
    <w:rsid w:val="000B2B40"/>
    <w:rsid w:val="000B7C9B"/>
    <w:rsid w:val="000F2D59"/>
    <w:rsid w:val="0010107A"/>
    <w:rsid w:val="001058F2"/>
    <w:rsid w:val="0011136E"/>
    <w:rsid w:val="00120C13"/>
    <w:rsid w:val="00126664"/>
    <w:rsid w:val="00140674"/>
    <w:rsid w:val="00140DF4"/>
    <w:rsid w:val="00145C2B"/>
    <w:rsid w:val="00155105"/>
    <w:rsid w:val="001626E7"/>
    <w:rsid w:val="001726E7"/>
    <w:rsid w:val="00175CCB"/>
    <w:rsid w:val="00177C82"/>
    <w:rsid w:val="00180A6A"/>
    <w:rsid w:val="00180DE1"/>
    <w:rsid w:val="00186256"/>
    <w:rsid w:val="00190193"/>
    <w:rsid w:val="001A2FD3"/>
    <w:rsid w:val="001A3262"/>
    <w:rsid w:val="001B1245"/>
    <w:rsid w:val="001C3DBD"/>
    <w:rsid w:val="001D07E9"/>
    <w:rsid w:val="001D1937"/>
    <w:rsid w:val="001D4F0F"/>
    <w:rsid w:val="001E3900"/>
    <w:rsid w:val="001F2492"/>
    <w:rsid w:val="00205738"/>
    <w:rsid w:val="002061C6"/>
    <w:rsid w:val="0021077F"/>
    <w:rsid w:val="00222CCA"/>
    <w:rsid w:val="002256D3"/>
    <w:rsid w:val="00227A82"/>
    <w:rsid w:val="0023052A"/>
    <w:rsid w:val="002306C7"/>
    <w:rsid w:val="002353EC"/>
    <w:rsid w:val="00236377"/>
    <w:rsid w:val="002475E4"/>
    <w:rsid w:val="0024760F"/>
    <w:rsid w:val="002501D5"/>
    <w:rsid w:val="00253366"/>
    <w:rsid w:val="00256656"/>
    <w:rsid w:val="0026042C"/>
    <w:rsid w:val="00274D45"/>
    <w:rsid w:val="00280D92"/>
    <w:rsid w:val="0028192F"/>
    <w:rsid w:val="00286D89"/>
    <w:rsid w:val="0029038A"/>
    <w:rsid w:val="00292BF7"/>
    <w:rsid w:val="002A43C9"/>
    <w:rsid w:val="002A7FB4"/>
    <w:rsid w:val="002D0306"/>
    <w:rsid w:val="002D7F64"/>
    <w:rsid w:val="002E145A"/>
    <w:rsid w:val="002E196D"/>
    <w:rsid w:val="002F1956"/>
    <w:rsid w:val="003006B3"/>
    <w:rsid w:val="0030177B"/>
    <w:rsid w:val="003020E5"/>
    <w:rsid w:val="00306311"/>
    <w:rsid w:val="0030793D"/>
    <w:rsid w:val="00314553"/>
    <w:rsid w:val="00322552"/>
    <w:rsid w:val="00330897"/>
    <w:rsid w:val="003309F5"/>
    <w:rsid w:val="003325CC"/>
    <w:rsid w:val="00340CD7"/>
    <w:rsid w:val="00346FA1"/>
    <w:rsid w:val="00353933"/>
    <w:rsid w:val="00362904"/>
    <w:rsid w:val="003656E8"/>
    <w:rsid w:val="00370600"/>
    <w:rsid w:val="00370C2B"/>
    <w:rsid w:val="00384844"/>
    <w:rsid w:val="00392AFF"/>
    <w:rsid w:val="003A2D7F"/>
    <w:rsid w:val="003B0CE0"/>
    <w:rsid w:val="003B1E4C"/>
    <w:rsid w:val="003B3124"/>
    <w:rsid w:val="003C04F8"/>
    <w:rsid w:val="003C1098"/>
    <w:rsid w:val="003C2BF8"/>
    <w:rsid w:val="003C366A"/>
    <w:rsid w:val="003C54FC"/>
    <w:rsid w:val="003D0715"/>
    <w:rsid w:val="003D2E67"/>
    <w:rsid w:val="003D4365"/>
    <w:rsid w:val="003D5751"/>
    <w:rsid w:val="003F0969"/>
    <w:rsid w:val="003F78AF"/>
    <w:rsid w:val="0040736D"/>
    <w:rsid w:val="00413E76"/>
    <w:rsid w:val="004143CD"/>
    <w:rsid w:val="00416B40"/>
    <w:rsid w:val="0042699D"/>
    <w:rsid w:val="00441992"/>
    <w:rsid w:val="00441EAA"/>
    <w:rsid w:val="00444A18"/>
    <w:rsid w:val="00447033"/>
    <w:rsid w:val="00461123"/>
    <w:rsid w:val="004642F2"/>
    <w:rsid w:val="00465402"/>
    <w:rsid w:val="0046542C"/>
    <w:rsid w:val="004752AF"/>
    <w:rsid w:val="00476469"/>
    <w:rsid w:val="00481F0B"/>
    <w:rsid w:val="004924BD"/>
    <w:rsid w:val="004A69E9"/>
    <w:rsid w:val="004B2ADC"/>
    <w:rsid w:val="004B3D84"/>
    <w:rsid w:val="004B4990"/>
    <w:rsid w:val="004B75A2"/>
    <w:rsid w:val="004C21E0"/>
    <w:rsid w:val="004C29E2"/>
    <w:rsid w:val="004C5B95"/>
    <w:rsid w:val="004D07DC"/>
    <w:rsid w:val="004D6531"/>
    <w:rsid w:val="004F0987"/>
    <w:rsid w:val="004F4E1C"/>
    <w:rsid w:val="005000C0"/>
    <w:rsid w:val="00501666"/>
    <w:rsid w:val="00504E4F"/>
    <w:rsid w:val="005123A1"/>
    <w:rsid w:val="0051600F"/>
    <w:rsid w:val="0052213B"/>
    <w:rsid w:val="00523E34"/>
    <w:rsid w:val="005262A0"/>
    <w:rsid w:val="005327A5"/>
    <w:rsid w:val="00535EA7"/>
    <w:rsid w:val="00536CC7"/>
    <w:rsid w:val="00542191"/>
    <w:rsid w:val="005436EE"/>
    <w:rsid w:val="00551BD9"/>
    <w:rsid w:val="0056415C"/>
    <w:rsid w:val="0056499B"/>
    <w:rsid w:val="005661E9"/>
    <w:rsid w:val="00567362"/>
    <w:rsid w:val="00575B4F"/>
    <w:rsid w:val="00576D94"/>
    <w:rsid w:val="00577378"/>
    <w:rsid w:val="0057738A"/>
    <w:rsid w:val="005773CD"/>
    <w:rsid w:val="00585F6C"/>
    <w:rsid w:val="005914F8"/>
    <w:rsid w:val="00596B53"/>
    <w:rsid w:val="005B1355"/>
    <w:rsid w:val="005B52A8"/>
    <w:rsid w:val="005B62E9"/>
    <w:rsid w:val="005C6209"/>
    <w:rsid w:val="005D2500"/>
    <w:rsid w:val="005D40EF"/>
    <w:rsid w:val="005D4623"/>
    <w:rsid w:val="005D5036"/>
    <w:rsid w:val="005E03A3"/>
    <w:rsid w:val="005E0DED"/>
    <w:rsid w:val="005E7E1E"/>
    <w:rsid w:val="00600BCF"/>
    <w:rsid w:val="00601DD4"/>
    <w:rsid w:val="00613542"/>
    <w:rsid w:val="00614881"/>
    <w:rsid w:val="00614E64"/>
    <w:rsid w:val="00614F3B"/>
    <w:rsid w:val="00634082"/>
    <w:rsid w:val="00636965"/>
    <w:rsid w:val="00647462"/>
    <w:rsid w:val="00651656"/>
    <w:rsid w:val="00653F0A"/>
    <w:rsid w:val="0066186F"/>
    <w:rsid w:val="0066256F"/>
    <w:rsid w:val="00663F40"/>
    <w:rsid w:val="00666105"/>
    <w:rsid w:val="006703E9"/>
    <w:rsid w:val="0067120B"/>
    <w:rsid w:val="006717F8"/>
    <w:rsid w:val="00676EDD"/>
    <w:rsid w:val="006812A2"/>
    <w:rsid w:val="00683743"/>
    <w:rsid w:val="006843AF"/>
    <w:rsid w:val="00686B2F"/>
    <w:rsid w:val="00686D16"/>
    <w:rsid w:val="006906D6"/>
    <w:rsid w:val="0069340D"/>
    <w:rsid w:val="00694EF9"/>
    <w:rsid w:val="00697ECD"/>
    <w:rsid w:val="006B6091"/>
    <w:rsid w:val="006C49CE"/>
    <w:rsid w:val="006C6588"/>
    <w:rsid w:val="006D48F7"/>
    <w:rsid w:val="006D73DB"/>
    <w:rsid w:val="006D7658"/>
    <w:rsid w:val="006F315D"/>
    <w:rsid w:val="006F41EE"/>
    <w:rsid w:val="00704055"/>
    <w:rsid w:val="00710BD4"/>
    <w:rsid w:val="00712440"/>
    <w:rsid w:val="00721059"/>
    <w:rsid w:val="00721F8F"/>
    <w:rsid w:val="00726FA6"/>
    <w:rsid w:val="007366FC"/>
    <w:rsid w:val="007503AA"/>
    <w:rsid w:val="0075048E"/>
    <w:rsid w:val="00750B85"/>
    <w:rsid w:val="00752995"/>
    <w:rsid w:val="007610B0"/>
    <w:rsid w:val="00770F5F"/>
    <w:rsid w:val="00782AA7"/>
    <w:rsid w:val="007866E4"/>
    <w:rsid w:val="00786F9D"/>
    <w:rsid w:val="007932E3"/>
    <w:rsid w:val="007A009B"/>
    <w:rsid w:val="007B45E4"/>
    <w:rsid w:val="007C6492"/>
    <w:rsid w:val="007D0436"/>
    <w:rsid w:val="007E1F7A"/>
    <w:rsid w:val="007E3CAC"/>
    <w:rsid w:val="007E55A7"/>
    <w:rsid w:val="007E7ADE"/>
    <w:rsid w:val="007F12D1"/>
    <w:rsid w:val="008033B7"/>
    <w:rsid w:val="00806EF9"/>
    <w:rsid w:val="00810DF9"/>
    <w:rsid w:val="008116E1"/>
    <w:rsid w:val="008135D5"/>
    <w:rsid w:val="00820117"/>
    <w:rsid w:val="00821376"/>
    <w:rsid w:val="00822F54"/>
    <w:rsid w:val="008257A4"/>
    <w:rsid w:val="0082785A"/>
    <w:rsid w:val="00831215"/>
    <w:rsid w:val="008378C8"/>
    <w:rsid w:val="008435D7"/>
    <w:rsid w:val="0085038B"/>
    <w:rsid w:val="0085080F"/>
    <w:rsid w:val="00851732"/>
    <w:rsid w:val="00852026"/>
    <w:rsid w:val="00862C20"/>
    <w:rsid w:val="008638B2"/>
    <w:rsid w:val="00863A7B"/>
    <w:rsid w:val="008651A9"/>
    <w:rsid w:val="00867307"/>
    <w:rsid w:val="008677B8"/>
    <w:rsid w:val="00871A7B"/>
    <w:rsid w:val="00876D39"/>
    <w:rsid w:val="00881855"/>
    <w:rsid w:val="00882C30"/>
    <w:rsid w:val="008851CE"/>
    <w:rsid w:val="00892D58"/>
    <w:rsid w:val="008A0ABA"/>
    <w:rsid w:val="008A2DB7"/>
    <w:rsid w:val="008A44EE"/>
    <w:rsid w:val="008B6309"/>
    <w:rsid w:val="008B68DD"/>
    <w:rsid w:val="008B78DC"/>
    <w:rsid w:val="008C1EDF"/>
    <w:rsid w:val="008C2CBA"/>
    <w:rsid w:val="008C325E"/>
    <w:rsid w:val="008D4BB4"/>
    <w:rsid w:val="008E2164"/>
    <w:rsid w:val="008E4DA9"/>
    <w:rsid w:val="008F394A"/>
    <w:rsid w:val="008F517D"/>
    <w:rsid w:val="00903816"/>
    <w:rsid w:val="00906B42"/>
    <w:rsid w:val="00912E08"/>
    <w:rsid w:val="00926116"/>
    <w:rsid w:val="00926E42"/>
    <w:rsid w:val="00934CC3"/>
    <w:rsid w:val="00946458"/>
    <w:rsid w:val="009477D5"/>
    <w:rsid w:val="00953054"/>
    <w:rsid w:val="009633BB"/>
    <w:rsid w:val="00967D04"/>
    <w:rsid w:val="00970A64"/>
    <w:rsid w:val="00974638"/>
    <w:rsid w:val="00976E33"/>
    <w:rsid w:val="0097744F"/>
    <w:rsid w:val="009819B3"/>
    <w:rsid w:val="0098598E"/>
    <w:rsid w:val="009877AD"/>
    <w:rsid w:val="00992C2E"/>
    <w:rsid w:val="009A0E20"/>
    <w:rsid w:val="009B081D"/>
    <w:rsid w:val="009C1C2C"/>
    <w:rsid w:val="009E6FCA"/>
    <w:rsid w:val="00A05D69"/>
    <w:rsid w:val="00A229AE"/>
    <w:rsid w:val="00A235CB"/>
    <w:rsid w:val="00A25A48"/>
    <w:rsid w:val="00A260DB"/>
    <w:rsid w:val="00A27BB0"/>
    <w:rsid w:val="00A35494"/>
    <w:rsid w:val="00A50519"/>
    <w:rsid w:val="00A51C62"/>
    <w:rsid w:val="00A568BB"/>
    <w:rsid w:val="00A57A9A"/>
    <w:rsid w:val="00A60371"/>
    <w:rsid w:val="00A62067"/>
    <w:rsid w:val="00A637DD"/>
    <w:rsid w:val="00A6529C"/>
    <w:rsid w:val="00A73BBD"/>
    <w:rsid w:val="00A74258"/>
    <w:rsid w:val="00A74783"/>
    <w:rsid w:val="00A853D9"/>
    <w:rsid w:val="00A905C0"/>
    <w:rsid w:val="00A91BD4"/>
    <w:rsid w:val="00A93AD5"/>
    <w:rsid w:val="00AA4224"/>
    <w:rsid w:val="00AA580D"/>
    <w:rsid w:val="00AB189C"/>
    <w:rsid w:val="00AB4C4E"/>
    <w:rsid w:val="00AB504B"/>
    <w:rsid w:val="00AB5200"/>
    <w:rsid w:val="00AB6DC0"/>
    <w:rsid w:val="00AD0FB7"/>
    <w:rsid w:val="00AD48E0"/>
    <w:rsid w:val="00AD6B24"/>
    <w:rsid w:val="00AE063A"/>
    <w:rsid w:val="00AE0E1A"/>
    <w:rsid w:val="00AE2121"/>
    <w:rsid w:val="00AF2F54"/>
    <w:rsid w:val="00AF6771"/>
    <w:rsid w:val="00AF70CE"/>
    <w:rsid w:val="00B0134C"/>
    <w:rsid w:val="00B02423"/>
    <w:rsid w:val="00B02B4E"/>
    <w:rsid w:val="00B02EAB"/>
    <w:rsid w:val="00B05305"/>
    <w:rsid w:val="00B161E3"/>
    <w:rsid w:val="00B17E2C"/>
    <w:rsid w:val="00B26B9C"/>
    <w:rsid w:val="00B275E8"/>
    <w:rsid w:val="00B373FD"/>
    <w:rsid w:val="00B37877"/>
    <w:rsid w:val="00B40B2C"/>
    <w:rsid w:val="00B43DB9"/>
    <w:rsid w:val="00B54178"/>
    <w:rsid w:val="00B64172"/>
    <w:rsid w:val="00B6616D"/>
    <w:rsid w:val="00B70AC4"/>
    <w:rsid w:val="00B71EDB"/>
    <w:rsid w:val="00B739F9"/>
    <w:rsid w:val="00B76C21"/>
    <w:rsid w:val="00B8001E"/>
    <w:rsid w:val="00B85B59"/>
    <w:rsid w:val="00B92098"/>
    <w:rsid w:val="00BA691F"/>
    <w:rsid w:val="00BA7440"/>
    <w:rsid w:val="00BA7711"/>
    <w:rsid w:val="00BC068C"/>
    <w:rsid w:val="00BD2D39"/>
    <w:rsid w:val="00BF1E02"/>
    <w:rsid w:val="00C00F53"/>
    <w:rsid w:val="00C01EB3"/>
    <w:rsid w:val="00C04417"/>
    <w:rsid w:val="00C04FF7"/>
    <w:rsid w:val="00C109EC"/>
    <w:rsid w:val="00C11AE5"/>
    <w:rsid w:val="00C13BE0"/>
    <w:rsid w:val="00C13FD0"/>
    <w:rsid w:val="00C16EC9"/>
    <w:rsid w:val="00C17216"/>
    <w:rsid w:val="00C17C76"/>
    <w:rsid w:val="00C20F6F"/>
    <w:rsid w:val="00C21060"/>
    <w:rsid w:val="00C22527"/>
    <w:rsid w:val="00C230C6"/>
    <w:rsid w:val="00C249C0"/>
    <w:rsid w:val="00C31F18"/>
    <w:rsid w:val="00C32E29"/>
    <w:rsid w:val="00C33BBF"/>
    <w:rsid w:val="00C40DDE"/>
    <w:rsid w:val="00C4146C"/>
    <w:rsid w:val="00C45867"/>
    <w:rsid w:val="00C46D6C"/>
    <w:rsid w:val="00C5039D"/>
    <w:rsid w:val="00C67BD2"/>
    <w:rsid w:val="00C67E6F"/>
    <w:rsid w:val="00C71BF2"/>
    <w:rsid w:val="00C72323"/>
    <w:rsid w:val="00C75709"/>
    <w:rsid w:val="00C758D5"/>
    <w:rsid w:val="00C834F9"/>
    <w:rsid w:val="00C858C1"/>
    <w:rsid w:val="00C86B25"/>
    <w:rsid w:val="00C92353"/>
    <w:rsid w:val="00CA1CC8"/>
    <w:rsid w:val="00CA3E87"/>
    <w:rsid w:val="00CA63BD"/>
    <w:rsid w:val="00CB00AA"/>
    <w:rsid w:val="00CB2C84"/>
    <w:rsid w:val="00CB4B43"/>
    <w:rsid w:val="00CC193B"/>
    <w:rsid w:val="00CC410E"/>
    <w:rsid w:val="00CC78B6"/>
    <w:rsid w:val="00CC78E3"/>
    <w:rsid w:val="00CD0DEA"/>
    <w:rsid w:val="00CD1DC3"/>
    <w:rsid w:val="00CD6FC7"/>
    <w:rsid w:val="00CE5239"/>
    <w:rsid w:val="00D048B1"/>
    <w:rsid w:val="00D0666F"/>
    <w:rsid w:val="00D12655"/>
    <w:rsid w:val="00D22668"/>
    <w:rsid w:val="00D27D0F"/>
    <w:rsid w:val="00D27E18"/>
    <w:rsid w:val="00D27FA1"/>
    <w:rsid w:val="00D364C8"/>
    <w:rsid w:val="00D4229B"/>
    <w:rsid w:val="00D44897"/>
    <w:rsid w:val="00D5130B"/>
    <w:rsid w:val="00D54D9F"/>
    <w:rsid w:val="00D55205"/>
    <w:rsid w:val="00D60518"/>
    <w:rsid w:val="00D61C5C"/>
    <w:rsid w:val="00D62C40"/>
    <w:rsid w:val="00D6769D"/>
    <w:rsid w:val="00D70323"/>
    <w:rsid w:val="00D745E4"/>
    <w:rsid w:val="00D81875"/>
    <w:rsid w:val="00D83636"/>
    <w:rsid w:val="00D91549"/>
    <w:rsid w:val="00DA0774"/>
    <w:rsid w:val="00DB148E"/>
    <w:rsid w:val="00DB2525"/>
    <w:rsid w:val="00DB4051"/>
    <w:rsid w:val="00DB60DE"/>
    <w:rsid w:val="00DB6936"/>
    <w:rsid w:val="00DC121A"/>
    <w:rsid w:val="00DC3166"/>
    <w:rsid w:val="00DC5843"/>
    <w:rsid w:val="00DE3B1F"/>
    <w:rsid w:val="00DF0AE9"/>
    <w:rsid w:val="00DF1490"/>
    <w:rsid w:val="00DF6DA9"/>
    <w:rsid w:val="00DF7A56"/>
    <w:rsid w:val="00E00489"/>
    <w:rsid w:val="00E07302"/>
    <w:rsid w:val="00E1057E"/>
    <w:rsid w:val="00E122E0"/>
    <w:rsid w:val="00E13869"/>
    <w:rsid w:val="00E16734"/>
    <w:rsid w:val="00E214B9"/>
    <w:rsid w:val="00E27DB1"/>
    <w:rsid w:val="00E335FB"/>
    <w:rsid w:val="00E33CCF"/>
    <w:rsid w:val="00E46429"/>
    <w:rsid w:val="00E525A7"/>
    <w:rsid w:val="00E54D64"/>
    <w:rsid w:val="00E6304B"/>
    <w:rsid w:val="00E653A4"/>
    <w:rsid w:val="00E73D2E"/>
    <w:rsid w:val="00E77B7D"/>
    <w:rsid w:val="00E87633"/>
    <w:rsid w:val="00E90965"/>
    <w:rsid w:val="00EA011A"/>
    <w:rsid w:val="00EA1668"/>
    <w:rsid w:val="00EA4A75"/>
    <w:rsid w:val="00EB2CBC"/>
    <w:rsid w:val="00EB3980"/>
    <w:rsid w:val="00EB3A51"/>
    <w:rsid w:val="00EB462D"/>
    <w:rsid w:val="00EB5224"/>
    <w:rsid w:val="00EB53AF"/>
    <w:rsid w:val="00EB5576"/>
    <w:rsid w:val="00EB6F6B"/>
    <w:rsid w:val="00EC20E6"/>
    <w:rsid w:val="00EC47C7"/>
    <w:rsid w:val="00ED0235"/>
    <w:rsid w:val="00EE2091"/>
    <w:rsid w:val="00EE2983"/>
    <w:rsid w:val="00EE31B7"/>
    <w:rsid w:val="00EF29BD"/>
    <w:rsid w:val="00EF3EEE"/>
    <w:rsid w:val="00F06AE4"/>
    <w:rsid w:val="00F1024F"/>
    <w:rsid w:val="00F11CED"/>
    <w:rsid w:val="00F35886"/>
    <w:rsid w:val="00F368AB"/>
    <w:rsid w:val="00F67F43"/>
    <w:rsid w:val="00F712AA"/>
    <w:rsid w:val="00F86166"/>
    <w:rsid w:val="00F86316"/>
    <w:rsid w:val="00F94009"/>
    <w:rsid w:val="00F9572E"/>
    <w:rsid w:val="00F95DAD"/>
    <w:rsid w:val="00FA16C4"/>
    <w:rsid w:val="00FA1E45"/>
    <w:rsid w:val="00FA4DBC"/>
    <w:rsid w:val="00FB642D"/>
    <w:rsid w:val="00FD0426"/>
    <w:rsid w:val="00FD2B97"/>
    <w:rsid w:val="00FE1168"/>
    <w:rsid w:val="00FE64A2"/>
    <w:rsid w:val="00FE7826"/>
    <w:rsid w:val="00FF1D7E"/>
    <w:rsid w:val="00FF478F"/>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16F5F"/>
  <w15:chartTrackingRefBased/>
  <w15:docId w15:val="{AD4170F4-D8AD-42B5-A908-067CF3BE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C5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C54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6E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76E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4F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C54FC"/>
  </w:style>
  <w:style w:type="character" w:customStyle="1" w:styleId="Heading2Char">
    <w:name w:val="Heading 2 Char"/>
    <w:basedOn w:val="DefaultParagraphFont"/>
    <w:link w:val="Heading2"/>
    <w:uiPriority w:val="9"/>
    <w:rsid w:val="003C54FC"/>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DefaultParagraphFont"/>
    <w:rsid w:val="003C54FC"/>
  </w:style>
  <w:style w:type="character" w:customStyle="1" w:styleId="react-xocs-alternative-link">
    <w:name w:val="react-xocs-alternative-link"/>
    <w:basedOn w:val="DefaultParagraphFont"/>
    <w:rsid w:val="003C54FC"/>
  </w:style>
  <w:style w:type="character" w:customStyle="1" w:styleId="given-name">
    <w:name w:val="given-name"/>
    <w:basedOn w:val="DefaultParagraphFont"/>
    <w:rsid w:val="003C54FC"/>
  </w:style>
  <w:style w:type="character" w:customStyle="1" w:styleId="text">
    <w:name w:val="text"/>
    <w:basedOn w:val="DefaultParagraphFont"/>
    <w:rsid w:val="003C54FC"/>
  </w:style>
  <w:style w:type="character" w:customStyle="1" w:styleId="author-ref">
    <w:name w:val="author-ref"/>
    <w:basedOn w:val="DefaultParagraphFont"/>
    <w:rsid w:val="003C54FC"/>
  </w:style>
  <w:style w:type="character" w:styleId="Emphasis">
    <w:name w:val="Emphasis"/>
    <w:basedOn w:val="DefaultParagraphFont"/>
    <w:uiPriority w:val="20"/>
    <w:qFormat/>
    <w:rsid w:val="00175CCB"/>
    <w:rPr>
      <w:i/>
      <w:iCs/>
    </w:rPr>
  </w:style>
  <w:style w:type="paragraph" w:customStyle="1" w:styleId="ds-markdown-paragraph">
    <w:name w:val="ds-markdown-paragraph"/>
    <w:basedOn w:val="Normal"/>
    <w:rsid w:val="00AE2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852026"/>
  </w:style>
  <w:style w:type="character" w:styleId="Hyperlink">
    <w:name w:val="Hyperlink"/>
    <w:basedOn w:val="DefaultParagraphFont"/>
    <w:uiPriority w:val="99"/>
    <w:unhideWhenUsed/>
    <w:rsid w:val="00614F3B"/>
    <w:rPr>
      <w:color w:val="0000FF"/>
      <w:u w:val="single"/>
    </w:rPr>
  </w:style>
  <w:style w:type="paragraph" w:styleId="ListParagraph">
    <w:name w:val="List Paragraph"/>
    <w:basedOn w:val="Normal"/>
    <w:uiPriority w:val="1"/>
    <w:qFormat/>
    <w:rsid w:val="00C71BF2"/>
    <w:pPr>
      <w:spacing w:after="200" w:line="276" w:lineRule="auto"/>
      <w:ind w:left="720"/>
      <w:contextualSpacing/>
    </w:pPr>
  </w:style>
  <w:style w:type="character" w:customStyle="1" w:styleId="A1">
    <w:name w:val="A1"/>
    <w:uiPriority w:val="99"/>
    <w:rsid w:val="000429EC"/>
    <w:rPr>
      <w:rFonts w:cs="Arial MT Std"/>
      <w:color w:val="000000"/>
      <w:sz w:val="16"/>
      <w:szCs w:val="16"/>
      <w:u w:val="single"/>
    </w:rPr>
  </w:style>
  <w:style w:type="paragraph" w:customStyle="1" w:styleId="Default">
    <w:name w:val="Default"/>
    <w:rsid w:val="005327A5"/>
    <w:pPr>
      <w:autoSpaceDE w:val="0"/>
      <w:autoSpaceDN w:val="0"/>
      <w:adjustRightInd w:val="0"/>
      <w:spacing w:after="0" w:line="240" w:lineRule="auto"/>
    </w:pPr>
    <w:rPr>
      <w:rFonts w:ascii="Arial MT Std Cond" w:hAnsi="Arial MT Std Cond" w:cs="Arial MT Std Cond"/>
      <w:color w:val="000000"/>
      <w:sz w:val="24"/>
      <w:szCs w:val="24"/>
    </w:rPr>
  </w:style>
  <w:style w:type="character" w:customStyle="1" w:styleId="cit-auth">
    <w:name w:val="cit-auth"/>
    <w:basedOn w:val="DefaultParagraphFont"/>
    <w:rsid w:val="00E46429"/>
  </w:style>
  <w:style w:type="character" w:customStyle="1" w:styleId="cit-name-surname">
    <w:name w:val="cit-name-surname"/>
    <w:basedOn w:val="DefaultParagraphFont"/>
    <w:rsid w:val="00E46429"/>
  </w:style>
  <w:style w:type="character" w:customStyle="1" w:styleId="cit-name-given-names">
    <w:name w:val="cit-name-given-names"/>
    <w:basedOn w:val="DefaultParagraphFont"/>
    <w:rsid w:val="00E46429"/>
  </w:style>
  <w:style w:type="character" w:customStyle="1" w:styleId="cit-pub-date">
    <w:name w:val="cit-pub-date"/>
    <w:basedOn w:val="DefaultParagraphFont"/>
    <w:rsid w:val="00E46429"/>
  </w:style>
  <w:style w:type="character" w:customStyle="1" w:styleId="cit-article-title">
    <w:name w:val="cit-article-title"/>
    <w:basedOn w:val="DefaultParagraphFont"/>
    <w:rsid w:val="00E46429"/>
  </w:style>
  <w:style w:type="character" w:customStyle="1" w:styleId="cit-vol">
    <w:name w:val="cit-vol"/>
    <w:basedOn w:val="DefaultParagraphFont"/>
    <w:rsid w:val="00E46429"/>
  </w:style>
  <w:style w:type="character" w:customStyle="1" w:styleId="cit-issue">
    <w:name w:val="cit-issue"/>
    <w:basedOn w:val="DefaultParagraphFont"/>
    <w:rsid w:val="00E46429"/>
  </w:style>
  <w:style w:type="character" w:customStyle="1" w:styleId="cit-fpage">
    <w:name w:val="cit-fpage"/>
    <w:basedOn w:val="DefaultParagraphFont"/>
    <w:rsid w:val="00E46429"/>
  </w:style>
  <w:style w:type="character" w:customStyle="1" w:styleId="cit-lpage">
    <w:name w:val="cit-lpage"/>
    <w:basedOn w:val="DefaultParagraphFont"/>
    <w:rsid w:val="00E46429"/>
  </w:style>
  <w:style w:type="character" w:customStyle="1" w:styleId="label">
    <w:name w:val="label"/>
    <w:basedOn w:val="DefaultParagraphFont"/>
    <w:rsid w:val="00C11AE5"/>
  </w:style>
  <w:style w:type="character" w:customStyle="1" w:styleId="reference">
    <w:name w:val="reference"/>
    <w:basedOn w:val="DefaultParagraphFont"/>
    <w:rsid w:val="00C11AE5"/>
  </w:style>
  <w:style w:type="character" w:customStyle="1" w:styleId="Heading3Char">
    <w:name w:val="Heading 3 Char"/>
    <w:basedOn w:val="DefaultParagraphFont"/>
    <w:link w:val="Heading3"/>
    <w:uiPriority w:val="9"/>
    <w:rsid w:val="00676E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76ED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676EDD"/>
    <w:rPr>
      <w:b/>
      <w:bCs/>
    </w:rPr>
  </w:style>
  <w:style w:type="table" w:styleId="TableGrid">
    <w:name w:val="Table Grid"/>
    <w:basedOn w:val="TableNormal"/>
    <w:uiPriority w:val="39"/>
    <w:rsid w:val="00B6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list-item">
    <w:name w:val="authors-list-item"/>
    <w:basedOn w:val="DefaultParagraphFont"/>
    <w:rsid w:val="00613542"/>
  </w:style>
  <w:style w:type="character" w:customStyle="1" w:styleId="comma">
    <w:name w:val="comma"/>
    <w:basedOn w:val="DefaultParagraphFont"/>
    <w:rsid w:val="00613542"/>
  </w:style>
  <w:style w:type="character" w:styleId="HTMLCite">
    <w:name w:val="HTML Cite"/>
    <w:basedOn w:val="DefaultParagraphFont"/>
    <w:uiPriority w:val="99"/>
    <w:semiHidden/>
    <w:unhideWhenUsed/>
    <w:rsid w:val="008B68DD"/>
    <w:rPr>
      <w:i/>
      <w:iCs/>
    </w:rPr>
  </w:style>
  <w:style w:type="paragraph" w:customStyle="1" w:styleId="ReferHead">
    <w:name w:val="Refer Head"/>
    <w:basedOn w:val="Normal"/>
    <w:rsid w:val="0075048E"/>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59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53"/>
  </w:style>
  <w:style w:type="paragraph" w:styleId="Footer">
    <w:name w:val="footer"/>
    <w:basedOn w:val="Normal"/>
    <w:link w:val="FooterChar"/>
    <w:uiPriority w:val="99"/>
    <w:unhideWhenUsed/>
    <w:rsid w:val="0059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53"/>
  </w:style>
  <w:style w:type="character" w:styleId="HTMLCode">
    <w:name w:val="HTML Code"/>
    <w:basedOn w:val="DefaultParagraphFont"/>
    <w:uiPriority w:val="99"/>
    <w:semiHidden/>
    <w:unhideWhenUsed/>
    <w:rsid w:val="00B800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157">
      <w:bodyDiv w:val="1"/>
      <w:marLeft w:val="0"/>
      <w:marRight w:val="0"/>
      <w:marTop w:val="0"/>
      <w:marBottom w:val="0"/>
      <w:divBdr>
        <w:top w:val="none" w:sz="0" w:space="0" w:color="auto"/>
        <w:left w:val="none" w:sz="0" w:space="0" w:color="auto"/>
        <w:bottom w:val="none" w:sz="0" w:space="0" w:color="auto"/>
        <w:right w:val="none" w:sz="0" w:space="0" w:color="auto"/>
      </w:divBdr>
    </w:div>
    <w:div w:id="134222672">
      <w:bodyDiv w:val="1"/>
      <w:marLeft w:val="0"/>
      <w:marRight w:val="0"/>
      <w:marTop w:val="0"/>
      <w:marBottom w:val="0"/>
      <w:divBdr>
        <w:top w:val="none" w:sz="0" w:space="0" w:color="auto"/>
        <w:left w:val="none" w:sz="0" w:space="0" w:color="auto"/>
        <w:bottom w:val="none" w:sz="0" w:space="0" w:color="auto"/>
        <w:right w:val="none" w:sz="0" w:space="0" w:color="auto"/>
      </w:divBdr>
    </w:div>
    <w:div w:id="263149382">
      <w:bodyDiv w:val="1"/>
      <w:marLeft w:val="0"/>
      <w:marRight w:val="0"/>
      <w:marTop w:val="0"/>
      <w:marBottom w:val="0"/>
      <w:divBdr>
        <w:top w:val="none" w:sz="0" w:space="0" w:color="auto"/>
        <w:left w:val="none" w:sz="0" w:space="0" w:color="auto"/>
        <w:bottom w:val="none" w:sz="0" w:space="0" w:color="auto"/>
        <w:right w:val="none" w:sz="0" w:space="0" w:color="auto"/>
      </w:divBdr>
      <w:divsChild>
        <w:div w:id="285083104">
          <w:marLeft w:val="0"/>
          <w:marRight w:val="0"/>
          <w:marTop w:val="0"/>
          <w:marBottom w:val="0"/>
          <w:divBdr>
            <w:top w:val="none" w:sz="0" w:space="0" w:color="auto"/>
            <w:left w:val="none" w:sz="0" w:space="0" w:color="auto"/>
            <w:bottom w:val="none" w:sz="0" w:space="0" w:color="auto"/>
            <w:right w:val="none" w:sz="0" w:space="0" w:color="auto"/>
          </w:divBdr>
        </w:div>
        <w:div w:id="1617130191">
          <w:marLeft w:val="0"/>
          <w:marRight w:val="0"/>
          <w:marTop w:val="0"/>
          <w:marBottom w:val="0"/>
          <w:divBdr>
            <w:top w:val="none" w:sz="0" w:space="0" w:color="auto"/>
            <w:left w:val="none" w:sz="0" w:space="0" w:color="auto"/>
            <w:bottom w:val="none" w:sz="0" w:space="0" w:color="auto"/>
            <w:right w:val="none" w:sz="0" w:space="0" w:color="auto"/>
          </w:divBdr>
        </w:div>
      </w:divsChild>
    </w:div>
    <w:div w:id="314453219">
      <w:bodyDiv w:val="1"/>
      <w:marLeft w:val="0"/>
      <w:marRight w:val="0"/>
      <w:marTop w:val="0"/>
      <w:marBottom w:val="0"/>
      <w:divBdr>
        <w:top w:val="none" w:sz="0" w:space="0" w:color="auto"/>
        <w:left w:val="none" w:sz="0" w:space="0" w:color="auto"/>
        <w:bottom w:val="none" w:sz="0" w:space="0" w:color="auto"/>
        <w:right w:val="none" w:sz="0" w:space="0" w:color="auto"/>
      </w:divBdr>
    </w:div>
    <w:div w:id="321659459">
      <w:bodyDiv w:val="1"/>
      <w:marLeft w:val="0"/>
      <w:marRight w:val="0"/>
      <w:marTop w:val="0"/>
      <w:marBottom w:val="0"/>
      <w:divBdr>
        <w:top w:val="none" w:sz="0" w:space="0" w:color="auto"/>
        <w:left w:val="none" w:sz="0" w:space="0" w:color="auto"/>
        <w:bottom w:val="none" w:sz="0" w:space="0" w:color="auto"/>
        <w:right w:val="none" w:sz="0" w:space="0" w:color="auto"/>
      </w:divBdr>
    </w:div>
    <w:div w:id="326901373">
      <w:bodyDiv w:val="1"/>
      <w:marLeft w:val="0"/>
      <w:marRight w:val="0"/>
      <w:marTop w:val="0"/>
      <w:marBottom w:val="0"/>
      <w:divBdr>
        <w:top w:val="none" w:sz="0" w:space="0" w:color="auto"/>
        <w:left w:val="none" w:sz="0" w:space="0" w:color="auto"/>
        <w:bottom w:val="none" w:sz="0" w:space="0" w:color="auto"/>
        <w:right w:val="none" w:sz="0" w:space="0" w:color="auto"/>
      </w:divBdr>
    </w:div>
    <w:div w:id="461047028">
      <w:bodyDiv w:val="1"/>
      <w:marLeft w:val="0"/>
      <w:marRight w:val="0"/>
      <w:marTop w:val="0"/>
      <w:marBottom w:val="0"/>
      <w:divBdr>
        <w:top w:val="none" w:sz="0" w:space="0" w:color="auto"/>
        <w:left w:val="none" w:sz="0" w:space="0" w:color="auto"/>
        <w:bottom w:val="none" w:sz="0" w:space="0" w:color="auto"/>
        <w:right w:val="none" w:sz="0" w:space="0" w:color="auto"/>
      </w:divBdr>
    </w:div>
    <w:div w:id="478225560">
      <w:bodyDiv w:val="1"/>
      <w:marLeft w:val="0"/>
      <w:marRight w:val="0"/>
      <w:marTop w:val="0"/>
      <w:marBottom w:val="0"/>
      <w:divBdr>
        <w:top w:val="none" w:sz="0" w:space="0" w:color="auto"/>
        <w:left w:val="none" w:sz="0" w:space="0" w:color="auto"/>
        <w:bottom w:val="none" w:sz="0" w:space="0" w:color="auto"/>
        <w:right w:val="none" w:sz="0" w:space="0" w:color="auto"/>
      </w:divBdr>
    </w:div>
    <w:div w:id="479229837">
      <w:bodyDiv w:val="1"/>
      <w:marLeft w:val="0"/>
      <w:marRight w:val="0"/>
      <w:marTop w:val="0"/>
      <w:marBottom w:val="0"/>
      <w:divBdr>
        <w:top w:val="none" w:sz="0" w:space="0" w:color="auto"/>
        <w:left w:val="none" w:sz="0" w:space="0" w:color="auto"/>
        <w:bottom w:val="none" w:sz="0" w:space="0" w:color="auto"/>
        <w:right w:val="none" w:sz="0" w:space="0" w:color="auto"/>
      </w:divBdr>
      <w:divsChild>
        <w:div w:id="1890413683">
          <w:marLeft w:val="0"/>
          <w:marRight w:val="0"/>
          <w:marTop w:val="0"/>
          <w:marBottom w:val="0"/>
          <w:divBdr>
            <w:top w:val="none" w:sz="0" w:space="0" w:color="auto"/>
            <w:left w:val="none" w:sz="0" w:space="0" w:color="auto"/>
            <w:bottom w:val="none" w:sz="0" w:space="0" w:color="auto"/>
            <w:right w:val="none" w:sz="0" w:space="0" w:color="auto"/>
          </w:divBdr>
        </w:div>
      </w:divsChild>
    </w:div>
    <w:div w:id="480541354">
      <w:bodyDiv w:val="1"/>
      <w:marLeft w:val="0"/>
      <w:marRight w:val="0"/>
      <w:marTop w:val="0"/>
      <w:marBottom w:val="0"/>
      <w:divBdr>
        <w:top w:val="none" w:sz="0" w:space="0" w:color="auto"/>
        <w:left w:val="none" w:sz="0" w:space="0" w:color="auto"/>
        <w:bottom w:val="none" w:sz="0" w:space="0" w:color="auto"/>
        <w:right w:val="none" w:sz="0" w:space="0" w:color="auto"/>
      </w:divBdr>
    </w:div>
    <w:div w:id="498236369">
      <w:bodyDiv w:val="1"/>
      <w:marLeft w:val="0"/>
      <w:marRight w:val="0"/>
      <w:marTop w:val="0"/>
      <w:marBottom w:val="0"/>
      <w:divBdr>
        <w:top w:val="none" w:sz="0" w:space="0" w:color="auto"/>
        <w:left w:val="none" w:sz="0" w:space="0" w:color="auto"/>
        <w:bottom w:val="none" w:sz="0" w:space="0" w:color="auto"/>
        <w:right w:val="none" w:sz="0" w:space="0" w:color="auto"/>
      </w:divBdr>
    </w:div>
    <w:div w:id="528183626">
      <w:bodyDiv w:val="1"/>
      <w:marLeft w:val="0"/>
      <w:marRight w:val="0"/>
      <w:marTop w:val="0"/>
      <w:marBottom w:val="0"/>
      <w:divBdr>
        <w:top w:val="none" w:sz="0" w:space="0" w:color="auto"/>
        <w:left w:val="none" w:sz="0" w:space="0" w:color="auto"/>
        <w:bottom w:val="none" w:sz="0" w:space="0" w:color="auto"/>
        <w:right w:val="none" w:sz="0" w:space="0" w:color="auto"/>
      </w:divBdr>
    </w:div>
    <w:div w:id="589503848">
      <w:bodyDiv w:val="1"/>
      <w:marLeft w:val="0"/>
      <w:marRight w:val="0"/>
      <w:marTop w:val="0"/>
      <w:marBottom w:val="0"/>
      <w:divBdr>
        <w:top w:val="none" w:sz="0" w:space="0" w:color="auto"/>
        <w:left w:val="none" w:sz="0" w:space="0" w:color="auto"/>
        <w:bottom w:val="none" w:sz="0" w:space="0" w:color="auto"/>
        <w:right w:val="none" w:sz="0" w:space="0" w:color="auto"/>
      </w:divBdr>
    </w:div>
    <w:div w:id="608315353">
      <w:bodyDiv w:val="1"/>
      <w:marLeft w:val="0"/>
      <w:marRight w:val="0"/>
      <w:marTop w:val="0"/>
      <w:marBottom w:val="0"/>
      <w:divBdr>
        <w:top w:val="none" w:sz="0" w:space="0" w:color="auto"/>
        <w:left w:val="none" w:sz="0" w:space="0" w:color="auto"/>
        <w:bottom w:val="none" w:sz="0" w:space="0" w:color="auto"/>
        <w:right w:val="none" w:sz="0" w:space="0" w:color="auto"/>
      </w:divBdr>
    </w:div>
    <w:div w:id="828637392">
      <w:bodyDiv w:val="1"/>
      <w:marLeft w:val="0"/>
      <w:marRight w:val="0"/>
      <w:marTop w:val="0"/>
      <w:marBottom w:val="0"/>
      <w:divBdr>
        <w:top w:val="none" w:sz="0" w:space="0" w:color="auto"/>
        <w:left w:val="none" w:sz="0" w:space="0" w:color="auto"/>
        <w:bottom w:val="none" w:sz="0" w:space="0" w:color="auto"/>
        <w:right w:val="none" w:sz="0" w:space="0" w:color="auto"/>
      </w:divBdr>
    </w:div>
    <w:div w:id="959991907">
      <w:bodyDiv w:val="1"/>
      <w:marLeft w:val="0"/>
      <w:marRight w:val="0"/>
      <w:marTop w:val="0"/>
      <w:marBottom w:val="0"/>
      <w:divBdr>
        <w:top w:val="none" w:sz="0" w:space="0" w:color="auto"/>
        <w:left w:val="none" w:sz="0" w:space="0" w:color="auto"/>
        <w:bottom w:val="none" w:sz="0" w:space="0" w:color="auto"/>
        <w:right w:val="none" w:sz="0" w:space="0" w:color="auto"/>
      </w:divBdr>
    </w:div>
    <w:div w:id="966159956">
      <w:bodyDiv w:val="1"/>
      <w:marLeft w:val="0"/>
      <w:marRight w:val="0"/>
      <w:marTop w:val="0"/>
      <w:marBottom w:val="0"/>
      <w:divBdr>
        <w:top w:val="none" w:sz="0" w:space="0" w:color="auto"/>
        <w:left w:val="none" w:sz="0" w:space="0" w:color="auto"/>
        <w:bottom w:val="none" w:sz="0" w:space="0" w:color="auto"/>
        <w:right w:val="none" w:sz="0" w:space="0" w:color="auto"/>
      </w:divBdr>
    </w:div>
    <w:div w:id="1028725726">
      <w:bodyDiv w:val="1"/>
      <w:marLeft w:val="0"/>
      <w:marRight w:val="0"/>
      <w:marTop w:val="0"/>
      <w:marBottom w:val="0"/>
      <w:divBdr>
        <w:top w:val="none" w:sz="0" w:space="0" w:color="auto"/>
        <w:left w:val="none" w:sz="0" w:space="0" w:color="auto"/>
        <w:bottom w:val="none" w:sz="0" w:space="0" w:color="auto"/>
        <w:right w:val="none" w:sz="0" w:space="0" w:color="auto"/>
      </w:divBdr>
    </w:div>
    <w:div w:id="1109858330">
      <w:bodyDiv w:val="1"/>
      <w:marLeft w:val="0"/>
      <w:marRight w:val="0"/>
      <w:marTop w:val="0"/>
      <w:marBottom w:val="0"/>
      <w:divBdr>
        <w:top w:val="none" w:sz="0" w:space="0" w:color="auto"/>
        <w:left w:val="none" w:sz="0" w:space="0" w:color="auto"/>
        <w:bottom w:val="none" w:sz="0" w:space="0" w:color="auto"/>
        <w:right w:val="none" w:sz="0" w:space="0" w:color="auto"/>
      </w:divBdr>
    </w:div>
    <w:div w:id="1114641649">
      <w:bodyDiv w:val="1"/>
      <w:marLeft w:val="0"/>
      <w:marRight w:val="0"/>
      <w:marTop w:val="0"/>
      <w:marBottom w:val="0"/>
      <w:divBdr>
        <w:top w:val="none" w:sz="0" w:space="0" w:color="auto"/>
        <w:left w:val="none" w:sz="0" w:space="0" w:color="auto"/>
        <w:bottom w:val="none" w:sz="0" w:space="0" w:color="auto"/>
        <w:right w:val="none" w:sz="0" w:space="0" w:color="auto"/>
      </w:divBdr>
    </w:div>
    <w:div w:id="1188258372">
      <w:bodyDiv w:val="1"/>
      <w:marLeft w:val="0"/>
      <w:marRight w:val="0"/>
      <w:marTop w:val="0"/>
      <w:marBottom w:val="0"/>
      <w:divBdr>
        <w:top w:val="none" w:sz="0" w:space="0" w:color="auto"/>
        <w:left w:val="none" w:sz="0" w:space="0" w:color="auto"/>
        <w:bottom w:val="none" w:sz="0" w:space="0" w:color="auto"/>
        <w:right w:val="none" w:sz="0" w:space="0" w:color="auto"/>
      </w:divBdr>
      <w:divsChild>
        <w:div w:id="1831604350">
          <w:marLeft w:val="0"/>
          <w:marRight w:val="0"/>
          <w:marTop w:val="0"/>
          <w:marBottom w:val="0"/>
          <w:divBdr>
            <w:top w:val="none" w:sz="0" w:space="0" w:color="auto"/>
            <w:left w:val="none" w:sz="0" w:space="0" w:color="auto"/>
            <w:bottom w:val="none" w:sz="0" w:space="0" w:color="auto"/>
            <w:right w:val="none" w:sz="0" w:space="0" w:color="auto"/>
          </w:divBdr>
          <w:divsChild>
            <w:div w:id="1264996315">
              <w:marLeft w:val="0"/>
              <w:marRight w:val="0"/>
              <w:marTop w:val="0"/>
              <w:marBottom w:val="0"/>
              <w:divBdr>
                <w:top w:val="none" w:sz="0" w:space="0" w:color="auto"/>
                <w:left w:val="none" w:sz="0" w:space="0" w:color="auto"/>
                <w:bottom w:val="none" w:sz="0" w:space="0" w:color="auto"/>
                <w:right w:val="none" w:sz="0" w:space="0" w:color="auto"/>
              </w:divBdr>
            </w:div>
            <w:div w:id="339695975">
              <w:marLeft w:val="0"/>
              <w:marRight w:val="0"/>
              <w:marTop w:val="0"/>
              <w:marBottom w:val="0"/>
              <w:divBdr>
                <w:top w:val="none" w:sz="0" w:space="0" w:color="auto"/>
                <w:left w:val="none" w:sz="0" w:space="0" w:color="auto"/>
                <w:bottom w:val="none" w:sz="0" w:space="0" w:color="auto"/>
                <w:right w:val="none" w:sz="0" w:space="0" w:color="auto"/>
              </w:divBdr>
            </w:div>
          </w:divsChild>
        </w:div>
        <w:div w:id="1122454178">
          <w:marLeft w:val="0"/>
          <w:marRight w:val="0"/>
          <w:marTop w:val="0"/>
          <w:marBottom w:val="0"/>
          <w:divBdr>
            <w:top w:val="none" w:sz="0" w:space="0" w:color="auto"/>
            <w:left w:val="none" w:sz="0" w:space="0" w:color="auto"/>
            <w:bottom w:val="none" w:sz="0" w:space="0" w:color="auto"/>
            <w:right w:val="none" w:sz="0" w:space="0" w:color="auto"/>
          </w:divBdr>
        </w:div>
      </w:divsChild>
    </w:div>
    <w:div w:id="1381512485">
      <w:bodyDiv w:val="1"/>
      <w:marLeft w:val="0"/>
      <w:marRight w:val="0"/>
      <w:marTop w:val="0"/>
      <w:marBottom w:val="0"/>
      <w:divBdr>
        <w:top w:val="none" w:sz="0" w:space="0" w:color="auto"/>
        <w:left w:val="none" w:sz="0" w:space="0" w:color="auto"/>
        <w:bottom w:val="none" w:sz="0" w:space="0" w:color="auto"/>
        <w:right w:val="none" w:sz="0" w:space="0" w:color="auto"/>
      </w:divBdr>
      <w:divsChild>
        <w:div w:id="404453790">
          <w:marLeft w:val="0"/>
          <w:marRight w:val="0"/>
          <w:marTop w:val="0"/>
          <w:marBottom w:val="0"/>
          <w:divBdr>
            <w:top w:val="none" w:sz="0" w:space="0" w:color="auto"/>
            <w:left w:val="none" w:sz="0" w:space="0" w:color="auto"/>
            <w:bottom w:val="none" w:sz="0" w:space="0" w:color="auto"/>
            <w:right w:val="none" w:sz="0" w:space="0" w:color="auto"/>
          </w:divBdr>
        </w:div>
        <w:div w:id="1444230602">
          <w:marLeft w:val="0"/>
          <w:marRight w:val="0"/>
          <w:marTop w:val="0"/>
          <w:marBottom w:val="0"/>
          <w:divBdr>
            <w:top w:val="none" w:sz="0" w:space="0" w:color="auto"/>
            <w:left w:val="none" w:sz="0" w:space="0" w:color="auto"/>
            <w:bottom w:val="none" w:sz="0" w:space="0" w:color="auto"/>
            <w:right w:val="none" w:sz="0" w:space="0" w:color="auto"/>
          </w:divBdr>
        </w:div>
        <w:div w:id="324475698">
          <w:marLeft w:val="0"/>
          <w:marRight w:val="0"/>
          <w:marTop w:val="0"/>
          <w:marBottom w:val="0"/>
          <w:divBdr>
            <w:top w:val="none" w:sz="0" w:space="0" w:color="auto"/>
            <w:left w:val="none" w:sz="0" w:space="0" w:color="auto"/>
            <w:bottom w:val="none" w:sz="0" w:space="0" w:color="auto"/>
            <w:right w:val="none" w:sz="0" w:space="0" w:color="auto"/>
          </w:divBdr>
        </w:div>
      </w:divsChild>
    </w:div>
    <w:div w:id="1416321948">
      <w:bodyDiv w:val="1"/>
      <w:marLeft w:val="0"/>
      <w:marRight w:val="0"/>
      <w:marTop w:val="0"/>
      <w:marBottom w:val="0"/>
      <w:divBdr>
        <w:top w:val="none" w:sz="0" w:space="0" w:color="auto"/>
        <w:left w:val="none" w:sz="0" w:space="0" w:color="auto"/>
        <w:bottom w:val="none" w:sz="0" w:space="0" w:color="auto"/>
        <w:right w:val="none" w:sz="0" w:space="0" w:color="auto"/>
      </w:divBdr>
    </w:div>
    <w:div w:id="1444883886">
      <w:bodyDiv w:val="1"/>
      <w:marLeft w:val="0"/>
      <w:marRight w:val="0"/>
      <w:marTop w:val="0"/>
      <w:marBottom w:val="0"/>
      <w:divBdr>
        <w:top w:val="none" w:sz="0" w:space="0" w:color="auto"/>
        <w:left w:val="none" w:sz="0" w:space="0" w:color="auto"/>
        <w:bottom w:val="none" w:sz="0" w:space="0" w:color="auto"/>
        <w:right w:val="none" w:sz="0" w:space="0" w:color="auto"/>
      </w:divBdr>
      <w:divsChild>
        <w:div w:id="337192618">
          <w:marLeft w:val="0"/>
          <w:marRight w:val="0"/>
          <w:marTop w:val="0"/>
          <w:marBottom w:val="0"/>
          <w:divBdr>
            <w:top w:val="none" w:sz="0" w:space="0" w:color="auto"/>
            <w:left w:val="none" w:sz="0" w:space="0" w:color="auto"/>
            <w:bottom w:val="none" w:sz="0" w:space="0" w:color="auto"/>
            <w:right w:val="none" w:sz="0" w:space="0" w:color="auto"/>
          </w:divBdr>
        </w:div>
      </w:divsChild>
    </w:div>
    <w:div w:id="1471751364">
      <w:bodyDiv w:val="1"/>
      <w:marLeft w:val="0"/>
      <w:marRight w:val="0"/>
      <w:marTop w:val="0"/>
      <w:marBottom w:val="0"/>
      <w:divBdr>
        <w:top w:val="none" w:sz="0" w:space="0" w:color="auto"/>
        <w:left w:val="none" w:sz="0" w:space="0" w:color="auto"/>
        <w:bottom w:val="none" w:sz="0" w:space="0" w:color="auto"/>
        <w:right w:val="none" w:sz="0" w:space="0" w:color="auto"/>
      </w:divBdr>
    </w:div>
    <w:div w:id="1522546779">
      <w:bodyDiv w:val="1"/>
      <w:marLeft w:val="0"/>
      <w:marRight w:val="0"/>
      <w:marTop w:val="0"/>
      <w:marBottom w:val="0"/>
      <w:divBdr>
        <w:top w:val="none" w:sz="0" w:space="0" w:color="auto"/>
        <w:left w:val="none" w:sz="0" w:space="0" w:color="auto"/>
        <w:bottom w:val="none" w:sz="0" w:space="0" w:color="auto"/>
        <w:right w:val="none" w:sz="0" w:space="0" w:color="auto"/>
      </w:divBdr>
    </w:div>
    <w:div w:id="1603950911">
      <w:bodyDiv w:val="1"/>
      <w:marLeft w:val="0"/>
      <w:marRight w:val="0"/>
      <w:marTop w:val="0"/>
      <w:marBottom w:val="0"/>
      <w:divBdr>
        <w:top w:val="none" w:sz="0" w:space="0" w:color="auto"/>
        <w:left w:val="none" w:sz="0" w:space="0" w:color="auto"/>
        <w:bottom w:val="none" w:sz="0" w:space="0" w:color="auto"/>
        <w:right w:val="none" w:sz="0" w:space="0" w:color="auto"/>
      </w:divBdr>
    </w:div>
    <w:div w:id="1709525061">
      <w:bodyDiv w:val="1"/>
      <w:marLeft w:val="0"/>
      <w:marRight w:val="0"/>
      <w:marTop w:val="0"/>
      <w:marBottom w:val="0"/>
      <w:divBdr>
        <w:top w:val="none" w:sz="0" w:space="0" w:color="auto"/>
        <w:left w:val="none" w:sz="0" w:space="0" w:color="auto"/>
        <w:bottom w:val="none" w:sz="0" w:space="0" w:color="auto"/>
        <w:right w:val="none" w:sz="0" w:space="0" w:color="auto"/>
      </w:divBdr>
    </w:div>
    <w:div w:id="1718436169">
      <w:bodyDiv w:val="1"/>
      <w:marLeft w:val="0"/>
      <w:marRight w:val="0"/>
      <w:marTop w:val="0"/>
      <w:marBottom w:val="0"/>
      <w:divBdr>
        <w:top w:val="none" w:sz="0" w:space="0" w:color="auto"/>
        <w:left w:val="none" w:sz="0" w:space="0" w:color="auto"/>
        <w:bottom w:val="none" w:sz="0" w:space="0" w:color="auto"/>
        <w:right w:val="none" w:sz="0" w:space="0" w:color="auto"/>
      </w:divBdr>
    </w:div>
    <w:div w:id="1746416224">
      <w:bodyDiv w:val="1"/>
      <w:marLeft w:val="0"/>
      <w:marRight w:val="0"/>
      <w:marTop w:val="0"/>
      <w:marBottom w:val="0"/>
      <w:divBdr>
        <w:top w:val="none" w:sz="0" w:space="0" w:color="auto"/>
        <w:left w:val="none" w:sz="0" w:space="0" w:color="auto"/>
        <w:bottom w:val="none" w:sz="0" w:space="0" w:color="auto"/>
        <w:right w:val="none" w:sz="0" w:space="0" w:color="auto"/>
      </w:divBdr>
    </w:div>
    <w:div w:id="1747072094">
      <w:bodyDiv w:val="1"/>
      <w:marLeft w:val="0"/>
      <w:marRight w:val="0"/>
      <w:marTop w:val="0"/>
      <w:marBottom w:val="0"/>
      <w:divBdr>
        <w:top w:val="none" w:sz="0" w:space="0" w:color="auto"/>
        <w:left w:val="none" w:sz="0" w:space="0" w:color="auto"/>
        <w:bottom w:val="none" w:sz="0" w:space="0" w:color="auto"/>
        <w:right w:val="none" w:sz="0" w:space="0" w:color="auto"/>
      </w:divBdr>
    </w:div>
    <w:div w:id="1844081959">
      <w:bodyDiv w:val="1"/>
      <w:marLeft w:val="0"/>
      <w:marRight w:val="0"/>
      <w:marTop w:val="0"/>
      <w:marBottom w:val="0"/>
      <w:divBdr>
        <w:top w:val="none" w:sz="0" w:space="0" w:color="auto"/>
        <w:left w:val="none" w:sz="0" w:space="0" w:color="auto"/>
        <w:bottom w:val="none" w:sz="0" w:space="0" w:color="auto"/>
        <w:right w:val="none" w:sz="0" w:space="0" w:color="auto"/>
      </w:divBdr>
    </w:div>
    <w:div w:id="1913421789">
      <w:bodyDiv w:val="1"/>
      <w:marLeft w:val="0"/>
      <w:marRight w:val="0"/>
      <w:marTop w:val="0"/>
      <w:marBottom w:val="0"/>
      <w:divBdr>
        <w:top w:val="none" w:sz="0" w:space="0" w:color="auto"/>
        <w:left w:val="none" w:sz="0" w:space="0" w:color="auto"/>
        <w:bottom w:val="none" w:sz="0" w:space="0" w:color="auto"/>
        <w:right w:val="none" w:sz="0" w:space="0" w:color="auto"/>
      </w:divBdr>
    </w:div>
    <w:div w:id="2001349080">
      <w:bodyDiv w:val="1"/>
      <w:marLeft w:val="0"/>
      <w:marRight w:val="0"/>
      <w:marTop w:val="0"/>
      <w:marBottom w:val="0"/>
      <w:divBdr>
        <w:top w:val="none" w:sz="0" w:space="0" w:color="auto"/>
        <w:left w:val="none" w:sz="0" w:space="0" w:color="auto"/>
        <w:bottom w:val="none" w:sz="0" w:space="0" w:color="auto"/>
        <w:right w:val="none" w:sz="0" w:space="0" w:color="auto"/>
      </w:divBdr>
    </w:div>
    <w:div w:id="2003073646">
      <w:bodyDiv w:val="1"/>
      <w:marLeft w:val="0"/>
      <w:marRight w:val="0"/>
      <w:marTop w:val="0"/>
      <w:marBottom w:val="0"/>
      <w:divBdr>
        <w:top w:val="none" w:sz="0" w:space="0" w:color="auto"/>
        <w:left w:val="none" w:sz="0" w:space="0" w:color="auto"/>
        <w:bottom w:val="none" w:sz="0" w:space="0" w:color="auto"/>
        <w:right w:val="none" w:sz="0" w:space="0" w:color="auto"/>
      </w:divBdr>
    </w:div>
    <w:div w:id="2111781089">
      <w:bodyDiv w:val="1"/>
      <w:marLeft w:val="0"/>
      <w:marRight w:val="0"/>
      <w:marTop w:val="0"/>
      <w:marBottom w:val="0"/>
      <w:divBdr>
        <w:top w:val="none" w:sz="0" w:space="0" w:color="auto"/>
        <w:left w:val="none" w:sz="0" w:space="0" w:color="auto"/>
        <w:bottom w:val="none" w:sz="0" w:space="0" w:color="auto"/>
        <w:right w:val="none" w:sz="0" w:space="0" w:color="auto"/>
      </w:divBdr>
    </w:div>
    <w:div w:id="21449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tmi.132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tatista.com/aboutus/our-research-commitment/2683/doris-dokua-sasu" TargetMode="External"/><Relationship Id="rId7" Type="http://schemas.openxmlformats.org/officeDocument/2006/relationships/hyperlink" Target="https://www.medrxiv.org/content/10.1101/2025.05.18.25327864v1.full" TargetMode="External"/><Relationship Id="rId12" Type="http://schemas.openxmlformats.org/officeDocument/2006/relationships/header" Target="header3.xml"/><Relationship Id="rId17" Type="http://schemas.openxmlformats.org/officeDocument/2006/relationships/hyperlink" Target="https://doi.org/10.1136/bmjgh-2020-00337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crotrends.net/global-metrics/countries/gmb/gambia/infant-mortality-rate" TargetMode="External"/><Relationship Id="rId20" Type="http://schemas.openxmlformats.org/officeDocument/2006/relationships/hyperlink" Target="https://doi.org/10.1016/j.eclinm.2024.102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genderdata.worldbank.org/en/economies/gambia-the" TargetMode="External"/><Relationship Id="rId5" Type="http://schemas.openxmlformats.org/officeDocument/2006/relationships/footnotes" Target="footnotes.xml"/><Relationship Id="rId15" Type="http://schemas.openxmlformats.org/officeDocument/2006/relationships/hyperlink" Target="https://doi.org/10.1371/journal.pgph.0003880" TargetMode="External"/><Relationship Id="rId23" Type="http://schemas.openxmlformats.org/officeDocument/2006/relationships/hyperlink" Target="https://doi.org/10.1186/s12884-022-04576-4" TargetMode="External"/><Relationship Id="rId10" Type="http://schemas.openxmlformats.org/officeDocument/2006/relationships/footer" Target="footer1.xml"/><Relationship Id="rId19" Type="http://schemas.openxmlformats.org/officeDocument/2006/relationships/hyperlink" Target="https://www.researchgate.net/publication/37394917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worlddev.2021.105775" TargetMode="External"/><Relationship Id="rId22" Type="http://schemas.openxmlformats.org/officeDocument/2006/relationships/hyperlink" Target="https://doi.org/10.5334/aogh.3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11</Pages>
  <Words>5269</Words>
  <Characters>30038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555</cp:revision>
  <dcterms:created xsi:type="dcterms:W3CDTF">2025-08-03T17:51:00Z</dcterms:created>
  <dcterms:modified xsi:type="dcterms:W3CDTF">2025-08-28T11:45:00Z</dcterms:modified>
</cp:coreProperties>
</file>