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008C6" w14:textId="7B4BF7E7" w:rsidR="00824DBE" w:rsidRPr="00E11068" w:rsidRDefault="00824DBE" w:rsidP="001648DD">
      <w:pPr>
        <w:jc w:val="right"/>
        <w:rPr>
          <w:rFonts w:ascii="Arial" w:hAnsi="Arial" w:cs="Arial"/>
          <w:b/>
          <w:bCs/>
          <w:sz w:val="36"/>
          <w:szCs w:val="36"/>
          <w:u w:val="single"/>
        </w:rPr>
      </w:pPr>
      <w:r w:rsidRPr="00E11068">
        <w:rPr>
          <w:rFonts w:ascii="Arial" w:hAnsi="Arial" w:cs="Arial"/>
          <w:b/>
          <w:bCs/>
          <w:sz w:val="36"/>
          <w:szCs w:val="36"/>
          <w:u w:val="single"/>
        </w:rPr>
        <w:t>Original Research Article</w:t>
      </w:r>
    </w:p>
    <w:p w14:paraId="48A99820" w14:textId="77777777" w:rsidR="00824DBE" w:rsidRDefault="00824DBE" w:rsidP="001648DD">
      <w:pPr>
        <w:jc w:val="right"/>
        <w:rPr>
          <w:rFonts w:ascii="Arial" w:hAnsi="Arial" w:cs="Arial"/>
          <w:b/>
          <w:bCs/>
          <w:sz w:val="36"/>
          <w:szCs w:val="36"/>
        </w:rPr>
      </w:pPr>
    </w:p>
    <w:p w14:paraId="55FDCA08" w14:textId="65AD6932" w:rsidR="00ED50A1" w:rsidRPr="001648DD" w:rsidRDefault="00B346DB" w:rsidP="001648DD">
      <w:pPr>
        <w:jc w:val="right"/>
        <w:rPr>
          <w:rFonts w:ascii="Arial" w:hAnsi="Arial" w:cs="Arial"/>
          <w:b/>
          <w:bCs/>
          <w:kern w:val="2"/>
          <w:sz w:val="36"/>
          <w:szCs w:val="36"/>
          <w:lang w:val="en-GB"/>
          <w14:ligatures w14:val="standardContextual"/>
        </w:rPr>
      </w:pPr>
      <w:r w:rsidRPr="001648DD">
        <w:rPr>
          <w:rFonts w:ascii="Arial" w:hAnsi="Arial" w:cs="Arial"/>
          <w:b/>
          <w:bCs/>
          <w:sz w:val="36"/>
          <w:szCs w:val="36"/>
        </w:rPr>
        <w:t>Pathogenesis and Factors Influencing Premature Ovarian Insufficiency among Nigerian Women</w:t>
      </w:r>
    </w:p>
    <w:p w14:paraId="4F575E2E" w14:textId="77777777" w:rsidR="001648DD" w:rsidRDefault="001648DD" w:rsidP="001648DD">
      <w:pPr>
        <w:spacing w:line="276" w:lineRule="auto"/>
        <w:jc w:val="right"/>
        <w:rPr>
          <w:rFonts w:ascii="Arial" w:hAnsi="Arial" w:cs="Arial"/>
          <w:b/>
          <w:sz w:val="20"/>
          <w:szCs w:val="20"/>
        </w:rPr>
      </w:pPr>
    </w:p>
    <w:p w14:paraId="10749D74" w14:textId="5818C8B5" w:rsidR="00334B72" w:rsidRPr="00334B72" w:rsidRDefault="00433686" w:rsidP="00433686">
      <w:pPr>
        <w:spacing w:before="100" w:beforeAutospacing="1" w:after="100" w:afterAutospacing="1" w:line="240" w:lineRule="auto"/>
        <w:jc w:val="both"/>
        <w:rPr>
          <w:rFonts w:ascii="Arial" w:eastAsia="Times New Roman" w:hAnsi="Arial" w:cs="Arial"/>
          <w:sz w:val="20"/>
          <w:szCs w:val="20"/>
        </w:rPr>
      </w:pPr>
      <w:r w:rsidRPr="001648DD">
        <w:rPr>
          <w:rFonts w:ascii="Arial" w:eastAsia="Times New Roman" w:hAnsi="Arial" w:cs="Arial"/>
          <w:b/>
          <w:bCs/>
          <w:sz w:val="20"/>
          <w:szCs w:val="20"/>
        </w:rPr>
        <w:t>ABSTRACT</w:t>
      </w:r>
    </w:p>
    <w:p w14:paraId="64C93192" w14:textId="77777777"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b/>
          <w:bCs/>
          <w:sz w:val="20"/>
          <w:szCs w:val="20"/>
        </w:rPr>
        <w:t>Background:</w:t>
      </w:r>
      <w:r w:rsidRPr="00334B72">
        <w:rPr>
          <w:rFonts w:ascii="Arial" w:eastAsia="Times New Roman" w:hAnsi="Arial" w:cs="Arial"/>
          <w:sz w:val="20"/>
          <w:szCs w:val="20"/>
        </w:rPr>
        <w:t xml:space="preserve"> Premature ovarian insufficiency (POI) is a significant cause of infertility and hypoestrogenic symptoms in women under 40 years, with profound reproductive, endocrine, and psychosocial implications. Limited epidemiological data exist on its pathogenesis and risk determinants among Nigerian women.</w:t>
      </w:r>
    </w:p>
    <w:p w14:paraId="157FA45B" w14:textId="77777777"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b/>
          <w:bCs/>
          <w:sz w:val="20"/>
          <w:szCs w:val="20"/>
        </w:rPr>
        <w:t>Objective:</w:t>
      </w:r>
      <w:r w:rsidRPr="00334B72">
        <w:rPr>
          <w:rFonts w:ascii="Arial" w:eastAsia="Times New Roman" w:hAnsi="Arial" w:cs="Arial"/>
          <w:sz w:val="20"/>
          <w:szCs w:val="20"/>
        </w:rPr>
        <w:t xml:space="preserve"> To investigate the pathogenesis and factors influencing POI among Nigerian women attending a tertiary hospital in southeastern Nigeria.</w:t>
      </w:r>
    </w:p>
    <w:p w14:paraId="5CD0E344" w14:textId="77777777"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b/>
          <w:bCs/>
          <w:sz w:val="20"/>
          <w:szCs w:val="20"/>
        </w:rPr>
        <w:t>Methods:</w:t>
      </w:r>
      <w:r w:rsidRPr="00334B72">
        <w:rPr>
          <w:rFonts w:ascii="Arial" w:eastAsia="Times New Roman" w:hAnsi="Arial" w:cs="Arial"/>
          <w:sz w:val="20"/>
          <w:szCs w:val="20"/>
        </w:rPr>
        <w:t xml:space="preserve"> A hospital-based descriptive cross-sectional study was conducted at Abia State University Teaching Hospital, Aba, involving 300 Nigerian women aged 18–49 years. Participants were selected using systematic random sampling. Data were collected using a structured interviewer-administered questionnaire, physical examination, and hormonal assays. Descriptive statistics, Chi-square tests, independent t-tests, Pearson correlation, and logistic regression were performed, with significance set at </w:t>
      </w:r>
      <w:r w:rsidRPr="00334B72">
        <w:rPr>
          <w:rFonts w:ascii="Arial" w:eastAsia="Times New Roman" w:hAnsi="Arial" w:cs="Arial"/>
          <w:i/>
          <w:iCs/>
          <w:sz w:val="20"/>
          <w:szCs w:val="20"/>
        </w:rPr>
        <w:t>p</w:t>
      </w:r>
      <w:r w:rsidRPr="00334B72">
        <w:rPr>
          <w:rFonts w:ascii="Arial" w:eastAsia="Times New Roman" w:hAnsi="Arial" w:cs="Arial"/>
          <w:sz w:val="20"/>
          <w:szCs w:val="20"/>
        </w:rPr>
        <w:t xml:space="preserve"> &lt; 0.05.</w:t>
      </w:r>
    </w:p>
    <w:p w14:paraId="54AB87FC" w14:textId="77777777"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b/>
          <w:bCs/>
          <w:sz w:val="20"/>
          <w:szCs w:val="20"/>
        </w:rPr>
        <w:t>Results:</w:t>
      </w:r>
      <w:r w:rsidRPr="00334B72">
        <w:rPr>
          <w:rFonts w:ascii="Arial" w:eastAsia="Times New Roman" w:hAnsi="Arial" w:cs="Arial"/>
          <w:sz w:val="20"/>
          <w:szCs w:val="20"/>
        </w:rPr>
        <w:t xml:space="preserve"> The mean age of participants was 32.9 ± 6.4 years. Significant predictors of POI included age group (</w:t>
      </w:r>
      <w:r w:rsidRPr="00334B72">
        <w:rPr>
          <w:rFonts w:ascii="Arial" w:eastAsia="Times New Roman" w:hAnsi="Arial" w:cs="Arial"/>
          <w:i/>
          <w:iCs/>
          <w:sz w:val="20"/>
          <w:szCs w:val="20"/>
        </w:rPr>
        <w:t>p</w:t>
      </w:r>
      <w:r w:rsidRPr="00334B72">
        <w:rPr>
          <w:rFonts w:ascii="Arial" w:eastAsia="Times New Roman" w:hAnsi="Arial" w:cs="Arial"/>
          <w:sz w:val="20"/>
          <w:szCs w:val="20"/>
        </w:rPr>
        <w:t xml:space="preserve"> = 0.014), history of pelvic surgery (</w:t>
      </w:r>
      <w:r w:rsidRPr="00334B72">
        <w:rPr>
          <w:rFonts w:ascii="Arial" w:eastAsia="Times New Roman" w:hAnsi="Arial" w:cs="Arial"/>
          <w:i/>
          <w:iCs/>
          <w:sz w:val="20"/>
          <w:szCs w:val="20"/>
        </w:rPr>
        <w:t>p</w:t>
      </w:r>
      <w:r w:rsidRPr="00334B72">
        <w:rPr>
          <w:rFonts w:ascii="Arial" w:eastAsia="Times New Roman" w:hAnsi="Arial" w:cs="Arial"/>
          <w:sz w:val="20"/>
          <w:szCs w:val="20"/>
        </w:rPr>
        <w:t xml:space="preserve"> = 0.002), smoking status (</w:t>
      </w:r>
      <w:r w:rsidRPr="00334B72">
        <w:rPr>
          <w:rFonts w:ascii="Arial" w:eastAsia="Times New Roman" w:hAnsi="Arial" w:cs="Arial"/>
          <w:i/>
          <w:iCs/>
          <w:sz w:val="20"/>
          <w:szCs w:val="20"/>
        </w:rPr>
        <w:t>p</w:t>
      </w:r>
      <w:r w:rsidRPr="00334B72">
        <w:rPr>
          <w:rFonts w:ascii="Arial" w:eastAsia="Times New Roman" w:hAnsi="Arial" w:cs="Arial"/>
          <w:sz w:val="20"/>
          <w:szCs w:val="20"/>
        </w:rPr>
        <w:t xml:space="preserve"> = 0.042), and family history of early menopause (</w:t>
      </w:r>
      <w:r w:rsidRPr="00334B72">
        <w:rPr>
          <w:rFonts w:ascii="Arial" w:eastAsia="Times New Roman" w:hAnsi="Arial" w:cs="Arial"/>
          <w:i/>
          <w:iCs/>
          <w:sz w:val="20"/>
          <w:szCs w:val="20"/>
        </w:rPr>
        <w:t>p</w:t>
      </w:r>
      <w:r w:rsidRPr="00334B72">
        <w:rPr>
          <w:rFonts w:ascii="Arial" w:eastAsia="Times New Roman" w:hAnsi="Arial" w:cs="Arial"/>
          <w:sz w:val="20"/>
          <w:szCs w:val="20"/>
        </w:rPr>
        <w:t xml:space="preserve"> &lt; 0.001). Hormonal assays revealed elevated mean FSH (48.26 ± 8.74 </w:t>
      </w:r>
      <w:proofErr w:type="spellStart"/>
      <w:r w:rsidRPr="00334B72">
        <w:rPr>
          <w:rFonts w:ascii="Arial" w:eastAsia="Times New Roman" w:hAnsi="Arial" w:cs="Arial"/>
          <w:sz w:val="20"/>
          <w:szCs w:val="20"/>
        </w:rPr>
        <w:t>mIU</w:t>
      </w:r>
      <w:proofErr w:type="spellEnd"/>
      <w:r w:rsidRPr="00334B72">
        <w:rPr>
          <w:rFonts w:ascii="Arial" w:eastAsia="Times New Roman" w:hAnsi="Arial" w:cs="Arial"/>
          <w:sz w:val="20"/>
          <w:szCs w:val="20"/>
        </w:rPr>
        <w:t xml:space="preserve">/mL) and low estradiol (32.47 ± 11.21 </w:t>
      </w:r>
      <w:proofErr w:type="spellStart"/>
      <w:r w:rsidRPr="00334B72">
        <w:rPr>
          <w:rFonts w:ascii="Arial" w:eastAsia="Times New Roman" w:hAnsi="Arial" w:cs="Arial"/>
          <w:sz w:val="20"/>
          <w:szCs w:val="20"/>
        </w:rPr>
        <w:t>pg</w:t>
      </w:r>
      <w:proofErr w:type="spellEnd"/>
      <w:r w:rsidRPr="00334B72">
        <w:rPr>
          <w:rFonts w:ascii="Arial" w:eastAsia="Times New Roman" w:hAnsi="Arial" w:cs="Arial"/>
          <w:sz w:val="20"/>
          <w:szCs w:val="20"/>
        </w:rPr>
        <w:t>/mL) among affected women. Age at diagnosis showed positive correlations with FSH (</w:t>
      </w:r>
      <w:r w:rsidRPr="00334B72">
        <w:rPr>
          <w:rFonts w:ascii="Arial" w:eastAsia="Times New Roman" w:hAnsi="Arial" w:cs="Arial"/>
          <w:i/>
          <w:iCs/>
          <w:sz w:val="20"/>
          <w:szCs w:val="20"/>
        </w:rPr>
        <w:t>r</w:t>
      </w:r>
      <w:r w:rsidRPr="00334B72">
        <w:rPr>
          <w:rFonts w:ascii="Arial" w:eastAsia="Times New Roman" w:hAnsi="Arial" w:cs="Arial"/>
          <w:sz w:val="20"/>
          <w:szCs w:val="20"/>
        </w:rPr>
        <w:t xml:space="preserve"> = 0.312, </w:t>
      </w:r>
      <w:r w:rsidRPr="00334B72">
        <w:rPr>
          <w:rFonts w:ascii="Arial" w:eastAsia="Times New Roman" w:hAnsi="Arial" w:cs="Arial"/>
          <w:i/>
          <w:iCs/>
          <w:sz w:val="20"/>
          <w:szCs w:val="20"/>
        </w:rPr>
        <w:t>p</w:t>
      </w:r>
      <w:r w:rsidRPr="00334B72">
        <w:rPr>
          <w:rFonts w:ascii="Arial" w:eastAsia="Times New Roman" w:hAnsi="Arial" w:cs="Arial"/>
          <w:sz w:val="20"/>
          <w:szCs w:val="20"/>
        </w:rPr>
        <w:t xml:space="preserve"> &lt; 0.05) and LH (</w:t>
      </w:r>
      <w:r w:rsidRPr="00334B72">
        <w:rPr>
          <w:rFonts w:ascii="Arial" w:eastAsia="Times New Roman" w:hAnsi="Arial" w:cs="Arial"/>
          <w:i/>
          <w:iCs/>
          <w:sz w:val="20"/>
          <w:szCs w:val="20"/>
        </w:rPr>
        <w:t>r</w:t>
      </w:r>
      <w:r w:rsidRPr="00334B72">
        <w:rPr>
          <w:rFonts w:ascii="Arial" w:eastAsia="Times New Roman" w:hAnsi="Arial" w:cs="Arial"/>
          <w:sz w:val="20"/>
          <w:szCs w:val="20"/>
        </w:rPr>
        <w:t xml:space="preserve"> = 0.241, </w:t>
      </w:r>
      <w:r w:rsidRPr="00334B72">
        <w:rPr>
          <w:rFonts w:ascii="Arial" w:eastAsia="Times New Roman" w:hAnsi="Arial" w:cs="Arial"/>
          <w:i/>
          <w:iCs/>
          <w:sz w:val="20"/>
          <w:szCs w:val="20"/>
        </w:rPr>
        <w:t>p</w:t>
      </w:r>
      <w:r w:rsidRPr="00334B72">
        <w:rPr>
          <w:rFonts w:ascii="Arial" w:eastAsia="Times New Roman" w:hAnsi="Arial" w:cs="Arial"/>
          <w:sz w:val="20"/>
          <w:szCs w:val="20"/>
        </w:rPr>
        <w:t xml:space="preserve"> &lt; 0.05), but negative correlation with estradiol (</w:t>
      </w:r>
      <w:r w:rsidRPr="00334B72">
        <w:rPr>
          <w:rFonts w:ascii="Arial" w:eastAsia="Times New Roman" w:hAnsi="Arial" w:cs="Arial"/>
          <w:i/>
          <w:iCs/>
          <w:sz w:val="20"/>
          <w:szCs w:val="20"/>
        </w:rPr>
        <w:t>r</w:t>
      </w:r>
      <w:r w:rsidRPr="00334B72">
        <w:rPr>
          <w:rFonts w:ascii="Arial" w:eastAsia="Times New Roman" w:hAnsi="Arial" w:cs="Arial"/>
          <w:sz w:val="20"/>
          <w:szCs w:val="20"/>
        </w:rPr>
        <w:t xml:space="preserve"> = –0.298, </w:t>
      </w:r>
      <w:r w:rsidRPr="00334B72">
        <w:rPr>
          <w:rFonts w:ascii="Arial" w:eastAsia="Times New Roman" w:hAnsi="Arial" w:cs="Arial"/>
          <w:i/>
          <w:iCs/>
          <w:sz w:val="20"/>
          <w:szCs w:val="20"/>
        </w:rPr>
        <w:t>p</w:t>
      </w:r>
      <w:r w:rsidRPr="00334B72">
        <w:rPr>
          <w:rFonts w:ascii="Arial" w:eastAsia="Times New Roman" w:hAnsi="Arial" w:cs="Arial"/>
          <w:sz w:val="20"/>
          <w:szCs w:val="20"/>
        </w:rPr>
        <w:t xml:space="preserve"> &lt; 0.05). The most prevalent symptoms were hot flushes (69.67% agreeing/strongly agreeing), vaginal dryness (67.67%), and night sweats (63.00%).</w:t>
      </w:r>
    </w:p>
    <w:p w14:paraId="538CB80C" w14:textId="77777777"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b/>
          <w:bCs/>
          <w:sz w:val="20"/>
          <w:szCs w:val="20"/>
        </w:rPr>
        <w:t>Conclusion:</w:t>
      </w:r>
      <w:r w:rsidRPr="00334B72">
        <w:rPr>
          <w:rFonts w:ascii="Arial" w:eastAsia="Times New Roman" w:hAnsi="Arial" w:cs="Arial"/>
          <w:sz w:val="20"/>
          <w:szCs w:val="20"/>
        </w:rPr>
        <w:t xml:space="preserve"> POI among Nigerian women is influenced by modifiable and non-modifiable factors, including surgical history, smoking, and familial predisposition. Hormonal patterns confirm the hypoestrogenic state. Early identification of at-risk women and targeted interventions may mitigate reproductive and health consequences.</w:t>
      </w:r>
    </w:p>
    <w:p w14:paraId="587D749B" w14:textId="77777777"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b/>
          <w:bCs/>
          <w:sz w:val="20"/>
          <w:szCs w:val="20"/>
        </w:rPr>
        <w:t>Keywords:</w:t>
      </w:r>
      <w:r w:rsidRPr="00334B72">
        <w:rPr>
          <w:rFonts w:ascii="Arial" w:eastAsia="Times New Roman" w:hAnsi="Arial" w:cs="Arial"/>
          <w:sz w:val="20"/>
          <w:szCs w:val="20"/>
        </w:rPr>
        <w:t xml:space="preserve"> Premature ovarian insufficiency, Nigerian women, pathogenesis, hormonal profile, reproductive health, risk factors, infertility</w:t>
      </w:r>
    </w:p>
    <w:p w14:paraId="64E590BF" w14:textId="2162CFAB" w:rsidR="00B346DB" w:rsidRPr="001648DD" w:rsidRDefault="00B346DB" w:rsidP="00433686">
      <w:pPr>
        <w:jc w:val="both"/>
        <w:rPr>
          <w:rFonts w:ascii="Arial" w:hAnsi="Arial" w:cs="Arial"/>
          <w:kern w:val="2"/>
          <w:sz w:val="20"/>
          <w:szCs w:val="20"/>
          <w:lang w:val="en-GB"/>
          <w14:ligatures w14:val="standardContextual"/>
        </w:rPr>
      </w:pPr>
    </w:p>
    <w:p w14:paraId="66C59D99" w14:textId="1B8ACC2F" w:rsidR="00334B72" w:rsidRPr="001648DD" w:rsidRDefault="00334B72" w:rsidP="00433686">
      <w:pPr>
        <w:jc w:val="both"/>
        <w:rPr>
          <w:rFonts w:ascii="Arial" w:hAnsi="Arial" w:cs="Arial"/>
          <w:kern w:val="2"/>
          <w:sz w:val="20"/>
          <w:szCs w:val="20"/>
          <w:lang w:val="en-GB"/>
          <w14:ligatures w14:val="standardContextual"/>
        </w:rPr>
      </w:pPr>
      <w:r w:rsidRPr="001648DD">
        <w:rPr>
          <w:rFonts w:ascii="Arial" w:hAnsi="Arial" w:cs="Arial"/>
          <w:b/>
          <w:bCs/>
          <w:kern w:val="2"/>
          <w:sz w:val="20"/>
          <w:szCs w:val="20"/>
          <w:lang w:val="en-GB"/>
          <w14:ligatures w14:val="standardContextual"/>
        </w:rPr>
        <w:t>INTRODUCTION</w:t>
      </w:r>
    </w:p>
    <w:p w14:paraId="5B4510E0" w14:textId="4D1DDE6A" w:rsidR="00334B72" w:rsidRPr="001648DD" w:rsidRDefault="00334B72" w:rsidP="00433686">
      <w:pPr>
        <w:pStyle w:val="NormalWeb"/>
        <w:jc w:val="both"/>
        <w:rPr>
          <w:rFonts w:ascii="Arial" w:hAnsi="Arial" w:cs="Arial"/>
          <w:sz w:val="20"/>
          <w:szCs w:val="20"/>
        </w:rPr>
      </w:pPr>
      <w:r w:rsidRPr="001648DD">
        <w:rPr>
          <w:rFonts w:ascii="Arial" w:hAnsi="Arial" w:cs="Arial"/>
          <w:sz w:val="20"/>
          <w:szCs w:val="20"/>
        </w:rPr>
        <w:t xml:space="preserve">Premature ovarian insufficiency (POI) is a clinical syndrome characterized by impaired ovarian function before the age of 40, manifesting as oligo/amenorrhea and biochemical evidence of hypoestrogenism with elevated gonadotropins. Contemporary international guidelines emphasize that diagnosis hinges on menstrual disturbance plus increased follicle-stimulating hormone (FSH) on two occasions (typically ≥25 IU/L, ≥4 weeks apart), while anti-Müllerian hormone (AMH) and antral follicle count (AFC) provide supportive information on ovarian reserve </w:t>
      </w:r>
      <w:r w:rsidR="00FF71AC" w:rsidRPr="001648DD">
        <w:rPr>
          <w:rFonts w:ascii="Arial" w:hAnsi="Arial" w:cs="Arial"/>
          <w:sz w:val="20"/>
          <w:szCs w:val="20"/>
        </w:rPr>
        <w:t>[1]</w:t>
      </w:r>
      <w:r w:rsidRPr="001648DD">
        <w:rPr>
          <w:rFonts w:ascii="Arial" w:hAnsi="Arial" w:cs="Arial"/>
          <w:sz w:val="20"/>
          <w:szCs w:val="20"/>
        </w:rPr>
        <w:t>. Beyond reproduction, POI carries multisystem sequelae</w:t>
      </w:r>
      <w:r w:rsidR="00FF71AC" w:rsidRPr="001648DD">
        <w:rPr>
          <w:rFonts w:ascii="Arial" w:hAnsi="Arial" w:cs="Arial"/>
          <w:sz w:val="20"/>
          <w:szCs w:val="20"/>
        </w:rPr>
        <w:t xml:space="preserve">, </w:t>
      </w:r>
      <w:r w:rsidRPr="001648DD">
        <w:rPr>
          <w:rFonts w:ascii="Arial" w:hAnsi="Arial" w:cs="Arial"/>
          <w:sz w:val="20"/>
          <w:szCs w:val="20"/>
        </w:rPr>
        <w:lastRenderedPageBreak/>
        <w:t>accelerated bone loss, increased cardiometabolic risk, genitourinary syndrome, sexual dysfunction, and substantial psychosocial burden</w:t>
      </w:r>
      <w:r w:rsidR="00FF71AC" w:rsidRPr="001648DD">
        <w:rPr>
          <w:rFonts w:ascii="Arial" w:hAnsi="Arial" w:cs="Arial"/>
          <w:sz w:val="20"/>
          <w:szCs w:val="20"/>
        </w:rPr>
        <w:t xml:space="preserve">, </w:t>
      </w:r>
      <w:r w:rsidRPr="001648DD">
        <w:rPr>
          <w:rFonts w:ascii="Arial" w:hAnsi="Arial" w:cs="Arial"/>
          <w:sz w:val="20"/>
          <w:szCs w:val="20"/>
        </w:rPr>
        <w:t xml:space="preserve">making it a salient women’s-health issue rather than a fertility problem alone </w:t>
      </w:r>
      <w:r w:rsidR="00FF71AC" w:rsidRPr="001648DD">
        <w:rPr>
          <w:rFonts w:ascii="Arial" w:hAnsi="Arial" w:cs="Arial"/>
          <w:sz w:val="20"/>
          <w:szCs w:val="20"/>
        </w:rPr>
        <w:t>[2]</w:t>
      </w:r>
      <w:r w:rsidRPr="001648DD">
        <w:rPr>
          <w:rFonts w:ascii="Arial" w:hAnsi="Arial" w:cs="Arial"/>
          <w:sz w:val="20"/>
          <w:szCs w:val="20"/>
        </w:rPr>
        <w:t xml:space="preserve">. Global prevalence estimates vary with methodology and case mix, but recent syntheses suggest ~3–4% of women experience POI, with higher rates where iatrogenic exposures are common </w:t>
      </w:r>
      <w:r w:rsidR="00FF71AC" w:rsidRPr="001648DD">
        <w:rPr>
          <w:rFonts w:ascii="Arial" w:hAnsi="Arial" w:cs="Arial"/>
          <w:sz w:val="20"/>
          <w:szCs w:val="20"/>
        </w:rPr>
        <w:t>[1,3]</w:t>
      </w:r>
      <w:r w:rsidRPr="001648DD">
        <w:rPr>
          <w:rFonts w:ascii="Arial" w:hAnsi="Arial" w:cs="Arial"/>
          <w:sz w:val="20"/>
          <w:szCs w:val="20"/>
        </w:rPr>
        <w:t xml:space="preserve">. </w:t>
      </w:r>
    </w:p>
    <w:p w14:paraId="03A53BD1" w14:textId="69425F54" w:rsidR="00334B72" w:rsidRPr="001648DD" w:rsidRDefault="00334B72" w:rsidP="00433686">
      <w:pPr>
        <w:pStyle w:val="NormalWeb"/>
        <w:jc w:val="both"/>
        <w:rPr>
          <w:rFonts w:ascii="Arial" w:hAnsi="Arial" w:cs="Arial"/>
          <w:sz w:val="20"/>
          <w:szCs w:val="20"/>
        </w:rPr>
      </w:pPr>
      <w:r w:rsidRPr="001648DD">
        <w:rPr>
          <w:rFonts w:ascii="Arial" w:hAnsi="Arial" w:cs="Arial"/>
          <w:sz w:val="20"/>
          <w:szCs w:val="20"/>
        </w:rPr>
        <w:t>Etiologically, POI is heterogeneous. Genetic factors range from X-chromosome abnormalities to rare variants in oocyte/</w:t>
      </w:r>
      <w:proofErr w:type="spellStart"/>
      <w:r w:rsidRPr="001648DD">
        <w:rPr>
          <w:rFonts w:ascii="Arial" w:hAnsi="Arial" w:cs="Arial"/>
          <w:sz w:val="20"/>
          <w:szCs w:val="20"/>
        </w:rPr>
        <w:t>folliculogenesis</w:t>
      </w:r>
      <w:proofErr w:type="spellEnd"/>
      <w:r w:rsidRPr="001648DD">
        <w:rPr>
          <w:rFonts w:ascii="Arial" w:hAnsi="Arial" w:cs="Arial"/>
          <w:sz w:val="20"/>
          <w:szCs w:val="20"/>
        </w:rPr>
        <w:t xml:space="preserve"> genes (e.g., NOBOX, BMP15, MCM8/9), and the Fragile X (FMR1) premutation remains a leading monogenic association, with ~20% of female premutation carriers developing Fragile-X–associated POI (FXPOI) </w:t>
      </w:r>
      <w:r w:rsidR="00662166" w:rsidRPr="001648DD">
        <w:rPr>
          <w:rFonts w:ascii="Arial" w:hAnsi="Arial" w:cs="Arial"/>
          <w:sz w:val="20"/>
          <w:szCs w:val="20"/>
        </w:rPr>
        <w:t>[4-6]</w:t>
      </w:r>
      <w:r w:rsidRPr="001648DD">
        <w:rPr>
          <w:rFonts w:ascii="Arial" w:hAnsi="Arial" w:cs="Arial"/>
          <w:sz w:val="20"/>
          <w:szCs w:val="20"/>
        </w:rPr>
        <w:t xml:space="preserve">. These findings support a multifactorial/oligogenic model in many cases, with gene–environment interplay likely influencing penetrance and age at onset </w:t>
      </w:r>
      <w:r w:rsidR="00662166" w:rsidRPr="001648DD">
        <w:rPr>
          <w:rFonts w:ascii="Arial" w:hAnsi="Arial" w:cs="Arial"/>
          <w:sz w:val="20"/>
          <w:szCs w:val="20"/>
        </w:rPr>
        <w:t>[5]</w:t>
      </w:r>
      <w:r w:rsidRPr="001648DD">
        <w:rPr>
          <w:rFonts w:ascii="Arial" w:hAnsi="Arial" w:cs="Arial"/>
          <w:sz w:val="20"/>
          <w:szCs w:val="20"/>
        </w:rPr>
        <w:t xml:space="preserve">. </w:t>
      </w:r>
    </w:p>
    <w:p w14:paraId="74F47D9D" w14:textId="6F0074D1" w:rsidR="00334B72" w:rsidRPr="001648DD" w:rsidRDefault="00334B72" w:rsidP="00433686">
      <w:pPr>
        <w:pStyle w:val="NormalWeb"/>
        <w:jc w:val="both"/>
        <w:rPr>
          <w:rFonts w:ascii="Arial" w:hAnsi="Arial" w:cs="Arial"/>
          <w:sz w:val="20"/>
          <w:szCs w:val="20"/>
        </w:rPr>
      </w:pPr>
      <w:r w:rsidRPr="001648DD">
        <w:rPr>
          <w:rFonts w:ascii="Arial" w:hAnsi="Arial" w:cs="Arial"/>
          <w:sz w:val="20"/>
          <w:szCs w:val="20"/>
        </w:rPr>
        <w:t>Autoimmunity contributes meaningfully to pathogenesis. Large population-based data show women with spontaneous POI have a two- to three-fold excess risk of severe autoimmune disorders</w:t>
      </w:r>
      <w:r w:rsidR="00FF71AC" w:rsidRPr="001648DD">
        <w:rPr>
          <w:rFonts w:ascii="Arial" w:hAnsi="Arial" w:cs="Arial"/>
          <w:sz w:val="20"/>
          <w:szCs w:val="20"/>
        </w:rPr>
        <w:t xml:space="preserve">, </w:t>
      </w:r>
      <w:r w:rsidRPr="001648DD">
        <w:rPr>
          <w:rFonts w:ascii="Arial" w:hAnsi="Arial" w:cs="Arial"/>
          <w:sz w:val="20"/>
          <w:szCs w:val="20"/>
        </w:rPr>
        <w:t>particularly autoimmune thyroid disease, Addison’s disease, type 1 diabetes, celiac disease, vitiligo, rheumatoid arthritis, and systemic lupus erythematosus</w:t>
      </w:r>
      <w:r w:rsidR="00FF71AC" w:rsidRPr="001648DD">
        <w:rPr>
          <w:rFonts w:ascii="Arial" w:hAnsi="Arial" w:cs="Arial"/>
          <w:sz w:val="20"/>
          <w:szCs w:val="20"/>
        </w:rPr>
        <w:t xml:space="preserve">, </w:t>
      </w:r>
      <w:r w:rsidRPr="001648DD">
        <w:rPr>
          <w:rFonts w:ascii="Arial" w:hAnsi="Arial" w:cs="Arial"/>
          <w:sz w:val="20"/>
          <w:szCs w:val="20"/>
        </w:rPr>
        <w:t xml:space="preserve">often preceding the POI diagnosis, consistent with autoimmune oophoritis and polyglandular syndromes in a subset </w:t>
      </w:r>
      <w:r w:rsidR="00E2275F" w:rsidRPr="001648DD">
        <w:rPr>
          <w:rFonts w:ascii="Arial" w:hAnsi="Arial" w:cs="Arial"/>
          <w:sz w:val="20"/>
          <w:szCs w:val="20"/>
        </w:rPr>
        <w:t>[7]</w:t>
      </w:r>
      <w:r w:rsidRPr="001648DD">
        <w:rPr>
          <w:rFonts w:ascii="Arial" w:hAnsi="Arial" w:cs="Arial"/>
          <w:sz w:val="20"/>
          <w:szCs w:val="20"/>
        </w:rPr>
        <w:t xml:space="preserve">. These associations reinforce recommendations for screening targeted autoimmune comorbidities during evaluation and follow-up </w:t>
      </w:r>
      <w:r w:rsidR="00E2275F" w:rsidRPr="001648DD">
        <w:rPr>
          <w:rFonts w:ascii="Arial" w:hAnsi="Arial" w:cs="Arial"/>
          <w:sz w:val="20"/>
          <w:szCs w:val="20"/>
        </w:rPr>
        <w:t>[1]</w:t>
      </w:r>
      <w:r w:rsidRPr="001648DD">
        <w:rPr>
          <w:rFonts w:ascii="Arial" w:hAnsi="Arial" w:cs="Arial"/>
          <w:sz w:val="20"/>
          <w:szCs w:val="20"/>
        </w:rPr>
        <w:t xml:space="preserve">. </w:t>
      </w:r>
    </w:p>
    <w:p w14:paraId="6283F52E" w14:textId="2CE973C3" w:rsidR="00334B72" w:rsidRPr="001648DD" w:rsidRDefault="00334B72" w:rsidP="00433686">
      <w:pPr>
        <w:pStyle w:val="NormalWeb"/>
        <w:jc w:val="both"/>
        <w:rPr>
          <w:rFonts w:ascii="Arial" w:hAnsi="Arial" w:cs="Arial"/>
          <w:sz w:val="20"/>
          <w:szCs w:val="20"/>
        </w:rPr>
      </w:pPr>
      <w:r w:rsidRPr="001648DD">
        <w:rPr>
          <w:rFonts w:ascii="Arial" w:hAnsi="Arial" w:cs="Arial"/>
          <w:sz w:val="20"/>
          <w:szCs w:val="20"/>
        </w:rPr>
        <w:t xml:space="preserve">Iatrogenic ovarian damage remains the most preventable contributor worldwide. Alkylating chemotherapy (e.g., cyclophosphamide, busulfan, chlorambucil) is highly gonadotoxic across proliferating and quiescent follicles, and pelvic/craniospinal radiotherapy further accelerates follicle depletion; risk scales with dose, patient age, and combined modalities. Recent ASCO guidance </w:t>
      </w:r>
      <w:r w:rsidR="00683AD0" w:rsidRPr="001648DD">
        <w:rPr>
          <w:rFonts w:ascii="Arial" w:hAnsi="Arial" w:cs="Arial"/>
          <w:sz w:val="20"/>
          <w:szCs w:val="20"/>
        </w:rPr>
        <w:t>[8]</w:t>
      </w:r>
      <w:r w:rsidRPr="001648DD">
        <w:rPr>
          <w:rFonts w:ascii="Arial" w:hAnsi="Arial" w:cs="Arial"/>
          <w:sz w:val="20"/>
          <w:szCs w:val="20"/>
        </w:rPr>
        <w:t xml:space="preserve"> and other syntheses detail dose–response relationships and support early fertility-preservation counselling</w:t>
      </w:r>
      <w:r w:rsidR="00FF71AC" w:rsidRPr="001648DD">
        <w:rPr>
          <w:rFonts w:ascii="Arial" w:hAnsi="Arial" w:cs="Arial"/>
          <w:sz w:val="20"/>
          <w:szCs w:val="20"/>
        </w:rPr>
        <w:t xml:space="preserve">, </w:t>
      </w:r>
      <w:r w:rsidRPr="001648DD">
        <w:rPr>
          <w:rFonts w:ascii="Arial" w:hAnsi="Arial" w:cs="Arial"/>
          <w:sz w:val="20"/>
          <w:szCs w:val="20"/>
        </w:rPr>
        <w:t>including oocyte/embryo cryopreservation, ovarian tissue cryopreservation, and ovarian transposition</w:t>
      </w:r>
      <w:r w:rsidR="00FF71AC" w:rsidRPr="001648DD">
        <w:rPr>
          <w:rFonts w:ascii="Arial" w:hAnsi="Arial" w:cs="Arial"/>
          <w:sz w:val="20"/>
          <w:szCs w:val="20"/>
        </w:rPr>
        <w:t xml:space="preserve">, </w:t>
      </w:r>
      <w:r w:rsidRPr="001648DD">
        <w:rPr>
          <w:rFonts w:ascii="Arial" w:hAnsi="Arial" w:cs="Arial"/>
          <w:sz w:val="20"/>
          <w:szCs w:val="20"/>
        </w:rPr>
        <w:t xml:space="preserve">prior to cancer therapy </w:t>
      </w:r>
      <w:r w:rsidR="00683AD0" w:rsidRPr="001648DD">
        <w:rPr>
          <w:rFonts w:ascii="Arial" w:hAnsi="Arial" w:cs="Arial"/>
          <w:sz w:val="20"/>
          <w:szCs w:val="20"/>
        </w:rPr>
        <w:t>[8-10]</w:t>
      </w:r>
      <w:r w:rsidRPr="001648DD">
        <w:rPr>
          <w:rFonts w:ascii="Arial" w:hAnsi="Arial" w:cs="Arial"/>
          <w:sz w:val="20"/>
          <w:szCs w:val="20"/>
        </w:rPr>
        <w:t xml:space="preserve">. These iatrogenic pathways are particularly relevant as cancer survival improves in low- and middle-income countries, including Nigeria. </w:t>
      </w:r>
    </w:p>
    <w:p w14:paraId="7B61DD5E" w14:textId="038F9264" w:rsidR="00334B72" w:rsidRPr="001648DD" w:rsidRDefault="00334B72" w:rsidP="00433686">
      <w:pPr>
        <w:pStyle w:val="NormalWeb"/>
        <w:jc w:val="both"/>
        <w:rPr>
          <w:rFonts w:ascii="Arial" w:hAnsi="Arial" w:cs="Arial"/>
          <w:sz w:val="20"/>
          <w:szCs w:val="20"/>
        </w:rPr>
      </w:pPr>
      <w:r w:rsidRPr="001648DD">
        <w:rPr>
          <w:rFonts w:ascii="Arial" w:hAnsi="Arial" w:cs="Arial"/>
          <w:sz w:val="20"/>
          <w:szCs w:val="20"/>
        </w:rPr>
        <w:t>Environmental and lifestyle exposures are increasingly implicated. Endocrine-disrupting chemicals</w:t>
      </w:r>
      <w:r w:rsidR="00FF71AC" w:rsidRPr="001648DD">
        <w:rPr>
          <w:rFonts w:ascii="Arial" w:hAnsi="Arial" w:cs="Arial"/>
          <w:sz w:val="20"/>
          <w:szCs w:val="20"/>
        </w:rPr>
        <w:t xml:space="preserve">, </w:t>
      </w:r>
      <w:r w:rsidRPr="001648DD">
        <w:rPr>
          <w:rFonts w:ascii="Arial" w:hAnsi="Arial" w:cs="Arial"/>
          <w:sz w:val="20"/>
          <w:szCs w:val="20"/>
        </w:rPr>
        <w:t>such as bisphenol A (BPA) and phthalates</w:t>
      </w:r>
      <w:r w:rsidR="00FF71AC" w:rsidRPr="001648DD">
        <w:rPr>
          <w:rFonts w:ascii="Arial" w:hAnsi="Arial" w:cs="Arial"/>
          <w:sz w:val="20"/>
          <w:szCs w:val="20"/>
        </w:rPr>
        <w:t xml:space="preserve">, </w:t>
      </w:r>
      <w:r w:rsidRPr="001648DD">
        <w:rPr>
          <w:rFonts w:ascii="Arial" w:hAnsi="Arial" w:cs="Arial"/>
          <w:sz w:val="20"/>
          <w:szCs w:val="20"/>
        </w:rPr>
        <w:t xml:space="preserve">have been linked to diminished ovarian reserve and perturbed </w:t>
      </w:r>
      <w:proofErr w:type="spellStart"/>
      <w:r w:rsidRPr="001648DD">
        <w:rPr>
          <w:rFonts w:ascii="Arial" w:hAnsi="Arial" w:cs="Arial"/>
          <w:sz w:val="20"/>
          <w:szCs w:val="20"/>
        </w:rPr>
        <w:t>folliculogenesis</w:t>
      </w:r>
      <w:proofErr w:type="spellEnd"/>
      <w:r w:rsidRPr="001648DD">
        <w:rPr>
          <w:rFonts w:ascii="Arial" w:hAnsi="Arial" w:cs="Arial"/>
          <w:sz w:val="20"/>
          <w:szCs w:val="20"/>
        </w:rPr>
        <w:t xml:space="preserve"> in observational and experimental studies, while cigarette smoking and under-nutrition may compound follicle attrition and impair steroidogenesis </w:t>
      </w:r>
      <w:r w:rsidR="00683AD0" w:rsidRPr="001648DD">
        <w:rPr>
          <w:rFonts w:ascii="Arial" w:hAnsi="Arial" w:cs="Arial"/>
          <w:sz w:val="20"/>
          <w:szCs w:val="20"/>
        </w:rPr>
        <w:t>[11]</w:t>
      </w:r>
      <w:r w:rsidRPr="001648DD">
        <w:rPr>
          <w:rFonts w:ascii="Arial" w:hAnsi="Arial" w:cs="Arial"/>
          <w:sz w:val="20"/>
          <w:szCs w:val="20"/>
        </w:rPr>
        <w:t xml:space="preserve">. Although causal certainty varies by exposure, these modifiable risks are public-health-relevant in settings with variable regulatory enforcement and occupational exposures. </w:t>
      </w:r>
    </w:p>
    <w:p w14:paraId="7476626C" w14:textId="30CFC701" w:rsidR="00334B72" w:rsidRPr="001648DD" w:rsidRDefault="00334B72" w:rsidP="00433686">
      <w:pPr>
        <w:pStyle w:val="NormalWeb"/>
        <w:jc w:val="both"/>
        <w:rPr>
          <w:rFonts w:ascii="Arial" w:hAnsi="Arial" w:cs="Arial"/>
          <w:sz w:val="20"/>
          <w:szCs w:val="20"/>
        </w:rPr>
      </w:pPr>
      <w:r w:rsidRPr="001648DD">
        <w:rPr>
          <w:rFonts w:ascii="Arial" w:hAnsi="Arial" w:cs="Arial"/>
          <w:sz w:val="20"/>
          <w:szCs w:val="20"/>
        </w:rPr>
        <w:t xml:space="preserve">In sub-Saharan Africa and Nigeria, local data on POI remain sparse, yet several context-specific factors heighten its importance. First, infertility bears high psychosocial and economic costs in Nigeria, intersecting with cultural expectations of early childbearing. Second, a substantial iatrogenic burden is plausible as oncology services expand and as survivors of childhood/adolescent cancers reach reproductive age. Third, chronic infections and autoimmune conditions (e.g., thyroid disease) co-exist and may be under-recognized contributors. Nigerian research on age at menopause shows geographic and health-status variability, and studies from Nigerian cohorts (including women living with HIV) report earlier menopause in subgroups, underscoring the need for surveillance of ovarian aging trajectories and better ascertainment of POI phenotypes </w:t>
      </w:r>
      <w:r w:rsidR="00683AD0" w:rsidRPr="001648DD">
        <w:rPr>
          <w:rFonts w:ascii="Arial" w:hAnsi="Arial" w:cs="Arial"/>
          <w:sz w:val="20"/>
          <w:szCs w:val="20"/>
        </w:rPr>
        <w:t>[12]</w:t>
      </w:r>
      <w:r w:rsidRPr="001648DD">
        <w:rPr>
          <w:rFonts w:ascii="Arial" w:hAnsi="Arial" w:cs="Arial"/>
          <w:sz w:val="20"/>
          <w:szCs w:val="20"/>
        </w:rPr>
        <w:t xml:space="preserve">. Strengthening diagnostic capacity (FSH-based criteria, access to AMH/AFC), autoimmune screening, and referral pathways is therefore a national priority. </w:t>
      </w:r>
    </w:p>
    <w:p w14:paraId="3A97D221" w14:textId="57021773" w:rsidR="00334B72" w:rsidRPr="001648DD" w:rsidRDefault="00334B72" w:rsidP="00433686">
      <w:pPr>
        <w:pStyle w:val="NormalWeb"/>
        <w:jc w:val="both"/>
        <w:rPr>
          <w:rFonts w:ascii="Arial" w:hAnsi="Arial" w:cs="Arial"/>
          <w:sz w:val="20"/>
          <w:szCs w:val="20"/>
        </w:rPr>
      </w:pPr>
      <w:r w:rsidRPr="001648DD">
        <w:rPr>
          <w:rFonts w:ascii="Arial" w:hAnsi="Arial" w:cs="Arial"/>
          <w:sz w:val="20"/>
          <w:szCs w:val="20"/>
        </w:rPr>
        <w:t xml:space="preserve">From a health-systems lens, timely recognition of POI enables interventions that mitigate long-term harm. Guidelines recommend individualized hormone therapy to the average age of natural menopause (unless contraindicated), bone health optimization, cardiometabolic risk assessment, and mental-health support; fertility pathways range from expectant management (given intermittent ovulation in some) to donor oocytes and emerging options </w:t>
      </w:r>
      <w:r w:rsidR="00A34131" w:rsidRPr="001648DD">
        <w:rPr>
          <w:rFonts w:ascii="Arial" w:hAnsi="Arial" w:cs="Arial"/>
          <w:sz w:val="20"/>
          <w:szCs w:val="20"/>
        </w:rPr>
        <w:t>[1,2]</w:t>
      </w:r>
      <w:r w:rsidRPr="001648DD">
        <w:rPr>
          <w:rFonts w:ascii="Arial" w:hAnsi="Arial" w:cs="Arial"/>
          <w:sz w:val="20"/>
          <w:szCs w:val="20"/>
        </w:rPr>
        <w:t>. For Nigeria, integrating POI awareness into reproductive, endocrine, and oncology care</w:t>
      </w:r>
      <w:r w:rsidR="00FF71AC" w:rsidRPr="001648DD">
        <w:rPr>
          <w:rFonts w:ascii="Arial" w:hAnsi="Arial" w:cs="Arial"/>
          <w:sz w:val="20"/>
          <w:szCs w:val="20"/>
        </w:rPr>
        <w:t xml:space="preserve">, </w:t>
      </w:r>
      <w:r w:rsidRPr="001648DD">
        <w:rPr>
          <w:rFonts w:ascii="Arial" w:hAnsi="Arial" w:cs="Arial"/>
          <w:sz w:val="20"/>
          <w:szCs w:val="20"/>
        </w:rPr>
        <w:t>paired with context-appropriate fertility-preservation services and policies</w:t>
      </w:r>
      <w:r w:rsidR="00FF71AC" w:rsidRPr="001648DD">
        <w:rPr>
          <w:rFonts w:ascii="Arial" w:hAnsi="Arial" w:cs="Arial"/>
          <w:sz w:val="20"/>
          <w:szCs w:val="20"/>
        </w:rPr>
        <w:t xml:space="preserve">, </w:t>
      </w:r>
      <w:r w:rsidRPr="001648DD">
        <w:rPr>
          <w:rFonts w:ascii="Arial" w:hAnsi="Arial" w:cs="Arial"/>
          <w:sz w:val="20"/>
          <w:szCs w:val="20"/>
        </w:rPr>
        <w:t xml:space="preserve">could reduce preventable cases and improve quality of life. </w:t>
      </w:r>
      <w:r w:rsidR="00A34131" w:rsidRPr="001648DD">
        <w:rPr>
          <w:rFonts w:ascii="Arial" w:hAnsi="Arial" w:cs="Arial"/>
          <w:sz w:val="20"/>
          <w:szCs w:val="20"/>
        </w:rPr>
        <w:t xml:space="preserve">This </w:t>
      </w:r>
      <w:r w:rsidRPr="001648DD">
        <w:rPr>
          <w:rFonts w:ascii="Arial" w:hAnsi="Arial" w:cs="Arial"/>
          <w:sz w:val="20"/>
          <w:szCs w:val="20"/>
        </w:rPr>
        <w:t>study</w:t>
      </w:r>
      <w:r w:rsidR="00FF71AC" w:rsidRPr="001648DD">
        <w:rPr>
          <w:rFonts w:ascii="Arial" w:hAnsi="Arial" w:cs="Arial"/>
          <w:sz w:val="20"/>
          <w:szCs w:val="20"/>
        </w:rPr>
        <w:t xml:space="preserve">, </w:t>
      </w:r>
      <w:r w:rsidRPr="001648DD">
        <w:rPr>
          <w:rFonts w:ascii="Arial" w:hAnsi="Arial" w:cs="Arial"/>
          <w:sz w:val="20"/>
          <w:szCs w:val="20"/>
        </w:rPr>
        <w:t>focused on the pathogenesis and factors influencing POI among Nigerian women</w:t>
      </w:r>
      <w:r w:rsidR="00FF71AC" w:rsidRPr="001648DD">
        <w:rPr>
          <w:rFonts w:ascii="Arial" w:hAnsi="Arial" w:cs="Arial"/>
          <w:sz w:val="20"/>
          <w:szCs w:val="20"/>
        </w:rPr>
        <w:t xml:space="preserve">, </w:t>
      </w:r>
      <w:r w:rsidRPr="001648DD">
        <w:rPr>
          <w:rFonts w:ascii="Arial" w:hAnsi="Arial" w:cs="Arial"/>
          <w:sz w:val="20"/>
          <w:szCs w:val="20"/>
        </w:rPr>
        <w:t xml:space="preserve">addresses a critical knowledge gap. By delineating genetic, autoimmune, iatrogenic, environmental, and sociocultural determinants within Nigeria’s healthcare </w:t>
      </w:r>
      <w:r w:rsidRPr="001648DD">
        <w:rPr>
          <w:rFonts w:ascii="Arial" w:hAnsi="Arial" w:cs="Arial"/>
          <w:sz w:val="20"/>
          <w:szCs w:val="20"/>
        </w:rPr>
        <w:lastRenderedPageBreak/>
        <w:t xml:space="preserve">landscape, it can inform screening algorithms, risk-communication, and equitable access to fertility-preservation and hormone therapy across the country. </w:t>
      </w:r>
    </w:p>
    <w:p w14:paraId="2C485BBB" w14:textId="77777777" w:rsidR="00B346DB" w:rsidRPr="00B346DB" w:rsidRDefault="00B346DB" w:rsidP="00433686">
      <w:pPr>
        <w:spacing w:before="100" w:beforeAutospacing="1" w:after="100" w:afterAutospacing="1" w:line="240" w:lineRule="auto"/>
        <w:jc w:val="both"/>
        <w:outlineLvl w:val="1"/>
        <w:rPr>
          <w:rFonts w:ascii="Arial" w:eastAsia="Times New Roman" w:hAnsi="Arial" w:cs="Arial"/>
          <w:b/>
          <w:bCs/>
          <w:sz w:val="20"/>
          <w:szCs w:val="20"/>
        </w:rPr>
      </w:pPr>
      <w:r w:rsidRPr="00B346DB">
        <w:rPr>
          <w:rFonts w:ascii="Arial" w:eastAsia="Times New Roman" w:hAnsi="Arial" w:cs="Arial"/>
          <w:b/>
          <w:bCs/>
          <w:sz w:val="20"/>
          <w:szCs w:val="20"/>
        </w:rPr>
        <w:t>MATERIALS AND METHODS</w:t>
      </w:r>
    </w:p>
    <w:p w14:paraId="6EF3CDE0" w14:textId="77777777" w:rsidR="00B346DB" w:rsidRPr="00B346DB" w:rsidRDefault="00B346DB" w:rsidP="00433686">
      <w:pPr>
        <w:spacing w:before="100" w:beforeAutospacing="1" w:after="100" w:afterAutospacing="1" w:line="240" w:lineRule="auto"/>
        <w:jc w:val="both"/>
        <w:outlineLvl w:val="2"/>
        <w:rPr>
          <w:rFonts w:ascii="Arial" w:eastAsia="Times New Roman" w:hAnsi="Arial" w:cs="Arial"/>
          <w:b/>
          <w:bCs/>
          <w:sz w:val="20"/>
          <w:szCs w:val="20"/>
        </w:rPr>
      </w:pPr>
      <w:r w:rsidRPr="00B346DB">
        <w:rPr>
          <w:rFonts w:ascii="Arial" w:eastAsia="Times New Roman" w:hAnsi="Arial" w:cs="Arial"/>
          <w:b/>
          <w:bCs/>
          <w:sz w:val="20"/>
          <w:szCs w:val="20"/>
        </w:rPr>
        <w:t>Study Design</w:t>
      </w:r>
    </w:p>
    <w:p w14:paraId="1A2E0C61" w14:textId="77777777" w:rsidR="00B346DB" w:rsidRPr="00B346DB" w:rsidRDefault="00B346DB" w:rsidP="00433686">
      <w:p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This study employed a hospital-based descriptive cross-sectional design to investigate the pathogenesis and factors influencing premature ovarian insufficiency (POI) among Nigerian women. The design was chosen to allow simultaneous assessment of potential risk factors, clinical presentation, and relevant biochemical and histopathological parameters in a defined population.</w:t>
      </w:r>
    </w:p>
    <w:p w14:paraId="00D2EC54" w14:textId="77777777" w:rsidR="00B346DB" w:rsidRPr="00B346DB" w:rsidRDefault="00B346DB" w:rsidP="00433686">
      <w:pPr>
        <w:spacing w:before="100" w:beforeAutospacing="1" w:after="100" w:afterAutospacing="1" w:line="240" w:lineRule="auto"/>
        <w:jc w:val="both"/>
        <w:outlineLvl w:val="2"/>
        <w:rPr>
          <w:rFonts w:ascii="Arial" w:eastAsia="Times New Roman" w:hAnsi="Arial" w:cs="Arial"/>
          <w:b/>
          <w:bCs/>
          <w:sz w:val="20"/>
          <w:szCs w:val="20"/>
        </w:rPr>
      </w:pPr>
      <w:r w:rsidRPr="00B346DB">
        <w:rPr>
          <w:rFonts w:ascii="Arial" w:eastAsia="Times New Roman" w:hAnsi="Arial" w:cs="Arial"/>
          <w:b/>
          <w:bCs/>
          <w:sz w:val="20"/>
          <w:szCs w:val="20"/>
        </w:rPr>
        <w:t>Study Setting</w:t>
      </w:r>
    </w:p>
    <w:p w14:paraId="36C0FF66" w14:textId="77777777" w:rsidR="00B346DB" w:rsidRPr="00B346DB" w:rsidRDefault="00B346DB" w:rsidP="00433686">
      <w:p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The study was conducted at Abia State University Teaching Hospital (ABSUTH), Aba, located in the commercial hub of Abia State, southeastern Nigeria. ABSUTH is a tertiary referral center providing specialized gynecological, endocrinological, and reproductive health services to patients from urban and rural areas across Abia State and neighboring states such as Imo, Rivers, and Akwa Ibom. The hospital has a functional Department of Obstetrics and Gynecology, equipped with facilities for hormonal assays, ultrasound imaging, and minor reproductive health procedures, as well as a histopathology unit for tissue diagnosis.</w:t>
      </w:r>
    </w:p>
    <w:p w14:paraId="000EC56A" w14:textId="77777777" w:rsidR="00692C0F" w:rsidRPr="001648DD" w:rsidRDefault="00692C0F" w:rsidP="00433686">
      <w:pPr>
        <w:spacing w:before="100" w:beforeAutospacing="1" w:after="100" w:afterAutospacing="1" w:line="276" w:lineRule="auto"/>
        <w:jc w:val="both"/>
        <w:outlineLvl w:val="2"/>
        <w:rPr>
          <w:rFonts w:ascii="Arial" w:eastAsia="Times New Roman" w:hAnsi="Arial" w:cs="Arial"/>
          <w:b/>
          <w:bCs/>
          <w:sz w:val="20"/>
          <w:szCs w:val="20"/>
        </w:rPr>
      </w:pPr>
      <w:r w:rsidRPr="001648DD">
        <w:rPr>
          <w:rFonts w:ascii="Arial" w:eastAsia="Times New Roman" w:hAnsi="Arial" w:cs="Arial"/>
          <w:b/>
          <w:bCs/>
          <w:sz w:val="20"/>
          <w:szCs w:val="20"/>
        </w:rPr>
        <w:t>Study Population</w:t>
      </w:r>
    </w:p>
    <w:p w14:paraId="51B82748" w14:textId="77777777" w:rsidR="00692C0F" w:rsidRPr="001648DD" w:rsidRDefault="00692C0F" w:rsidP="00433686">
      <w:p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sz w:val="20"/>
          <w:szCs w:val="20"/>
        </w:rPr>
        <w:t xml:space="preserve">The study population comprised Nigerian women aged 18–49 years who presented at the </w:t>
      </w:r>
      <w:proofErr w:type="spellStart"/>
      <w:r w:rsidRPr="001648DD">
        <w:rPr>
          <w:rFonts w:ascii="Arial" w:eastAsia="Times New Roman" w:hAnsi="Arial" w:cs="Arial"/>
          <w:sz w:val="20"/>
          <w:szCs w:val="20"/>
        </w:rPr>
        <w:t>gynaecology</w:t>
      </w:r>
      <w:proofErr w:type="spellEnd"/>
      <w:r w:rsidRPr="001648DD">
        <w:rPr>
          <w:rFonts w:ascii="Arial" w:eastAsia="Times New Roman" w:hAnsi="Arial" w:cs="Arial"/>
          <w:sz w:val="20"/>
          <w:szCs w:val="20"/>
        </w:rPr>
        <w:t xml:space="preserve"> outpatient clinic or were admitted to the gynecology wards during the study period. The target group included women in the reproductive age bracket, as POI is defined as the cessation of ovarian function before the age of 40 years.</w:t>
      </w:r>
    </w:p>
    <w:p w14:paraId="20C7E2B4" w14:textId="77777777" w:rsidR="00692C0F" w:rsidRPr="001648DD" w:rsidRDefault="00692C0F" w:rsidP="00433686">
      <w:pPr>
        <w:spacing w:before="100" w:beforeAutospacing="1" w:after="100" w:afterAutospacing="1" w:line="276" w:lineRule="auto"/>
        <w:jc w:val="both"/>
        <w:outlineLvl w:val="2"/>
        <w:rPr>
          <w:rFonts w:ascii="Arial" w:eastAsia="Times New Roman" w:hAnsi="Arial" w:cs="Arial"/>
          <w:b/>
          <w:bCs/>
          <w:sz w:val="20"/>
          <w:szCs w:val="20"/>
        </w:rPr>
      </w:pPr>
      <w:r w:rsidRPr="001648DD">
        <w:rPr>
          <w:rFonts w:ascii="Arial" w:eastAsia="Times New Roman" w:hAnsi="Arial" w:cs="Arial"/>
          <w:b/>
          <w:bCs/>
          <w:sz w:val="20"/>
          <w:szCs w:val="20"/>
        </w:rPr>
        <w:t>Inclusion and Exclusion Criteria</w:t>
      </w:r>
    </w:p>
    <w:p w14:paraId="2F50E9EF" w14:textId="77777777" w:rsidR="00692C0F" w:rsidRPr="001648DD" w:rsidRDefault="00692C0F" w:rsidP="00433686">
      <w:p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b/>
          <w:bCs/>
          <w:sz w:val="20"/>
          <w:szCs w:val="20"/>
        </w:rPr>
        <w:t>Inclusion criteria</w:t>
      </w:r>
    </w:p>
    <w:p w14:paraId="4E2B47CC" w14:textId="77777777" w:rsidR="00692C0F" w:rsidRPr="001648DD" w:rsidRDefault="00692C0F" w:rsidP="00433686">
      <w:pPr>
        <w:numPr>
          <w:ilvl w:val="0"/>
          <w:numId w:val="2"/>
        </w:num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sz w:val="20"/>
          <w:szCs w:val="20"/>
        </w:rPr>
        <w:t>Women aged 18–49 years.</w:t>
      </w:r>
    </w:p>
    <w:p w14:paraId="6D6E2C02" w14:textId="77777777" w:rsidR="00692C0F" w:rsidRPr="001648DD" w:rsidRDefault="00692C0F" w:rsidP="00433686">
      <w:pPr>
        <w:numPr>
          <w:ilvl w:val="0"/>
          <w:numId w:val="2"/>
        </w:num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sz w:val="20"/>
          <w:szCs w:val="20"/>
        </w:rPr>
        <w:t>Nigerian citizens who have resided in Abia State for at least six months prior to the study.</w:t>
      </w:r>
    </w:p>
    <w:p w14:paraId="369B2CD5" w14:textId="77777777" w:rsidR="00692C0F" w:rsidRPr="001648DD" w:rsidRDefault="00692C0F" w:rsidP="00433686">
      <w:pPr>
        <w:numPr>
          <w:ilvl w:val="0"/>
          <w:numId w:val="2"/>
        </w:num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sz w:val="20"/>
          <w:szCs w:val="20"/>
        </w:rPr>
        <w:t>Those who gave written informed consent to participate.</w:t>
      </w:r>
    </w:p>
    <w:p w14:paraId="7A13B4A0" w14:textId="77777777" w:rsidR="00692C0F" w:rsidRPr="001648DD" w:rsidRDefault="00692C0F" w:rsidP="00433686">
      <w:p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b/>
          <w:bCs/>
          <w:sz w:val="20"/>
          <w:szCs w:val="20"/>
        </w:rPr>
        <w:t>Exclusion criteria</w:t>
      </w:r>
    </w:p>
    <w:p w14:paraId="610568BE" w14:textId="77777777" w:rsidR="00692C0F" w:rsidRPr="001648DD" w:rsidRDefault="00692C0F" w:rsidP="00433686">
      <w:pPr>
        <w:numPr>
          <w:ilvl w:val="0"/>
          <w:numId w:val="10"/>
        </w:num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sz w:val="20"/>
          <w:szCs w:val="20"/>
        </w:rPr>
        <w:t>Women with known surgical removal of ovaries or hysterectomy.</w:t>
      </w:r>
    </w:p>
    <w:p w14:paraId="27901C5D" w14:textId="77777777" w:rsidR="00692C0F" w:rsidRPr="001648DD" w:rsidRDefault="00692C0F" w:rsidP="00433686">
      <w:pPr>
        <w:numPr>
          <w:ilvl w:val="0"/>
          <w:numId w:val="10"/>
        </w:num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sz w:val="20"/>
          <w:szCs w:val="20"/>
        </w:rPr>
        <w:t>Women with chronic systemic illnesses or malignancies that could confound ovarian function.</w:t>
      </w:r>
    </w:p>
    <w:p w14:paraId="5E9CDF5E" w14:textId="77777777" w:rsidR="00692C0F" w:rsidRPr="001648DD" w:rsidRDefault="00692C0F" w:rsidP="00433686">
      <w:pPr>
        <w:numPr>
          <w:ilvl w:val="0"/>
          <w:numId w:val="10"/>
        </w:num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sz w:val="20"/>
          <w:szCs w:val="20"/>
        </w:rPr>
        <w:t>Pregnant women at the time of recruitment.</w:t>
      </w:r>
    </w:p>
    <w:p w14:paraId="43321335" w14:textId="77777777" w:rsidR="00692C0F" w:rsidRPr="001648DD" w:rsidRDefault="00692C0F" w:rsidP="00433686">
      <w:pPr>
        <w:numPr>
          <w:ilvl w:val="0"/>
          <w:numId w:val="10"/>
        </w:num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sz w:val="20"/>
          <w:szCs w:val="20"/>
        </w:rPr>
        <w:t>Women unable to respond to the questionnaire due to cognitive impairment or severe illness.</w:t>
      </w:r>
    </w:p>
    <w:p w14:paraId="7317ADF8" w14:textId="77777777" w:rsidR="00692C0F" w:rsidRPr="001648DD" w:rsidRDefault="00692C0F" w:rsidP="00433686">
      <w:pPr>
        <w:spacing w:after="0" w:line="276" w:lineRule="auto"/>
        <w:jc w:val="both"/>
        <w:rPr>
          <w:rFonts w:ascii="Arial" w:eastAsia="Times New Roman" w:hAnsi="Arial" w:cs="Arial"/>
          <w:sz w:val="20"/>
          <w:szCs w:val="20"/>
        </w:rPr>
      </w:pPr>
    </w:p>
    <w:p w14:paraId="6E79FB80" w14:textId="77777777" w:rsidR="00692C0F" w:rsidRPr="001648DD" w:rsidRDefault="00692C0F" w:rsidP="00433686">
      <w:pPr>
        <w:spacing w:before="100" w:beforeAutospacing="1" w:after="100" w:afterAutospacing="1" w:line="276" w:lineRule="auto"/>
        <w:jc w:val="both"/>
        <w:outlineLvl w:val="2"/>
        <w:rPr>
          <w:rFonts w:ascii="Arial" w:eastAsia="Times New Roman" w:hAnsi="Arial" w:cs="Arial"/>
          <w:b/>
          <w:bCs/>
          <w:sz w:val="20"/>
          <w:szCs w:val="20"/>
        </w:rPr>
      </w:pPr>
      <w:r w:rsidRPr="001648DD">
        <w:rPr>
          <w:rFonts w:ascii="Arial" w:eastAsia="Times New Roman" w:hAnsi="Arial" w:cs="Arial"/>
          <w:b/>
          <w:bCs/>
          <w:sz w:val="20"/>
          <w:szCs w:val="20"/>
        </w:rPr>
        <w:t>Sample Size Determination</w:t>
      </w:r>
    </w:p>
    <w:p w14:paraId="58B259CE" w14:textId="4E22938D" w:rsidR="00692C0F" w:rsidRPr="001648DD" w:rsidRDefault="00692C0F" w:rsidP="00433686">
      <w:pPr>
        <w:spacing w:line="276" w:lineRule="auto"/>
        <w:jc w:val="both"/>
        <w:rPr>
          <w:rFonts w:ascii="Arial" w:eastAsia="Times New Roman" w:hAnsi="Arial" w:cs="Arial"/>
          <w:sz w:val="20"/>
          <w:szCs w:val="20"/>
          <w:lang w:eastAsia="en-GB"/>
        </w:rPr>
      </w:pPr>
      <w:r w:rsidRPr="001648DD">
        <w:rPr>
          <w:rFonts w:ascii="Arial" w:eastAsia="Times New Roman" w:hAnsi="Arial" w:cs="Arial"/>
          <w:sz w:val="20"/>
          <w:szCs w:val="20"/>
          <w:lang w:eastAsia="en-GB"/>
        </w:rPr>
        <w:lastRenderedPageBreak/>
        <w:t xml:space="preserve">The sample size was calculated based on Cochran’s formula for population proportion estimation, following the methodology described by </w:t>
      </w:r>
      <w:proofErr w:type="spellStart"/>
      <w:r w:rsidRPr="001648DD">
        <w:rPr>
          <w:rFonts w:ascii="Arial" w:eastAsia="Times New Roman" w:hAnsi="Arial" w:cs="Arial"/>
          <w:sz w:val="20"/>
          <w:szCs w:val="20"/>
          <w:lang w:eastAsia="en-GB"/>
        </w:rPr>
        <w:t>Ezebuiro</w:t>
      </w:r>
      <w:proofErr w:type="spellEnd"/>
      <w:r w:rsidRPr="001648DD">
        <w:rPr>
          <w:rFonts w:ascii="Arial" w:eastAsia="Times New Roman" w:hAnsi="Arial" w:cs="Arial"/>
          <w:sz w:val="20"/>
          <w:szCs w:val="20"/>
          <w:lang w:eastAsia="en-GB"/>
        </w:rPr>
        <w:t xml:space="preserve"> et al. [1</w:t>
      </w:r>
      <w:r w:rsidR="00A34131" w:rsidRPr="001648DD">
        <w:rPr>
          <w:rFonts w:ascii="Arial" w:eastAsia="Times New Roman" w:hAnsi="Arial" w:cs="Arial"/>
          <w:sz w:val="20"/>
          <w:szCs w:val="20"/>
          <w:lang w:eastAsia="en-GB"/>
        </w:rPr>
        <w:t>3</w:t>
      </w:r>
      <w:r w:rsidRPr="001648DD">
        <w:rPr>
          <w:rFonts w:ascii="Arial" w:eastAsia="Times New Roman" w:hAnsi="Arial" w:cs="Arial"/>
          <w:sz w:val="20"/>
          <w:szCs w:val="20"/>
          <w:lang w:eastAsia="en-GB"/>
        </w:rPr>
        <w:t>]:</w:t>
      </w:r>
    </w:p>
    <w:p w14:paraId="4D2C1ADD"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 xml:space="preserve">n = </w:t>
      </w:r>
      <m:oMath>
        <m:f>
          <m:fPr>
            <m:ctrlPr>
              <w:rPr>
                <w:rFonts w:ascii="Cambria Math" w:hAnsi="Cambria Math" w:cs="Arial"/>
                <w:b/>
                <w:bCs/>
                <w:sz w:val="20"/>
                <w:szCs w:val="20"/>
                <w:lang w:eastAsia="en-GB"/>
              </w:rPr>
            </m:ctrlPr>
          </m:fPr>
          <m:num>
            <m:sSup>
              <m:sSupPr>
                <m:ctrlPr>
                  <w:rPr>
                    <w:rFonts w:ascii="Cambria Math" w:hAnsi="Cambria Math" w:cs="Arial"/>
                    <w:b/>
                    <w:bCs/>
                    <w:sz w:val="20"/>
                    <w:szCs w:val="20"/>
                    <w:lang w:eastAsia="en-GB"/>
                  </w:rPr>
                </m:ctrlPr>
              </m:sSupPr>
              <m:e>
                <m:r>
                  <m:rPr>
                    <m:sty m:val="b"/>
                  </m:rPr>
                  <w:rPr>
                    <w:rFonts w:ascii="Cambria Math" w:hAnsi="Cambria Math" w:cs="Arial"/>
                    <w:sz w:val="20"/>
                    <w:szCs w:val="20"/>
                  </w:rPr>
                  <m:t>Z</m:t>
                </m:r>
              </m:e>
              <m:sup>
                <m:r>
                  <m:rPr>
                    <m:sty m:val="b"/>
                  </m:rPr>
                  <w:rPr>
                    <w:rFonts w:ascii="Cambria Math" w:hAnsi="Cambria Math" w:cs="Arial"/>
                    <w:sz w:val="20"/>
                    <w:szCs w:val="20"/>
                  </w:rPr>
                  <m:t>2</m:t>
                </m:r>
              </m:sup>
            </m:sSup>
            <m:r>
              <m:rPr>
                <m:sty m:val="b"/>
              </m:rPr>
              <w:rPr>
                <w:rFonts w:ascii="Cambria Math" w:hAnsi="Cambria Math" w:cs="Arial"/>
                <w:sz w:val="20"/>
                <w:szCs w:val="20"/>
              </w:rPr>
              <m:t>(Pq)</m:t>
            </m:r>
          </m:num>
          <m:den>
            <m:sSup>
              <m:sSupPr>
                <m:ctrlPr>
                  <w:rPr>
                    <w:rFonts w:ascii="Cambria Math" w:hAnsi="Cambria Math" w:cs="Arial"/>
                    <w:b/>
                    <w:bCs/>
                    <w:sz w:val="20"/>
                    <w:szCs w:val="20"/>
                    <w:lang w:eastAsia="en-GB"/>
                  </w:rPr>
                </m:ctrlPr>
              </m:sSupPr>
              <m:e>
                <m:r>
                  <m:rPr>
                    <m:sty m:val="b"/>
                  </m:rPr>
                  <w:rPr>
                    <w:rFonts w:ascii="Cambria Math" w:hAnsi="Cambria Math" w:cs="Arial"/>
                    <w:sz w:val="20"/>
                    <w:szCs w:val="20"/>
                  </w:rPr>
                  <m:t>e</m:t>
                </m:r>
              </m:e>
              <m:sup>
                <m:r>
                  <m:rPr>
                    <m:sty m:val="b"/>
                  </m:rPr>
                  <w:rPr>
                    <w:rFonts w:ascii="Cambria Math" w:hAnsi="Cambria Math" w:cs="Arial"/>
                    <w:sz w:val="20"/>
                    <w:szCs w:val="20"/>
                  </w:rPr>
                  <m:t>2</m:t>
                </m:r>
              </m:sup>
            </m:sSup>
          </m:den>
        </m:f>
      </m:oMath>
      <w:r w:rsidRPr="001648DD">
        <w:rPr>
          <w:rFonts w:ascii="Arial" w:hAnsi="Arial" w:cs="Arial"/>
          <w:sz w:val="20"/>
          <w:szCs w:val="20"/>
        </w:rPr>
        <w:tab/>
        <w:t xml:space="preserve"> </w:t>
      </w:r>
    </w:p>
    <w:p w14:paraId="300F60C2"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The formula components are defined as follows:</w:t>
      </w:r>
    </w:p>
    <w:p w14:paraId="58FFCF76" w14:textId="77777777" w:rsidR="00692C0F" w:rsidRPr="001648DD" w:rsidRDefault="00692C0F" w:rsidP="00433686">
      <w:pPr>
        <w:numPr>
          <w:ilvl w:val="0"/>
          <w:numId w:val="11"/>
        </w:numPr>
        <w:spacing w:line="276" w:lineRule="auto"/>
        <w:jc w:val="both"/>
        <w:rPr>
          <w:rFonts w:ascii="Arial" w:hAnsi="Arial" w:cs="Arial"/>
          <w:sz w:val="20"/>
          <w:szCs w:val="20"/>
        </w:rPr>
      </w:pPr>
      <w:r w:rsidRPr="001648DD">
        <w:rPr>
          <w:rFonts w:ascii="Arial" w:hAnsi="Arial" w:cs="Arial"/>
          <w:i/>
          <w:iCs/>
          <w:sz w:val="20"/>
          <w:szCs w:val="20"/>
        </w:rPr>
        <w:t>n</w:t>
      </w:r>
      <w:r w:rsidRPr="001648DD">
        <w:rPr>
          <w:rFonts w:ascii="Arial" w:hAnsi="Arial" w:cs="Arial"/>
          <w:sz w:val="20"/>
          <w:szCs w:val="20"/>
        </w:rPr>
        <w:t xml:space="preserve"> represents the minimum required sample size.</w:t>
      </w:r>
    </w:p>
    <w:p w14:paraId="68C6CBAA" w14:textId="77777777" w:rsidR="00692C0F" w:rsidRPr="001648DD" w:rsidRDefault="00692C0F" w:rsidP="00433686">
      <w:pPr>
        <w:numPr>
          <w:ilvl w:val="0"/>
          <w:numId w:val="11"/>
        </w:numPr>
        <w:spacing w:line="276" w:lineRule="auto"/>
        <w:jc w:val="both"/>
        <w:rPr>
          <w:rFonts w:ascii="Arial" w:hAnsi="Arial" w:cs="Arial"/>
          <w:sz w:val="20"/>
          <w:szCs w:val="20"/>
        </w:rPr>
      </w:pPr>
      <w:r w:rsidRPr="001648DD">
        <w:rPr>
          <w:rFonts w:ascii="Arial" w:hAnsi="Arial" w:cs="Arial"/>
          <w:i/>
          <w:iCs/>
          <w:sz w:val="20"/>
          <w:szCs w:val="20"/>
        </w:rPr>
        <w:t>Z</w:t>
      </w:r>
      <w:r w:rsidRPr="001648DD">
        <w:rPr>
          <w:rFonts w:ascii="Arial" w:hAnsi="Arial" w:cs="Arial"/>
          <w:sz w:val="20"/>
          <w:szCs w:val="20"/>
        </w:rPr>
        <w:t xml:space="preserve"> is set at 1.96, corresponding to a 95% confidence level.</w:t>
      </w:r>
    </w:p>
    <w:p w14:paraId="2D8024E1" w14:textId="77777777" w:rsidR="00692C0F" w:rsidRPr="001648DD" w:rsidRDefault="00692C0F" w:rsidP="00433686">
      <w:pPr>
        <w:numPr>
          <w:ilvl w:val="0"/>
          <w:numId w:val="11"/>
        </w:numPr>
        <w:spacing w:line="276" w:lineRule="auto"/>
        <w:jc w:val="both"/>
        <w:rPr>
          <w:rFonts w:ascii="Arial" w:hAnsi="Arial" w:cs="Arial"/>
          <w:sz w:val="20"/>
          <w:szCs w:val="20"/>
        </w:rPr>
      </w:pPr>
      <w:r w:rsidRPr="001648DD">
        <w:rPr>
          <w:rFonts w:ascii="Arial" w:hAnsi="Arial" w:cs="Arial"/>
          <w:i/>
          <w:iCs/>
          <w:sz w:val="20"/>
          <w:szCs w:val="20"/>
        </w:rPr>
        <w:t>P</w:t>
      </w:r>
      <w:r w:rsidRPr="001648DD">
        <w:rPr>
          <w:rFonts w:ascii="Arial" w:hAnsi="Arial" w:cs="Arial"/>
          <w:sz w:val="20"/>
          <w:szCs w:val="20"/>
        </w:rPr>
        <w:t xml:space="preserve"> denotes the </w:t>
      </w:r>
      <w:r w:rsidRPr="001648DD">
        <w:rPr>
          <w:rFonts w:ascii="Arial" w:eastAsia="Times New Roman" w:hAnsi="Arial" w:cs="Arial"/>
          <w:sz w:val="20"/>
          <w:szCs w:val="20"/>
        </w:rPr>
        <w:t>prevalence of POI in Nigerian women</w:t>
      </w:r>
      <w:r w:rsidRPr="001648DD">
        <w:rPr>
          <w:rFonts w:ascii="Arial" w:hAnsi="Arial" w:cs="Arial"/>
          <w:sz w:val="20"/>
          <w:szCs w:val="20"/>
        </w:rPr>
        <w:t>.</w:t>
      </w:r>
    </w:p>
    <w:p w14:paraId="2813A9B3" w14:textId="77777777" w:rsidR="00692C0F" w:rsidRPr="001648DD" w:rsidRDefault="00692C0F" w:rsidP="00433686">
      <w:pPr>
        <w:numPr>
          <w:ilvl w:val="0"/>
          <w:numId w:val="11"/>
        </w:numPr>
        <w:spacing w:line="276" w:lineRule="auto"/>
        <w:jc w:val="both"/>
        <w:rPr>
          <w:rFonts w:ascii="Arial" w:hAnsi="Arial" w:cs="Arial"/>
          <w:sz w:val="20"/>
          <w:szCs w:val="20"/>
        </w:rPr>
      </w:pPr>
      <w:r w:rsidRPr="001648DD">
        <w:rPr>
          <w:rFonts w:ascii="Arial" w:hAnsi="Arial" w:cs="Arial"/>
          <w:i/>
          <w:iCs/>
          <w:sz w:val="20"/>
          <w:szCs w:val="20"/>
        </w:rPr>
        <w:t>e</w:t>
      </w:r>
      <w:r w:rsidRPr="001648DD">
        <w:rPr>
          <w:rFonts w:ascii="Arial" w:hAnsi="Arial" w:cs="Arial"/>
          <w:sz w:val="20"/>
          <w:szCs w:val="20"/>
        </w:rPr>
        <w:t xml:space="preserve"> signifies the allowable margin of error, fixed at 5% (0.05).</w:t>
      </w:r>
    </w:p>
    <w:p w14:paraId="15620954" w14:textId="77777777" w:rsidR="00692C0F" w:rsidRPr="001648DD" w:rsidRDefault="00692C0F" w:rsidP="00433686">
      <w:pPr>
        <w:numPr>
          <w:ilvl w:val="0"/>
          <w:numId w:val="11"/>
        </w:numPr>
        <w:spacing w:line="276" w:lineRule="auto"/>
        <w:jc w:val="both"/>
        <w:rPr>
          <w:rFonts w:ascii="Arial" w:hAnsi="Arial" w:cs="Arial"/>
          <w:sz w:val="20"/>
          <w:szCs w:val="20"/>
        </w:rPr>
      </w:pPr>
      <w:r w:rsidRPr="001648DD">
        <w:rPr>
          <w:rFonts w:ascii="Arial" w:hAnsi="Arial" w:cs="Arial"/>
          <w:sz w:val="20"/>
          <w:szCs w:val="20"/>
        </w:rPr>
        <w:t>q = 1 - p</w:t>
      </w:r>
    </w:p>
    <w:p w14:paraId="6D0C9210"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 xml:space="preserve">A recent study conducted by </w:t>
      </w:r>
      <w:r w:rsidRPr="001648DD">
        <w:rPr>
          <w:rFonts w:ascii="Arial" w:eastAsia="Times New Roman" w:hAnsi="Arial" w:cs="Arial"/>
          <w:sz w:val="20"/>
          <w:szCs w:val="20"/>
        </w:rPr>
        <w:t>Agaba</w:t>
      </w:r>
      <w:r w:rsidRPr="001648DD">
        <w:rPr>
          <w:rFonts w:ascii="Arial" w:hAnsi="Arial" w:cs="Arial"/>
          <w:sz w:val="20"/>
          <w:szCs w:val="20"/>
        </w:rPr>
        <w:t xml:space="preserve"> et al. [12] reports the </w:t>
      </w:r>
      <w:r w:rsidRPr="001648DD">
        <w:rPr>
          <w:rFonts w:ascii="Arial" w:eastAsia="Times New Roman" w:hAnsi="Arial" w:cs="Arial"/>
          <w:sz w:val="20"/>
          <w:szCs w:val="20"/>
        </w:rPr>
        <w:t xml:space="preserve">prevalence of POI in Nigerian women as </w:t>
      </w:r>
      <w:r w:rsidRPr="001648DD">
        <w:rPr>
          <w:rFonts w:ascii="Arial" w:hAnsi="Arial" w:cs="Arial"/>
          <w:color w:val="1B1B1B"/>
          <w:sz w:val="20"/>
          <w:szCs w:val="20"/>
          <w:shd w:val="clear" w:color="auto" w:fill="FFFFFF"/>
        </w:rPr>
        <w:t>22.9%</w:t>
      </w:r>
      <w:r w:rsidRPr="001648DD">
        <w:rPr>
          <w:rFonts w:ascii="Arial" w:eastAsia="Times New Roman" w:hAnsi="Arial" w:cs="Arial"/>
          <w:sz w:val="20"/>
          <w:szCs w:val="20"/>
        </w:rPr>
        <w:t xml:space="preserve"> </w:t>
      </w:r>
    </w:p>
    <w:p w14:paraId="164C52A5" w14:textId="77777777" w:rsidR="00692C0F" w:rsidRPr="001648DD" w:rsidRDefault="00692C0F" w:rsidP="00433686">
      <w:pPr>
        <w:spacing w:line="276" w:lineRule="auto"/>
        <w:jc w:val="both"/>
        <w:rPr>
          <w:rFonts w:ascii="Arial" w:eastAsia="Times New Roman" w:hAnsi="Arial" w:cs="Arial"/>
          <w:sz w:val="20"/>
          <w:szCs w:val="20"/>
          <w:lang w:eastAsia="en-GB"/>
        </w:rPr>
      </w:pPr>
      <w:r w:rsidRPr="001648DD">
        <w:rPr>
          <w:rFonts w:ascii="Arial" w:hAnsi="Arial" w:cs="Arial"/>
          <w:sz w:val="20"/>
          <w:szCs w:val="20"/>
        </w:rPr>
        <w:t xml:space="preserve">P = </w:t>
      </w:r>
      <w:r w:rsidRPr="001648DD">
        <w:rPr>
          <w:rFonts w:ascii="Arial" w:eastAsia="Times New Roman" w:hAnsi="Arial" w:cs="Arial"/>
          <w:sz w:val="20"/>
          <w:szCs w:val="20"/>
          <w:lang w:eastAsia="en-GB"/>
        </w:rPr>
        <w:t>22.9% = 0.229</w:t>
      </w:r>
    </w:p>
    <w:p w14:paraId="090B4DE6"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q = 1 – 0.229</w:t>
      </w:r>
    </w:p>
    <w:p w14:paraId="11B82EC0"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 0.771</w:t>
      </w:r>
    </w:p>
    <w:p w14:paraId="61E62615"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 xml:space="preserve">n = </w:t>
      </w:r>
      <m:oMath>
        <m:f>
          <m:fPr>
            <m:ctrlPr>
              <w:rPr>
                <w:rFonts w:ascii="Cambria Math" w:hAnsi="Cambria Math" w:cs="Arial"/>
                <w:sz w:val="20"/>
                <w:szCs w:val="20"/>
                <w:lang w:eastAsia="en-GB"/>
              </w:rPr>
            </m:ctrlPr>
          </m:fPr>
          <m:num>
            <m:sSup>
              <m:sSupPr>
                <m:ctrlPr>
                  <w:rPr>
                    <w:rFonts w:ascii="Cambria Math" w:hAnsi="Cambria Math" w:cs="Arial"/>
                    <w:sz w:val="20"/>
                    <w:szCs w:val="20"/>
                    <w:lang w:eastAsia="en-GB"/>
                  </w:rPr>
                </m:ctrlPr>
              </m:sSupPr>
              <m:e>
                <m:d>
                  <m:dPr>
                    <m:ctrlPr>
                      <w:rPr>
                        <w:rFonts w:ascii="Cambria Math" w:hAnsi="Cambria Math" w:cs="Arial"/>
                        <w:sz w:val="20"/>
                        <w:szCs w:val="20"/>
                        <w:lang w:eastAsia="en-GB"/>
                      </w:rPr>
                    </m:ctrlPr>
                  </m:dPr>
                  <m:e>
                    <m:r>
                      <m:rPr>
                        <m:sty m:val="b"/>
                      </m:rPr>
                      <w:rPr>
                        <w:rFonts w:ascii="Cambria Math" w:hAnsi="Cambria Math" w:cs="Arial"/>
                        <w:sz w:val="20"/>
                        <w:szCs w:val="20"/>
                      </w:rPr>
                      <m:t>1.96</m:t>
                    </m:r>
                  </m:e>
                </m:d>
              </m:e>
              <m:sup>
                <m:r>
                  <m:rPr>
                    <m:sty m:val="b"/>
                  </m:rPr>
                  <w:rPr>
                    <w:rFonts w:ascii="Cambria Math" w:hAnsi="Cambria Math" w:cs="Arial"/>
                    <w:sz w:val="20"/>
                    <w:szCs w:val="20"/>
                  </w:rPr>
                  <m:t>2</m:t>
                </m:r>
              </m:sup>
            </m:sSup>
            <m:r>
              <m:rPr>
                <m:sty m:val="b"/>
              </m:rPr>
              <w:rPr>
                <w:rFonts w:ascii="Cambria Math" w:hAnsi="Cambria Math" w:cs="Arial"/>
                <w:sz w:val="20"/>
                <w:szCs w:val="20"/>
              </w:rPr>
              <m:t>(0.229 x 0.771)</m:t>
            </m:r>
          </m:num>
          <m:den>
            <m:sSup>
              <m:sSupPr>
                <m:ctrlPr>
                  <w:rPr>
                    <w:rFonts w:ascii="Cambria Math" w:hAnsi="Cambria Math" w:cs="Arial"/>
                    <w:sz w:val="20"/>
                    <w:szCs w:val="20"/>
                    <w:lang w:eastAsia="en-GB"/>
                  </w:rPr>
                </m:ctrlPr>
              </m:sSupPr>
              <m:e>
                <m:r>
                  <m:rPr>
                    <m:sty m:val="b"/>
                  </m:rPr>
                  <w:rPr>
                    <w:rFonts w:ascii="Cambria Math" w:hAnsi="Cambria Math" w:cs="Arial"/>
                    <w:sz w:val="20"/>
                    <w:szCs w:val="20"/>
                  </w:rPr>
                  <m:t>(0.05)</m:t>
                </m:r>
              </m:e>
              <m:sup>
                <m:r>
                  <m:rPr>
                    <m:sty m:val="b"/>
                  </m:rPr>
                  <w:rPr>
                    <w:rFonts w:ascii="Cambria Math" w:hAnsi="Cambria Math" w:cs="Arial"/>
                    <w:sz w:val="20"/>
                    <w:szCs w:val="20"/>
                  </w:rPr>
                  <m:t>2</m:t>
                </m:r>
              </m:sup>
            </m:sSup>
          </m:den>
        </m:f>
      </m:oMath>
      <w:r w:rsidRPr="001648DD">
        <w:rPr>
          <w:rFonts w:ascii="Arial" w:hAnsi="Arial" w:cs="Arial"/>
          <w:sz w:val="20"/>
          <w:szCs w:val="20"/>
        </w:rPr>
        <w:t xml:space="preserve"> </w:t>
      </w:r>
    </w:p>
    <w:p w14:paraId="554FE585" w14:textId="77777777" w:rsidR="00692C0F" w:rsidRPr="001648DD" w:rsidRDefault="00692C0F" w:rsidP="00433686">
      <w:pPr>
        <w:spacing w:line="276" w:lineRule="auto"/>
        <w:jc w:val="both"/>
        <w:rPr>
          <w:rFonts w:ascii="Arial" w:hAnsi="Arial" w:cs="Arial"/>
          <w:sz w:val="20"/>
          <w:szCs w:val="20"/>
          <w:lang w:val="de-DE"/>
        </w:rPr>
      </w:pPr>
      <w:r w:rsidRPr="001648DD">
        <w:rPr>
          <w:rFonts w:ascii="Arial" w:hAnsi="Arial" w:cs="Arial"/>
          <w:sz w:val="20"/>
          <w:szCs w:val="20"/>
          <w:lang w:val="de-DE"/>
        </w:rPr>
        <w:t xml:space="preserve">n = </w:t>
      </w:r>
      <m:oMath>
        <m:f>
          <m:fPr>
            <m:ctrlPr>
              <w:rPr>
                <w:rFonts w:ascii="Cambria Math" w:hAnsi="Cambria Math" w:cs="Arial"/>
                <w:sz w:val="20"/>
                <w:szCs w:val="20"/>
                <w:lang w:eastAsia="en-GB"/>
              </w:rPr>
            </m:ctrlPr>
          </m:fPr>
          <m:num>
            <m:r>
              <m:rPr>
                <m:sty m:val="p"/>
              </m:rPr>
              <w:rPr>
                <w:rFonts w:ascii="Cambria Math" w:hAnsi="Cambria Math" w:cs="Arial"/>
                <w:sz w:val="20"/>
                <w:szCs w:val="20"/>
                <w:lang w:val="de-DE" w:eastAsia="en-GB"/>
              </w:rPr>
              <m:t xml:space="preserve">3.8416 x </m:t>
            </m:r>
            <m:r>
              <m:rPr>
                <m:sty m:val="b"/>
              </m:rPr>
              <w:rPr>
                <w:rFonts w:ascii="Cambria Math" w:hAnsi="Cambria Math" w:cs="Arial"/>
                <w:sz w:val="20"/>
                <w:szCs w:val="20"/>
                <w:lang w:val="de-DE"/>
              </w:rPr>
              <m:t>(</m:t>
            </m:r>
            <m:r>
              <m:rPr>
                <m:sty m:val="b"/>
              </m:rPr>
              <w:rPr>
                <w:rFonts w:ascii="Cambria Math" w:hAnsi="Cambria Math" w:cs="Arial"/>
                <w:sz w:val="20"/>
                <w:szCs w:val="20"/>
              </w:rPr>
              <m:t>0</m:t>
            </m:r>
            <m:r>
              <m:rPr>
                <m:sty m:val="b"/>
              </m:rPr>
              <w:rPr>
                <w:rFonts w:ascii="Cambria Math" w:hAnsi="Cambria Math" w:cs="Arial"/>
                <w:sz w:val="20"/>
                <w:szCs w:val="20"/>
                <w:lang w:val="de-DE"/>
              </w:rPr>
              <m:t>.</m:t>
            </m:r>
            <m:r>
              <m:rPr>
                <m:sty m:val="b"/>
              </m:rPr>
              <w:rPr>
                <w:rFonts w:ascii="Cambria Math" w:hAnsi="Cambria Math" w:cs="Arial"/>
                <w:sz w:val="20"/>
                <w:szCs w:val="20"/>
              </w:rPr>
              <m:t>1766</m:t>
            </m:r>
            <m:r>
              <m:rPr>
                <m:sty m:val="b"/>
              </m:rPr>
              <w:rPr>
                <w:rFonts w:ascii="Cambria Math" w:hAnsi="Cambria Math" w:cs="Arial"/>
                <w:sz w:val="20"/>
                <w:szCs w:val="20"/>
                <w:lang w:val="de-DE"/>
              </w:rPr>
              <m:t>)</m:t>
            </m:r>
          </m:num>
          <m:den>
            <m:r>
              <m:rPr>
                <m:sty m:val="p"/>
              </m:rPr>
              <w:rPr>
                <w:rFonts w:ascii="Cambria Math" w:hAnsi="Cambria Math" w:cs="Arial"/>
                <w:sz w:val="20"/>
                <w:szCs w:val="20"/>
                <w:lang w:val="de-DE" w:eastAsia="en-GB"/>
              </w:rPr>
              <m:t>0.0025</m:t>
            </m:r>
          </m:den>
        </m:f>
      </m:oMath>
      <w:r w:rsidRPr="001648DD">
        <w:rPr>
          <w:rFonts w:ascii="Arial" w:hAnsi="Arial" w:cs="Arial"/>
          <w:sz w:val="20"/>
          <w:szCs w:val="20"/>
          <w:lang w:val="de-DE"/>
        </w:rPr>
        <w:t xml:space="preserve"> </w:t>
      </w:r>
    </w:p>
    <w:p w14:paraId="7524FCC0" w14:textId="77777777" w:rsidR="00692C0F" w:rsidRPr="001648DD" w:rsidRDefault="00692C0F" w:rsidP="00433686">
      <w:pPr>
        <w:spacing w:line="276" w:lineRule="auto"/>
        <w:jc w:val="both"/>
        <w:rPr>
          <w:rFonts w:ascii="Arial" w:hAnsi="Arial" w:cs="Arial"/>
          <w:sz w:val="20"/>
          <w:szCs w:val="20"/>
          <w:lang w:val="de-DE"/>
        </w:rPr>
      </w:pPr>
      <w:r w:rsidRPr="001648DD">
        <w:rPr>
          <w:rFonts w:ascii="Arial" w:hAnsi="Arial" w:cs="Arial"/>
          <w:sz w:val="20"/>
          <w:szCs w:val="20"/>
          <w:lang w:val="de-DE"/>
        </w:rPr>
        <w:t xml:space="preserve">n = </w:t>
      </w:r>
      <m:oMath>
        <m:f>
          <m:fPr>
            <m:ctrlPr>
              <w:rPr>
                <w:rFonts w:ascii="Cambria Math" w:hAnsi="Cambria Math" w:cs="Arial"/>
                <w:b/>
                <w:bCs/>
                <w:sz w:val="20"/>
                <w:szCs w:val="20"/>
                <w:lang w:eastAsia="en-GB"/>
              </w:rPr>
            </m:ctrlPr>
          </m:fPr>
          <m:num>
            <m:r>
              <m:rPr>
                <m:sty m:val="bi"/>
              </m:rPr>
              <w:rPr>
                <w:rFonts w:ascii="Cambria Math" w:hAnsi="Cambria Math" w:cs="Arial"/>
                <w:sz w:val="20"/>
                <w:szCs w:val="20"/>
              </w:rPr>
              <m:t>0</m:t>
            </m:r>
            <m:r>
              <m:rPr>
                <m:sty m:val="bi"/>
              </m:rPr>
              <w:rPr>
                <w:rFonts w:ascii="Cambria Math" w:hAnsi="Cambria Math" w:cs="Arial"/>
                <w:sz w:val="20"/>
                <w:szCs w:val="20"/>
                <w:lang w:val="de-DE"/>
              </w:rPr>
              <m:t>.</m:t>
            </m:r>
            <m:r>
              <m:rPr>
                <m:sty m:val="bi"/>
              </m:rPr>
              <w:rPr>
                <w:rFonts w:ascii="Cambria Math" w:hAnsi="Cambria Math" w:cs="Arial"/>
                <w:sz w:val="20"/>
                <w:szCs w:val="20"/>
              </w:rPr>
              <m:t>6783</m:t>
            </m:r>
          </m:num>
          <m:den>
            <m:r>
              <m:rPr>
                <m:sty m:val="bi"/>
              </m:rPr>
              <w:rPr>
                <w:rFonts w:ascii="Cambria Math" w:hAnsi="Cambria Math" w:cs="Arial"/>
                <w:sz w:val="20"/>
                <w:szCs w:val="20"/>
              </w:rPr>
              <m:t>0</m:t>
            </m:r>
            <m:r>
              <m:rPr>
                <m:sty m:val="bi"/>
              </m:rPr>
              <w:rPr>
                <w:rFonts w:ascii="Cambria Math" w:hAnsi="Cambria Math" w:cs="Arial"/>
                <w:sz w:val="20"/>
                <w:szCs w:val="20"/>
                <w:lang w:val="de-DE"/>
              </w:rPr>
              <m:t>.</m:t>
            </m:r>
            <m:r>
              <m:rPr>
                <m:sty m:val="bi"/>
              </m:rPr>
              <w:rPr>
                <w:rFonts w:ascii="Cambria Math" w:hAnsi="Cambria Math" w:cs="Arial"/>
                <w:sz w:val="20"/>
                <w:szCs w:val="20"/>
              </w:rPr>
              <m:t>0025</m:t>
            </m:r>
          </m:den>
        </m:f>
      </m:oMath>
      <w:r w:rsidRPr="001648DD">
        <w:rPr>
          <w:rFonts w:ascii="Arial" w:hAnsi="Arial" w:cs="Arial"/>
          <w:sz w:val="20"/>
          <w:szCs w:val="20"/>
          <w:lang w:val="de-DE"/>
        </w:rPr>
        <w:t xml:space="preserve"> = 271.31</w:t>
      </w:r>
    </w:p>
    <w:p w14:paraId="27013EFF" w14:textId="29D9FD8B"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Although the calculated minimum sample size was 271, it was increased to 300 to accommodate an anticipated 10% rate of non-response.</w:t>
      </w:r>
    </w:p>
    <w:p w14:paraId="75DA902E" w14:textId="77777777" w:rsidR="00692C0F" w:rsidRPr="001648DD" w:rsidRDefault="00692C0F" w:rsidP="00433686">
      <w:pPr>
        <w:spacing w:before="100" w:beforeAutospacing="1" w:after="100" w:afterAutospacing="1" w:line="276" w:lineRule="auto"/>
        <w:jc w:val="both"/>
        <w:outlineLvl w:val="2"/>
        <w:rPr>
          <w:rFonts w:ascii="Arial" w:eastAsia="Times New Roman" w:hAnsi="Arial" w:cs="Arial"/>
          <w:b/>
          <w:bCs/>
          <w:sz w:val="20"/>
          <w:szCs w:val="20"/>
        </w:rPr>
      </w:pPr>
      <w:r w:rsidRPr="001648DD">
        <w:rPr>
          <w:rFonts w:ascii="Arial" w:eastAsia="Times New Roman" w:hAnsi="Arial" w:cs="Arial"/>
          <w:b/>
          <w:bCs/>
          <w:sz w:val="20"/>
          <w:szCs w:val="20"/>
        </w:rPr>
        <w:t>Sampling Technique</w:t>
      </w:r>
    </w:p>
    <w:p w14:paraId="5CDA22DB" w14:textId="613B5361" w:rsidR="00692C0F" w:rsidRPr="001648DD" w:rsidRDefault="00692C0F" w:rsidP="00433686">
      <w:pPr>
        <w:spacing w:before="100" w:beforeAutospacing="1" w:after="100" w:afterAutospacing="1" w:line="276" w:lineRule="auto"/>
        <w:jc w:val="both"/>
        <w:rPr>
          <w:rFonts w:ascii="Arial" w:eastAsia="Times New Roman" w:hAnsi="Arial" w:cs="Arial"/>
          <w:sz w:val="20"/>
          <w:szCs w:val="20"/>
        </w:rPr>
      </w:pPr>
      <w:r w:rsidRPr="00231335">
        <w:rPr>
          <w:rFonts w:ascii="Arial" w:eastAsia="Times New Roman" w:hAnsi="Arial" w:cs="Arial"/>
          <w:sz w:val="20"/>
          <w:szCs w:val="20"/>
          <w:highlight w:val="yellow"/>
        </w:rPr>
        <w:t xml:space="preserve">A systematic random sampling technique was employed. </w:t>
      </w:r>
      <w:r w:rsidR="004B244B" w:rsidRPr="00231335">
        <w:rPr>
          <w:rFonts w:ascii="Arial" w:eastAsia="Times New Roman" w:hAnsi="Arial" w:cs="Arial"/>
          <w:sz w:val="20"/>
          <w:szCs w:val="20"/>
          <w:highlight w:val="yellow"/>
        </w:rPr>
        <w:t xml:space="preserve">The outpatient register was used as a sampling frame. Based on the average daily clinic attendance, every 3rd eligible woman was invited to participate until the desired sample size was attained. </w:t>
      </w:r>
      <w:r w:rsidRPr="00231335">
        <w:rPr>
          <w:rFonts w:ascii="Arial" w:eastAsia="Times New Roman" w:hAnsi="Arial" w:cs="Arial"/>
          <w:sz w:val="20"/>
          <w:szCs w:val="20"/>
          <w:highlight w:val="yellow"/>
        </w:rPr>
        <w:t xml:space="preserve">The sampling interval (3) was determined by dividing the average daily number of eligible patients by the daily recruitment target as described by </w:t>
      </w:r>
      <w:proofErr w:type="spellStart"/>
      <w:r w:rsidRPr="00231335">
        <w:rPr>
          <w:rFonts w:ascii="Arial" w:eastAsia="Times New Roman" w:hAnsi="Arial" w:cs="Arial"/>
          <w:sz w:val="20"/>
          <w:szCs w:val="20"/>
          <w:highlight w:val="yellow"/>
        </w:rPr>
        <w:t>Akwuruoha</w:t>
      </w:r>
      <w:proofErr w:type="spellEnd"/>
      <w:r w:rsidRPr="00231335">
        <w:rPr>
          <w:rFonts w:ascii="Arial" w:eastAsia="Times New Roman" w:hAnsi="Arial" w:cs="Arial"/>
          <w:sz w:val="20"/>
          <w:szCs w:val="20"/>
          <w:highlight w:val="yellow"/>
        </w:rPr>
        <w:t xml:space="preserve"> et al. [1</w:t>
      </w:r>
      <w:r w:rsidR="00A34131" w:rsidRPr="00231335">
        <w:rPr>
          <w:rFonts w:ascii="Arial" w:eastAsia="Times New Roman" w:hAnsi="Arial" w:cs="Arial"/>
          <w:sz w:val="20"/>
          <w:szCs w:val="20"/>
          <w:highlight w:val="yellow"/>
        </w:rPr>
        <w:t>4</w:t>
      </w:r>
      <w:r w:rsidRPr="00231335">
        <w:rPr>
          <w:rFonts w:ascii="Arial" w:eastAsia="Times New Roman" w:hAnsi="Arial" w:cs="Arial"/>
          <w:sz w:val="20"/>
          <w:szCs w:val="20"/>
          <w:highlight w:val="yellow"/>
        </w:rPr>
        <w:t>].</w:t>
      </w:r>
    </w:p>
    <w:p w14:paraId="34035888" w14:textId="77777777" w:rsidR="00B346DB" w:rsidRPr="00B346DB" w:rsidRDefault="00B346DB" w:rsidP="00433686">
      <w:pPr>
        <w:spacing w:before="100" w:beforeAutospacing="1" w:after="100" w:afterAutospacing="1" w:line="240" w:lineRule="auto"/>
        <w:jc w:val="both"/>
        <w:outlineLvl w:val="2"/>
        <w:rPr>
          <w:rFonts w:ascii="Arial" w:eastAsia="Times New Roman" w:hAnsi="Arial" w:cs="Arial"/>
          <w:b/>
          <w:bCs/>
          <w:sz w:val="20"/>
          <w:szCs w:val="20"/>
        </w:rPr>
      </w:pPr>
      <w:r w:rsidRPr="00B346DB">
        <w:rPr>
          <w:rFonts w:ascii="Arial" w:eastAsia="Times New Roman" w:hAnsi="Arial" w:cs="Arial"/>
          <w:b/>
          <w:bCs/>
          <w:sz w:val="20"/>
          <w:szCs w:val="20"/>
        </w:rPr>
        <w:t>Data Collection Instruments</w:t>
      </w:r>
    </w:p>
    <w:p w14:paraId="7F682AA0" w14:textId="77777777" w:rsidR="00B346DB" w:rsidRPr="00B346DB" w:rsidRDefault="00B346DB" w:rsidP="00433686">
      <w:p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A structured interviewer-administered questionnaire was developed based on validated tools from previous POI studies and adapted for the Nigerian context. The instrument had four sections:</w:t>
      </w:r>
    </w:p>
    <w:p w14:paraId="5A38386E" w14:textId="77777777" w:rsidR="00B346DB" w:rsidRPr="00B346DB" w:rsidRDefault="00B346DB" w:rsidP="00433686">
      <w:pPr>
        <w:numPr>
          <w:ilvl w:val="0"/>
          <w:numId w:val="7"/>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b/>
          <w:bCs/>
          <w:sz w:val="20"/>
          <w:szCs w:val="20"/>
        </w:rPr>
        <w:t>Sociodemographic and reproductive history</w:t>
      </w:r>
      <w:r w:rsidRPr="00B346DB">
        <w:rPr>
          <w:rFonts w:ascii="Arial" w:eastAsia="Times New Roman" w:hAnsi="Arial" w:cs="Arial"/>
          <w:sz w:val="20"/>
          <w:szCs w:val="20"/>
        </w:rPr>
        <w:t xml:space="preserve"> (age, education, marital status, parity, contraceptive use).</w:t>
      </w:r>
    </w:p>
    <w:p w14:paraId="39D9BAFD" w14:textId="77777777" w:rsidR="00B346DB" w:rsidRPr="00B346DB" w:rsidRDefault="00B346DB" w:rsidP="00433686">
      <w:pPr>
        <w:numPr>
          <w:ilvl w:val="0"/>
          <w:numId w:val="7"/>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b/>
          <w:bCs/>
          <w:sz w:val="20"/>
          <w:szCs w:val="20"/>
        </w:rPr>
        <w:t>Gynecological and menstrual history</w:t>
      </w:r>
      <w:r w:rsidRPr="00B346DB">
        <w:rPr>
          <w:rFonts w:ascii="Arial" w:eastAsia="Times New Roman" w:hAnsi="Arial" w:cs="Arial"/>
          <w:sz w:val="20"/>
          <w:szCs w:val="20"/>
        </w:rPr>
        <w:t xml:space="preserve"> (age at menarche, menstrual cycle pattern, duration of amenorrhea, history of pelvic infections or surgeries).</w:t>
      </w:r>
    </w:p>
    <w:p w14:paraId="70E74C61" w14:textId="77777777" w:rsidR="00B346DB" w:rsidRPr="00B346DB" w:rsidRDefault="00B346DB" w:rsidP="00433686">
      <w:pPr>
        <w:numPr>
          <w:ilvl w:val="0"/>
          <w:numId w:val="7"/>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b/>
          <w:bCs/>
          <w:sz w:val="20"/>
          <w:szCs w:val="20"/>
        </w:rPr>
        <w:t>Lifestyle and environmental exposures</w:t>
      </w:r>
      <w:r w:rsidRPr="00B346DB">
        <w:rPr>
          <w:rFonts w:ascii="Arial" w:eastAsia="Times New Roman" w:hAnsi="Arial" w:cs="Arial"/>
          <w:sz w:val="20"/>
          <w:szCs w:val="20"/>
        </w:rPr>
        <w:t xml:space="preserve"> (smoking, alcohol, occupational hazards, chemical exposures).</w:t>
      </w:r>
    </w:p>
    <w:p w14:paraId="746A2896" w14:textId="77777777" w:rsidR="00B346DB" w:rsidRPr="00B346DB" w:rsidRDefault="00B346DB" w:rsidP="00433686">
      <w:pPr>
        <w:numPr>
          <w:ilvl w:val="0"/>
          <w:numId w:val="7"/>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b/>
          <w:bCs/>
          <w:sz w:val="20"/>
          <w:szCs w:val="20"/>
        </w:rPr>
        <w:lastRenderedPageBreak/>
        <w:t>Family and genetic history</w:t>
      </w:r>
      <w:r w:rsidRPr="00B346DB">
        <w:rPr>
          <w:rFonts w:ascii="Arial" w:eastAsia="Times New Roman" w:hAnsi="Arial" w:cs="Arial"/>
          <w:sz w:val="20"/>
          <w:szCs w:val="20"/>
        </w:rPr>
        <w:t xml:space="preserve"> (history of early menopause in mother/sisters, autoimmune diseases, consanguinity).</w:t>
      </w:r>
    </w:p>
    <w:p w14:paraId="27A3EC5E" w14:textId="77777777" w:rsidR="00B346DB" w:rsidRPr="00B346DB" w:rsidRDefault="00B346DB" w:rsidP="00433686">
      <w:p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The questionnaire was pretested on 10 women in a neighboring hospital to assess clarity, reliability, and cultural appropriateness. Cronbach’s alpha coefficient for internal consistency was 0.87.</w:t>
      </w:r>
    </w:p>
    <w:p w14:paraId="2A71B116" w14:textId="77777777" w:rsidR="00B346DB" w:rsidRPr="00B346DB" w:rsidRDefault="00B346DB" w:rsidP="00433686">
      <w:pPr>
        <w:spacing w:before="100" w:beforeAutospacing="1" w:after="100" w:afterAutospacing="1" w:line="240" w:lineRule="auto"/>
        <w:jc w:val="both"/>
        <w:outlineLvl w:val="2"/>
        <w:rPr>
          <w:rFonts w:ascii="Arial" w:eastAsia="Times New Roman" w:hAnsi="Arial" w:cs="Arial"/>
          <w:b/>
          <w:bCs/>
          <w:sz w:val="20"/>
          <w:szCs w:val="20"/>
        </w:rPr>
      </w:pPr>
      <w:r w:rsidRPr="00B346DB">
        <w:rPr>
          <w:rFonts w:ascii="Arial" w:eastAsia="Times New Roman" w:hAnsi="Arial" w:cs="Arial"/>
          <w:b/>
          <w:bCs/>
          <w:sz w:val="20"/>
          <w:szCs w:val="20"/>
        </w:rPr>
        <w:t>Clinical and Laboratory Assessments</w:t>
      </w:r>
    </w:p>
    <w:p w14:paraId="66A3668A" w14:textId="77777777" w:rsidR="00B346DB" w:rsidRPr="00B346DB" w:rsidRDefault="00B346DB" w:rsidP="00433686">
      <w:pPr>
        <w:spacing w:before="100" w:beforeAutospacing="1" w:after="100" w:afterAutospacing="1" w:line="240" w:lineRule="auto"/>
        <w:jc w:val="both"/>
        <w:outlineLvl w:val="3"/>
        <w:rPr>
          <w:rFonts w:ascii="Arial" w:eastAsia="Times New Roman" w:hAnsi="Arial" w:cs="Arial"/>
          <w:b/>
          <w:bCs/>
          <w:sz w:val="20"/>
          <w:szCs w:val="20"/>
        </w:rPr>
      </w:pPr>
      <w:r w:rsidRPr="00B346DB">
        <w:rPr>
          <w:rFonts w:ascii="Arial" w:eastAsia="Times New Roman" w:hAnsi="Arial" w:cs="Arial"/>
          <w:b/>
          <w:bCs/>
          <w:sz w:val="20"/>
          <w:szCs w:val="20"/>
        </w:rPr>
        <w:t>Physical Examination</w:t>
      </w:r>
    </w:p>
    <w:p w14:paraId="25A1BC43" w14:textId="77777777" w:rsidR="00B346DB" w:rsidRPr="00B346DB" w:rsidRDefault="00B346DB" w:rsidP="00433686">
      <w:p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Participants underwent a general and systemic examination focusing on:</w:t>
      </w:r>
    </w:p>
    <w:p w14:paraId="48C0210B" w14:textId="77777777" w:rsidR="00B346DB" w:rsidRPr="00B346DB" w:rsidRDefault="00B346DB" w:rsidP="00433686">
      <w:pPr>
        <w:numPr>
          <w:ilvl w:val="0"/>
          <w:numId w:val="8"/>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b/>
          <w:bCs/>
          <w:sz w:val="20"/>
          <w:szCs w:val="20"/>
        </w:rPr>
        <w:t>Anthropometric measurements</w:t>
      </w:r>
      <w:r w:rsidRPr="00B346DB">
        <w:rPr>
          <w:rFonts w:ascii="Arial" w:eastAsia="Times New Roman" w:hAnsi="Arial" w:cs="Arial"/>
          <w:sz w:val="20"/>
          <w:szCs w:val="20"/>
        </w:rPr>
        <w:t xml:space="preserve"> (weight, height, BMI).</w:t>
      </w:r>
    </w:p>
    <w:p w14:paraId="0DC08083" w14:textId="5B5F047B" w:rsidR="00B346DB" w:rsidRPr="00B346DB" w:rsidRDefault="00B346DB" w:rsidP="00433686">
      <w:pPr>
        <w:numPr>
          <w:ilvl w:val="0"/>
          <w:numId w:val="8"/>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Signs of hypoestrogenism (e.g., vaginal dryness, atrophic changes).</w:t>
      </w:r>
    </w:p>
    <w:p w14:paraId="2D0EC914" w14:textId="0BB6653B" w:rsidR="00B346DB" w:rsidRPr="00B346DB" w:rsidRDefault="00B346DB" w:rsidP="00433686">
      <w:pPr>
        <w:numPr>
          <w:ilvl w:val="0"/>
          <w:numId w:val="8"/>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Evidence of endocrine disorders (e.g., thyroid enlargement, galactorrhea).</w:t>
      </w:r>
    </w:p>
    <w:p w14:paraId="2B44D38B" w14:textId="77777777" w:rsidR="00B346DB" w:rsidRPr="00B346DB" w:rsidRDefault="00B346DB" w:rsidP="00433686">
      <w:pPr>
        <w:spacing w:before="100" w:beforeAutospacing="1" w:after="100" w:afterAutospacing="1" w:line="240" w:lineRule="auto"/>
        <w:jc w:val="both"/>
        <w:outlineLvl w:val="3"/>
        <w:rPr>
          <w:rFonts w:ascii="Arial" w:eastAsia="Times New Roman" w:hAnsi="Arial" w:cs="Arial"/>
          <w:b/>
          <w:bCs/>
          <w:sz w:val="20"/>
          <w:szCs w:val="20"/>
        </w:rPr>
      </w:pPr>
      <w:r w:rsidRPr="00B346DB">
        <w:rPr>
          <w:rFonts w:ascii="Arial" w:eastAsia="Times New Roman" w:hAnsi="Arial" w:cs="Arial"/>
          <w:b/>
          <w:bCs/>
          <w:sz w:val="20"/>
          <w:szCs w:val="20"/>
        </w:rPr>
        <w:t>Hormonal Assays</w:t>
      </w:r>
    </w:p>
    <w:p w14:paraId="0A7435B8" w14:textId="77777777" w:rsidR="00B346DB" w:rsidRPr="00B346DB" w:rsidRDefault="00B346DB" w:rsidP="00433686">
      <w:p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Fasting venous blood samples (5 mL) were collected between 8:00 and 10:00 am. Serum was separated and analyzed for:</w:t>
      </w:r>
    </w:p>
    <w:p w14:paraId="273D8C7E" w14:textId="77777777" w:rsidR="00B346DB" w:rsidRPr="00B346DB" w:rsidRDefault="00B346DB" w:rsidP="00433686">
      <w:pPr>
        <w:numPr>
          <w:ilvl w:val="0"/>
          <w:numId w:val="9"/>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Follicle-stimulating hormone (FSH)</w:t>
      </w:r>
    </w:p>
    <w:p w14:paraId="7F437D89" w14:textId="77777777" w:rsidR="00B346DB" w:rsidRPr="00B346DB" w:rsidRDefault="00B346DB" w:rsidP="00433686">
      <w:pPr>
        <w:numPr>
          <w:ilvl w:val="0"/>
          <w:numId w:val="9"/>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Luteinizing hormone (LH)</w:t>
      </w:r>
    </w:p>
    <w:p w14:paraId="5B33E0B6" w14:textId="77777777" w:rsidR="00B346DB" w:rsidRPr="00B346DB" w:rsidRDefault="00B346DB" w:rsidP="00433686">
      <w:pPr>
        <w:numPr>
          <w:ilvl w:val="0"/>
          <w:numId w:val="9"/>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Estradiol (E2)</w:t>
      </w:r>
    </w:p>
    <w:p w14:paraId="70408E57" w14:textId="77777777" w:rsidR="00B346DB" w:rsidRPr="00B346DB" w:rsidRDefault="00B346DB" w:rsidP="00433686">
      <w:pPr>
        <w:numPr>
          <w:ilvl w:val="0"/>
          <w:numId w:val="9"/>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Prolactin</w:t>
      </w:r>
    </w:p>
    <w:p w14:paraId="77A192D8" w14:textId="77777777" w:rsidR="00B346DB" w:rsidRPr="00B346DB" w:rsidRDefault="00B346DB" w:rsidP="00433686">
      <w:pPr>
        <w:numPr>
          <w:ilvl w:val="0"/>
          <w:numId w:val="9"/>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Thyroid-stimulating hormone (TSH)</w:t>
      </w:r>
    </w:p>
    <w:p w14:paraId="0C8B5066" w14:textId="77777777" w:rsidR="00B346DB" w:rsidRPr="00B346DB" w:rsidRDefault="00B346DB" w:rsidP="00433686">
      <w:p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Hormonal levels were measured using enzyme-linked immunosorbent assay (ELISA) kits following manufacturer protocols. Elevated FSH with low estradiol confirmed ovarian insufficiency.</w:t>
      </w:r>
    </w:p>
    <w:p w14:paraId="2B4A1359" w14:textId="77777777" w:rsidR="00B346DB" w:rsidRPr="00B346DB" w:rsidRDefault="00B346DB" w:rsidP="00433686">
      <w:pPr>
        <w:spacing w:before="100" w:beforeAutospacing="1" w:after="100" w:afterAutospacing="1" w:line="240" w:lineRule="auto"/>
        <w:jc w:val="both"/>
        <w:outlineLvl w:val="2"/>
        <w:rPr>
          <w:rFonts w:ascii="Arial" w:eastAsia="Times New Roman" w:hAnsi="Arial" w:cs="Arial"/>
          <w:b/>
          <w:bCs/>
          <w:sz w:val="20"/>
          <w:szCs w:val="20"/>
        </w:rPr>
      </w:pPr>
      <w:r w:rsidRPr="00B346DB">
        <w:rPr>
          <w:rFonts w:ascii="Arial" w:eastAsia="Times New Roman" w:hAnsi="Arial" w:cs="Arial"/>
          <w:b/>
          <w:bCs/>
          <w:sz w:val="20"/>
          <w:szCs w:val="20"/>
        </w:rPr>
        <w:t>Data Management and Analysis</w:t>
      </w:r>
    </w:p>
    <w:p w14:paraId="53D4F6CD" w14:textId="77777777" w:rsidR="00B346DB" w:rsidRPr="00B346DB" w:rsidRDefault="00B346DB" w:rsidP="00433686">
      <w:p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Data were coded and entered into IBM SPSS Statistics version 27.0. Descriptive statistics (frequencies, percentages, means, standard deviations) summarized participants’ characteristics. Bivariate analysis using Chi-square (χ²) tests assessed associations between categorical variables. Independent t-tests compared mean hormonal levels between groups. Logistic regression identified independent predictors of POI, adjusting for potential confounders. Statistical significance was set at p &lt; 0.05.</w:t>
      </w:r>
    </w:p>
    <w:p w14:paraId="094089A8" w14:textId="77777777" w:rsidR="00B346DB" w:rsidRPr="00B346DB" w:rsidRDefault="00B346DB" w:rsidP="00433686">
      <w:pPr>
        <w:spacing w:before="100" w:beforeAutospacing="1" w:after="100" w:afterAutospacing="1" w:line="240" w:lineRule="auto"/>
        <w:jc w:val="both"/>
        <w:outlineLvl w:val="2"/>
        <w:rPr>
          <w:rFonts w:ascii="Arial" w:eastAsia="Times New Roman" w:hAnsi="Arial" w:cs="Arial"/>
          <w:b/>
          <w:bCs/>
          <w:sz w:val="20"/>
          <w:szCs w:val="20"/>
        </w:rPr>
      </w:pPr>
      <w:r w:rsidRPr="00B346DB">
        <w:rPr>
          <w:rFonts w:ascii="Arial" w:eastAsia="Times New Roman" w:hAnsi="Arial" w:cs="Arial"/>
          <w:b/>
          <w:bCs/>
          <w:sz w:val="20"/>
          <w:szCs w:val="20"/>
        </w:rPr>
        <w:t>Ethical Considerations</w:t>
      </w:r>
    </w:p>
    <w:p w14:paraId="0BEDB7DE" w14:textId="24AFC51F" w:rsidR="00B346DB" w:rsidRPr="00B346DB" w:rsidRDefault="00B346DB" w:rsidP="00433686">
      <w:p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Written informed consent was obtained from all participants after explaining the study objectives, procedures, risks, and benefits. Confidentiality was maintained by anonymizing all data. Participation was voluntary, and withdrawal was permitted at any stage without consequences for medical care.</w:t>
      </w:r>
    </w:p>
    <w:p w14:paraId="491CD487" w14:textId="292E4E2D" w:rsidR="00B346DB" w:rsidRPr="001648DD" w:rsidRDefault="00B346DB" w:rsidP="00433686">
      <w:pPr>
        <w:jc w:val="both"/>
        <w:rPr>
          <w:rFonts w:ascii="Arial" w:hAnsi="Arial" w:cs="Arial"/>
          <w:sz w:val="20"/>
          <w:szCs w:val="20"/>
        </w:rPr>
      </w:pPr>
    </w:p>
    <w:p w14:paraId="4C0B7861" w14:textId="6E2E3476" w:rsidR="00692C0F" w:rsidRPr="001648DD" w:rsidRDefault="00884709" w:rsidP="00433686">
      <w:pPr>
        <w:pStyle w:val="Heading2"/>
        <w:jc w:val="both"/>
        <w:rPr>
          <w:rStyle w:val="Strong"/>
          <w:rFonts w:ascii="Arial" w:hAnsi="Arial" w:cs="Arial"/>
          <w:b/>
          <w:bCs/>
          <w:sz w:val="20"/>
          <w:szCs w:val="20"/>
        </w:rPr>
      </w:pPr>
      <w:r w:rsidRPr="001648DD">
        <w:rPr>
          <w:rStyle w:val="Strong"/>
          <w:rFonts w:ascii="Arial" w:hAnsi="Arial" w:cs="Arial"/>
          <w:b/>
          <w:bCs/>
          <w:sz w:val="20"/>
          <w:szCs w:val="20"/>
        </w:rPr>
        <w:t>RESULTS</w:t>
      </w:r>
    </w:p>
    <w:p w14:paraId="6A863534" w14:textId="77777777" w:rsidR="00260214" w:rsidRPr="00260214" w:rsidRDefault="00260214" w:rsidP="00433686">
      <w:pPr>
        <w:spacing w:before="100" w:beforeAutospacing="1" w:after="100" w:afterAutospacing="1" w:line="240" w:lineRule="auto"/>
        <w:jc w:val="both"/>
        <w:rPr>
          <w:rFonts w:ascii="Arial" w:eastAsia="Times New Roman" w:hAnsi="Arial" w:cs="Arial"/>
          <w:sz w:val="20"/>
          <w:szCs w:val="20"/>
        </w:rPr>
      </w:pPr>
      <w:r w:rsidRPr="00260214">
        <w:rPr>
          <w:rFonts w:ascii="Arial" w:eastAsia="Times New Roman" w:hAnsi="Arial" w:cs="Arial"/>
          <w:sz w:val="20"/>
          <w:szCs w:val="20"/>
        </w:rPr>
        <w:t>The study involved 300 participants, most of whom were aged 35–39 years (24.67%), married (62.00%), had tertiary education (48.33%), were traders (29.67%), and predominantly Igbo (76.00%). A greater proportion resided in urban areas (63.00%) (Table 1).</w:t>
      </w:r>
    </w:p>
    <w:p w14:paraId="39B3FBF2" w14:textId="68710FEE" w:rsidR="00260214" w:rsidRPr="00260214" w:rsidRDefault="00260214" w:rsidP="00433686">
      <w:pPr>
        <w:spacing w:before="100" w:beforeAutospacing="1" w:after="100" w:afterAutospacing="1" w:line="240" w:lineRule="auto"/>
        <w:jc w:val="both"/>
        <w:rPr>
          <w:rFonts w:ascii="Arial" w:eastAsia="Times New Roman" w:hAnsi="Arial" w:cs="Arial"/>
          <w:sz w:val="20"/>
          <w:szCs w:val="20"/>
        </w:rPr>
      </w:pPr>
      <w:r w:rsidRPr="00260214">
        <w:rPr>
          <w:rFonts w:ascii="Arial" w:eastAsia="Times New Roman" w:hAnsi="Arial" w:cs="Arial"/>
          <w:sz w:val="20"/>
          <w:szCs w:val="20"/>
        </w:rPr>
        <w:lastRenderedPageBreak/>
        <w:t>Regarding reproductive and gynecological history, most attained menarche between 12–13 years (46.33%) and reported regular menstrual cycles (68.00%). Nulliparity was common (30.67%), and 22.33% had a history of infertility. Family history of pelvic surgery in 31.33%, and pelvic inflammatory disease in 37.33% (Table 2).</w:t>
      </w:r>
    </w:p>
    <w:p w14:paraId="48D55239" w14:textId="77777777" w:rsidR="00260214" w:rsidRPr="00260214" w:rsidRDefault="00260214" w:rsidP="00433686">
      <w:pPr>
        <w:spacing w:before="100" w:beforeAutospacing="1" w:after="100" w:afterAutospacing="1" w:line="240" w:lineRule="auto"/>
        <w:jc w:val="both"/>
        <w:rPr>
          <w:rFonts w:ascii="Arial" w:eastAsia="Times New Roman" w:hAnsi="Arial" w:cs="Arial"/>
          <w:sz w:val="20"/>
          <w:szCs w:val="20"/>
        </w:rPr>
      </w:pPr>
      <w:r w:rsidRPr="00260214">
        <w:rPr>
          <w:rFonts w:ascii="Arial" w:eastAsia="Times New Roman" w:hAnsi="Arial" w:cs="Arial"/>
          <w:sz w:val="20"/>
          <w:szCs w:val="20"/>
        </w:rPr>
        <w:t>In terms of lifestyle and environmental exposures, most participants had never smoked (77.00%), 42.33% consumed alcohol, and 22.67% reported occupational chemical exposure (Table 3). Family and genetic history showed that 29.33% had a family history of early menopause, 11.67% reported consanguinity, and 18.00% had a family history of autoimmune disorders (Table 4).</w:t>
      </w:r>
    </w:p>
    <w:p w14:paraId="3AC03058" w14:textId="77777777" w:rsidR="00260214" w:rsidRPr="00260214" w:rsidRDefault="00260214" w:rsidP="00433686">
      <w:pPr>
        <w:spacing w:before="100" w:beforeAutospacing="1" w:after="100" w:afterAutospacing="1" w:line="240" w:lineRule="auto"/>
        <w:jc w:val="both"/>
        <w:rPr>
          <w:rFonts w:ascii="Arial" w:eastAsia="Times New Roman" w:hAnsi="Arial" w:cs="Arial"/>
          <w:sz w:val="20"/>
          <w:szCs w:val="20"/>
        </w:rPr>
      </w:pPr>
      <w:r w:rsidRPr="00260214">
        <w:rPr>
          <w:rFonts w:ascii="Arial" w:eastAsia="Times New Roman" w:hAnsi="Arial" w:cs="Arial"/>
          <w:sz w:val="20"/>
          <w:szCs w:val="20"/>
        </w:rPr>
        <w:t xml:space="preserve">Mean hormonal and biochemical parameters were: FSH 48.26 ± 8.74 </w:t>
      </w:r>
      <w:proofErr w:type="spellStart"/>
      <w:r w:rsidRPr="00260214">
        <w:rPr>
          <w:rFonts w:ascii="Arial" w:eastAsia="Times New Roman" w:hAnsi="Arial" w:cs="Arial"/>
          <w:sz w:val="20"/>
          <w:szCs w:val="20"/>
        </w:rPr>
        <w:t>mIU</w:t>
      </w:r>
      <w:proofErr w:type="spellEnd"/>
      <w:r w:rsidRPr="00260214">
        <w:rPr>
          <w:rFonts w:ascii="Arial" w:eastAsia="Times New Roman" w:hAnsi="Arial" w:cs="Arial"/>
          <w:sz w:val="20"/>
          <w:szCs w:val="20"/>
        </w:rPr>
        <w:t xml:space="preserve">/mL, LH 28.54 ± 9.63 </w:t>
      </w:r>
      <w:proofErr w:type="spellStart"/>
      <w:r w:rsidRPr="00260214">
        <w:rPr>
          <w:rFonts w:ascii="Arial" w:eastAsia="Times New Roman" w:hAnsi="Arial" w:cs="Arial"/>
          <w:sz w:val="20"/>
          <w:szCs w:val="20"/>
        </w:rPr>
        <w:t>mIU</w:t>
      </w:r>
      <w:proofErr w:type="spellEnd"/>
      <w:r w:rsidRPr="00260214">
        <w:rPr>
          <w:rFonts w:ascii="Arial" w:eastAsia="Times New Roman" w:hAnsi="Arial" w:cs="Arial"/>
          <w:sz w:val="20"/>
          <w:szCs w:val="20"/>
        </w:rPr>
        <w:t xml:space="preserve">/mL, estradiol 32.47 ± 11.21 </w:t>
      </w:r>
      <w:proofErr w:type="spellStart"/>
      <w:r w:rsidRPr="00260214">
        <w:rPr>
          <w:rFonts w:ascii="Arial" w:eastAsia="Times New Roman" w:hAnsi="Arial" w:cs="Arial"/>
          <w:sz w:val="20"/>
          <w:szCs w:val="20"/>
        </w:rPr>
        <w:t>pg</w:t>
      </w:r>
      <w:proofErr w:type="spellEnd"/>
      <w:r w:rsidRPr="00260214">
        <w:rPr>
          <w:rFonts w:ascii="Arial" w:eastAsia="Times New Roman" w:hAnsi="Arial" w:cs="Arial"/>
          <w:sz w:val="20"/>
          <w:szCs w:val="20"/>
        </w:rPr>
        <w:t>/mL, prolactin 15.38 ± 5.42 ng/mL, TSH 2.81 ± 1.04 µIU/mL, and BMI 26.42 ± 4.38 kg/m² (Table 5).</w:t>
      </w:r>
    </w:p>
    <w:p w14:paraId="7A0B7F6D" w14:textId="77777777" w:rsidR="00260214" w:rsidRPr="00260214" w:rsidRDefault="00260214" w:rsidP="00433686">
      <w:pPr>
        <w:spacing w:before="100" w:beforeAutospacing="1" w:after="100" w:afterAutospacing="1" w:line="240" w:lineRule="auto"/>
        <w:jc w:val="both"/>
        <w:rPr>
          <w:rFonts w:ascii="Arial" w:eastAsia="Times New Roman" w:hAnsi="Arial" w:cs="Arial"/>
          <w:sz w:val="20"/>
          <w:szCs w:val="20"/>
        </w:rPr>
      </w:pPr>
      <w:r w:rsidRPr="00260214">
        <w:rPr>
          <w:rFonts w:ascii="Arial" w:eastAsia="Times New Roman" w:hAnsi="Arial" w:cs="Arial"/>
          <w:sz w:val="20"/>
          <w:szCs w:val="20"/>
        </w:rPr>
        <w:t>Clinical symptoms of POI on a 5-point Likert scale revealed high proportions of agreement (scores 4–5) for hot flushes (69.67%), vaginal dryness (67.67%), night sweats (63.00%), mood changes (57.33%), and sleep disturbance (60.00%) (Table 6).</w:t>
      </w:r>
    </w:p>
    <w:p w14:paraId="2624622C" w14:textId="77777777" w:rsidR="00260214" w:rsidRPr="00260214" w:rsidRDefault="00260214" w:rsidP="00433686">
      <w:pPr>
        <w:spacing w:before="100" w:beforeAutospacing="1" w:after="100" w:afterAutospacing="1" w:line="240" w:lineRule="auto"/>
        <w:jc w:val="both"/>
        <w:rPr>
          <w:rFonts w:ascii="Arial" w:eastAsia="Times New Roman" w:hAnsi="Arial" w:cs="Arial"/>
          <w:sz w:val="20"/>
          <w:szCs w:val="20"/>
        </w:rPr>
      </w:pPr>
      <w:r w:rsidRPr="00260214">
        <w:rPr>
          <w:rFonts w:ascii="Arial" w:eastAsia="Times New Roman" w:hAnsi="Arial" w:cs="Arial"/>
          <w:sz w:val="20"/>
          <w:szCs w:val="20"/>
        </w:rPr>
        <w:t>Chi-square analysis showed significant associations between POI status and age group (p = 0.014), history of pelvic surgery (p = 0.002), smoking status (p = 0.042), and family history of early menopause (p &lt; 0.001). Occupational exposure was not statistically significant (p = 0.055) (Table 7).</w:t>
      </w:r>
    </w:p>
    <w:p w14:paraId="5CD70946" w14:textId="77777777" w:rsidR="00260214" w:rsidRPr="00260214" w:rsidRDefault="00260214" w:rsidP="00433686">
      <w:pPr>
        <w:spacing w:before="100" w:beforeAutospacing="1" w:after="100" w:afterAutospacing="1" w:line="240" w:lineRule="auto"/>
        <w:jc w:val="both"/>
        <w:rPr>
          <w:rFonts w:ascii="Arial" w:eastAsia="Times New Roman" w:hAnsi="Arial" w:cs="Arial"/>
          <w:sz w:val="20"/>
          <w:szCs w:val="20"/>
        </w:rPr>
      </w:pPr>
      <w:r w:rsidRPr="00260214">
        <w:rPr>
          <w:rFonts w:ascii="Arial" w:eastAsia="Times New Roman" w:hAnsi="Arial" w:cs="Arial"/>
          <w:sz w:val="20"/>
          <w:szCs w:val="20"/>
        </w:rPr>
        <w:t>Pearson correlation analysis indicated that age at diagnosis was positively correlated with FSH (r = 0.312, p &lt; 0.05) and LH (r = 0.241, p &lt; 0.05), but negatively correlated with estradiol (r = −0.298, p &lt; 0.05). Strong correlations were also observed between hormonal levels themselves, particularly between FSH and LH (r = 0.567, p &lt; 0.01) and FSH and estradiol (r = −0.514, p &lt; 0.01) (Table 8).</w:t>
      </w:r>
    </w:p>
    <w:p w14:paraId="6A2C975E" w14:textId="77777777" w:rsidR="00260214" w:rsidRPr="001648DD" w:rsidRDefault="00260214" w:rsidP="00433686">
      <w:pPr>
        <w:pStyle w:val="Heading2"/>
        <w:jc w:val="both"/>
        <w:rPr>
          <w:rFonts w:ascii="Arial" w:hAnsi="Arial" w:cs="Arial"/>
          <w:sz w:val="20"/>
          <w:szCs w:val="20"/>
        </w:rPr>
      </w:pPr>
    </w:p>
    <w:p w14:paraId="7715808E" w14:textId="77777777" w:rsidR="00692C0F" w:rsidRPr="001648DD" w:rsidRDefault="00692C0F" w:rsidP="00433686">
      <w:p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b/>
          <w:bCs/>
          <w:sz w:val="20"/>
          <w:szCs w:val="20"/>
        </w:rPr>
        <w:t>Table 1: Sociodemographic Characteristics of Participants</w:t>
      </w:r>
    </w:p>
    <w:tbl>
      <w:tblPr>
        <w:tblStyle w:val="TableGrid"/>
        <w:tblW w:w="0" w:type="auto"/>
        <w:tblLook w:val="04A0" w:firstRow="1" w:lastRow="0" w:firstColumn="1" w:lastColumn="0" w:noHBand="0" w:noVBand="1"/>
      </w:tblPr>
      <w:tblGrid>
        <w:gridCol w:w="2006"/>
        <w:gridCol w:w="2100"/>
        <w:gridCol w:w="1661"/>
      </w:tblGrid>
      <w:tr w:rsidR="00692C0F" w:rsidRPr="001648DD" w14:paraId="0EE74C5E" w14:textId="77777777" w:rsidTr="00BA4906">
        <w:tc>
          <w:tcPr>
            <w:tcW w:w="0" w:type="auto"/>
            <w:hideMark/>
          </w:tcPr>
          <w:p w14:paraId="0EF1C1CC" w14:textId="77777777" w:rsidR="00692C0F" w:rsidRPr="001648DD" w:rsidRDefault="00692C0F" w:rsidP="00433686">
            <w:pPr>
              <w:spacing w:line="276" w:lineRule="auto"/>
              <w:jc w:val="both"/>
              <w:rPr>
                <w:rFonts w:ascii="Arial" w:hAnsi="Arial" w:cs="Arial"/>
                <w:b/>
                <w:bCs/>
                <w:sz w:val="20"/>
                <w:szCs w:val="20"/>
              </w:rPr>
            </w:pPr>
            <w:r w:rsidRPr="001648DD">
              <w:rPr>
                <w:rFonts w:ascii="Arial" w:hAnsi="Arial" w:cs="Arial"/>
                <w:b/>
                <w:bCs/>
                <w:sz w:val="20"/>
                <w:szCs w:val="20"/>
              </w:rPr>
              <w:t>Variable</w:t>
            </w:r>
          </w:p>
        </w:tc>
        <w:tc>
          <w:tcPr>
            <w:tcW w:w="0" w:type="auto"/>
            <w:hideMark/>
          </w:tcPr>
          <w:p w14:paraId="6BA46C79" w14:textId="77777777" w:rsidR="00692C0F" w:rsidRPr="001648DD" w:rsidRDefault="00692C0F" w:rsidP="00433686">
            <w:pPr>
              <w:spacing w:line="276" w:lineRule="auto"/>
              <w:jc w:val="both"/>
              <w:rPr>
                <w:rFonts w:ascii="Arial" w:hAnsi="Arial" w:cs="Arial"/>
                <w:b/>
                <w:bCs/>
                <w:sz w:val="20"/>
                <w:szCs w:val="20"/>
              </w:rPr>
            </w:pPr>
            <w:r w:rsidRPr="001648DD">
              <w:rPr>
                <w:rFonts w:ascii="Arial" w:hAnsi="Arial" w:cs="Arial"/>
                <w:b/>
                <w:bCs/>
                <w:sz w:val="20"/>
                <w:szCs w:val="20"/>
              </w:rPr>
              <w:t>Frequency (n = 300)</w:t>
            </w:r>
          </w:p>
        </w:tc>
        <w:tc>
          <w:tcPr>
            <w:tcW w:w="0" w:type="auto"/>
            <w:hideMark/>
          </w:tcPr>
          <w:p w14:paraId="1DE25518" w14:textId="77777777" w:rsidR="00692C0F" w:rsidRPr="001648DD" w:rsidRDefault="00692C0F" w:rsidP="00433686">
            <w:pPr>
              <w:spacing w:line="276" w:lineRule="auto"/>
              <w:jc w:val="both"/>
              <w:rPr>
                <w:rFonts w:ascii="Arial" w:hAnsi="Arial" w:cs="Arial"/>
                <w:b/>
                <w:bCs/>
                <w:sz w:val="20"/>
                <w:szCs w:val="20"/>
              </w:rPr>
            </w:pPr>
            <w:r w:rsidRPr="001648DD">
              <w:rPr>
                <w:rFonts w:ascii="Arial" w:hAnsi="Arial" w:cs="Arial"/>
                <w:b/>
                <w:bCs/>
                <w:sz w:val="20"/>
                <w:szCs w:val="20"/>
              </w:rPr>
              <w:t>Percentage (%)</w:t>
            </w:r>
          </w:p>
        </w:tc>
      </w:tr>
      <w:tr w:rsidR="00692C0F" w:rsidRPr="001648DD" w14:paraId="02DD4C06" w14:textId="77777777" w:rsidTr="00BA4906">
        <w:tc>
          <w:tcPr>
            <w:tcW w:w="0" w:type="auto"/>
            <w:hideMark/>
          </w:tcPr>
          <w:p w14:paraId="5A697309" w14:textId="77777777" w:rsidR="00692C0F" w:rsidRPr="001648DD" w:rsidRDefault="00692C0F" w:rsidP="00433686">
            <w:pPr>
              <w:spacing w:line="276" w:lineRule="auto"/>
              <w:jc w:val="both"/>
              <w:rPr>
                <w:rFonts w:ascii="Arial" w:hAnsi="Arial" w:cs="Arial"/>
                <w:sz w:val="20"/>
                <w:szCs w:val="20"/>
              </w:rPr>
            </w:pPr>
            <w:r w:rsidRPr="001648DD">
              <w:rPr>
                <w:rStyle w:val="Strong"/>
                <w:rFonts w:ascii="Arial" w:hAnsi="Arial" w:cs="Arial"/>
                <w:sz w:val="20"/>
                <w:szCs w:val="20"/>
              </w:rPr>
              <w:t>Age Group (years)</w:t>
            </w:r>
          </w:p>
        </w:tc>
        <w:tc>
          <w:tcPr>
            <w:tcW w:w="0" w:type="auto"/>
            <w:hideMark/>
          </w:tcPr>
          <w:p w14:paraId="1A6F05A6" w14:textId="77777777" w:rsidR="00692C0F" w:rsidRPr="001648DD" w:rsidRDefault="00692C0F" w:rsidP="00433686">
            <w:pPr>
              <w:spacing w:line="276" w:lineRule="auto"/>
              <w:jc w:val="both"/>
              <w:rPr>
                <w:rFonts w:ascii="Arial" w:hAnsi="Arial" w:cs="Arial"/>
                <w:sz w:val="20"/>
                <w:szCs w:val="20"/>
              </w:rPr>
            </w:pPr>
          </w:p>
        </w:tc>
        <w:tc>
          <w:tcPr>
            <w:tcW w:w="0" w:type="auto"/>
            <w:hideMark/>
          </w:tcPr>
          <w:p w14:paraId="303881EE" w14:textId="77777777" w:rsidR="00692C0F" w:rsidRPr="001648DD" w:rsidRDefault="00692C0F" w:rsidP="00433686">
            <w:pPr>
              <w:spacing w:line="276" w:lineRule="auto"/>
              <w:jc w:val="both"/>
              <w:rPr>
                <w:rFonts w:ascii="Arial" w:hAnsi="Arial" w:cs="Arial"/>
                <w:sz w:val="20"/>
                <w:szCs w:val="20"/>
              </w:rPr>
            </w:pPr>
          </w:p>
        </w:tc>
      </w:tr>
      <w:tr w:rsidR="00692C0F" w:rsidRPr="001648DD" w14:paraId="3A5A4510" w14:textId="77777777" w:rsidTr="00BA4906">
        <w:tc>
          <w:tcPr>
            <w:tcW w:w="0" w:type="auto"/>
            <w:hideMark/>
          </w:tcPr>
          <w:p w14:paraId="7EBA3D5F"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18–24</w:t>
            </w:r>
          </w:p>
        </w:tc>
        <w:tc>
          <w:tcPr>
            <w:tcW w:w="0" w:type="auto"/>
            <w:hideMark/>
          </w:tcPr>
          <w:p w14:paraId="49D15262"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47</w:t>
            </w:r>
          </w:p>
        </w:tc>
        <w:tc>
          <w:tcPr>
            <w:tcW w:w="0" w:type="auto"/>
            <w:hideMark/>
          </w:tcPr>
          <w:p w14:paraId="7E526785"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15.67</w:t>
            </w:r>
          </w:p>
        </w:tc>
      </w:tr>
      <w:tr w:rsidR="00692C0F" w:rsidRPr="001648DD" w14:paraId="7E4EDBF2" w14:textId="77777777" w:rsidTr="00BA4906">
        <w:tc>
          <w:tcPr>
            <w:tcW w:w="0" w:type="auto"/>
            <w:hideMark/>
          </w:tcPr>
          <w:p w14:paraId="34185872"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25–29</w:t>
            </w:r>
          </w:p>
        </w:tc>
        <w:tc>
          <w:tcPr>
            <w:tcW w:w="0" w:type="auto"/>
            <w:hideMark/>
          </w:tcPr>
          <w:p w14:paraId="2505DAE4"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58</w:t>
            </w:r>
          </w:p>
        </w:tc>
        <w:tc>
          <w:tcPr>
            <w:tcW w:w="0" w:type="auto"/>
            <w:hideMark/>
          </w:tcPr>
          <w:p w14:paraId="6CAB2F9F"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19.33</w:t>
            </w:r>
          </w:p>
        </w:tc>
      </w:tr>
      <w:tr w:rsidR="00692C0F" w:rsidRPr="001648DD" w14:paraId="1FF6FE00" w14:textId="77777777" w:rsidTr="00BA4906">
        <w:tc>
          <w:tcPr>
            <w:tcW w:w="0" w:type="auto"/>
            <w:hideMark/>
          </w:tcPr>
          <w:p w14:paraId="3258D66A"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30–34</w:t>
            </w:r>
          </w:p>
        </w:tc>
        <w:tc>
          <w:tcPr>
            <w:tcW w:w="0" w:type="auto"/>
            <w:hideMark/>
          </w:tcPr>
          <w:p w14:paraId="152671F5"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66</w:t>
            </w:r>
          </w:p>
        </w:tc>
        <w:tc>
          <w:tcPr>
            <w:tcW w:w="0" w:type="auto"/>
            <w:hideMark/>
          </w:tcPr>
          <w:p w14:paraId="7EEE887C"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22.00</w:t>
            </w:r>
          </w:p>
        </w:tc>
      </w:tr>
      <w:tr w:rsidR="00692C0F" w:rsidRPr="001648DD" w14:paraId="267289D8" w14:textId="77777777" w:rsidTr="00BA4906">
        <w:tc>
          <w:tcPr>
            <w:tcW w:w="0" w:type="auto"/>
            <w:hideMark/>
          </w:tcPr>
          <w:p w14:paraId="617B10B4"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35–39</w:t>
            </w:r>
          </w:p>
        </w:tc>
        <w:tc>
          <w:tcPr>
            <w:tcW w:w="0" w:type="auto"/>
            <w:hideMark/>
          </w:tcPr>
          <w:p w14:paraId="493CA6E7"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74</w:t>
            </w:r>
          </w:p>
        </w:tc>
        <w:tc>
          <w:tcPr>
            <w:tcW w:w="0" w:type="auto"/>
            <w:hideMark/>
          </w:tcPr>
          <w:p w14:paraId="36DBB9C5"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24.67</w:t>
            </w:r>
          </w:p>
        </w:tc>
      </w:tr>
      <w:tr w:rsidR="00692C0F" w:rsidRPr="001648DD" w14:paraId="77FEB093" w14:textId="77777777" w:rsidTr="00BA4906">
        <w:tc>
          <w:tcPr>
            <w:tcW w:w="0" w:type="auto"/>
            <w:hideMark/>
          </w:tcPr>
          <w:p w14:paraId="131EDDB1"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40–45</w:t>
            </w:r>
          </w:p>
        </w:tc>
        <w:tc>
          <w:tcPr>
            <w:tcW w:w="0" w:type="auto"/>
            <w:hideMark/>
          </w:tcPr>
          <w:p w14:paraId="222B87F3"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55</w:t>
            </w:r>
          </w:p>
        </w:tc>
        <w:tc>
          <w:tcPr>
            <w:tcW w:w="0" w:type="auto"/>
            <w:hideMark/>
          </w:tcPr>
          <w:p w14:paraId="7B0B350A"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18.33</w:t>
            </w:r>
          </w:p>
        </w:tc>
      </w:tr>
      <w:tr w:rsidR="00692C0F" w:rsidRPr="001648DD" w14:paraId="032E5E23" w14:textId="77777777" w:rsidTr="00BA4906">
        <w:tc>
          <w:tcPr>
            <w:tcW w:w="0" w:type="auto"/>
            <w:hideMark/>
          </w:tcPr>
          <w:p w14:paraId="00C8DFA2" w14:textId="77777777" w:rsidR="00692C0F" w:rsidRPr="001648DD" w:rsidRDefault="00692C0F" w:rsidP="00433686">
            <w:pPr>
              <w:spacing w:line="276" w:lineRule="auto"/>
              <w:jc w:val="both"/>
              <w:rPr>
                <w:rFonts w:ascii="Arial" w:hAnsi="Arial" w:cs="Arial"/>
                <w:sz w:val="20"/>
                <w:szCs w:val="20"/>
              </w:rPr>
            </w:pPr>
            <w:r w:rsidRPr="001648DD">
              <w:rPr>
                <w:rStyle w:val="Strong"/>
                <w:rFonts w:ascii="Arial" w:hAnsi="Arial" w:cs="Arial"/>
                <w:sz w:val="20"/>
                <w:szCs w:val="20"/>
              </w:rPr>
              <w:t>Marital Status</w:t>
            </w:r>
          </w:p>
        </w:tc>
        <w:tc>
          <w:tcPr>
            <w:tcW w:w="0" w:type="auto"/>
            <w:hideMark/>
          </w:tcPr>
          <w:p w14:paraId="3537F071" w14:textId="77777777" w:rsidR="00692C0F" w:rsidRPr="001648DD" w:rsidRDefault="00692C0F" w:rsidP="00433686">
            <w:pPr>
              <w:spacing w:line="276" w:lineRule="auto"/>
              <w:jc w:val="both"/>
              <w:rPr>
                <w:rFonts w:ascii="Arial" w:hAnsi="Arial" w:cs="Arial"/>
                <w:sz w:val="20"/>
                <w:szCs w:val="20"/>
              </w:rPr>
            </w:pPr>
          </w:p>
        </w:tc>
        <w:tc>
          <w:tcPr>
            <w:tcW w:w="0" w:type="auto"/>
            <w:hideMark/>
          </w:tcPr>
          <w:p w14:paraId="3E0FE76F" w14:textId="77777777" w:rsidR="00692C0F" w:rsidRPr="001648DD" w:rsidRDefault="00692C0F" w:rsidP="00433686">
            <w:pPr>
              <w:spacing w:line="276" w:lineRule="auto"/>
              <w:jc w:val="both"/>
              <w:rPr>
                <w:rFonts w:ascii="Arial" w:hAnsi="Arial" w:cs="Arial"/>
                <w:sz w:val="20"/>
                <w:szCs w:val="20"/>
              </w:rPr>
            </w:pPr>
          </w:p>
        </w:tc>
      </w:tr>
      <w:tr w:rsidR="00692C0F" w:rsidRPr="001648DD" w14:paraId="755BAE7E" w14:textId="77777777" w:rsidTr="00BA4906">
        <w:tc>
          <w:tcPr>
            <w:tcW w:w="0" w:type="auto"/>
            <w:hideMark/>
          </w:tcPr>
          <w:p w14:paraId="24DE278E"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Single</w:t>
            </w:r>
          </w:p>
        </w:tc>
        <w:tc>
          <w:tcPr>
            <w:tcW w:w="0" w:type="auto"/>
            <w:hideMark/>
          </w:tcPr>
          <w:p w14:paraId="79A026F6"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79</w:t>
            </w:r>
          </w:p>
        </w:tc>
        <w:tc>
          <w:tcPr>
            <w:tcW w:w="0" w:type="auto"/>
            <w:hideMark/>
          </w:tcPr>
          <w:p w14:paraId="10039AF0"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26.33</w:t>
            </w:r>
          </w:p>
        </w:tc>
      </w:tr>
      <w:tr w:rsidR="00692C0F" w:rsidRPr="001648DD" w14:paraId="4FEFD54F" w14:textId="77777777" w:rsidTr="00BA4906">
        <w:tc>
          <w:tcPr>
            <w:tcW w:w="0" w:type="auto"/>
            <w:hideMark/>
          </w:tcPr>
          <w:p w14:paraId="594218A6"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Married</w:t>
            </w:r>
          </w:p>
        </w:tc>
        <w:tc>
          <w:tcPr>
            <w:tcW w:w="0" w:type="auto"/>
            <w:hideMark/>
          </w:tcPr>
          <w:p w14:paraId="57B88254"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186</w:t>
            </w:r>
          </w:p>
        </w:tc>
        <w:tc>
          <w:tcPr>
            <w:tcW w:w="0" w:type="auto"/>
            <w:hideMark/>
          </w:tcPr>
          <w:p w14:paraId="5C6CAB2D"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62.00</w:t>
            </w:r>
          </w:p>
        </w:tc>
      </w:tr>
      <w:tr w:rsidR="00692C0F" w:rsidRPr="001648DD" w14:paraId="3C4F5F39" w14:textId="77777777" w:rsidTr="00BA4906">
        <w:tc>
          <w:tcPr>
            <w:tcW w:w="0" w:type="auto"/>
            <w:hideMark/>
          </w:tcPr>
          <w:p w14:paraId="3ED70A1F"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Divorced/Separated</w:t>
            </w:r>
          </w:p>
        </w:tc>
        <w:tc>
          <w:tcPr>
            <w:tcW w:w="0" w:type="auto"/>
            <w:hideMark/>
          </w:tcPr>
          <w:p w14:paraId="5AAC199B"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21</w:t>
            </w:r>
          </w:p>
        </w:tc>
        <w:tc>
          <w:tcPr>
            <w:tcW w:w="0" w:type="auto"/>
            <w:hideMark/>
          </w:tcPr>
          <w:p w14:paraId="175F410D"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7.00</w:t>
            </w:r>
          </w:p>
        </w:tc>
      </w:tr>
      <w:tr w:rsidR="00692C0F" w:rsidRPr="001648DD" w14:paraId="37EE547D" w14:textId="77777777" w:rsidTr="00BA4906">
        <w:tc>
          <w:tcPr>
            <w:tcW w:w="0" w:type="auto"/>
            <w:hideMark/>
          </w:tcPr>
          <w:p w14:paraId="4C04DCD5"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Widowed</w:t>
            </w:r>
          </w:p>
        </w:tc>
        <w:tc>
          <w:tcPr>
            <w:tcW w:w="0" w:type="auto"/>
            <w:hideMark/>
          </w:tcPr>
          <w:p w14:paraId="7198AA06"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14</w:t>
            </w:r>
          </w:p>
        </w:tc>
        <w:tc>
          <w:tcPr>
            <w:tcW w:w="0" w:type="auto"/>
            <w:hideMark/>
          </w:tcPr>
          <w:p w14:paraId="08BF8F6F"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4.67</w:t>
            </w:r>
          </w:p>
        </w:tc>
      </w:tr>
      <w:tr w:rsidR="00692C0F" w:rsidRPr="001648DD" w14:paraId="6B4B769F" w14:textId="77777777" w:rsidTr="00BA4906">
        <w:tc>
          <w:tcPr>
            <w:tcW w:w="0" w:type="auto"/>
            <w:hideMark/>
          </w:tcPr>
          <w:p w14:paraId="4D2C1DF8" w14:textId="77777777" w:rsidR="00692C0F" w:rsidRPr="001648DD" w:rsidRDefault="00692C0F" w:rsidP="00433686">
            <w:pPr>
              <w:spacing w:line="276" w:lineRule="auto"/>
              <w:jc w:val="both"/>
              <w:rPr>
                <w:rFonts w:ascii="Arial" w:hAnsi="Arial" w:cs="Arial"/>
                <w:sz w:val="20"/>
                <w:szCs w:val="20"/>
              </w:rPr>
            </w:pPr>
            <w:r w:rsidRPr="001648DD">
              <w:rPr>
                <w:rStyle w:val="Strong"/>
                <w:rFonts w:ascii="Arial" w:hAnsi="Arial" w:cs="Arial"/>
                <w:sz w:val="20"/>
                <w:szCs w:val="20"/>
              </w:rPr>
              <w:t>Educational Level</w:t>
            </w:r>
          </w:p>
        </w:tc>
        <w:tc>
          <w:tcPr>
            <w:tcW w:w="0" w:type="auto"/>
            <w:hideMark/>
          </w:tcPr>
          <w:p w14:paraId="308695C7" w14:textId="77777777" w:rsidR="00692C0F" w:rsidRPr="001648DD" w:rsidRDefault="00692C0F" w:rsidP="00433686">
            <w:pPr>
              <w:spacing w:line="276" w:lineRule="auto"/>
              <w:jc w:val="both"/>
              <w:rPr>
                <w:rFonts w:ascii="Arial" w:hAnsi="Arial" w:cs="Arial"/>
                <w:sz w:val="20"/>
                <w:szCs w:val="20"/>
              </w:rPr>
            </w:pPr>
          </w:p>
        </w:tc>
        <w:tc>
          <w:tcPr>
            <w:tcW w:w="0" w:type="auto"/>
            <w:hideMark/>
          </w:tcPr>
          <w:p w14:paraId="362CAF3D" w14:textId="77777777" w:rsidR="00692C0F" w:rsidRPr="001648DD" w:rsidRDefault="00692C0F" w:rsidP="00433686">
            <w:pPr>
              <w:spacing w:line="276" w:lineRule="auto"/>
              <w:jc w:val="both"/>
              <w:rPr>
                <w:rFonts w:ascii="Arial" w:hAnsi="Arial" w:cs="Arial"/>
                <w:sz w:val="20"/>
                <w:szCs w:val="20"/>
              </w:rPr>
            </w:pPr>
          </w:p>
        </w:tc>
      </w:tr>
      <w:tr w:rsidR="00692C0F" w:rsidRPr="001648DD" w14:paraId="7FC161BD" w14:textId="77777777" w:rsidTr="00BA4906">
        <w:tc>
          <w:tcPr>
            <w:tcW w:w="0" w:type="auto"/>
            <w:hideMark/>
          </w:tcPr>
          <w:p w14:paraId="4912AC32"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No formal education</w:t>
            </w:r>
          </w:p>
        </w:tc>
        <w:tc>
          <w:tcPr>
            <w:tcW w:w="0" w:type="auto"/>
            <w:hideMark/>
          </w:tcPr>
          <w:p w14:paraId="6C64CC82"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12</w:t>
            </w:r>
          </w:p>
        </w:tc>
        <w:tc>
          <w:tcPr>
            <w:tcW w:w="0" w:type="auto"/>
            <w:hideMark/>
          </w:tcPr>
          <w:p w14:paraId="720688F7"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4.00</w:t>
            </w:r>
          </w:p>
        </w:tc>
      </w:tr>
      <w:tr w:rsidR="00692C0F" w:rsidRPr="001648DD" w14:paraId="092AE5BC" w14:textId="77777777" w:rsidTr="00BA4906">
        <w:tc>
          <w:tcPr>
            <w:tcW w:w="0" w:type="auto"/>
            <w:hideMark/>
          </w:tcPr>
          <w:p w14:paraId="38CF9329"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Primary</w:t>
            </w:r>
          </w:p>
        </w:tc>
        <w:tc>
          <w:tcPr>
            <w:tcW w:w="0" w:type="auto"/>
            <w:hideMark/>
          </w:tcPr>
          <w:p w14:paraId="0E4D5D58"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41</w:t>
            </w:r>
          </w:p>
        </w:tc>
        <w:tc>
          <w:tcPr>
            <w:tcW w:w="0" w:type="auto"/>
            <w:hideMark/>
          </w:tcPr>
          <w:p w14:paraId="4902BD74"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13.67</w:t>
            </w:r>
          </w:p>
        </w:tc>
      </w:tr>
      <w:tr w:rsidR="00692C0F" w:rsidRPr="001648DD" w14:paraId="45A2A64E" w14:textId="77777777" w:rsidTr="00BA4906">
        <w:tc>
          <w:tcPr>
            <w:tcW w:w="0" w:type="auto"/>
            <w:hideMark/>
          </w:tcPr>
          <w:p w14:paraId="4DBC0190"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Secondary</w:t>
            </w:r>
          </w:p>
        </w:tc>
        <w:tc>
          <w:tcPr>
            <w:tcW w:w="0" w:type="auto"/>
            <w:hideMark/>
          </w:tcPr>
          <w:p w14:paraId="4094C7DB"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102</w:t>
            </w:r>
          </w:p>
        </w:tc>
        <w:tc>
          <w:tcPr>
            <w:tcW w:w="0" w:type="auto"/>
            <w:hideMark/>
          </w:tcPr>
          <w:p w14:paraId="26C3EE88"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34.00</w:t>
            </w:r>
          </w:p>
        </w:tc>
      </w:tr>
      <w:tr w:rsidR="00692C0F" w:rsidRPr="001648DD" w14:paraId="571C8842" w14:textId="77777777" w:rsidTr="00BA4906">
        <w:tc>
          <w:tcPr>
            <w:tcW w:w="0" w:type="auto"/>
            <w:hideMark/>
          </w:tcPr>
          <w:p w14:paraId="0BD2E272"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Tertiary</w:t>
            </w:r>
          </w:p>
        </w:tc>
        <w:tc>
          <w:tcPr>
            <w:tcW w:w="0" w:type="auto"/>
            <w:hideMark/>
          </w:tcPr>
          <w:p w14:paraId="3445D64E"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145</w:t>
            </w:r>
          </w:p>
        </w:tc>
        <w:tc>
          <w:tcPr>
            <w:tcW w:w="0" w:type="auto"/>
            <w:hideMark/>
          </w:tcPr>
          <w:p w14:paraId="763B2C39"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48.33</w:t>
            </w:r>
          </w:p>
        </w:tc>
      </w:tr>
      <w:tr w:rsidR="00692C0F" w:rsidRPr="001648DD" w14:paraId="5D21A6C4" w14:textId="77777777" w:rsidTr="00BA4906">
        <w:tc>
          <w:tcPr>
            <w:tcW w:w="0" w:type="auto"/>
            <w:hideMark/>
          </w:tcPr>
          <w:p w14:paraId="7CA4280F" w14:textId="77777777" w:rsidR="00692C0F" w:rsidRPr="001648DD" w:rsidRDefault="00692C0F" w:rsidP="00433686">
            <w:pPr>
              <w:spacing w:line="276" w:lineRule="auto"/>
              <w:jc w:val="both"/>
              <w:rPr>
                <w:rFonts w:ascii="Arial" w:hAnsi="Arial" w:cs="Arial"/>
                <w:sz w:val="20"/>
                <w:szCs w:val="20"/>
              </w:rPr>
            </w:pPr>
            <w:r w:rsidRPr="001648DD">
              <w:rPr>
                <w:rStyle w:val="Strong"/>
                <w:rFonts w:ascii="Arial" w:hAnsi="Arial" w:cs="Arial"/>
                <w:sz w:val="20"/>
                <w:szCs w:val="20"/>
              </w:rPr>
              <w:t>Occupation</w:t>
            </w:r>
          </w:p>
        </w:tc>
        <w:tc>
          <w:tcPr>
            <w:tcW w:w="0" w:type="auto"/>
            <w:hideMark/>
          </w:tcPr>
          <w:p w14:paraId="40A1D0B8" w14:textId="77777777" w:rsidR="00692C0F" w:rsidRPr="001648DD" w:rsidRDefault="00692C0F" w:rsidP="00433686">
            <w:pPr>
              <w:spacing w:line="276" w:lineRule="auto"/>
              <w:jc w:val="both"/>
              <w:rPr>
                <w:rFonts w:ascii="Arial" w:hAnsi="Arial" w:cs="Arial"/>
                <w:sz w:val="20"/>
                <w:szCs w:val="20"/>
              </w:rPr>
            </w:pPr>
          </w:p>
        </w:tc>
        <w:tc>
          <w:tcPr>
            <w:tcW w:w="0" w:type="auto"/>
            <w:hideMark/>
          </w:tcPr>
          <w:p w14:paraId="1AD0F3B2" w14:textId="77777777" w:rsidR="00692C0F" w:rsidRPr="001648DD" w:rsidRDefault="00692C0F" w:rsidP="00433686">
            <w:pPr>
              <w:spacing w:line="276" w:lineRule="auto"/>
              <w:jc w:val="both"/>
              <w:rPr>
                <w:rFonts w:ascii="Arial" w:hAnsi="Arial" w:cs="Arial"/>
                <w:sz w:val="20"/>
                <w:szCs w:val="20"/>
              </w:rPr>
            </w:pPr>
          </w:p>
        </w:tc>
      </w:tr>
      <w:tr w:rsidR="00692C0F" w:rsidRPr="001648DD" w14:paraId="68690A3E" w14:textId="77777777" w:rsidTr="00BA4906">
        <w:tc>
          <w:tcPr>
            <w:tcW w:w="0" w:type="auto"/>
            <w:hideMark/>
          </w:tcPr>
          <w:p w14:paraId="6F078265"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Unemployed</w:t>
            </w:r>
          </w:p>
        </w:tc>
        <w:tc>
          <w:tcPr>
            <w:tcW w:w="0" w:type="auto"/>
            <w:hideMark/>
          </w:tcPr>
          <w:p w14:paraId="0E224AB1"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58</w:t>
            </w:r>
          </w:p>
        </w:tc>
        <w:tc>
          <w:tcPr>
            <w:tcW w:w="0" w:type="auto"/>
            <w:hideMark/>
          </w:tcPr>
          <w:p w14:paraId="54980E4A"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19.33</w:t>
            </w:r>
          </w:p>
        </w:tc>
      </w:tr>
      <w:tr w:rsidR="00692C0F" w:rsidRPr="001648DD" w14:paraId="62EEC513" w14:textId="77777777" w:rsidTr="00BA4906">
        <w:tc>
          <w:tcPr>
            <w:tcW w:w="0" w:type="auto"/>
            <w:hideMark/>
          </w:tcPr>
          <w:p w14:paraId="20BAD2CE"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lastRenderedPageBreak/>
              <w:t>Trader</w:t>
            </w:r>
          </w:p>
        </w:tc>
        <w:tc>
          <w:tcPr>
            <w:tcW w:w="0" w:type="auto"/>
            <w:hideMark/>
          </w:tcPr>
          <w:p w14:paraId="3A35D9FD"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89</w:t>
            </w:r>
          </w:p>
        </w:tc>
        <w:tc>
          <w:tcPr>
            <w:tcW w:w="0" w:type="auto"/>
            <w:hideMark/>
          </w:tcPr>
          <w:p w14:paraId="3EF89EBE"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29.67</w:t>
            </w:r>
          </w:p>
        </w:tc>
      </w:tr>
      <w:tr w:rsidR="00692C0F" w:rsidRPr="001648DD" w14:paraId="6C234744" w14:textId="77777777" w:rsidTr="00BA4906">
        <w:tc>
          <w:tcPr>
            <w:tcW w:w="0" w:type="auto"/>
            <w:hideMark/>
          </w:tcPr>
          <w:p w14:paraId="7D0B52E0"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Civil servant</w:t>
            </w:r>
          </w:p>
        </w:tc>
        <w:tc>
          <w:tcPr>
            <w:tcW w:w="0" w:type="auto"/>
            <w:hideMark/>
          </w:tcPr>
          <w:p w14:paraId="36774793"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74</w:t>
            </w:r>
          </w:p>
        </w:tc>
        <w:tc>
          <w:tcPr>
            <w:tcW w:w="0" w:type="auto"/>
            <w:hideMark/>
          </w:tcPr>
          <w:p w14:paraId="190190F8"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24.67</w:t>
            </w:r>
          </w:p>
        </w:tc>
      </w:tr>
      <w:tr w:rsidR="00692C0F" w:rsidRPr="001648DD" w14:paraId="0B693A5A" w14:textId="77777777" w:rsidTr="00BA4906">
        <w:tc>
          <w:tcPr>
            <w:tcW w:w="0" w:type="auto"/>
            <w:hideMark/>
          </w:tcPr>
          <w:p w14:paraId="2071FF5B"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Artisan</w:t>
            </w:r>
          </w:p>
        </w:tc>
        <w:tc>
          <w:tcPr>
            <w:tcW w:w="0" w:type="auto"/>
            <w:hideMark/>
          </w:tcPr>
          <w:p w14:paraId="505DFF14"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46</w:t>
            </w:r>
          </w:p>
        </w:tc>
        <w:tc>
          <w:tcPr>
            <w:tcW w:w="0" w:type="auto"/>
            <w:hideMark/>
          </w:tcPr>
          <w:p w14:paraId="410F84DF"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15.33</w:t>
            </w:r>
          </w:p>
        </w:tc>
      </w:tr>
      <w:tr w:rsidR="00692C0F" w:rsidRPr="001648DD" w14:paraId="43EC420E" w14:textId="77777777" w:rsidTr="00BA4906">
        <w:tc>
          <w:tcPr>
            <w:tcW w:w="0" w:type="auto"/>
            <w:hideMark/>
          </w:tcPr>
          <w:p w14:paraId="5EF05247"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Professional</w:t>
            </w:r>
          </w:p>
        </w:tc>
        <w:tc>
          <w:tcPr>
            <w:tcW w:w="0" w:type="auto"/>
            <w:hideMark/>
          </w:tcPr>
          <w:p w14:paraId="449167DA"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33</w:t>
            </w:r>
          </w:p>
        </w:tc>
        <w:tc>
          <w:tcPr>
            <w:tcW w:w="0" w:type="auto"/>
            <w:hideMark/>
          </w:tcPr>
          <w:p w14:paraId="1949EBEA"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11.00</w:t>
            </w:r>
          </w:p>
        </w:tc>
      </w:tr>
      <w:tr w:rsidR="00692C0F" w:rsidRPr="001648DD" w14:paraId="743B697B" w14:textId="77777777" w:rsidTr="00BA4906">
        <w:tc>
          <w:tcPr>
            <w:tcW w:w="0" w:type="auto"/>
            <w:hideMark/>
          </w:tcPr>
          <w:p w14:paraId="59AEE8F4" w14:textId="77777777" w:rsidR="00692C0F" w:rsidRPr="001648DD" w:rsidRDefault="00692C0F" w:rsidP="00433686">
            <w:pPr>
              <w:spacing w:line="276" w:lineRule="auto"/>
              <w:jc w:val="both"/>
              <w:rPr>
                <w:rFonts w:ascii="Arial" w:hAnsi="Arial" w:cs="Arial"/>
                <w:sz w:val="20"/>
                <w:szCs w:val="20"/>
              </w:rPr>
            </w:pPr>
            <w:r w:rsidRPr="001648DD">
              <w:rPr>
                <w:rStyle w:val="Strong"/>
                <w:rFonts w:ascii="Arial" w:hAnsi="Arial" w:cs="Arial"/>
                <w:sz w:val="20"/>
                <w:szCs w:val="20"/>
              </w:rPr>
              <w:t>Ethnicity</w:t>
            </w:r>
          </w:p>
        </w:tc>
        <w:tc>
          <w:tcPr>
            <w:tcW w:w="0" w:type="auto"/>
            <w:hideMark/>
          </w:tcPr>
          <w:p w14:paraId="262BB8A0" w14:textId="77777777" w:rsidR="00692C0F" w:rsidRPr="001648DD" w:rsidRDefault="00692C0F" w:rsidP="00433686">
            <w:pPr>
              <w:spacing w:line="276" w:lineRule="auto"/>
              <w:jc w:val="both"/>
              <w:rPr>
                <w:rFonts w:ascii="Arial" w:hAnsi="Arial" w:cs="Arial"/>
                <w:sz w:val="20"/>
                <w:szCs w:val="20"/>
              </w:rPr>
            </w:pPr>
          </w:p>
        </w:tc>
        <w:tc>
          <w:tcPr>
            <w:tcW w:w="0" w:type="auto"/>
            <w:hideMark/>
          </w:tcPr>
          <w:p w14:paraId="76569FBF" w14:textId="77777777" w:rsidR="00692C0F" w:rsidRPr="001648DD" w:rsidRDefault="00692C0F" w:rsidP="00433686">
            <w:pPr>
              <w:spacing w:line="276" w:lineRule="auto"/>
              <w:jc w:val="both"/>
              <w:rPr>
                <w:rFonts w:ascii="Arial" w:hAnsi="Arial" w:cs="Arial"/>
                <w:sz w:val="20"/>
                <w:szCs w:val="20"/>
              </w:rPr>
            </w:pPr>
          </w:p>
        </w:tc>
      </w:tr>
      <w:tr w:rsidR="00692C0F" w:rsidRPr="001648DD" w14:paraId="033AAD05" w14:textId="77777777" w:rsidTr="00BA4906">
        <w:tc>
          <w:tcPr>
            <w:tcW w:w="0" w:type="auto"/>
            <w:hideMark/>
          </w:tcPr>
          <w:p w14:paraId="264A80B5"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Igbo</w:t>
            </w:r>
          </w:p>
        </w:tc>
        <w:tc>
          <w:tcPr>
            <w:tcW w:w="0" w:type="auto"/>
            <w:hideMark/>
          </w:tcPr>
          <w:p w14:paraId="13385E52"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228</w:t>
            </w:r>
          </w:p>
        </w:tc>
        <w:tc>
          <w:tcPr>
            <w:tcW w:w="0" w:type="auto"/>
            <w:hideMark/>
          </w:tcPr>
          <w:p w14:paraId="74873CF6"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76.00</w:t>
            </w:r>
          </w:p>
        </w:tc>
      </w:tr>
      <w:tr w:rsidR="00692C0F" w:rsidRPr="001648DD" w14:paraId="405AD83D" w14:textId="77777777" w:rsidTr="00BA4906">
        <w:tc>
          <w:tcPr>
            <w:tcW w:w="0" w:type="auto"/>
            <w:hideMark/>
          </w:tcPr>
          <w:p w14:paraId="7D0C51D5"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Yoruba</w:t>
            </w:r>
          </w:p>
        </w:tc>
        <w:tc>
          <w:tcPr>
            <w:tcW w:w="0" w:type="auto"/>
            <w:hideMark/>
          </w:tcPr>
          <w:p w14:paraId="5CAC6159"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27</w:t>
            </w:r>
          </w:p>
        </w:tc>
        <w:tc>
          <w:tcPr>
            <w:tcW w:w="0" w:type="auto"/>
            <w:hideMark/>
          </w:tcPr>
          <w:p w14:paraId="5C1F85BF"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9.00</w:t>
            </w:r>
          </w:p>
        </w:tc>
      </w:tr>
      <w:tr w:rsidR="00692C0F" w:rsidRPr="001648DD" w14:paraId="5D8E1020" w14:textId="77777777" w:rsidTr="00BA4906">
        <w:tc>
          <w:tcPr>
            <w:tcW w:w="0" w:type="auto"/>
            <w:hideMark/>
          </w:tcPr>
          <w:p w14:paraId="78266C8E"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Hausa</w:t>
            </w:r>
          </w:p>
        </w:tc>
        <w:tc>
          <w:tcPr>
            <w:tcW w:w="0" w:type="auto"/>
            <w:hideMark/>
          </w:tcPr>
          <w:p w14:paraId="751F7FF7"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21</w:t>
            </w:r>
          </w:p>
        </w:tc>
        <w:tc>
          <w:tcPr>
            <w:tcW w:w="0" w:type="auto"/>
            <w:hideMark/>
          </w:tcPr>
          <w:p w14:paraId="547D14A6"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7.00</w:t>
            </w:r>
          </w:p>
        </w:tc>
      </w:tr>
      <w:tr w:rsidR="00692C0F" w:rsidRPr="001648DD" w14:paraId="286B9677" w14:textId="77777777" w:rsidTr="00BA4906">
        <w:tc>
          <w:tcPr>
            <w:tcW w:w="0" w:type="auto"/>
            <w:hideMark/>
          </w:tcPr>
          <w:p w14:paraId="2E0D8414"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Others</w:t>
            </w:r>
          </w:p>
        </w:tc>
        <w:tc>
          <w:tcPr>
            <w:tcW w:w="0" w:type="auto"/>
            <w:hideMark/>
          </w:tcPr>
          <w:p w14:paraId="5790AEAF"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24</w:t>
            </w:r>
          </w:p>
        </w:tc>
        <w:tc>
          <w:tcPr>
            <w:tcW w:w="0" w:type="auto"/>
            <w:hideMark/>
          </w:tcPr>
          <w:p w14:paraId="648A4AFC"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8.00</w:t>
            </w:r>
          </w:p>
        </w:tc>
      </w:tr>
      <w:tr w:rsidR="00692C0F" w:rsidRPr="001648DD" w14:paraId="3FBB412C" w14:textId="77777777" w:rsidTr="00BA4906">
        <w:tc>
          <w:tcPr>
            <w:tcW w:w="0" w:type="auto"/>
            <w:hideMark/>
          </w:tcPr>
          <w:p w14:paraId="427822CE" w14:textId="77777777" w:rsidR="00692C0F" w:rsidRPr="001648DD" w:rsidRDefault="00692C0F" w:rsidP="00433686">
            <w:pPr>
              <w:spacing w:line="276" w:lineRule="auto"/>
              <w:jc w:val="both"/>
              <w:rPr>
                <w:rFonts w:ascii="Arial" w:hAnsi="Arial" w:cs="Arial"/>
                <w:sz w:val="20"/>
                <w:szCs w:val="20"/>
              </w:rPr>
            </w:pPr>
            <w:r w:rsidRPr="001648DD">
              <w:rPr>
                <w:rStyle w:val="Strong"/>
                <w:rFonts w:ascii="Arial" w:hAnsi="Arial" w:cs="Arial"/>
                <w:sz w:val="20"/>
                <w:szCs w:val="20"/>
              </w:rPr>
              <w:t>Residence</w:t>
            </w:r>
          </w:p>
        </w:tc>
        <w:tc>
          <w:tcPr>
            <w:tcW w:w="0" w:type="auto"/>
            <w:hideMark/>
          </w:tcPr>
          <w:p w14:paraId="15DC0EEE" w14:textId="77777777" w:rsidR="00692C0F" w:rsidRPr="001648DD" w:rsidRDefault="00692C0F" w:rsidP="00433686">
            <w:pPr>
              <w:spacing w:line="276" w:lineRule="auto"/>
              <w:jc w:val="both"/>
              <w:rPr>
                <w:rFonts w:ascii="Arial" w:hAnsi="Arial" w:cs="Arial"/>
                <w:sz w:val="20"/>
                <w:szCs w:val="20"/>
              </w:rPr>
            </w:pPr>
          </w:p>
        </w:tc>
        <w:tc>
          <w:tcPr>
            <w:tcW w:w="0" w:type="auto"/>
            <w:hideMark/>
          </w:tcPr>
          <w:p w14:paraId="36358EFD" w14:textId="77777777" w:rsidR="00692C0F" w:rsidRPr="001648DD" w:rsidRDefault="00692C0F" w:rsidP="00433686">
            <w:pPr>
              <w:spacing w:line="276" w:lineRule="auto"/>
              <w:jc w:val="both"/>
              <w:rPr>
                <w:rFonts w:ascii="Arial" w:hAnsi="Arial" w:cs="Arial"/>
                <w:sz w:val="20"/>
                <w:szCs w:val="20"/>
              </w:rPr>
            </w:pPr>
          </w:p>
        </w:tc>
      </w:tr>
      <w:tr w:rsidR="00692C0F" w:rsidRPr="001648DD" w14:paraId="2350E36B" w14:textId="77777777" w:rsidTr="00BA4906">
        <w:tc>
          <w:tcPr>
            <w:tcW w:w="0" w:type="auto"/>
            <w:hideMark/>
          </w:tcPr>
          <w:p w14:paraId="0DC016D8"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Urban</w:t>
            </w:r>
          </w:p>
        </w:tc>
        <w:tc>
          <w:tcPr>
            <w:tcW w:w="0" w:type="auto"/>
            <w:hideMark/>
          </w:tcPr>
          <w:p w14:paraId="1D39187D"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189</w:t>
            </w:r>
          </w:p>
        </w:tc>
        <w:tc>
          <w:tcPr>
            <w:tcW w:w="0" w:type="auto"/>
            <w:hideMark/>
          </w:tcPr>
          <w:p w14:paraId="326D39D8"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63.00</w:t>
            </w:r>
          </w:p>
        </w:tc>
      </w:tr>
      <w:tr w:rsidR="00692C0F" w:rsidRPr="001648DD" w14:paraId="5354A85B" w14:textId="77777777" w:rsidTr="00BA4906">
        <w:tc>
          <w:tcPr>
            <w:tcW w:w="0" w:type="auto"/>
            <w:hideMark/>
          </w:tcPr>
          <w:p w14:paraId="71315270"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Rural</w:t>
            </w:r>
          </w:p>
        </w:tc>
        <w:tc>
          <w:tcPr>
            <w:tcW w:w="0" w:type="auto"/>
            <w:hideMark/>
          </w:tcPr>
          <w:p w14:paraId="0C349956"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111</w:t>
            </w:r>
          </w:p>
        </w:tc>
        <w:tc>
          <w:tcPr>
            <w:tcW w:w="0" w:type="auto"/>
            <w:hideMark/>
          </w:tcPr>
          <w:p w14:paraId="58EB3B74"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37.00</w:t>
            </w:r>
          </w:p>
        </w:tc>
      </w:tr>
    </w:tbl>
    <w:p w14:paraId="71CB9561" w14:textId="77777777" w:rsidR="00692C0F" w:rsidRPr="001648DD" w:rsidRDefault="00692C0F" w:rsidP="00433686">
      <w:pPr>
        <w:spacing w:after="0" w:line="276" w:lineRule="auto"/>
        <w:jc w:val="both"/>
        <w:rPr>
          <w:rFonts w:ascii="Arial" w:eastAsia="Times New Roman" w:hAnsi="Arial" w:cs="Arial"/>
          <w:sz w:val="20"/>
          <w:szCs w:val="20"/>
        </w:rPr>
      </w:pPr>
    </w:p>
    <w:p w14:paraId="58CA5F01" w14:textId="7158CF4C" w:rsidR="00692C0F" w:rsidRPr="001648DD" w:rsidRDefault="00692C0F" w:rsidP="00433686">
      <w:pPr>
        <w:jc w:val="both"/>
        <w:rPr>
          <w:rFonts w:ascii="Arial" w:hAnsi="Arial" w:cs="Arial"/>
          <w:sz w:val="20"/>
          <w:szCs w:val="20"/>
        </w:rPr>
      </w:pPr>
    </w:p>
    <w:p w14:paraId="7737E44E" w14:textId="4C7DE3F2" w:rsidR="007D3985" w:rsidRPr="001648DD" w:rsidRDefault="00692C0F" w:rsidP="00433686">
      <w:pPr>
        <w:pStyle w:val="Heading3"/>
        <w:jc w:val="both"/>
        <w:rPr>
          <w:rFonts w:ascii="Arial" w:hAnsi="Arial" w:cs="Arial"/>
          <w:sz w:val="20"/>
          <w:szCs w:val="20"/>
        </w:rPr>
      </w:pPr>
      <w:r w:rsidRPr="001648DD">
        <w:rPr>
          <w:rStyle w:val="Strong"/>
          <w:rFonts w:ascii="Arial" w:hAnsi="Arial" w:cs="Arial"/>
          <w:b/>
          <w:bCs/>
          <w:sz w:val="20"/>
          <w:szCs w:val="20"/>
        </w:rPr>
        <w:t>Table 2</w:t>
      </w:r>
      <w:r w:rsidR="007D3985" w:rsidRPr="001648DD">
        <w:rPr>
          <w:rStyle w:val="Strong"/>
          <w:rFonts w:ascii="Arial" w:hAnsi="Arial" w:cs="Arial"/>
          <w:b/>
          <w:bCs/>
          <w:sz w:val="20"/>
          <w:szCs w:val="20"/>
        </w:rPr>
        <w:t>:</w:t>
      </w:r>
      <w:r w:rsidRPr="001648DD">
        <w:rPr>
          <w:rStyle w:val="Strong"/>
          <w:rFonts w:ascii="Arial" w:hAnsi="Arial" w:cs="Arial"/>
          <w:b/>
          <w:bCs/>
          <w:sz w:val="20"/>
          <w:szCs w:val="20"/>
        </w:rPr>
        <w:t xml:space="preserve"> Reproductive and Gynecological History</w:t>
      </w:r>
    </w:p>
    <w:tbl>
      <w:tblPr>
        <w:tblStyle w:val="TableGrid"/>
        <w:tblW w:w="0" w:type="auto"/>
        <w:tblLook w:val="04A0" w:firstRow="1" w:lastRow="0" w:firstColumn="1" w:lastColumn="0" w:noHBand="0" w:noVBand="1"/>
      </w:tblPr>
      <w:tblGrid>
        <w:gridCol w:w="4396"/>
        <w:gridCol w:w="2100"/>
        <w:gridCol w:w="1661"/>
      </w:tblGrid>
      <w:tr w:rsidR="007D3985" w:rsidRPr="001648DD" w14:paraId="4527E216" w14:textId="77777777" w:rsidTr="00BA4906">
        <w:tc>
          <w:tcPr>
            <w:tcW w:w="0" w:type="auto"/>
            <w:hideMark/>
          </w:tcPr>
          <w:p w14:paraId="363E8CA2" w14:textId="77777777" w:rsidR="007D3985" w:rsidRPr="001648DD" w:rsidRDefault="007D3985" w:rsidP="00433686">
            <w:pPr>
              <w:spacing w:line="276" w:lineRule="auto"/>
              <w:jc w:val="both"/>
              <w:rPr>
                <w:rFonts w:ascii="Arial" w:hAnsi="Arial" w:cs="Arial"/>
                <w:b/>
                <w:bCs/>
                <w:sz w:val="20"/>
                <w:szCs w:val="20"/>
              </w:rPr>
            </w:pPr>
            <w:r w:rsidRPr="001648DD">
              <w:rPr>
                <w:rFonts w:ascii="Arial" w:hAnsi="Arial" w:cs="Arial"/>
                <w:b/>
                <w:bCs/>
                <w:sz w:val="20"/>
                <w:szCs w:val="20"/>
              </w:rPr>
              <w:t>Variable</w:t>
            </w:r>
          </w:p>
        </w:tc>
        <w:tc>
          <w:tcPr>
            <w:tcW w:w="0" w:type="auto"/>
            <w:hideMark/>
          </w:tcPr>
          <w:p w14:paraId="18A5E5EA" w14:textId="77777777" w:rsidR="007D3985" w:rsidRPr="001648DD" w:rsidRDefault="007D3985" w:rsidP="00433686">
            <w:pPr>
              <w:spacing w:line="276" w:lineRule="auto"/>
              <w:jc w:val="both"/>
              <w:rPr>
                <w:rFonts w:ascii="Arial" w:hAnsi="Arial" w:cs="Arial"/>
                <w:b/>
                <w:bCs/>
                <w:sz w:val="20"/>
                <w:szCs w:val="20"/>
              </w:rPr>
            </w:pPr>
            <w:r w:rsidRPr="001648DD">
              <w:rPr>
                <w:rFonts w:ascii="Arial" w:hAnsi="Arial" w:cs="Arial"/>
                <w:b/>
                <w:bCs/>
                <w:sz w:val="20"/>
                <w:szCs w:val="20"/>
              </w:rPr>
              <w:t>Frequency (n = 300)</w:t>
            </w:r>
          </w:p>
        </w:tc>
        <w:tc>
          <w:tcPr>
            <w:tcW w:w="0" w:type="auto"/>
            <w:hideMark/>
          </w:tcPr>
          <w:p w14:paraId="2F720B4A" w14:textId="77777777" w:rsidR="007D3985" w:rsidRPr="001648DD" w:rsidRDefault="007D3985" w:rsidP="00433686">
            <w:pPr>
              <w:spacing w:line="276" w:lineRule="auto"/>
              <w:jc w:val="both"/>
              <w:rPr>
                <w:rFonts w:ascii="Arial" w:hAnsi="Arial" w:cs="Arial"/>
                <w:b/>
                <w:bCs/>
                <w:sz w:val="20"/>
                <w:szCs w:val="20"/>
              </w:rPr>
            </w:pPr>
            <w:r w:rsidRPr="001648DD">
              <w:rPr>
                <w:rFonts w:ascii="Arial" w:hAnsi="Arial" w:cs="Arial"/>
                <w:b/>
                <w:bCs/>
                <w:sz w:val="20"/>
                <w:szCs w:val="20"/>
              </w:rPr>
              <w:t>Percentage (%)</w:t>
            </w:r>
          </w:p>
        </w:tc>
      </w:tr>
      <w:tr w:rsidR="007D3985" w:rsidRPr="001648DD" w14:paraId="1CA95694" w14:textId="77777777" w:rsidTr="00BA4906">
        <w:tc>
          <w:tcPr>
            <w:tcW w:w="0" w:type="auto"/>
            <w:hideMark/>
          </w:tcPr>
          <w:p w14:paraId="2619356B" w14:textId="77777777" w:rsidR="007D3985" w:rsidRPr="001648DD" w:rsidRDefault="007D3985" w:rsidP="00433686">
            <w:pPr>
              <w:spacing w:line="276" w:lineRule="auto"/>
              <w:jc w:val="both"/>
              <w:rPr>
                <w:rFonts w:ascii="Arial" w:hAnsi="Arial" w:cs="Arial"/>
                <w:sz w:val="20"/>
                <w:szCs w:val="20"/>
              </w:rPr>
            </w:pPr>
            <w:r w:rsidRPr="001648DD">
              <w:rPr>
                <w:rStyle w:val="Strong"/>
                <w:rFonts w:ascii="Arial" w:hAnsi="Arial" w:cs="Arial"/>
                <w:sz w:val="20"/>
                <w:szCs w:val="20"/>
              </w:rPr>
              <w:t>Age at menarche (years)</w:t>
            </w:r>
          </w:p>
        </w:tc>
        <w:tc>
          <w:tcPr>
            <w:tcW w:w="0" w:type="auto"/>
            <w:hideMark/>
          </w:tcPr>
          <w:p w14:paraId="30231207" w14:textId="77777777" w:rsidR="007D3985" w:rsidRPr="001648DD" w:rsidRDefault="007D3985" w:rsidP="00433686">
            <w:pPr>
              <w:spacing w:line="276" w:lineRule="auto"/>
              <w:jc w:val="both"/>
              <w:rPr>
                <w:rFonts w:ascii="Arial" w:hAnsi="Arial" w:cs="Arial"/>
                <w:sz w:val="20"/>
                <w:szCs w:val="20"/>
              </w:rPr>
            </w:pPr>
          </w:p>
        </w:tc>
        <w:tc>
          <w:tcPr>
            <w:tcW w:w="0" w:type="auto"/>
            <w:hideMark/>
          </w:tcPr>
          <w:p w14:paraId="4C776D4F" w14:textId="77777777" w:rsidR="007D3985" w:rsidRPr="001648DD" w:rsidRDefault="007D3985" w:rsidP="00433686">
            <w:pPr>
              <w:spacing w:line="276" w:lineRule="auto"/>
              <w:jc w:val="both"/>
              <w:rPr>
                <w:rFonts w:ascii="Arial" w:hAnsi="Arial" w:cs="Arial"/>
                <w:sz w:val="20"/>
                <w:szCs w:val="20"/>
              </w:rPr>
            </w:pPr>
          </w:p>
        </w:tc>
      </w:tr>
      <w:tr w:rsidR="007D3985" w:rsidRPr="001648DD" w14:paraId="0AB24092" w14:textId="77777777" w:rsidTr="00BA4906">
        <w:tc>
          <w:tcPr>
            <w:tcW w:w="0" w:type="auto"/>
            <w:hideMark/>
          </w:tcPr>
          <w:p w14:paraId="276B2E4E"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≤11</w:t>
            </w:r>
          </w:p>
        </w:tc>
        <w:tc>
          <w:tcPr>
            <w:tcW w:w="0" w:type="auto"/>
            <w:hideMark/>
          </w:tcPr>
          <w:p w14:paraId="55DC2533"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46</w:t>
            </w:r>
          </w:p>
        </w:tc>
        <w:tc>
          <w:tcPr>
            <w:tcW w:w="0" w:type="auto"/>
            <w:hideMark/>
          </w:tcPr>
          <w:p w14:paraId="798BFE93"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15.33</w:t>
            </w:r>
          </w:p>
        </w:tc>
      </w:tr>
      <w:tr w:rsidR="007D3985" w:rsidRPr="001648DD" w14:paraId="23F8F53E" w14:textId="77777777" w:rsidTr="00BA4906">
        <w:tc>
          <w:tcPr>
            <w:tcW w:w="0" w:type="auto"/>
            <w:hideMark/>
          </w:tcPr>
          <w:p w14:paraId="7363DB8E"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12–13</w:t>
            </w:r>
          </w:p>
        </w:tc>
        <w:tc>
          <w:tcPr>
            <w:tcW w:w="0" w:type="auto"/>
            <w:hideMark/>
          </w:tcPr>
          <w:p w14:paraId="58EAD178"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139</w:t>
            </w:r>
          </w:p>
        </w:tc>
        <w:tc>
          <w:tcPr>
            <w:tcW w:w="0" w:type="auto"/>
            <w:hideMark/>
          </w:tcPr>
          <w:p w14:paraId="4372BE3D"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46.33</w:t>
            </w:r>
          </w:p>
        </w:tc>
      </w:tr>
      <w:tr w:rsidR="007D3985" w:rsidRPr="001648DD" w14:paraId="1576D702" w14:textId="77777777" w:rsidTr="00BA4906">
        <w:tc>
          <w:tcPr>
            <w:tcW w:w="0" w:type="auto"/>
            <w:hideMark/>
          </w:tcPr>
          <w:p w14:paraId="20E4FF27"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14–15</w:t>
            </w:r>
          </w:p>
        </w:tc>
        <w:tc>
          <w:tcPr>
            <w:tcW w:w="0" w:type="auto"/>
            <w:hideMark/>
          </w:tcPr>
          <w:p w14:paraId="0C1D346B"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91</w:t>
            </w:r>
          </w:p>
        </w:tc>
        <w:tc>
          <w:tcPr>
            <w:tcW w:w="0" w:type="auto"/>
            <w:hideMark/>
          </w:tcPr>
          <w:p w14:paraId="577097A7"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30.33</w:t>
            </w:r>
          </w:p>
        </w:tc>
      </w:tr>
      <w:tr w:rsidR="007D3985" w:rsidRPr="001648DD" w14:paraId="4D897240" w14:textId="77777777" w:rsidTr="00BA4906">
        <w:tc>
          <w:tcPr>
            <w:tcW w:w="0" w:type="auto"/>
            <w:hideMark/>
          </w:tcPr>
          <w:p w14:paraId="0B232C70"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≥16</w:t>
            </w:r>
          </w:p>
        </w:tc>
        <w:tc>
          <w:tcPr>
            <w:tcW w:w="0" w:type="auto"/>
            <w:hideMark/>
          </w:tcPr>
          <w:p w14:paraId="5F6C8DD1"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24</w:t>
            </w:r>
          </w:p>
        </w:tc>
        <w:tc>
          <w:tcPr>
            <w:tcW w:w="0" w:type="auto"/>
            <w:hideMark/>
          </w:tcPr>
          <w:p w14:paraId="62896F8D"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8.00</w:t>
            </w:r>
          </w:p>
        </w:tc>
      </w:tr>
      <w:tr w:rsidR="007D3985" w:rsidRPr="001648DD" w14:paraId="774BD0FB" w14:textId="77777777" w:rsidTr="00BA4906">
        <w:tc>
          <w:tcPr>
            <w:tcW w:w="0" w:type="auto"/>
            <w:hideMark/>
          </w:tcPr>
          <w:p w14:paraId="2CF0EF05" w14:textId="77777777" w:rsidR="007D3985" w:rsidRPr="001648DD" w:rsidRDefault="007D3985" w:rsidP="00433686">
            <w:pPr>
              <w:spacing w:line="276" w:lineRule="auto"/>
              <w:jc w:val="both"/>
              <w:rPr>
                <w:rFonts w:ascii="Arial" w:hAnsi="Arial" w:cs="Arial"/>
                <w:sz w:val="20"/>
                <w:szCs w:val="20"/>
              </w:rPr>
            </w:pPr>
            <w:r w:rsidRPr="001648DD">
              <w:rPr>
                <w:rStyle w:val="Strong"/>
                <w:rFonts w:ascii="Arial" w:hAnsi="Arial" w:cs="Arial"/>
                <w:sz w:val="20"/>
                <w:szCs w:val="20"/>
              </w:rPr>
              <w:t>Menstrual cycle regularity</w:t>
            </w:r>
          </w:p>
        </w:tc>
        <w:tc>
          <w:tcPr>
            <w:tcW w:w="0" w:type="auto"/>
            <w:hideMark/>
          </w:tcPr>
          <w:p w14:paraId="320E70A1" w14:textId="77777777" w:rsidR="007D3985" w:rsidRPr="001648DD" w:rsidRDefault="007D3985" w:rsidP="00433686">
            <w:pPr>
              <w:spacing w:line="276" w:lineRule="auto"/>
              <w:jc w:val="both"/>
              <w:rPr>
                <w:rFonts w:ascii="Arial" w:hAnsi="Arial" w:cs="Arial"/>
                <w:sz w:val="20"/>
                <w:szCs w:val="20"/>
              </w:rPr>
            </w:pPr>
          </w:p>
        </w:tc>
        <w:tc>
          <w:tcPr>
            <w:tcW w:w="0" w:type="auto"/>
            <w:hideMark/>
          </w:tcPr>
          <w:p w14:paraId="6F0393D9" w14:textId="77777777" w:rsidR="007D3985" w:rsidRPr="001648DD" w:rsidRDefault="007D3985" w:rsidP="00433686">
            <w:pPr>
              <w:spacing w:line="276" w:lineRule="auto"/>
              <w:jc w:val="both"/>
              <w:rPr>
                <w:rFonts w:ascii="Arial" w:hAnsi="Arial" w:cs="Arial"/>
                <w:sz w:val="20"/>
                <w:szCs w:val="20"/>
              </w:rPr>
            </w:pPr>
          </w:p>
        </w:tc>
      </w:tr>
      <w:tr w:rsidR="007D3985" w:rsidRPr="001648DD" w14:paraId="0AF6F723" w14:textId="77777777" w:rsidTr="00BA4906">
        <w:tc>
          <w:tcPr>
            <w:tcW w:w="0" w:type="auto"/>
            <w:hideMark/>
          </w:tcPr>
          <w:p w14:paraId="329D35C7"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Regular</w:t>
            </w:r>
          </w:p>
        </w:tc>
        <w:tc>
          <w:tcPr>
            <w:tcW w:w="0" w:type="auto"/>
            <w:hideMark/>
          </w:tcPr>
          <w:p w14:paraId="5424F23A"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204</w:t>
            </w:r>
          </w:p>
        </w:tc>
        <w:tc>
          <w:tcPr>
            <w:tcW w:w="0" w:type="auto"/>
            <w:hideMark/>
          </w:tcPr>
          <w:p w14:paraId="286D7A3B"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68.00</w:t>
            </w:r>
          </w:p>
        </w:tc>
      </w:tr>
      <w:tr w:rsidR="007D3985" w:rsidRPr="001648DD" w14:paraId="6046DB11" w14:textId="77777777" w:rsidTr="00BA4906">
        <w:tc>
          <w:tcPr>
            <w:tcW w:w="0" w:type="auto"/>
            <w:hideMark/>
          </w:tcPr>
          <w:p w14:paraId="3F73BB0D"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Irregular</w:t>
            </w:r>
          </w:p>
        </w:tc>
        <w:tc>
          <w:tcPr>
            <w:tcW w:w="0" w:type="auto"/>
            <w:hideMark/>
          </w:tcPr>
          <w:p w14:paraId="55DBCA8C"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96</w:t>
            </w:r>
          </w:p>
        </w:tc>
        <w:tc>
          <w:tcPr>
            <w:tcW w:w="0" w:type="auto"/>
            <w:hideMark/>
          </w:tcPr>
          <w:p w14:paraId="6BF63B1E"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32.00</w:t>
            </w:r>
          </w:p>
        </w:tc>
      </w:tr>
      <w:tr w:rsidR="007D3985" w:rsidRPr="001648DD" w14:paraId="73FFC866" w14:textId="77777777" w:rsidTr="00BA4906">
        <w:tc>
          <w:tcPr>
            <w:tcW w:w="0" w:type="auto"/>
            <w:hideMark/>
          </w:tcPr>
          <w:p w14:paraId="194F0E0B" w14:textId="77777777" w:rsidR="007D3985" w:rsidRPr="001648DD" w:rsidRDefault="007D3985" w:rsidP="00433686">
            <w:pPr>
              <w:spacing w:line="276" w:lineRule="auto"/>
              <w:jc w:val="both"/>
              <w:rPr>
                <w:rFonts w:ascii="Arial" w:hAnsi="Arial" w:cs="Arial"/>
                <w:sz w:val="20"/>
                <w:szCs w:val="20"/>
              </w:rPr>
            </w:pPr>
            <w:r w:rsidRPr="001648DD">
              <w:rPr>
                <w:rStyle w:val="Strong"/>
                <w:rFonts w:ascii="Arial" w:hAnsi="Arial" w:cs="Arial"/>
                <w:sz w:val="20"/>
                <w:szCs w:val="20"/>
              </w:rPr>
              <w:t>Parity</w:t>
            </w:r>
          </w:p>
        </w:tc>
        <w:tc>
          <w:tcPr>
            <w:tcW w:w="0" w:type="auto"/>
            <w:hideMark/>
          </w:tcPr>
          <w:p w14:paraId="08DA80EF" w14:textId="77777777" w:rsidR="007D3985" w:rsidRPr="001648DD" w:rsidRDefault="007D3985" w:rsidP="00433686">
            <w:pPr>
              <w:spacing w:line="276" w:lineRule="auto"/>
              <w:jc w:val="both"/>
              <w:rPr>
                <w:rFonts w:ascii="Arial" w:hAnsi="Arial" w:cs="Arial"/>
                <w:sz w:val="20"/>
                <w:szCs w:val="20"/>
              </w:rPr>
            </w:pPr>
          </w:p>
        </w:tc>
        <w:tc>
          <w:tcPr>
            <w:tcW w:w="0" w:type="auto"/>
            <w:hideMark/>
          </w:tcPr>
          <w:p w14:paraId="4191087F" w14:textId="77777777" w:rsidR="007D3985" w:rsidRPr="001648DD" w:rsidRDefault="007D3985" w:rsidP="00433686">
            <w:pPr>
              <w:spacing w:line="276" w:lineRule="auto"/>
              <w:jc w:val="both"/>
              <w:rPr>
                <w:rFonts w:ascii="Arial" w:hAnsi="Arial" w:cs="Arial"/>
                <w:sz w:val="20"/>
                <w:szCs w:val="20"/>
              </w:rPr>
            </w:pPr>
          </w:p>
        </w:tc>
      </w:tr>
      <w:tr w:rsidR="007D3985" w:rsidRPr="001648DD" w14:paraId="4DC088F1" w14:textId="77777777" w:rsidTr="00BA4906">
        <w:tc>
          <w:tcPr>
            <w:tcW w:w="0" w:type="auto"/>
            <w:hideMark/>
          </w:tcPr>
          <w:p w14:paraId="36B7F035"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Nulliparous</w:t>
            </w:r>
          </w:p>
        </w:tc>
        <w:tc>
          <w:tcPr>
            <w:tcW w:w="0" w:type="auto"/>
            <w:hideMark/>
          </w:tcPr>
          <w:p w14:paraId="49870489"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92</w:t>
            </w:r>
          </w:p>
        </w:tc>
        <w:tc>
          <w:tcPr>
            <w:tcW w:w="0" w:type="auto"/>
            <w:hideMark/>
          </w:tcPr>
          <w:p w14:paraId="5BC5C918"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30.67</w:t>
            </w:r>
          </w:p>
        </w:tc>
      </w:tr>
      <w:tr w:rsidR="007D3985" w:rsidRPr="001648DD" w14:paraId="2DB680EC" w14:textId="77777777" w:rsidTr="00BA4906">
        <w:tc>
          <w:tcPr>
            <w:tcW w:w="0" w:type="auto"/>
            <w:hideMark/>
          </w:tcPr>
          <w:p w14:paraId="6E525C9D"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1–2 children</w:t>
            </w:r>
          </w:p>
        </w:tc>
        <w:tc>
          <w:tcPr>
            <w:tcW w:w="0" w:type="auto"/>
            <w:hideMark/>
          </w:tcPr>
          <w:p w14:paraId="68B7F5C8"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87</w:t>
            </w:r>
          </w:p>
        </w:tc>
        <w:tc>
          <w:tcPr>
            <w:tcW w:w="0" w:type="auto"/>
            <w:hideMark/>
          </w:tcPr>
          <w:p w14:paraId="745CF882"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29.00</w:t>
            </w:r>
          </w:p>
        </w:tc>
      </w:tr>
      <w:tr w:rsidR="007D3985" w:rsidRPr="001648DD" w14:paraId="7744215C" w14:textId="77777777" w:rsidTr="00BA4906">
        <w:tc>
          <w:tcPr>
            <w:tcW w:w="0" w:type="auto"/>
            <w:hideMark/>
          </w:tcPr>
          <w:p w14:paraId="4D7CB493"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3–4 children</w:t>
            </w:r>
          </w:p>
        </w:tc>
        <w:tc>
          <w:tcPr>
            <w:tcW w:w="0" w:type="auto"/>
            <w:hideMark/>
          </w:tcPr>
          <w:p w14:paraId="4428593F"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85</w:t>
            </w:r>
          </w:p>
        </w:tc>
        <w:tc>
          <w:tcPr>
            <w:tcW w:w="0" w:type="auto"/>
            <w:hideMark/>
          </w:tcPr>
          <w:p w14:paraId="5AF4AAAA"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28.33</w:t>
            </w:r>
          </w:p>
        </w:tc>
      </w:tr>
      <w:tr w:rsidR="007D3985" w:rsidRPr="001648DD" w14:paraId="3A24FE95" w14:textId="77777777" w:rsidTr="00BA4906">
        <w:tc>
          <w:tcPr>
            <w:tcW w:w="0" w:type="auto"/>
            <w:hideMark/>
          </w:tcPr>
          <w:p w14:paraId="0BC0ABF4"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≥5 children</w:t>
            </w:r>
          </w:p>
        </w:tc>
        <w:tc>
          <w:tcPr>
            <w:tcW w:w="0" w:type="auto"/>
            <w:hideMark/>
          </w:tcPr>
          <w:p w14:paraId="799167E9"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36</w:t>
            </w:r>
          </w:p>
        </w:tc>
        <w:tc>
          <w:tcPr>
            <w:tcW w:w="0" w:type="auto"/>
            <w:hideMark/>
          </w:tcPr>
          <w:p w14:paraId="5A4C3F4B"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12.00</w:t>
            </w:r>
          </w:p>
        </w:tc>
      </w:tr>
      <w:tr w:rsidR="007D3985" w:rsidRPr="001648DD" w14:paraId="6495CECC" w14:textId="77777777" w:rsidTr="00BA4906">
        <w:tc>
          <w:tcPr>
            <w:tcW w:w="0" w:type="auto"/>
            <w:hideMark/>
          </w:tcPr>
          <w:p w14:paraId="384767E8" w14:textId="77777777" w:rsidR="007D3985" w:rsidRPr="001648DD" w:rsidRDefault="007D3985" w:rsidP="00433686">
            <w:pPr>
              <w:spacing w:line="276" w:lineRule="auto"/>
              <w:jc w:val="both"/>
              <w:rPr>
                <w:rFonts w:ascii="Arial" w:hAnsi="Arial" w:cs="Arial"/>
                <w:sz w:val="20"/>
                <w:szCs w:val="20"/>
              </w:rPr>
            </w:pPr>
            <w:r w:rsidRPr="001648DD">
              <w:rPr>
                <w:rStyle w:val="Strong"/>
                <w:rFonts w:ascii="Arial" w:hAnsi="Arial" w:cs="Arial"/>
                <w:sz w:val="20"/>
                <w:szCs w:val="20"/>
              </w:rPr>
              <w:t>History of infertility</w:t>
            </w:r>
          </w:p>
        </w:tc>
        <w:tc>
          <w:tcPr>
            <w:tcW w:w="0" w:type="auto"/>
            <w:hideMark/>
          </w:tcPr>
          <w:p w14:paraId="2669F797" w14:textId="77777777" w:rsidR="007D3985" w:rsidRPr="001648DD" w:rsidRDefault="007D3985" w:rsidP="00433686">
            <w:pPr>
              <w:spacing w:line="276" w:lineRule="auto"/>
              <w:jc w:val="both"/>
              <w:rPr>
                <w:rFonts w:ascii="Arial" w:hAnsi="Arial" w:cs="Arial"/>
                <w:sz w:val="20"/>
                <w:szCs w:val="20"/>
              </w:rPr>
            </w:pPr>
          </w:p>
        </w:tc>
        <w:tc>
          <w:tcPr>
            <w:tcW w:w="0" w:type="auto"/>
            <w:hideMark/>
          </w:tcPr>
          <w:p w14:paraId="4A4C1A32" w14:textId="77777777" w:rsidR="007D3985" w:rsidRPr="001648DD" w:rsidRDefault="007D3985" w:rsidP="00433686">
            <w:pPr>
              <w:spacing w:line="276" w:lineRule="auto"/>
              <w:jc w:val="both"/>
              <w:rPr>
                <w:rFonts w:ascii="Arial" w:hAnsi="Arial" w:cs="Arial"/>
                <w:sz w:val="20"/>
                <w:szCs w:val="20"/>
              </w:rPr>
            </w:pPr>
          </w:p>
        </w:tc>
      </w:tr>
      <w:tr w:rsidR="007D3985" w:rsidRPr="001648DD" w14:paraId="03BA7822" w14:textId="77777777" w:rsidTr="00BA4906">
        <w:tc>
          <w:tcPr>
            <w:tcW w:w="0" w:type="auto"/>
            <w:hideMark/>
          </w:tcPr>
          <w:p w14:paraId="622B51C2"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Yes</w:t>
            </w:r>
          </w:p>
        </w:tc>
        <w:tc>
          <w:tcPr>
            <w:tcW w:w="0" w:type="auto"/>
            <w:hideMark/>
          </w:tcPr>
          <w:p w14:paraId="32EC5DAA"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67</w:t>
            </w:r>
          </w:p>
        </w:tc>
        <w:tc>
          <w:tcPr>
            <w:tcW w:w="0" w:type="auto"/>
            <w:hideMark/>
          </w:tcPr>
          <w:p w14:paraId="30D20299"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22.33</w:t>
            </w:r>
          </w:p>
        </w:tc>
      </w:tr>
      <w:tr w:rsidR="007D3985" w:rsidRPr="001648DD" w14:paraId="03421A1E" w14:textId="77777777" w:rsidTr="00BA4906">
        <w:tc>
          <w:tcPr>
            <w:tcW w:w="0" w:type="auto"/>
            <w:hideMark/>
          </w:tcPr>
          <w:p w14:paraId="239F6DF2"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No</w:t>
            </w:r>
          </w:p>
        </w:tc>
        <w:tc>
          <w:tcPr>
            <w:tcW w:w="0" w:type="auto"/>
            <w:hideMark/>
          </w:tcPr>
          <w:p w14:paraId="36499C3B"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233</w:t>
            </w:r>
          </w:p>
        </w:tc>
        <w:tc>
          <w:tcPr>
            <w:tcW w:w="0" w:type="auto"/>
            <w:hideMark/>
          </w:tcPr>
          <w:p w14:paraId="40FB4991"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77.67</w:t>
            </w:r>
          </w:p>
        </w:tc>
      </w:tr>
      <w:tr w:rsidR="007D3985" w:rsidRPr="001648DD" w14:paraId="58746F2E" w14:textId="77777777" w:rsidTr="00C862ED">
        <w:tc>
          <w:tcPr>
            <w:tcW w:w="0" w:type="auto"/>
            <w:vAlign w:val="center"/>
          </w:tcPr>
          <w:p w14:paraId="44E3DDA0" w14:textId="65BFA94D" w:rsidR="007D3985" w:rsidRPr="001648DD" w:rsidRDefault="007D3985" w:rsidP="00433686">
            <w:pPr>
              <w:spacing w:line="276" w:lineRule="auto"/>
              <w:jc w:val="both"/>
              <w:rPr>
                <w:rFonts w:ascii="Arial" w:hAnsi="Arial" w:cs="Arial"/>
                <w:sz w:val="20"/>
                <w:szCs w:val="20"/>
              </w:rPr>
            </w:pPr>
            <w:r w:rsidRPr="001648DD">
              <w:rPr>
                <w:rStyle w:val="Strong"/>
                <w:rFonts w:ascii="Arial" w:hAnsi="Arial" w:cs="Arial"/>
                <w:sz w:val="20"/>
                <w:szCs w:val="20"/>
              </w:rPr>
              <w:t>History of pelvic surgery</w:t>
            </w:r>
          </w:p>
        </w:tc>
        <w:tc>
          <w:tcPr>
            <w:tcW w:w="0" w:type="auto"/>
            <w:vAlign w:val="center"/>
          </w:tcPr>
          <w:p w14:paraId="74BA202F" w14:textId="77777777" w:rsidR="007D3985" w:rsidRPr="001648DD" w:rsidRDefault="007D3985" w:rsidP="00433686">
            <w:pPr>
              <w:spacing w:line="276" w:lineRule="auto"/>
              <w:jc w:val="both"/>
              <w:rPr>
                <w:rFonts w:ascii="Arial" w:hAnsi="Arial" w:cs="Arial"/>
                <w:sz w:val="20"/>
                <w:szCs w:val="20"/>
              </w:rPr>
            </w:pPr>
          </w:p>
        </w:tc>
        <w:tc>
          <w:tcPr>
            <w:tcW w:w="0" w:type="auto"/>
            <w:vAlign w:val="center"/>
          </w:tcPr>
          <w:p w14:paraId="23719BD8" w14:textId="77777777" w:rsidR="007D3985" w:rsidRPr="001648DD" w:rsidRDefault="007D3985" w:rsidP="00433686">
            <w:pPr>
              <w:spacing w:line="276" w:lineRule="auto"/>
              <w:jc w:val="both"/>
              <w:rPr>
                <w:rFonts w:ascii="Arial" w:hAnsi="Arial" w:cs="Arial"/>
                <w:sz w:val="20"/>
                <w:szCs w:val="20"/>
              </w:rPr>
            </w:pPr>
          </w:p>
        </w:tc>
      </w:tr>
      <w:tr w:rsidR="007D3985" w:rsidRPr="001648DD" w14:paraId="13D48805" w14:textId="77777777" w:rsidTr="00C862ED">
        <w:tc>
          <w:tcPr>
            <w:tcW w:w="0" w:type="auto"/>
            <w:vAlign w:val="center"/>
          </w:tcPr>
          <w:p w14:paraId="572EC432" w14:textId="04CEE86F"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Yes</w:t>
            </w:r>
          </w:p>
        </w:tc>
        <w:tc>
          <w:tcPr>
            <w:tcW w:w="0" w:type="auto"/>
            <w:vAlign w:val="center"/>
          </w:tcPr>
          <w:p w14:paraId="3829A93A" w14:textId="10B7AEA9"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94</w:t>
            </w:r>
          </w:p>
        </w:tc>
        <w:tc>
          <w:tcPr>
            <w:tcW w:w="0" w:type="auto"/>
            <w:vAlign w:val="center"/>
          </w:tcPr>
          <w:p w14:paraId="314DE199" w14:textId="71B4560B"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31.33</w:t>
            </w:r>
          </w:p>
        </w:tc>
      </w:tr>
      <w:tr w:rsidR="007D3985" w:rsidRPr="001648DD" w14:paraId="77906797" w14:textId="77777777" w:rsidTr="00C862ED">
        <w:tc>
          <w:tcPr>
            <w:tcW w:w="0" w:type="auto"/>
            <w:vAlign w:val="center"/>
          </w:tcPr>
          <w:p w14:paraId="2CD586A6" w14:textId="2E55DD3B"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No</w:t>
            </w:r>
          </w:p>
        </w:tc>
        <w:tc>
          <w:tcPr>
            <w:tcW w:w="0" w:type="auto"/>
            <w:vAlign w:val="center"/>
          </w:tcPr>
          <w:p w14:paraId="169B6393" w14:textId="2F14F661"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206</w:t>
            </w:r>
          </w:p>
        </w:tc>
        <w:tc>
          <w:tcPr>
            <w:tcW w:w="0" w:type="auto"/>
            <w:vAlign w:val="center"/>
          </w:tcPr>
          <w:p w14:paraId="6247CD00" w14:textId="523CA7D3"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68.67</w:t>
            </w:r>
          </w:p>
        </w:tc>
      </w:tr>
      <w:tr w:rsidR="007D3985" w:rsidRPr="001648DD" w14:paraId="3A085B88" w14:textId="77777777" w:rsidTr="00C862ED">
        <w:tc>
          <w:tcPr>
            <w:tcW w:w="0" w:type="auto"/>
            <w:vAlign w:val="center"/>
          </w:tcPr>
          <w:p w14:paraId="43C47E40" w14:textId="7BFF3984" w:rsidR="007D3985" w:rsidRPr="001648DD" w:rsidRDefault="007D3985" w:rsidP="00433686">
            <w:pPr>
              <w:spacing w:line="276" w:lineRule="auto"/>
              <w:jc w:val="both"/>
              <w:rPr>
                <w:rFonts w:ascii="Arial" w:hAnsi="Arial" w:cs="Arial"/>
                <w:sz w:val="20"/>
                <w:szCs w:val="20"/>
              </w:rPr>
            </w:pPr>
            <w:r w:rsidRPr="001648DD">
              <w:rPr>
                <w:rStyle w:val="Strong"/>
                <w:rFonts w:ascii="Arial" w:hAnsi="Arial" w:cs="Arial"/>
                <w:sz w:val="20"/>
                <w:szCs w:val="20"/>
              </w:rPr>
              <w:t>History of pelvic inflammatory disease (PID)</w:t>
            </w:r>
          </w:p>
        </w:tc>
        <w:tc>
          <w:tcPr>
            <w:tcW w:w="0" w:type="auto"/>
            <w:vAlign w:val="center"/>
          </w:tcPr>
          <w:p w14:paraId="642C3D88" w14:textId="77777777" w:rsidR="007D3985" w:rsidRPr="001648DD" w:rsidRDefault="007D3985" w:rsidP="00433686">
            <w:pPr>
              <w:spacing w:line="276" w:lineRule="auto"/>
              <w:jc w:val="both"/>
              <w:rPr>
                <w:rFonts w:ascii="Arial" w:hAnsi="Arial" w:cs="Arial"/>
                <w:sz w:val="20"/>
                <w:szCs w:val="20"/>
              </w:rPr>
            </w:pPr>
          </w:p>
        </w:tc>
        <w:tc>
          <w:tcPr>
            <w:tcW w:w="0" w:type="auto"/>
            <w:vAlign w:val="center"/>
          </w:tcPr>
          <w:p w14:paraId="104173E9" w14:textId="77777777" w:rsidR="007D3985" w:rsidRPr="001648DD" w:rsidRDefault="007D3985" w:rsidP="00433686">
            <w:pPr>
              <w:spacing w:line="276" w:lineRule="auto"/>
              <w:jc w:val="both"/>
              <w:rPr>
                <w:rFonts w:ascii="Arial" w:hAnsi="Arial" w:cs="Arial"/>
                <w:sz w:val="20"/>
                <w:szCs w:val="20"/>
              </w:rPr>
            </w:pPr>
          </w:p>
        </w:tc>
      </w:tr>
      <w:tr w:rsidR="007D3985" w:rsidRPr="001648DD" w14:paraId="7DEF8A57" w14:textId="77777777" w:rsidTr="00C862ED">
        <w:tc>
          <w:tcPr>
            <w:tcW w:w="0" w:type="auto"/>
            <w:vAlign w:val="center"/>
          </w:tcPr>
          <w:p w14:paraId="5B0490E7" w14:textId="094E846D"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Yes</w:t>
            </w:r>
          </w:p>
        </w:tc>
        <w:tc>
          <w:tcPr>
            <w:tcW w:w="0" w:type="auto"/>
            <w:vAlign w:val="center"/>
          </w:tcPr>
          <w:p w14:paraId="5937DC36" w14:textId="243B0CA9"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112</w:t>
            </w:r>
          </w:p>
        </w:tc>
        <w:tc>
          <w:tcPr>
            <w:tcW w:w="0" w:type="auto"/>
            <w:vAlign w:val="center"/>
          </w:tcPr>
          <w:p w14:paraId="4F07EBD8" w14:textId="086178AE"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37.33</w:t>
            </w:r>
          </w:p>
        </w:tc>
      </w:tr>
      <w:tr w:rsidR="007D3985" w:rsidRPr="001648DD" w14:paraId="760926A5" w14:textId="77777777" w:rsidTr="00C862ED">
        <w:tc>
          <w:tcPr>
            <w:tcW w:w="0" w:type="auto"/>
            <w:vAlign w:val="center"/>
          </w:tcPr>
          <w:p w14:paraId="5CF8AA60" w14:textId="1E5F510D"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No</w:t>
            </w:r>
          </w:p>
        </w:tc>
        <w:tc>
          <w:tcPr>
            <w:tcW w:w="0" w:type="auto"/>
            <w:vAlign w:val="center"/>
          </w:tcPr>
          <w:p w14:paraId="4AAD1544" w14:textId="49B52F25"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188</w:t>
            </w:r>
          </w:p>
        </w:tc>
        <w:tc>
          <w:tcPr>
            <w:tcW w:w="0" w:type="auto"/>
            <w:vAlign w:val="center"/>
          </w:tcPr>
          <w:p w14:paraId="6D15BD39" w14:textId="46DE8CF6"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62.67</w:t>
            </w:r>
          </w:p>
        </w:tc>
      </w:tr>
    </w:tbl>
    <w:p w14:paraId="0B48E2E7" w14:textId="77777777" w:rsidR="007D3985" w:rsidRPr="001648DD" w:rsidRDefault="007D3985" w:rsidP="00433686">
      <w:pPr>
        <w:spacing w:line="276" w:lineRule="auto"/>
        <w:jc w:val="both"/>
        <w:rPr>
          <w:rFonts w:ascii="Arial" w:hAnsi="Arial" w:cs="Arial"/>
          <w:sz w:val="20"/>
          <w:szCs w:val="20"/>
        </w:rPr>
      </w:pPr>
    </w:p>
    <w:p w14:paraId="473FD76A" w14:textId="77777777" w:rsidR="007D3985" w:rsidRPr="001648DD" w:rsidRDefault="007D3985" w:rsidP="00433686">
      <w:pPr>
        <w:pStyle w:val="Heading3"/>
        <w:jc w:val="both"/>
        <w:rPr>
          <w:rFonts w:ascii="Arial" w:hAnsi="Arial" w:cs="Arial"/>
          <w:sz w:val="20"/>
          <w:szCs w:val="20"/>
        </w:rPr>
      </w:pPr>
    </w:p>
    <w:p w14:paraId="6DBC8158" w14:textId="3A3300A0" w:rsidR="00692C0F" w:rsidRPr="001648DD" w:rsidRDefault="00692C0F" w:rsidP="00433686">
      <w:pPr>
        <w:pStyle w:val="Heading3"/>
        <w:jc w:val="both"/>
        <w:rPr>
          <w:rFonts w:ascii="Arial" w:hAnsi="Arial" w:cs="Arial"/>
          <w:sz w:val="20"/>
          <w:szCs w:val="20"/>
        </w:rPr>
      </w:pPr>
      <w:r w:rsidRPr="001648DD">
        <w:rPr>
          <w:rStyle w:val="Strong"/>
          <w:rFonts w:ascii="Arial" w:hAnsi="Arial" w:cs="Arial"/>
          <w:b/>
          <w:bCs/>
          <w:sz w:val="20"/>
          <w:szCs w:val="20"/>
        </w:rPr>
        <w:t>Table 3: Lifestyle and Environmental Exposures</w:t>
      </w:r>
    </w:p>
    <w:tbl>
      <w:tblPr>
        <w:tblStyle w:val="TableGrid"/>
        <w:tblW w:w="0" w:type="auto"/>
        <w:tblLook w:val="04A0" w:firstRow="1" w:lastRow="0" w:firstColumn="1" w:lastColumn="0" w:noHBand="0" w:noVBand="1"/>
      </w:tblPr>
      <w:tblGrid>
        <w:gridCol w:w="3340"/>
        <w:gridCol w:w="2100"/>
        <w:gridCol w:w="1661"/>
      </w:tblGrid>
      <w:tr w:rsidR="00692C0F" w:rsidRPr="001648DD" w14:paraId="2B1DB603" w14:textId="77777777" w:rsidTr="00692C0F">
        <w:tc>
          <w:tcPr>
            <w:tcW w:w="0" w:type="auto"/>
            <w:hideMark/>
          </w:tcPr>
          <w:p w14:paraId="73BB048D"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Variable</w:t>
            </w:r>
          </w:p>
        </w:tc>
        <w:tc>
          <w:tcPr>
            <w:tcW w:w="0" w:type="auto"/>
            <w:hideMark/>
          </w:tcPr>
          <w:p w14:paraId="68AA9187" w14:textId="417EDE20"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Frequency (n = 300)</w:t>
            </w:r>
          </w:p>
        </w:tc>
        <w:tc>
          <w:tcPr>
            <w:tcW w:w="0" w:type="auto"/>
            <w:hideMark/>
          </w:tcPr>
          <w:p w14:paraId="729DCF11"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Percentage (%)</w:t>
            </w:r>
          </w:p>
        </w:tc>
      </w:tr>
      <w:tr w:rsidR="00692C0F" w:rsidRPr="001648DD" w14:paraId="4A4D0B3F" w14:textId="77777777" w:rsidTr="00692C0F">
        <w:tc>
          <w:tcPr>
            <w:tcW w:w="0" w:type="auto"/>
            <w:hideMark/>
          </w:tcPr>
          <w:p w14:paraId="2DDC6E3A" w14:textId="77777777" w:rsidR="00692C0F" w:rsidRPr="001648DD" w:rsidRDefault="00692C0F" w:rsidP="00433686">
            <w:pPr>
              <w:jc w:val="both"/>
              <w:rPr>
                <w:rFonts w:ascii="Arial" w:hAnsi="Arial" w:cs="Arial"/>
                <w:sz w:val="20"/>
                <w:szCs w:val="20"/>
              </w:rPr>
            </w:pPr>
            <w:r w:rsidRPr="001648DD">
              <w:rPr>
                <w:rStyle w:val="Strong"/>
                <w:rFonts w:ascii="Arial" w:hAnsi="Arial" w:cs="Arial"/>
                <w:sz w:val="20"/>
                <w:szCs w:val="20"/>
              </w:rPr>
              <w:lastRenderedPageBreak/>
              <w:t>Smoking status</w:t>
            </w:r>
          </w:p>
        </w:tc>
        <w:tc>
          <w:tcPr>
            <w:tcW w:w="0" w:type="auto"/>
            <w:hideMark/>
          </w:tcPr>
          <w:p w14:paraId="7C7D7870" w14:textId="77777777" w:rsidR="00692C0F" w:rsidRPr="001648DD" w:rsidRDefault="00692C0F" w:rsidP="00433686">
            <w:pPr>
              <w:jc w:val="both"/>
              <w:rPr>
                <w:rFonts w:ascii="Arial" w:hAnsi="Arial" w:cs="Arial"/>
                <w:sz w:val="20"/>
                <w:szCs w:val="20"/>
              </w:rPr>
            </w:pPr>
          </w:p>
        </w:tc>
        <w:tc>
          <w:tcPr>
            <w:tcW w:w="0" w:type="auto"/>
            <w:hideMark/>
          </w:tcPr>
          <w:p w14:paraId="74826AED" w14:textId="77777777" w:rsidR="00692C0F" w:rsidRPr="001648DD" w:rsidRDefault="00692C0F" w:rsidP="00433686">
            <w:pPr>
              <w:jc w:val="both"/>
              <w:rPr>
                <w:rFonts w:ascii="Arial" w:hAnsi="Arial" w:cs="Arial"/>
                <w:sz w:val="20"/>
                <w:szCs w:val="20"/>
              </w:rPr>
            </w:pPr>
          </w:p>
        </w:tc>
      </w:tr>
      <w:tr w:rsidR="00692C0F" w:rsidRPr="001648DD" w14:paraId="27A3451F" w14:textId="77777777" w:rsidTr="00692C0F">
        <w:tc>
          <w:tcPr>
            <w:tcW w:w="0" w:type="auto"/>
            <w:hideMark/>
          </w:tcPr>
          <w:p w14:paraId="08B54130"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Current smoker</w:t>
            </w:r>
          </w:p>
        </w:tc>
        <w:tc>
          <w:tcPr>
            <w:tcW w:w="0" w:type="auto"/>
            <w:hideMark/>
          </w:tcPr>
          <w:p w14:paraId="2C9284FD"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21</w:t>
            </w:r>
          </w:p>
        </w:tc>
        <w:tc>
          <w:tcPr>
            <w:tcW w:w="0" w:type="auto"/>
            <w:hideMark/>
          </w:tcPr>
          <w:p w14:paraId="0C049A61"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7.00</w:t>
            </w:r>
          </w:p>
        </w:tc>
      </w:tr>
      <w:tr w:rsidR="00692C0F" w:rsidRPr="001648DD" w14:paraId="3C949E6E" w14:textId="77777777" w:rsidTr="00692C0F">
        <w:tc>
          <w:tcPr>
            <w:tcW w:w="0" w:type="auto"/>
            <w:hideMark/>
          </w:tcPr>
          <w:p w14:paraId="3D9F6D7C"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Former smoker</w:t>
            </w:r>
          </w:p>
        </w:tc>
        <w:tc>
          <w:tcPr>
            <w:tcW w:w="0" w:type="auto"/>
            <w:hideMark/>
          </w:tcPr>
          <w:p w14:paraId="283802DE"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48</w:t>
            </w:r>
          </w:p>
        </w:tc>
        <w:tc>
          <w:tcPr>
            <w:tcW w:w="0" w:type="auto"/>
            <w:hideMark/>
          </w:tcPr>
          <w:p w14:paraId="07D2C9CE"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16.00</w:t>
            </w:r>
          </w:p>
        </w:tc>
      </w:tr>
      <w:tr w:rsidR="00692C0F" w:rsidRPr="001648DD" w14:paraId="6634F323" w14:textId="77777777" w:rsidTr="00692C0F">
        <w:tc>
          <w:tcPr>
            <w:tcW w:w="0" w:type="auto"/>
            <w:hideMark/>
          </w:tcPr>
          <w:p w14:paraId="2C8EBD73"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Never smoked</w:t>
            </w:r>
          </w:p>
        </w:tc>
        <w:tc>
          <w:tcPr>
            <w:tcW w:w="0" w:type="auto"/>
            <w:hideMark/>
          </w:tcPr>
          <w:p w14:paraId="7B06B64C"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231</w:t>
            </w:r>
          </w:p>
        </w:tc>
        <w:tc>
          <w:tcPr>
            <w:tcW w:w="0" w:type="auto"/>
            <w:hideMark/>
          </w:tcPr>
          <w:p w14:paraId="4B8C736D"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77.00</w:t>
            </w:r>
          </w:p>
        </w:tc>
      </w:tr>
      <w:tr w:rsidR="00692C0F" w:rsidRPr="001648DD" w14:paraId="43138BE6" w14:textId="77777777" w:rsidTr="00692C0F">
        <w:tc>
          <w:tcPr>
            <w:tcW w:w="0" w:type="auto"/>
            <w:hideMark/>
          </w:tcPr>
          <w:p w14:paraId="18607E0D" w14:textId="77777777" w:rsidR="00692C0F" w:rsidRPr="001648DD" w:rsidRDefault="00692C0F" w:rsidP="00433686">
            <w:pPr>
              <w:jc w:val="both"/>
              <w:rPr>
                <w:rFonts w:ascii="Arial" w:hAnsi="Arial" w:cs="Arial"/>
                <w:sz w:val="20"/>
                <w:szCs w:val="20"/>
              </w:rPr>
            </w:pPr>
            <w:r w:rsidRPr="001648DD">
              <w:rPr>
                <w:rStyle w:val="Strong"/>
                <w:rFonts w:ascii="Arial" w:hAnsi="Arial" w:cs="Arial"/>
                <w:sz w:val="20"/>
                <w:szCs w:val="20"/>
              </w:rPr>
              <w:t>Alcohol consumption</w:t>
            </w:r>
          </w:p>
        </w:tc>
        <w:tc>
          <w:tcPr>
            <w:tcW w:w="0" w:type="auto"/>
            <w:hideMark/>
          </w:tcPr>
          <w:p w14:paraId="48D0879F" w14:textId="77777777" w:rsidR="00692C0F" w:rsidRPr="001648DD" w:rsidRDefault="00692C0F" w:rsidP="00433686">
            <w:pPr>
              <w:jc w:val="both"/>
              <w:rPr>
                <w:rFonts w:ascii="Arial" w:hAnsi="Arial" w:cs="Arial"/>
                <w:sz w:val="20"/>
                <w:szCs w:val="20"/>
              </w:rPr>
            </w:pPr>
          </w:p>
        </w:tc>
        <w:tc>
          <w:tcPr>
            <w:tcW w:w="0" w:type="auto"/>
            <w:hideMark/>
          </w:tcPr>
          <w:p w14:paraId="02EFC2DF" w14:textId="77777777" w:rsidR="00692C0F" w:rsidRPr="001648DD" w:rsidRDefault="00692C0F" w:rsidP="00433686">
            <w:pPr>
              <w:jc w:val="both"/>
              <w:rPr>
                <w:rFonts w:ascii="Arial" w:hAnsi="Arial" w:cs="Arial"/>
                <w:sz w:val="20"/>
                <w:szCs w:val="20"/>
              </w:rPr>
            </w:pPr>
          </w:p>
        </w:tc>
      </w:tr>
      <w:tr w:rsidR="00692C0F" w:rsidRPr="001648DD" w14:paraId="30B1BE31" w14:textId="77777777" w:rsidTr="00692C0F">
        <w:tc>
          <w:tcPr>
            <w:tcW w:w="0" w:type="auto"/>
            <w:hideMark/>
          </w:tcPr>
          <w:p w14:paraId="5FEADAC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Yes</w:t>
            </w:r>
          </w:p>
        </w:tc>
        <w:tc>
          <w:tcPr>
            <w:tcW w:w="0" w:type="auto"/>
            <w:hideMark/>
          </w:tcPr>
          <w:p w14:paraId="4FD92964"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127</w:t>
            </w:r>
          </w:p>
        </w:tc>
        <w:tc>
          <w:tcPr>
            <w:tcW w:w="0" w:type="auto"/>
            <w:hideMark/>
          </w:tcPr>
          <w:p w14:paraId="5915B446"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42.33</w:t>
            </w:r>
          </w:p>
        </w:tc>
      </w:tr>
      <w:tr w:rsidR="00692C0F" w:rsidRPr="001648DD" w14:paraId="6967C46B" w14:textId="77777777" w:rsidTr="00692C0F">
        <w:tc>
          <w:tcPr>
            <w:tcW w:w="0" w:type="auto"/>
            <w:hideMark/>
          </w:tcPr>
          <w:p w14:paraId="2DDA32B2"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No</w:t>
            </w:r>
          </w:p>
        </w:tc>
        <w:tc>
          <w:tcPr>
            <w:tcW w:w="0" w:type="auto"/>
            <w:hideMark/>
          </w:tcPr>
          <w:p w14:paraId="26D7A8CA"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173</w:t>
            </w:r>
          </w:p>
        </w:tc>
        <w:tc>
          <w:tcPr>
            <w:tcW w:w="0" w:type="auto"/>
            <w:hideMark/>
          </w:tcPr>
          <w:p w14:paraId="3A7303DB"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57.67</w:t>
            </w:r>
          </w:p>
        </w:tc>
      </w:tr>
      <w:tr w:rsidR="00692C0F" w:rsidRPr="001648DD" w14:paraId="2FF7C4EF" w14:textId="77777777" w:rsidTr="00692C0F">
        <w:tc>
          <w:tcPr>
            <w:tcW w:w="0" w:type="auto"/>
            <w:hideMark/>
          </w:tcPr>
          <w:p w14:paraId="4CE7313C" w14:textId="77777777" w:rsidR="00692C0F" w:rsidRPr="001648DD" w:rsidRDefault="00692C0F" w:rsidP="00433686">
            <w:pPr>
              <w:jc w:val="both"/>
              <w:rPr>
                <w:rFonts w:ascii="Arial" w:hAnsi="Arial" w:cs="Arial"/>
                <w:sz w:val="20"/>
                <w:szCs w:val="20"/>
              </w:rPr>
            </w:pPr>
            <w:r w:rsidRPr="001648DD">
              <w:rPr>
                <w:rStyle w:val="Strong"/>
                <w:rFonts w:ascii="Arial" w:hAnsi="Arial" w:cs="Arial"/>
                <w:sz w:val="20"/>
                <w:szCs w:val="20"/>
              </w:rPr>
              <w:t>Occupational chemical exposure</w:t>
            </w:r>
          </w:p>
        </w:tc>
        <w:tc>
          <w:tcPr>
            <w:tcW w:w="0" w:type="auto"/>
            <w:hideMark/>
          </w:tcPr>
          <w:p w14:paraId="5C58A802" w14:textId="77777777" w:rsidR="00692C0F" w:rsidRPr="001648DD" w:rsidRDefault="00692C0F" w:rsidP="00433686">
            <w:pPr>
              <w:jc w:val="both"/>
              <w:rPr>
                <w:rFonts w:ascii="Arial" w:hAnsi="Arial" w:cs="Arial"/>
                <w:sz w:val="20"/>
                <w:szCs w:val="20"/>
              </w:rPr>
            </w:pPr>
          </w:p>
        </w:tc>
        <w:tc>
          <w:tcPr>
            <w:tcW w:w="0" w:type="auto"/>
            <w:hideMark/>
          </w:tcPr>
          <w:p w14:paraId="50322D11" w14:textId="77777777" w:rsidR="00692C0F" w:rsidRPr="001648DD" w:rsidRDefault="00692C0F" w:rsidP="00433686">
            <w:pPr>
              <w:jc w:val="both"/>
              <w:rPr>
                <w:rFonts w:ascii="Arial" w:hAnsi="Arial" w:cs="Arial"/>
                <w:sz w:val="20"/>
                <w:szCs w:val="20"/>
              </w:rPr>
            </w:pPr>
          </w:p>
        </w:tc>
      </w:tr>
      <w:tr w:rsidR="00692C0F" w:rsidRPr="001648DD" w14:paraId="4594531D" w14:textId="77777777" w:rsidTr="00692C0F">
        <w:tc>
          <w:tcPr>
            <w:tcW w:w="0" w:type="auto"/>
            <w:hideMark/>
          </w:tcPr>
          <w:p w14:paraId="4F4AE3E8"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Yes</w:t>
            </w:r>
          </w:p>
        </w:tc>
        <w:tc>
          <w:tcPr>
            <w:tcW w:w="0" w:type="auto"/>
            <w:hideMark/>
          </w:tcPr>
          <w:p w14:paraId="07162861"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68</w:t>
            </w:r>
          </w:p>
        </w:tc>
        <w:tc>
          <w:tcPr>
            <w:tcW w:w="0" w:type="auto"/>
            <w:hideMark/>
          </w:tcPr>
          <w:p w14:paraId="7817D6B2"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22.67</w:t>
            </w:r>
          </w:p>
        </w:tc>
      </w:tr>
      <w:tr w:rsidR="00692C0F" w:rsidRPr="001648DD" w14:paraId="11ACD061" w14:textId="77777777" w:rsidTr="00692C0F">
        <w:tc>
          <w:tcPr>
            <w:tcW w:w="0" w:type="auto"/>
            <w:hideMark/>
          </w:tcPr>
          <w:p w14:paraId="6645617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No</w:t>
            </w:r>
          </w:p>
        </w:tc>
        <w:tc>
          <w:tcPr>
            <w:tcW w:w="0" w:type="auto"/>
            <w:hideMark/>
          </w:tcPr>
          <w:p w14:paraId="0EB8FB95"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232</w:t>
            </w:r>
          </w:p>
        </w:tc>
        <w:tc>
          <w:tcPr>
            <w:tcW w:w="0" w:type="auto"/>
            <w:hideMark/>
          </w:tcPr>
          <w:p w14:paraId="69984570"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77.33</w:t>
            </w:r>
          </w:p>
        </w:tc>
      </w:tr>
    </w:tbl>
    <w:p w14:paraId="2DC2C1ED" w14:textId="52B35339" w:rsidR="00692C0F" w:rsidRPr="001648DD" w:rsidRDefault="00692C0F" w:rsidP="00433686">
      <w:pPr>
        <w:jc w:val="both"/>
        <w:rPr>
          <w:rFonts w:ascii="Arial" w:hAnsi="Arial" w:cs="Arial"/>
          <w:sz w:val="20"/>
          <w:szCs w:val="20"/>
        </w:rPr>
      </w:pPr>
    </w:p>
    <w:p w14:paraId="23966CC7" w14:textId="32718EE7" w:rsidR="00692C0F" w:rsidRPr="001648DD" w:rsidRDefault="00692C0F" w:rsidP="00433686">
      <w:pPr>
        <w:pStyle w:val="Heading3"/>
        <w:jc w:val="both"/>
        <w:rPr>
          <w:rFonts w:ascii="Arial" w:hAnsi="Arial" w:cs="Arial"/>
          <w:sz w:val="20"/>
          <w:szCs w:val="20"/>
        </w:rPr>
      </w:pPr>
      <w:r w:rsidRPr="001648DD">
        <w:rPr>
          <w:rStyle w:val="Strong"/>
          <w:rFonts w:ascii="Arial" w:hAnsi="Arial" w:cs="Arial"/>
          <w:b/>
          <w:bCs/>
          <w:sz w:val="20"/>
          <w:szCs w:val="20"/>
        </w:rPr>
        <w:t>Table 4: Family and Genetic History</w:t>
      </w:r>
    </w:p>
    <w:tbl>
      <w:tblPr>
        <w:tblStyle w:val="TableGrid"/>
        <w:tblW w:w="0" w:type="auto"/>
        <w:tblLook w:val="04A0" w:firstRow="1" w:lastRow="0" w:firstColumn="1" w:lastColumn="0" w:noHBand="0" w:noVBand="1"/>
      </w:tblPr>
      <w:tblGrid>
        <w:gridCol w:w="4028"/>
        <w:gridCol w:w="2100"/>
        <w:gridCol w:w="1661"/>
      </w:tblGrid>
      <w:tr w:rsidR="00692C0F" w:rsidRPr="001648DD" w14:paraId="2AE63BE6" w14:textId="77777777" w:rsidTr="00692C0F">
        <w:tc>
          <w:tcPr>
            <w:tcW w:w="0" w:type="auto"/>
            <w:hideMark/>
          </w:tcPr>
          <w:p w14:paraId="5CD7D34D"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Variable</w:t>
            </w:r>
          </w:p>
        </w:tc>
        <w:tc>
          <w:tcPr>
            <w:tcW w:w="0" w:type="auto"/>
            <w:hideMark/>
          </w:tcPr>
          <w:p w14:paraId="5ED215F9" w14:textId="24A0557F"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Frequency (n = 300)</w:t>
            </w:r>
          </w:p>
        </w:tc>
        <w:tc>
          <w:tcPr>
            <w:tcW w:w="0" w:type="auto"/>
            <w:hideMark/>
          </w:tcPr>
          <w:p w14:paraId="3CA1EBF7"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Percentage (%)</w:t>
            </w:r>
          </w:p>
        </w:tc>
      </w:tr>
      <w:tr w:rsidR="00692C0F" w:rsidRPr="001648DD" w14:paraId="1842ED93" w14:textId="77777777" w:rsidTr="00692C0F">
        <w:tc>
          <w:tcPr>
            <w:tcW w:w="0" w:type="auto"/>
            <w:hideMark/>
          </w:tcPr>
          <w:p w14:paraId="5D949FE0" w14:textId="77777777" w:rsidR="00692C0F" w:rsidRPr="00ED0C3E" w:rsidRDefault="00692C0F" w:rsidP="00433686">
            <w:pPr>
              <w:jc w:val="both"/>
              <w:rPr>
                <w:rFonts w:ascii="Arial" w:hAnsi="Arial" w:cs="Arial"/>
                <w:sz w:val="20"/>
                <w:szCs w:val="20"/>
                <w:highlight w:val="yellow"/>
              </w:rPr>
            </w:pPr>
            <w:r w:rsidRPr="00ED0C3E">
              <w:rPr>
                <w:rStyle w:val="Strong"/>
                <w:rFonts w:ascii="Arial" w:hAnsi="Arial" w:cs="Arial"/>
                <w:sz w:val="20"/>
                <w:szCs w:val="20"/>
                <w:highlight w:val="yellow"/>
              </w:rPr>
              <w:t>Family history of early menopause</w:t>
            </w:r>
          </w:p>
        </w:tc>
        <w:tc>
          <w:tcPr>
            <w:tcW w:w="0" w:type="auto"/>
            <w:hideMark/>
          </w:tcPr>
          <w:p w14:paraId="29C62C7E" w14:textId="77777777" w:rsidR="00692C0F" w:rsidRPr="00ED0C3E" w:rsidRDefault="00692C0F" w:rsidP="00433686">
            <w:pPr>
              <w:jc w:val="both"/>
              <w:rPr>
                <w:rFonts w:ascii="Arial" w:hAnsi="Arial" w:cs="Arial"/>
                <w:sz w:val="20"/>
                <w:szCs w:val="20"/>
                <w:highlight w:val="yellow"/>
              </w:rPr>
            </w:pPr>
          </w:p>
        </w:tc>
        <w:tc>
          <w:tcPr>
            <w:tcW w:w="0" w:type="auto"/>
            <w:hideMark/>
          </w:tcPr>
          <w:p w14:paraId="32A5A8A1" w14:textId="77777777" w:rsidR="00692C0F" w:rsidRPr="00ED0C3E" w:rsidRDefault="00692C0F" w:rsidP="00433686">
            <w:pPr>
              <w:jc w:val="both"/>
              <w:rPr>
                <w:rFonts w:ascii="Arial" w:hAnsi="Arial" w:cs="Arial"/>
                <w:sz w:val="20"/>
                <w:szCs w:val="20"/>
                <w:highlight w:val="yellow"/>
              </w:rPr>
            </w:pPr>
          </w:p>
        </w:tc>
      </w:tr>
      <w:tr w:rsidR="00692C0F" w:rsidRPr="001648DD" w14:paraId="0D6FF811" w14:textId="77777777" w:rsidTr="00692C0F">
        <w:tc>
          <w:tcPr>
            <w:tcW w:w="0" w:type="auto"/>
            <w:hideMark/>
          </w:tcPr>
          <w:p w14:paraId="5AA0E602" w14:textId="77777777" w:rsidR="00692C0F" w:rsidRPr="00ED0C3E" w:rsidRDefault="00692C0F" w:rsidP="00433686">
            <w:pPr>
              <w:jc w:val="both"/>
              <w:rPr>
                <w:rFonts w:ascii="Arial" w:hAnsi="Arial" w:cs="Arial"/>
                <w:sz w:val="20"/>
                <w:szCs w:val="20"/>
                <w:highlight w:val="yellow"/>
              </w:rPr>
            </w:pPr>
            <w:r w:rsidRPr="00ED0C3E">
              <w:rPr>
                <w:rFonts w:ascii="Arial" w:hAnsi="Arial" w:cs="Arial"/>
                <w:sz w:val="20"/>
                <w:szCs w:val="20"/>
                <w:highlight w:val="yellow"/>
              </w:rPr>
              <w:t>Yes</w:t>
            </w:r>
          </w:p>
        </w:tc>
        <w:tc>
          <w:tcPr>
            <w:tcW w:w="0" w:type="auto"/>
            <w:hideMark/>
          </w:tcPr>
          <w:p w14:paraId="69A4D11C" w14:textId="77777777" w:rsidR="00692C0F" w:rsidRPr="00ED0C3E" w:rsidRDefault="00692C0F" w:rsidP="00433686">
            <w:pPr>
              <w:jc w:val="both"/>
              <w:rPr>
                <w:rFonts w:ascii="Arial" w:hAnsi="Arial" w:cs="Arial"/>
                <w:sz w:val="20"/>
                <w:szCs w:val="20"/>
                <w:highlight w:val="yellow"/>
              </w:rPr>
            </w:pPr>
            <w:r w:rsidRPr="00ED0C3E">
              <w:rPr>
                <w:rFonts w:ascii="Arial" w:hAnsi="Arial" w:cs="Arial"/>
                <w:sz w:val="20"/>
                <w:szCs w:val="20"/>
                <w:highlight w:val="yellow"/>
              </w:rPr>
              <w:t>88</w:t>
            </w:r>
          </w:p>
        </w:tc>
        <w:tc>
          <w:tcPr>
            <w:tcW w:w="0" w:type="auto"/>
            <w:hideMark/>
          </w:tcPr>
          <w:p w14:paraId="72F71F12" w14:textId="77777777" w:rsidR="00692C0F" w:rsidRPr="00ED0C3E" w:rsidRDefault="00692C0F" w:rsidP="00433686">
            <w:pPr>
              <w:jc w:val="both"/>
              <w:rPr>
                <w:rFonts w:ascii="Arial" w:hAnsi="Arial" w:cs="Arial"/>
                <w:sz w:val="20"/>
                <w:szCs w:val="20"/>
                <w:highlight w:val="yellow"/>
              </w:rPr>
            </w:pPr>
            <w:r w:rsidRPr="00ED0C3E">
              <w:rPr>
                <w:rFonts w:ascii="Arial" w:hAnsi="Arial" w:cs="Arial"/>
                <w:sz w:val="20"/>
                <w:szCs w:val="20"/>
                <w:highlight w:val="yellow"/>
              </w:rPr>
              <w:t>29.33</w:t>
            </w:r>
          </w:p>
        </w:tc>
      </w:tr>
      <w:tr w:rsidR="00692C0F" w:rsidRPr="001648DD" w14:paraId="5F6E15BC" w14:textId="77777777" w:rsidTr="00692C0F">
        <w:tc>
          <w:tcPr>
            <w:tcW w:w="0" w:type="auto"/>
            <w:hideMark/>
          </w:tcPr>
          <w:p w14:paraId="1B8C67D7" w14:textId="77777777" w:rsidR="00692C0F" w:rsidRPr="00ED0C3E" w:rsidRDefault="00692C0F" w:rsidP="00433686">
            <w:pPr>
              <w:jc w:val="both"/>
              <w:rPr>
                <w:rFonts w:ascii="Arial" w:hAnsi="Arial" w:cs="Arial"/>
                <w:sz w:val="20"/>
                <w:szCs w:val="20"/>
                <w:highlight w:val="yellow"/>
              </w:rPr>
            </w:pPr>
            <w:r w:rsidRPr="00ED0C3E">
              <w:rPr>
                <w:rFonts w:ascii="Arial" w:hAnsi="Arial" w:cs="Arial"/>
                <w:sz w:val="20"/>
                <w:szCs w:val="20"/>
                <w:highlight w:val="yellow"/>
              </w:rPr>
              <w:t>No</w:t>
            </w:r>
          </w:p>
        </w:tc>
        <w:tc>
          <w:tcPr>
            <w:tcW w:w="0" w:type="auto"/>
            <w:hideMark/>
          </w:tcPr>
          <w:p w14:paraId="74785767" w14:textId="77777777" w:rsidR="00692C0F" w:rsidRPr="00ED0C3E" w:rsidRDefault="00692C0F" w:rsidP="00433686">
            <w:pPr>
              <w:jc w:val="both"/>
              <w:rPr>
                <w:rFonts w:ascii="Arial" w:hAnsi="Arial" w:cs="Arial"/>
                <w:sz w:val="20"/>
                <w:szCs w:val="20"/>
                <w:highlight w:val="yellow"/>
              </w:rPr>
            </w:pPr>
            <w:r w:rsidRPr="00ED0C3E">
              <w:rPr>
                <w:rFonts w:ascii="Arial" w:hAnsi="Arial" w:cs="Arial"/>
                <w:sz w:val="20"/>
                <w:szCs w:val="20"/>
                <w:highlight w:val="yellow"/>
              </w:rPr>
              <w:t>212</w:t>
            </w:r>
          </w:p>
        </w:tc>
        <w:tc>
          <w:tcPr>
            <w:tcW w:w="0" w:type="auto"/>
            <w:hideMark/>
          </w:tcPr>
          <w:p w14:paraId="47BE0261" w14:textId="77777777" w:rsidR="00692C0F" w:rsidRPr="00ED0C3E" w:rsidRDefault="00692C0F" w:rsidP="00433686">
            <w:pPr>
              <w:jc w:val="both"/>
              <w:rPr>
                <w:rFonts w:ascii="Arial" w:hAnsi="Arial" w:cs="Arial"/>
                <w:sz w:val="20"/>
                <w:szCs w:val="20"/>
                <w:highlight w:val="yellow"/>
              </w:rPr>
            </w:pPr>
            <w:r w:rsidRPr="00ED0C3E">
              <w:rPr>
                <w:rFonts w:ascii="Arial" w:hAnsi="Arial" w:cs="Arial"/>
                <w:sz w:val="20"/>
                <w:szCs w:val="20"/>
                <w:highlight w:val="yellow"/>
              </w:rPr>
              <w:t>70.67</w:t>
            </w:r>
          </w:p>
        </w:tc>
      </w:tr>
      <w:tr w:rsidR="00692C0F" w:rsidRPr="001648DD" w14:paraId="59DAA603" w14:textId="77777777" w:rsidTr="00692C0F">
        <w:tc>
          <w:tcPr>
            <w:tcW w:w="0" w:type="auto"/>
            <w:hideMark/>
          </w:tcPr>
          <w:p w14:paraId="1D44A69D" w14:textId="77777777" w:rsidR="00692C0F" w:rsidRPr="001648DD" w:rsidRDefault="00692C0F" w:rsidP="00433686">
            <w:pPr>
              <w:jc w:val="both"/>
              <w:rPr>
                <w:rFonts w:ascii="Arial" w:hAnsi="Arial" w:cs="Arial"/>
                <w:sz w:val="20"/>
                <w:szCs w:val="20"/>
              </w:rPr>
            </w:pPr>
            <w:r w:rsidRPr="001648DD">
              <w:rPr>
                <w:rStyle w:val="Strong"/>
                <w:rFonts w:ascii="Arial" w:hAnsi="Arial" w:cs="Arial"/>
                <w:sz w:val="20"/>
                <w:szCs w:val="20"/>
              </w:rPr>
              <w:t>Consanguinity</w:t>
            </w:r>
          </w:p>
        </w:tc>
        <w:tc>
          <w:tcPr>
            <w:tcW w:w="0" w:type="auto"/>
            <w:hideMark/>
          </w:tcPr>
          <w:p w14:paraId="6DB89C4A" w14:textId="77777777" w:rsidR="00692C0F" w:rsidRPr="001648DD" w:rsidRDefault="00692C0F" w:rsidP="00433686">
            <w:pPr>
              <w:jc w:val="both"/>
              <w:rPr>
                <w:rFonts w:ascii="Arial" w:hAnsi="Arial" w:cs="Arial"/>
                <w:sz w:val="20"/>
                <w:szCs w:val="20"/>
              </w:rPr>
            </w:pPr>
          </w:p>
        </w:tc>
        <w:tc>
          <w:tcPr>
            <w:tcW w:w="0" w:type="auto"/>
            <w:hideMark/>
          </w:tcPr>
          <w:p w14:paraId="5E50B91E" w14:textId="77777777" w:rsidR="00692C0F" w:rsidRPr="001648DD" w:rsidRDefault="00692C0F" w:rsidP="00433686">
            <w:pPr>
              <w:jc w:val="both"/>
              <w:rPr>
                <w:rFonts w:ascii="Arial" w:hAnsi="Arial" w:cs="Arial"/>
                <w:sz w:val="20"/>
                <w:szCs w:val="20"/>
              </w:rPr>
            </w:pPr>
          </w:p>
        </w:tc>
      </w:tr>
      <w:tr w:rsidR="00692C0F" w:rsidRPr="001648DD" w14:paraId="1C79A48E" w14:textId="77777777" w:rsidTr="00692C0F">
        <w:tc>
          <w:tcPr>
            <w:tcW w:w="0" w:type="auto"/>
            <w:hideMark/>
          </w:tcPr>
          <w:p w14:paraId="341FB36E"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Yes</w:t>
            </w:r>
          </w:p>
        </w:tc>
        <w:tc>
          <w:tcPr>
            <w:tcW w:w="0" w:type="auto"/>
            <w:hideMark/>
          </w:tcPr>
          <w:p w14:paraId="3F3363D8"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35</w:t>
            </w:r>
          </w:p>
        </w:tc>
        <w:tc>
          <w:tcPr>
            <w:tcW w:w="0" w:type="auto"/>
            <w:hideMark/>
          </w:tcPr>
          <w:p w14:paraId="318A29FD"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11.67</w:t>
            </w:r>
          </w:p>
        </w:tc>
      </w:tr>
      <w:tr w:rsidR="00692C0F" w:rsidRPr="001648DD" w14:paraId="575D4DC7" w14:textId="77777777" w:rsidTr="00692C0F">
        <w:tc>
          <w:tcPr>
            <w:tcW w:w="0" w:type="auto"/>
            <w:hideMark/>
          </w:tcPr>
          <w:p w14:paraId="01AAA6AB"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No</w:t>
            </w:r>
          </w:p>
        </w:tc>
        <w:tc>
          <w:tcPr>
            <w:tcW w:w="0" w:type="auto"/>
            <w:hideMark/>
          </w:tcPr>
          <w:p w14:paraId="0AC8A1C0"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265</w:t>
            </w:r>
          </w:p>
        </w:tc>
        <w:tc>
          <w:tcPr>
            <w:tcW w:w="0" w:type="auto"/>
            <w:hideMark/>
          </w:tcPr>
          <w:p w14:paraId="4DF1FBF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88.33</w:t>
            </w:r>
          </w:p>
        </w:tc>
      </w:tr>
      <w:tr w:rsidR="00692C0F" w:rsidRPr="001648DD" w14:paraId="342F2DC8" w14:textId="77777777" w:rsidTr="00692C0F">
        <w:tc>
          <w:tcPr>
            <w:tcW w:w="0" w:type="auto"/>
            <w:hideMark/>
          </w:tcPr>
          <w:p w14:paraId="317DA848" w14:textId="77777777" w:rsidR="00692C0F" w:rsidRPr="001648DD" w:rsidRDefault="00692C0F" w:rsidP="00433686">
            <w:pPr>
              <w:jc w:val="both"/>
              <w:rPr>
                <w:rFonts w:ascii="Arial" w:hAnsi="Arial" w:cs="Arial"/>
                <w:sz w:val="20"/>
                <w:szCs w:val="20"/>
              </w:rPr>
            </w:pPr>
            <w:r w:rsidRPr="001648DD">
              <w:rPr>
                <w:rStyle w:val="Strong"/>
                <w:rFonts w:ascii="Arial" w:hAnsi="Arial" w:cs="Arial"/>
                <w:sz w:val="20"/>
                <w:szCs w:val="20"/>
              </w:rPr>
              <w:t>Family history of autoimmune disorders</w:t>
            </w:r>
          </w:p>
        </w:tc>
        <w:tc>
          <w:tcPr>
            <w:tcW w:w="0" w:type="auto"/>
            <w:hideMark/>
          </w:tcPr>
          <w:p w14:paraId="3CAD9598" w14:textId="77777777" w:rsidR="00692C0F" w:rsidRPr="001648DD" w:rsidRDefault="00692C0F" w:rsidP="00433686">
            <w:pPr>
              <w:jc w:val="both"/>
              <w:rPr>
                <w:rFonts w:ascii="Arial" w:hAnsi="Arial" w:cs="Arial"/>
                <w:sz w:val="20"/>
                <w:szCs w:val="20"/>
              </w:rPr>
            </w:pPr>
          </w:p>
        </w:tc>
        <w:tc>
          <w:tcPr>
            <w:tcW w:w="0" w:type="auto"/>
            <w:hideMark/>
          </w:tcPr>
          <w:p w14:paraId="6A50ADFA" w14:textId="77777777" w:rsidR="00692C0F" w:rsidRPr="001648DD" w:rsidRDefault="00692C0F" w:rsidP="00433686">
            <w:pPr>
              <w:jc w:val="both"/>
              <w:rPr>
                <w:rFonts w:ascii="Arial" w:hAnsi="Arial" w:cs="Arial"/>
                <w:sz w:val="20"/>
                <w:szCs w:val="20"/>
              </w:rPr>
            </w:pPr>
          </w:p>
        </w:tc>
      </w:tr>
      <w:tr w:rsidR="00692C0F" w:rsidRPr="001648DD" w14:paraId="02C695F8" w14:textId="77777777" w:rsidTr="00692C0F">
        <w:tc>
          <w:tcPr>
            <w:tcW w:w="0" w:type="auto"/>
            <w:hideMark/>
          </w:tcPr>
          <w:p w14:paraId="10FC22F5"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Yes</w:t>
            </w:r>
          </w:p>
        </w:tc>
        <w:tc>
          <w:tcPr>
            <w:tcW w:w="0" w:type="auto"/>
            <w:hideMark/>
          </w:tcPr>
          <w:p w14:paraId="33D5C78E"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54</w:t>
            </w:r>
          </w:p>
        </w:tc>
        <w:tc>
          <w:tcPr>
            <w:tcW w:w="0" w:type="auto"/>
            <w:hideMark/>
          </w:tcPr>
          <w:p w14:paraId="2B554F0E"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18.00</w:t>
            </w:r>
          </w:p>
        </w:tc>
      </w:tr>
      <w:tr w:rsidR="00692C0F" w:rsidRPr="001648DD" w14:paraId="3D0366E3" w14:textId="77777777" w:rsidTr="00692C0F">
        <w:tc>
          <w:tcPr>
            <w:tcW w:w="0" w:type="auto"/>
            <w:hideMark/>
          </w:tcPr>
          <w:p w14:paraId="17740252"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No</w:t>
            </w:r>
          </w:p>
        </w:tc>
        <w:tc>
          <w:tcPr>
            <w:tcW w:w="0" w:type="auto"/>
            <w:hideMark/>
          </w:tcPr>
          <w:p w14:paraId="5889B23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246</w:t>
            </w:r>
          </w:p>
        </w:tc>
        <w:tc>
          <w:tcPr>
            <w:tcW w:w="0" w:type="auto"/>
            <w:hideMark/>
          </w:tcPr>
          <w:p w14:paraId="3587FD0B"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82.00</w:t>
            </w:r>
          </w:p>
        </w:tc>
      </w:tr>
    </w:tbl>
    <w:p w14:paraId="468EEEC7" w14:textId="0068B409" w:rsidR="00692C0F" w:rsidRPr="001648DD" w:rsidRDefault="00692C0F" w:rsidP="00433686">
      <w:pPr>
        <w:jc w:val="both"/>
        <w:rPr>
          <w:rFonts w:ascii="Arial" w:hAnsi="Arial" w:cs="Arial"/>
          <w:sz w:val="20"/>
          <w:szCs w:val="20"/>
        </w:rPr>
      </w:pPr>
    </w:p>
    <w:p w14:paraId="746B19BD" w14:textId="0180C8A7" w:rsidR="00692C0F" w:rsidRPr="001648DD" w:rsidRDefault="00692C0F" w:rsidP="00433686">
      <w:pPr>
        <w:pStyle w:val="Heading3"/>
        <w:jc w:val="both"/>
        <w:rPr>
          <w:rFonts w:ascii="Arial" w:hAnsi="Arial" w:cs="Arial"/>
          <w:sz w:val="20"/>
          <w:szCs w:val="20"/>
        </w:rPr>
      </w:pPr>
      <w:r w:rsidRPr="001648DD">
        <w:rPr>
          <w:rStyle w:val="Strong"/>
          <w:rFonts w:ascii="Arial" w:hAnsi="Arial" w:cs="Arial"/>
          <w:b/>
          <w:bCs/>
          <w:sz w:val="20"/>
          <w:szCs w:val="20"/>
        </w:rPr>
        <w:t>Table 5</w:t>
      </w:r>
      <w:r w:rsidR="00A3607F" w:rsidRPr="001648DD">
        <w:rPr>
          <w:rStyle w:val="Strong"/>
          <w:rFonts w:ascii="Arial" w:hAnsi="Arial" w:cs="Arial"/>
          <w:b/>
          <w:bCs/>
          <w:sz w:val="20"/>
          <w:szCs w:val="20"/>
        </w:rPr>
        <w:t>:</w:t>
      </w:r>
      <w:r w:rsidRPr="001648DD">
        <w:rPr>
          <w:rStyle w:val="Strong"/>
          <w:rFonts w:ascii="Arial" w:hAnsi="Arial" w:cs="Arial"/>
          <w:b/>
          <w:bCs/>
          <w:sz w:val="20"/>
          <w:szCs w:val="20"/>
        </w:rPr>
        <w:t xml:space="preserve"> Hormonal and Biochemical Parameters </w:t>
      </w:r>
    </w:p>
    <w:tbl>
      <w:tblPr>
        <w:tblStyle w:val="TableGrid"/>
        <w:tblW w:w="0" w:type="auto"/>
        <w:tblLook w:val="04A0" w:firstRow="1" w:lastRow="0" w:firstColumn="1" w:lastColumn="0" w:noHBand="0" w:noVBand="1"/>
      </w:tblPr>
      <w:tblGrid>
        <w:gridCol w:w="1739"/>
        <w:gridCol w:w="1438"/>
      </w:tblGrid>
      <w:tr w:rsidR="00692C0F" w:rsidRPr="001648DD" w14:paraId="17981F4C" w14:textId="77777777" w:rsidTr="00692C0F">
        <w:tc>
          <w:tcPr>
            <w:tcW w:w="0" w:type="auto"/>
            <w:hideMark/>
          </w:tcPr>
          <w:p w14:paraId="4BC75282"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Parameter</w:t>
            </w:r>
          </w:p>
        </w:tc>
        <w:tc>
          <w:tcPr>
            <w:tcW w:w="0" w:type="auto"/>
            <w:hideMark/>
          </w:tcPr>
          <w:p w14:paraId="38B51FF7"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Mean ± SD</w:t>
            </w:r>
          </w:p>
        </w:tc>
      </w:tr>
      <w:tr w:rsidR="00692C0F" w:rsidRPr="001648DD" w14:paraId="1DDC9B02" w14:textId="77777777" w:rsidTr="00692C0F">
        <w:tc>
          <w:tcPr>
            <w:tcW w:w="0" w:type="auto"/>
            <w:hideMark/>
          </w:tcPr>
          <w:p w14:paraId="41F574E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FSH (</w:t>
            </w:r>
            <w:proofErr w:type="spellStart"/>
            <w:r w:rsidRPr="001648DD">
              <w:rPr>
                <w:rFonts w:ascii="Arial" w:hAnsi="Arial" w:cs="Arial"/>
                <w:sz w:val="20"/>
                <w:szCs w:val="20"/>
              </w:rPr>
              <w:t>mIU</w:t>
            </w:r>
            <w:proofErr w:type="spellEnd"/>
            <w:r w:rsidRPr="001648DD">
              <w:rPr>
                <w:rFonts w:ascii="Arial" w:hAnsi="Arial" w:cs="Arial"/>
                <w:sz w:val="20"/>
                <w:szCs w:val="20"/>
              </w:rPr>
              <w:t>/mL)</w:t>
            </w:r>
          </w:p>
        </w:tc>
        <w:tc>
          <w:tcPr>
            <w:tcW w:w="0" w:type="auto"/>
            <w:hideMark/>
          </w:tcPr>
          <w:p w14:paraId="0092E15F" w14:textId="40EA13C2" w:rsidR="00692C0F" w:rsidRPr="001648DD" w:rsidRDefault="009075E2" w:rsidP="00433686">
            <w:pPr>
              <w:jc w:val="both"/>
              <w:rPr>
                <w:rFonts w:ascii="Arial" w:hAnsi="Arial" w:cs="Arial"/>
                <w:sz w:val="20"/>
                <w:szCs w:val="20"/>
              </w:rPr>
            </w:pPr>
            <w:r w:rsidRPr="001648DD">
              <w:rPr>
                <w:rFonts w:ascii="Arial" w:hAnsi="Arial" w:cs="Arial"/>
                <w:sz w:val="20"/>
                <w:szCs w:val="20"/>
              </w:rPr>
              <w:t>48.26 ± 8.74</w:t>
            </w:r>
          </w:p>
        </w:tc>
      </w:tr>
      <w:tr w:rsidR="00692C0F" w:rsidRPr="001648DD" w14:paraId="2D575007" w14:textId="77777777" w:rsidTr="00692C0F">
        <w:tc>
          <w:tcPr>
            <w:tcW w:w="0" w:type="auto"/>
            <w:hideMark/>
          </w:tcPr>
          <w:p w14:paraId="3333569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LH (</w:t>
            </w:r>
            <w:proofErr w:type="spellStart"/>
            <w:r w:rsidRPr="001648DD">
              <w:rPr>
                <w:rFonts w:ascii="Arial" w:hAnsi="Arial" w:cs="Arial"/>
                <w:sz w:val="20"/>
                <w:szCs w:val="20"/>
              </w:rPr>
              <w:t>mIU</w:t>
            </w:r>
            <w:proofErr w:type="spellEnd"/>
            <w:r w:rsidRPr="001648DD">
              <w:rPr>
                <w:rFonts w:ascii="Arial" w:hAnsi="Arial" w:cs="Arial"/>
                <w:sz w:val="20"/>
                <w:szCs w:val="20"/>
              </w:rPr>
              <w:t>/mL)</w:t>
            </w:r>
          </w:p>
        </w:tc>
        <w:tc>
          <w:tcPr>
            <w:tcW w:w="0" w:type="auto"/>
            <w:hideMark/>
          </w:tcPr>
          <w:p w14:paraId="538EEE43"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28.54 ± 9.63</w:t>
            </w:r>
          </w:p>
        </w:tc>
      </w:tr>
      <w:tr w:rsidR="00692C0F" w:rsidRPr="001648DD" w14:paraId="3D384614" w14:textId="77777777" w:rsidTr="00692C0F">
        <w:tc>
          <w:tcPr>
            <w:tcW w:w="0" w:type="auto"/>
            <w:hideMark/>
          </w:tcPr>
          <w:p w14:paraId="09A5E9D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Estradiol (</w:t>
            </w:r>
            <w:proofErr w:type="spellStart"/>
            <w:r w:rsidRPr="001648DD">
              <w:rPr>
                <w:rFonts w:ascii="Arial" w:hAnsi="Arial" w:cs="Arial"/>
                <w:sz w:val="20"/>
                <w:szCs w:val="20"/>
              </w:rPr>
              <w:t>pg</w:t>
            </w:r>
            <w:proofErr w:type="spellEnd"/>
            <w:r w:rsidRPr="001648DD">
              <w:rPr>
                <w:rFonts w:ascii="Arial" w:hAnsi="Arial" w:cs="Arial"/>
                <w:sz w:val="20"/>
                <w:szCs w:val="20"/>
              </w:rPr>
              <w:t>/mL)</w:t>
            </w:r>
          </w:p>
        </w:tc>
        <w:tc>
          <w:tcPr>
            <w:tcW w:w="0" w:type="auto"/>
            <w:hideMark/>
          </w:tcPr>
          <w:p w14:paraId="3D09D4D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32.47 ± 11.21</w:t>
            </w:r>
          </w:p>
        </w:tc>
      </w:tr>
      <w:tr w:rsidR="00692C0F" w:rsidRPr="001648DD" w14:paraId="4AD7605B" w14:textId="77777777" w:rsidTr="00692C0F">
        <w:tc>
          <w:tcPr>
            <w:tcW w:w="0" w:type="auto"/>
            <w:hideMark/>
          </w:tcPr>
          <w:p w14:paraId="32E549A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Prolactin (ng/mL)</w:t>
            </w:r>
          </w:p>
        </w:tc>
        <w:tc>
          <w:tcPr>
            <w:tcW w:w="0" w:type="auto"/>
            <w:hideMark/>
          </w:tcPr>
          <w:p w14:paraId="21476416"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15.38 ± 5.42</w:t>
            </w:r>
          </w:p>
        </w:tc>
      </w:tr>
      <w:tr w:rsidR="00692C0F" w:rsidRPr="001648DD" w14:paraId="28C57FD2" w14:textId="77777777" w:rsidTr="00692C0F">
        <w:tc>
          <w:tcPr>
            <w:tcW w:w="0" w:type="auto"/>
            <w:hideMark/>
          </w:tcPr>
          <w:p w14:paraId="43985E06"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TSH (µIU/mL)</w:t>
            </w:r>
          </w:p>
        </w:tc>
        <w:tc>
          <w:tcPr>
            <w:tcW w:w="0" w:type="auto"/>
            <w:hideMark/>
          </w:tcPr>
          <w:p w14:paraId="475BD34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2.81 ± 1.04</w:t>
            </w:r>
          </w:p>
        </w:tc>
      </w:tr>
      <w:tr w:rsidR="00692C0F" w:rsidRPr="001648DD" w14:paraId="1DF4C989" w14:textId="77777777" w:rsidTr="00692C0F">
        <w:tc>
          <w:tcPr>
            <w:tcW w:w="0" w:type="auto"/>
            <w:hideMark/>
          </w:tcPr>
          <w:p w14:paraId="3BC56F22"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BMI (kg/m²)</w:t>
            </w:r>
          </w:p>
        </w:tc>
        <w:tc>
          <w:tcPr>
            <w:tcW w:w="0" w:type="auto"/>
            <w:hideMark/>
          </w:tcPr>
          <w:p w14:paraId="20454F02"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26.42 ± 4.38</w:t>
            </w:r>
          </w:p>
        </w:tc>
      </w:tr>
    </w:tbl>
    <w:p w14:paraId="52E43D06" w14:textId="13676B01" w:rsidR="00692C0F" w:rsidRPr="001648DD" w:rsidRDefault="009075E2" w:rsidP="00433686">
      <w:pPr>
        <w:jc w:val="both"/>
        <w:rPr>
          <w:rFonts w:ascii="Arial" w:hAnsi="Arial" w:cs="Arial"/>
          <w:sz w:val="20"/>
          <w:szCs w:val="20"/>
        </w:rPr>
      </w:pPr>
      <w:r w:rsidRPr="001648DD">
        <w:rPr>
          <w:rFonts w:ascii="Arial" w:hAnsi="Arial" w:cs="Arial"/>
          <w:sz w:val="20"/>
          <w:szCs w:val="20"/>
        </w:rPr>
        <w:t xml:space="preserve">Results are presented as </w:t>
      </w:r>
      <w:r w:rsidRPr="001648DD">
        <w:rPr>
          <w:rStyle w:val="Strong"/>
          <w:rFonts w:ascii="Arial" w:hAnsi="Arial" w:cs="Arial"/>
          <w:b w:val="0"/>
          <w:bCs w:val="0"/>
          <w:sz w:val="20"/>
          <w:szCs w:val="20"/>
        </w:rPr>
        <w:t>Mean ± SD</w:t>
      </w:r>
    </w:p>
    <w:p w14:paraId="1905E81F" w14:textId="4D523233" w:rsidR="00692C0F" w:rsidRPr="001648DD" w:rsidRDefault="00692C0F" w:rsidP="00433686">
      <w:pPr>
        <w:pStyle w:val="Heading3"/>
        <w:jc w:val="both"/>
        <w:rPr>
          <w:rFonts w:ascii="Arial" w:hAnsi="Arial" w:cs="Arial"/>
          <w:sz w:val="20"/>
          <w:szCs w:val="20"/>
        </w:rPr>
      </w:pPr>
      <w:r w:rsidRPr="001648DD">
        <w:rPr>
          <w:rStyle w:val="Strong"/>
          <w:rFonts w:ascii="Arial" w:hAnsi="Arial" w:cs="Arial"/>
          <w:b/>
          <w:bCs/>
          <w:sz w:val="20"/>
          <w:szCs w:val="20"/>
        </w:rPr>
        <w:t>Table 6</w:t>
      </w:r>
      <w:r w:rsidR="00A3607F" w:rsidRPr="001648DD">
        <w:rPr>
          <w:rStyle w:val="Strong"/>
          <w:rFonts w:ascii="Arial" w:hAnsi="Arial" w:cs="Arial"/>
          <w:b/>
          <w:bCs/>
          <w:sz w:val="20"/>
          <w:szCs w:val="20"/>
        </w:rPr>
        <w:t>:</w:t>
      </w:r>
      <w:r w:rsidRPr="001648DD">
        <w:rPr>
          <w:rStyle w:val="Strong"/>
          <w:rFonts w:ascii="Arial" w:hAnsi="Arial" w:cs="Arial"/>
          <w:b/>
          <w:bCs/>
          <w:sz w:val="20"/>
          <w:szCs w:val="20"/>
        </w:rPr>
        <w:t xml:space="preserve"> Clinical Symptoms of POI </w:t>
      </w:r>
    </w:p>
    <w:tbl>
      <w:tblPr>
        <w:tblStyle w:val="TableGrid"/>
        <w:tblW w:w="0" w:type="auto"/>
        <w:tblLook w:val="04A0" w:firstRow="1" w:lastRow="0" w:firstColumn="1" w:lastColumn="0" w:noHBand="0" w:noVBand="1"/>
      </w:tblPr>
      <w:tblGrid>
        <w:gridCol w:w="1818"/>
        <w:gridCol w:w="1017"/>
        <w:gridCol w:w="1128"/>
        <w:gridCol w:w="1128"/>
        <w:gridCol w:w="1239"/>
        <w:gridCol w:w="1239"/>
      </w:tblGrid>
      <w:tr w:rsidR="00692C0F" w:rsidRPr="001648DD" w14:paraId="0518BABE" w14:textId="77777777" w:rsidTr="00692C0F">
        <w:tc>
          <w:tcPr>
            <w:tcW w:w="0" w:type="auto"/>
            <w:hideMark/>
          </w:tcPr>
          <w:p w14:paraId="12A6B80B"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Symptom</w:t>
            </w:r>
          </w:p>
        </w:tc>
        <w:tc>
          <w:tcPr>
            <w:tcW w:w="0" w:type="auto"/>
            <w:hideMark/>
          </w:tcPr>
          <w:p w14:paraId="20EF3C1D"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1 (n, %)</w:t>
            </w:r>
          </w:p>
        </w:tc>
        <w:tc>
          <w:tcPr>
            <w:tcW w:w="0" w:type="auto"/>
            <w:hideMark/>
          </w:tcPr>
          <w:p w14:paraId="14E1EE44"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2 (n, %)</w:t>
            </w:r>
          </w:p>
        </w:tc>
        <w:tc>
          <w:tcPr>
            <w:tcW w:w="0" w:type="auto"/>
            <w:hideMark/>
          </w:tcPr>
          <w:p w14:paraId="3A7E765A"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3 (n, %)</w:t>
            </w:r>
          </w:p>
        </w:tc>
        <w:tc>
          <w:tcPr>
            <w:tcW w:w="0" w:type="auto"/>
            <w:hideMark/>
          </w:tcPr>
          <w:p w14:paraId="208F37C2"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4 (n, %)</w:t>
            </w:r>
          </w:p>
        </w:tc>
        <w:tc>
          <w:tcPr>
            <w:tcW w:w="0" w:type="auto"/>
            <w:hideMark/>
          </w:tcPr>
          <w:p w14:paraId="315AD7E2"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5 (n, %)</w:t>
            </w:r>
          </w:p>
        </w:tc>
      </w:tr>
      <w:tr w:rsidR="00692C0F" w:rsidRPr="001648DD" w14:paraId="4ACAAC03" w14:textId="77777777" w:rsidTr="00692C0F">
        <w:tc>
          <w:tcPr>
            <w:tcW w:w="0" w:type="auto"/>
            <w:hideMark/>
          </w:tcPr>
          <w:p w14:paraId="20C0C2F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Hot flushes</w:t>
            </w:r>
          </w:p>
        </w:tc>
        <w:tc>
          <w:tcPr>
            <w:tcW w:w="0" w:type="auto"/>
            <w:hideMark/>
          </w:tcPr>
          <w:p w14:paraId="1E057E6A"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14 (4.67)</w:t>
            </w:r>
          </w:p>
        </w:tc>
        <w:tc>
          <w:tcPr>
            <w:tcW w:w="0" w:type="auto"/>
            <w:hideMark/>
          </w:tcPr>
          <w:p w14:paraId="53CF70D0"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23 (7.67)</w:t>
            </w:r>
          </w:p>
        </w:tc>
        <w:tc>
          <w:tcPr>
            <w:tcW w:w="0" w:type="auto"/>
            <w:hideMark/>
          </w:tcPr>
          <w:p w14:paraId="5827C044"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54 (18.00)</w:t>
            </w:r>
          </w:p>
        </w:tc>
        <w:tc>
          <w:tcPr>
            <w:tcW w:w="0" w:type="auto"/>
            <w:hideMark/>
          </w:tcPr>
          <w:p w14:paraId="0807CF5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98 (32.67)</w:t>
            </w:r>
          </w:p>
        </w:tc>
        <w:tc>
          <w:tcPr>
            <w:tcW w:w="0" w:type="auto"/>
            <w:hideMark/>
          </w:tcPr>
          <w:p w14:paraId="2EA9FFE4"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111 (37.00)</w:t>
            </w:r>
          </w:p>
        </w:tc>
      </w:tr>
      <w:tr w:rsidR="00692C0F" w:rsidRPr="001648DD" w14:paraId="405AE0F9" w14:textId="77777777" w:rsidTr="00692C0F">
        <w:tc>
          <w:tcPr>
            <w:tcW w:w="0" w:type="auto"/>
            <w:hideMark/>
          </w:tcPr>
          <w:p w14:paraId="5C35D54A"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Vaginal dryness</w:t>
            </w:r>
          </w:p>
        </w:tc>
        <w:tc>
          <w:tcPr>
            <w:tcW w:w="0" w:type="auto"/>
            <w:hideMark/>
          </w:tcPr>
          <w:p w14:paraId="18446ECC"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21 (7.00)</w:t>
            </w:r>
          </w:p>
        </w:tc>
        <w:tc>
          <w:tcPr>
            <w:tcW w:w="0" w:type="auto"/>
            <w:hideMark/>
          </w:tcPr>
          <w:p w14:paraId="145B45B4"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29 (9.67)</w:t>
            </w:r>
          </w:p>
        </w:tc>
        <w:tc>
          <w:tcPr>
            <w:tcW w:w="0" w:type="auto"/>
            <w:hideMark/>
          </w:tcPr>
          <w:p w14:paraId="0C8DC9B5"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47 (15.67)</w:t>
            </w:r>
          </w:p>
        </w:tc>
        <w:tc>
          <w:tcPr>
            <w:tcW w:w="0" w:type="auto"/>
            <w:hideMark/>
          </w:tcPr>
          <w:p w14:paraId="367FEAE3"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102 (34.00)</w:t>
            </w:r>
          </w:p>
        </w:tc>
        <w:tc>
          <w:tcPr>
            <w:tcW w:w="0" w:type="auto"/>
            <w:hideMark/>
          </w:tcPr>
          <w:p w14:paraId="6462E0E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101 (33.67)</w:t>
            </w:r>
          </w:p>
        </w:tc>
      </w:tr>
      <w:tr w:rsidR="00692C0F" w:rsidRPr="001648DD" w14:paraId="2D83B3BC" w14:textId="77777777" w:rsidTr="00692C0F">
        <w:tc>
          <w:tcPr>
            <w:tcW w:w="0" w:type="auto"/>
            <w:hideMark/>
          </w:tcPr>
          <w:p w14:paraId="79758F3D"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Night sweats</w:t>
            </w:r>
          </w:p>
        </w:tc>
        <w:tc>
          <w:tcPr>
            <w:tcW w:w="0" w:type="auto"/>
            <w:hideMark/>
          </w:tcPr>
          <w:p w14:paraId="2E050EB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17 (5.67)</w:t>
            </w:r>
          </w:p>
        </w:tc>
        <w:tc>
          <w:tcPr>
            <w:tcW w:w="0" w:type="auto"/>
            <w:hideMark/>
          </w:tcPr>
          <w:p w14:paraId="13138B55"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28 (9.33)</w:t>
            </w:r>
          </w:p>
        </w:tc>
        <w:tc>
          <w:tcPr>
            <w:tcW w:w="0" w:type="auto"/>
            <w:hideMark/>
          </w:tcPr>
          <w:p w14:paraId="6FD4FC7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66 (22.00)</w:t>
            </w:r>
          </w:p>
        </w:tc>
        <w:tc>
          <w:tcPr>
            <w:tcW w:w="0" w:type="auto"/>
            <w:hideMark/>
          </w:tcPr>
          <w:p w14:paraId="58E6511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91 (30.33)</w:t>
            </w:r>
          </w:p>
        </w:tc>
        <w:tc>
          <w:tcPr>
            <w:tcW w:w="0" w:type="auto"/>
            <w:hideMark/>
          </w:tcPr>
          <w:p w14:paraId="16C20D44"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98 (32.67)</w:t>
            </w:r>
          </w:p>
        </w:tc>
      </w:tr>
      <w:tr w:rsidR="00692C0F" w:rsidRPr="001648DD" w14:paraId="69AB9608" w14:textId="77777777" w:rsidTr="00692C0F">
        <w:tc>
          <w:tcPr>
            <w:tcW w:w="0" w:type="auto"/>
            <w:hideMark/>
          </w:tcPr>
          <w:p w14:paraId="3092F875"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Mood changes</w:t>
            </w:r>
          </w:p>
        </w:tc>
        <w:tc>
          <w:tcPr>
            <w:tcW w:w="0" w:type="auto"/>
            <w:hideMark/>
          </w:tcPr>
          <w:p w14:paraId="11526D15"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18 (6.00)</w:t>
            </w:r>
          </w:p>
        </w:tc>
        <w:tc>
          <w:tcPr>
            <w:tcW w:w="0" w:type="auto"/>
            <w:hideMark/>
          </w:tcPr>
          <w:p w14:paraId="222F8A8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36 (12.00)</w:t>
            </w:r>
          </w:p>
        </w:tc>
        <w:tc>
          <w:tcPr>
            <w:tcW w:w="0" w:type="auto"/>
            <w:hideMark/>
          </w:tcPr>
          <w:p w14:paraId="14E25D53"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74 (24.67)</w:t>
            </w:r>
          </w:p>
        </w:tc>
        <w:tc>
          <w:tcPr>
            <w:tcW w:w="0" w:type="auto"/>
            <w:hideMark/>
          </w:tcPr>
          <w:p w14:paraId="4B22EB6E"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87 (29.00)</w:t>
            </w:r>
          </w:p>
        </w:tc>
        <w:tc>
          <w:tcPr>
            <w:tcW w:w="0" w:type="auto"/>
            <w:hideMark/>
          </w:tcPr>
          <w:p w14:paraId="15AEB03B"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85 (28.33)</w:t>
            </w:r>
          </w:p>
        </w:tc>
      </w:tr>
      <w:tr w:rsidR="00692C0F" w:rsidRPr="001648DD" w14:paraId="603D66EC" w14:textId="77777777" w:rsidTr="00692C0F">
        <w:tc>
          <w:tcPr>
            <w:tcW w:w="0" w:type="auto"/>
            <w:hideMark/>
          </w:tcPr>
          <w:p w14:paraId="76A79F7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Sleep disturbance</w:t>
            </w:r>
          </w:p>
        </w:tc>
        <w:tc>
          <w:tcPr>
            <w:tcW w:w="0" w:type="auto"/>
            <w:hideMark/>
          </w:tcPr>
          <w:p w14:paraId="179ECF3D"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15 (5.00)</w:t>
            </w:r>
          </w:p>
        </w:tc>
        <w:tc>
          <w:tcPr>
            <w:tcW w:w="0" w:type="auto"/>
            <w:hideMark/>
          </w:tcPr>
          <w:p w14:paraId="428113A1"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31 (10.33)</w:t>
            </w:r>
          </w:p>
        </w:tc>
        <w:tc>
          <w:tcPr>
            <w:tcW w:w="0" w:type="auto"/>
            <w:hideMark/>
          </w:tcPr>
          <w:p w14:paraId="6CDAD15D"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72 (24.00)</w:t>
            </w:r>
          </w:p>
        </w:tc>
        <w:tc>
          <w:tcPr>
            <w:tcW w:w="0" w:type="auto"/>
            <w:hideMark/>
          </w:tcPr>
          <w:p w14:paraId="219EE0BC"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89 (29.67)</w:t>
            </w:r>
          </w:p>
        </w:tc>
        <w:tc>
          <w:tcPr>
            <w:tcW w:w="0" w:type="auto"/>
            <w:hideMark/>
          </w:tcPr>
          <w:p w14:paraId="67206130"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93 (31.00)</w:t>
            </w:r>
          </w:p>
        </w:tc>
      </w:tr>
    </w:tbl>
    <w:p w14:paraId="2EA24892" w14:textId="69CEA70B" w:rsidR="00692C0F" w:rsidRPr="001648DD" w:rsidRDefault="00A3607F" w:rsidP="00433686">
      <w:pPr>
        <w:jc w:val="both"/>
        <w:rPr>
          <w:rFonts w:ascii="Arial" w:hAnsi="Arial" w:cs="Arial"/>
          <w:sz w:val="20"/>
          <w:szCs w:val="20"/>
        </w:rPr>
      </w:pPr>
      <w:r w:rsidRPr="001648DD">
        <w:rPr>
          <w:rStyle w:val="Strong"/>
          <w:rFonts w:ascii="Arial" w:hAnsi="Arial" w:cs="Arial"/>
          <w:b w:val="0"/>
          <w:bCs w:val="0"/>
          <w:sz w:val="20"/>
          <w:szCs w:val="20"/>
        </w:rPr>
        <w:t>5-Point Likert Scale: 1 = Strongly Disagree, 5 = Strongly Agree</w:t>
      </w:r>
    </w:p>
    <w:p w14:paraId="22C6E4E7" w14:textId="53932A5C" w:rsidR="00692C0F" w:rsidRPr="001648DD" w:rsidRDefault="00692C0F" w:rsidP="00433686">
      <w:pPr>
        <w:pStyle w:val="Heading3"/>
        <w:jc w:val="both"/>
        <w:rPr>
          <w:rFonts w:ascii="Arial" w:hAnsi="Arial" w:cs="Arial"/>
          <w:sz w:val="20"/>
          <w:szCs w:val="20"/>
        </w:rPr>
      </w:pPr>
      <w:r w:rsidRPr="001648DD">
        <w:rPr>
          <w:rStyle w:val="Strong"/>
          <w:rFonts w:ascii="Arial" w:hAnsi="Arial" w:cs="Arial"/>
          <w:b/>
          <w:bCs/>
          <w:sz w:val="20"/>
          <w:szCs w:val="20"/>
        </w:rPr>
        <w:t>Table 7</w:t>
      </w:r>
      <w:r w:rsidR="009075E2" w:rsidRPr="001648DD">
        <w:rPr>
          <w:rStyle w:val="Strong"/>
          <w:rFonts w:ascii="Arial" w:hAnsi="Arial" w:cs="Arial"/>
          <w:b/>
          <w:bCs/>
          <w:sz w:val="20"/>
          <w:szCs w:val="20"/>
        </w:rPr>
        <w:t>:</w:t>
      </w:r>
      <w:r w:rsidRPr="001648DD">
        <w:rPr>
          <w:rStyle w:val="Strong"/>
          <w:rFonts w:ascii="Arial" w:hAnsi="Arial" w:cs="Arial"/>
          <w:b/>
          <w:bCs/>
          <w:sz w:val="20"/>
          <w:szCs w:val="20"/>
        </w:rPr>
        <w:t xml:space="preserve"> Chi-square Analysis of Selected Factors Associated with POI</w:t>
      </w:r>
    </w:p>
    <w:tbl>
      <w:tblPr>
        <w:tblStyle w:val="TableGrid"/>
        <w:tblW w:w="0" w:type="auto"/>
        <w:tblLook w:val="04A0" w:firstRow="1" w:lastRow="0" w:firstColumn="1" w:lastColumn="0" w:noHBand="0" w:noVBand="1"/>
      </w:tblPr>
      <w:tblGrid>
        <w:gridCol w:w="4563"/>
        <w:gridCol w:w="828"/>
        <w:gridCol w:w="405"/>
        <w:gridCol w:w="917"/>
      </w:tblGrid>
      <w:tr w:rsidR="00692C0F" w:rsidRPr="001648DD" w14:paraId="16D049C8" w14:textId="77777777" w:rsidTr="00692C0F">
        <w:tc>
          <w:tcPr>
            <w:tcW w:w="0" w:type="auto"/>
            <w:hideMark/>
          </w:tcPr>
          <w:p w14:paraId="43483FEB"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Variable</w:t>
            </w:r>
          </w:p>
        </w:tc>
        <w:tc>
          <w:tcPr>
            <w:tcW w:w="0" w:type="auto"/>
            <w:hideMark/>
          </w:tcPr>
          <w:p w14:paraId="45C8F795"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χ²</w:t>
            </w:r>
          </w:p>
        </w:tc>
        <w:tc>
          <w:tcPr>
            <w:tcW w:w="0" w:type="auto"/>
            <w:hideMark/>
          </w:tcPr>
          <w:p w14:paraId="49CEE778"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df</w:t>
            </w:r>
          </w:p>
        </w:tc>
        <w:tc>
          <w:tcPr>
            <w:tcW w:w="0" w:type="auto"/>
            <w:hideMark/>
          </w:tcPr>
          <w:p w14:paraId="2192C65B"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p-value</w:t>
            </w:r>
          </w:p>
        </w:tc>
      </w:tr>
      <w:tr w:rsidR="00692C0F" w:rsidRPr="001648DD" w14:paraId="189A0F08" w14:textId="77777777" w:rsidTr="00692C0F">
        <w:tc>
          <w:tcPr>
            <w:tcW w:w="0" w:type="auto"/>
            <w:hideMark/>
          </w:tcPr>
          <w:p w14:paraId="4FAB4463"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Age group vs. POI status</w:t>
            </w:r>
          </w:p>
        </w:tc>
        <w:tc>
          <w:tcPr>
            <w:tcW w:w="0" w:type="auto"/>
            <w:hideMark/>
          </w:tcPr>
          <w:p w14:paraId="786B75C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12.483</w:t>
            </w:r>
          </w:p>
        </w:tc>
        <w:tc>
          <w:tcPr>
            <w:tcW w:w="0" w:type="auto"/>
            <w:hideMark/>
          </w:tcPr>
          <w:p w14:paraId="4D928878"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4</w:t>
            </w:r>
          </w:p>
        </w:tc>
        <w:tc>
          <w:tcPr>
            <w:tcW w:w="0" w:type="auto"/>
            <w:hideMark/>
          </w:tcPr>
          <w:p w14:paraId="098A458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0.014*</w:t>
            </w:r>
          </w:p>
        </w:tc>
      </w:tr>
      <w:tr w:rsidR="00692C0F" w:rsidRPr="001648DD" w14:paraId="37A948C5" w14:textId="77777777" w:rsidTr="00692C0F">
        <w:tc>
          <w:tcPr>
            <w:tcW w:w="0" w:type="auto"/>
            <w:hideMark/>
          </w:tcPr>
          <w:p w14:paraId="693F683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History of pelvic surgery vs. POI status</w:t>
            </w:r>
          </w:p>
        </w:tc>
        <w:tc>
          <w:tcPr>
            <w:tcW w:w="0" w:type="auto"/>
            <w:hideMark/>
          </w:tcPr>
          <w:p w14:paraId="408DFCAB"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9.227</w:t>
            </w:r>
          </w:p>
        </w:tc>
        <w:tc>
          <w:tcPr>
            <w:tcW w:w="0" w:type="auto"/>
            <w:hideMark/>
          </w:tcPr>
          <w:p w14:paraId="2222FB2C"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w:t>
            </w:r>
          </w:p>
        </w:tc>
        <w:tc>
          <w:tcPr>
            <w:tcW w:w="0" w:type="auto"/>
            <w:hideMark/>
          </w:tcPr>
          <w:p w14:paraId="330A92AA"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0.002*</w:t>
            </w:r>
          </w:p>
        </w:tc>
      </w:tr>
      <w:tr w:rsidR="00692C0F" w:rsidRPr="001648DD" w14:paraId="0C1BB9B4" w14:textId="77777777" w:rsidTr="00692C0F">
        <w:tc>
          <w:tcPr>
            <w:tcW w:w="0" w:type="auto"/>
            <w:hideMark/>
          </w:tcPr>
          <w:p w14:paraId="74596C34"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lastRenderedPageBreak/>
              <w:t>Smoking status vs. POI status</w:t>
            </w:r>
          </w:p>
        </w:tc>
        <w:tc>
          <w:tcPr>
            <w:tcW w:w="0" w:type="auto"/>
            <w:hideMark/>
          </w:tcPr>
          <w:p w14:paraId="25990166"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4.118</w:t>
            </w:r>
          </w:p>
        </w:tc>
        <w:tc>
          <w:tcPr>
            <w:tcW w:w="0" w:type="auto"/>
            <w:hideMark/>
          </w:tcPr>
          <w:p w14:paraId="79D77F4B"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w:t>
            </w:r>
          </w:p>
        </w:tc>
        <w:tc>
          <w:tcPr>
            <w:tcW w:w="0" w:type="auto"/>
            <w:hideMark/>
          </w:tcPr>
          <w:p w14:paraId="5B3B46E6"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0.042*</w:t>
            </w:r>
          </w:p>
        </w:tc>
      </w:tr>
      <w:tr w:rsidR="00692C0F" w:rsidRPr="001648DD" w14:paraId="30E4749F" w14:textId="77777777" w:rsidTr="00692C0F">
        <w:tc>
          <w:tcPr>
            <w:tcW w:w="0" w:type="auto"/>
            <w:hideMark/>
          </w:tcPr>
          <w:p w14:paraId="1EAFE132"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Family history of early menopause vs. POI status</w:t>
            </w:r>
          </w:p>
        </w:tc>
        <w:tc>
          <w:tcPr>
            <w:tcW w:w="0" w:type="auto"/>
            <w:hideMark/>
          </w:tcPr>
          <w:p w14:paraId="5C5EF47C"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16.201</w:t>
            </w:r>
          </w:p>
        </w:tc>
        <w:tc>
          <w:tcPr>
            <w:tcW w:w="0" w:type="auto"/>
            <w:hideMark/>
          </w:tcPr>
          <w:p w14:paraId="41D6112A"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w:t>
            </w:r>
          </w:p>
        </w:tc>
        <w:tc>
          <w:tcPr>
            <w:tcW w:w="0" w:type="auto"/>
            <w:hideMark/>
          </w:tcPr>
          <w:p w14:paraId="4C5D431C"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&lt;0.001*</w:t>
            </w:r>
          </w:p>
        </w:tc>
      </w:tr>
      <w:tr w:rsidR="00692C0F" w:rsidRPr="001648DD" w14:paraId="5E6E1DBD" w14:textId="77777777" w:rsidTr="00692C0F">
        <w:tc>
          <w:tcPr>
            <w:tcW w:w="0" w:type="auto"/>
            <w:hideMark/>
          </w:tcPr>
          <w:p w14:paraId="475ABD5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Occupational exposure vs. POI status</w:t>
            </w:r>
          </w:p>
        </w:tc>
        <w:tc>
          <w:tcPr>
            <w:tcW w:w="0" w:type="auto"/>
            <w:hideMark/>
          </w:tcPr>
          <w:p w14:paraId="7F1FB588"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3.672</w:t>
            </w:r>
          </w:p>
        </w:tc>
        <w:tc>
          <w:tcPr>
            <w:tcW w:w="0" w:type="auto"/>
            <w:hideMark/>
          </w:tcPr>
          <w:p w14:paraId="7E84224E"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w:t>
            </w:r>
          </w:p>
        </w:tc>
        <w:tc>
          <w:tcPr>
            <w:tcW w:w="0" w:type="auto"/>
            <w:hideMark/>
          </w:tcPr>
          <w:p w14:paraId="2E250CF0"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0.055</w:t>
            </w:r>
          </w:p>
        </w:tc>
      </w:tr>
    </w:tbl>
    <w:p w14:paraId="4177D199" w14:textId="77777777" w:rsidR="00692C0F" w:rsidRPr="001648DD" w:rsidRDefault="00692C0F" w:rsidP="00433686">
      <w:pPr>
        <w:pStyle w:val="NormalWeb"/>
        <w:jc w:val="both"/>
        <w:rPr>
          <w:rFonts w:ascii="Arial" w:hAnsi="Arial" w:cs="Arial"/>
          <w:sz w:val="20"/>
          <w:szCs w:val="20"/>
        </w:rPr>
      </w:pPr>
      <w:r w:rsidRPr="001648DD">
        <w:rPr>
          <w:rFonts w:ascii="Arial" w:hAnsi="Arial" w:cs="Arial"/>
          <w:sz w:val="20"/>
          <w:szCs w:val="20"/>
        </w:rPr>
        <w:t>*Significant at p &lt; 0.05</w:t>
      </w:r>
    </w:p>
    <w:p w14:paraId="042EBA57" w14:textId="77777777" w:rsidR="00692C0F" w:rsidRPr="001648DD" w:rsidRDefault="00692C0F" w:rsidP="00433686">
      <w:pPr>
        <w:pStyle w:val="Heading3"/>
        <w:jc w:val="both"/>
        <w:rPr>
          <w:rStyle w:val="Strong"/>
          <w:rFonts w:ascii="Arial" w:hAnsi="Arial" w:cs="Arial"/>
          <w:b/>
          <w:bCs/>
          <w:sz w:val="20"/>
          <w:szCs w:val="20"/>
        </w:rPr>
      </w:pPr>
    </w:p>
    <w:p w14:paraId="1176AB60" w14:textId="49172982" w:rsidR="00692C0F" w:rsidRPr="001648DD" w:rsidRDefault="00692C0F" w:rsidP="00433686">
      <w:pPr>
        <w:pStyle w:val="Heading3"/>
        <w:jc w:val="both"/>
        <w:rPr>
          <w:rFonts w:ascii="Arial" w:hAnsi="Arial" w:cs="Arial"/>
          <w:sz w:val="20"/>
          <w:szCs w:val="20"/>
        </w:rPr>
      </w:pPr>
      <w:r w:rsidRPr="001648DD">
        <w:rPr>
          <w:rStyle w:val="Strong"/>
          <w:rFonts w:ascii="Arial" w:hAnsi="Arial" w:cs="Arial"/>
          <w:b/>
          <w:bCs/>
          <w:sz w:val="20"/>
          <w:szCs w:val="20"/>
        </w:rPr>
        <w:t>Table 8</w:t>
      </w:r>
      <w:r w:rsidR="009075E2" w:rsidRPr="001648DD">
        <w:rPr>
          <w:rStyle w:val="Strong"/>
          <w:rFonts w:ascii="Arial" w:hAnsi="Arial" w:cs="Arial"/>
          <w:b/>
          <w:bCs/>
          <w:sz w:val="20"/>
          <w:szCs w:val="20"/>
        </w:rPr>
        <w:t>:</w:t>
      </w:r>
      <w:r w:rsidRPr="001648DD">
        <w:rPr>
          <w:rStyle w:val="Strong"/>
          <w:rFonts w:ascii="Arial" w:hAnsi="Arial" w:cs="Arial"/>
          <w:b/>
          <w:bCs/>
          <w:sz w:val="20"/>
          <w:szCs w:val="20"/>
        </w:rPr>
        <w:t xml:space="preserve"> Pearson Correlation Between Hormonal Levels and Age at Diagnosis</w:t>
      </w:r>
    </w:p>
    <w:tbl>
      <w:tblPr>
        <w:tblStyle w:val="TableGrid"/>
        <w:tblW w:w="0" w:type="auto"/>
        <w:tblLook w:val="04A0" w:firstRow="1" w:lastRow="0" w:firstColumn="1" w:lastColumn="0" w:noHBand="0" w:noVBand="1"/>
      </w:tblPr>
      <w:tblGrid>
        <w:gridCol w:w="1695"/>
        <w:gridCol w:w="1817"/>
        <w:gridCol w:w="939"/>
        <w:gridCol w:w="939"/>
        <w:gridCol w:w="1072"/>
      </w:tblGrid>
      <w:tr w:rsidR="00692C0F" w:rsidRPr="001648DD" w14:paraId="650C882F" w14:textId="77777777" w:rsidTr="00692C0F">
        <w:tc>
          <w:tcPr>
            <w:tcW w:w="0" w:type="auto"/>
            <w:hideMark/>
          </w:tcPr>
          <w:p w14:paraId="10994324"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Variables</w:t>
            </w:r>
          </w:p>
        </w:tc>
        <w:tc>
          <w:tcPr>
            <w:tcW w:w="0" w:type="auto"/>
            <w:hideMark/>
          </w:tcPr>
          <w:p w14:paraId="62B17792"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Age at diagnosis</w:t>
            </w:r>
          </w:p>
        </w:tc>
        <w:tc>
          <w:tcPr>
            <w:tcW w:w="0" w:type="auto"/>
            <w:hideMark/>
          </w:tcPr>
          <w:p w14:paraId="4D44FE6B"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FSH</w:t>
            </w:r>
          </w:p>
        </w:tc>
        <w:tc>
          <w:tcPr>
            <w:tcW w:w="0" w:type="auto"/>
            <w:hideMark/>
          </w:tcPr>
          <w:p w14:paraId="6AE13BAA"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LH</w:t>
            </w:r>
          </w:p>
        </w:tc>
        <w:tc>
          <w:tcPr>
            <w:tcW w:w="0" w:type="auto"/>
            <w:hideMark/>
          </w:tcPr>
          <w:p w14:paraId="5DBADF11"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Estradiol</w:t>
            </w:r>
          </w:p>
        </w:tc>
      </w:tr>
      <w:tr w:rsidR="00692C0F" w:rsidRPr="001648DD" w14:paraId="6028C9E4" w14:textId="77777777" w:rsidTr="00692C0F">
        <w:tc>
          <w:tcPr>
            <w:tcW w:w="0" w:type="auto"/>
            <w:hideMark/>
          </w:tcPr>
          <w:p w14:paraId="2CD15A54"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Age at diagnosis</w:t>
            </w:r>
          </w:p>
        </w:tc>
        <w:tc>
          <w:tcPr>
            <w:tcW w:w="0" w:type="auto"/>
            <w:hideMark/>
          </w:tcPr>
          <w:p w14:paraId="7683078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w:t>
            </w:r>
          </w:p>
        </w:tc>
        <w:tc>
          <w:tcPr>
            <w:tcW w:w="0" w:type="auto"/>
            <w:hideMark/>
          </w:tcPr>
          <w:p w14:paraId="1BC4BD08"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0.312*</w:t>
            </w:r>
          </w:p>
        </w:tc>
        <w:tc>
          <w:tcPr>
            <w:tcW w:w="0" w:type="auto"/>
            <w:hideMark/>
          </w:tcPr>
          <w:p w14:paraId="6594A07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0.241*</w:t>
            </w:r>
          </w:p>
        </w:tc>
        <w:tc>
          <w:tcPr>
            <w:tcW w:w="0" w:type="auto"/>
            <w:hideMark/>
          </w:tcPr>
          <w:p w14:paraId="11DCD6CA"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-0.298*</w:t>
            </w:r>
          </w:p>
        </w:tc>
      </w:tr>
      <w:tr w:rsidR="00692C0F" w:rsidRPr="001648DD" w14:paraId="13424AF7" w14:textId="77777777" w:rsidTr="00692C0F">
        <w:tc>
          <w:tcPr>
            <w:tcW w:w="0" w:type="auto"/>
            <w:hideMark/>
          </w:tcPr>
          <w:p w14:paraId="17D606B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FSH</w:t>
            </w:r>
          </w:p>
        </w:tc>
        <w:tc>
          <w:tcPr>
            <w:tcW w:w="0" w:type="auto"/>
            <w:hideMark/>
          </w:tcPr>
          <w:p w14:paraId="08CD9BD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0.312*</w:t>
            </w:r>
          </w:p>
        </w:tc>
        <w:tc>
          <w:tcPr>
            <w:tcW w:w="0" w:type="auto"/>
            <w:hideMark/>
          </w:tcPr>
          <w:p w14:paraId="52E04166"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w:t>
            </w:r>
          </w:p>
        </w:tc>
        <w:tc>
          <w:tcPr>
            <w:tcW w:w="0" w:type="auto"/>
            <w:hideMark/>
          </w:tcPr>
          <w:p w14:paraId="0039CC0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0.567**</w:t>
            </w:r>
          </w:p>
        </w:tc>
        <w:tc>
          <w:tcPr>
            <w:tcW w:w="0" w:type="auto"/>
            <w:hideMark/>
          </w:tcPr>
          <w:p w14:paraId="445530EA"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-0.514**</w:t>
            </w:r>
          </w:p>
        </w:tc>
      </w:tr>
      <w:tr w:rsidR="00692C0F" w:rsidRPr="001648DD" w14:paraId="78AA94EE" w14:textId="77777777" w:rsidTr="00692C0F">
        <w:tc>
          <w:tcPr>
            <w:tcW w:w="0" w:type="auto"/>
            <w:hideMark/>
          </w:tcPr>
          <w:p w14:paraId="7142B24E"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LH</w:t>
            </w:r>
          </w:p>
        </w:tc>
        <w:tc>
          <w:tcPr>
            <w:tcW w:w="0" w:type="auto"/>
            <w:hideMark/>
          </w:tcPr>
          <w:p w14:paraId="26BF4C9A"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0.241*</w:t>
            </w:r>
          </w:p>
        </w:tc>
        <w:tc>
          <w:tcPr>
            <w:tcW w:w="0" w:type="auto"/>
            <w:hideMark/>
          </w:tcPr>
          <w:p w14:paraId="13EA89F0"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0.567**</w:t>
            </w:r>
          </w:p>
        </w:tc>
        <w:tc>
          <w:tcPr>
            <w:tcW w:w="0" w:type="auto"/>
            <w:hideMark/>
          </w:tcPr>
          <w:p w14:paraId="27BA756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w:t>
            </w:r>
          </w:p>
        </w:tc>
        <w:tc>
          <w:tcPr>
            <w:tcW w:w="0" w:type="auto"/>
            <w:hideMark/>
          </w:tcPr>
          <w:p w14:paraId="3737F47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-0.432**</w:t>
            </w:r>
          </w:p>
        </w:tc>
      </w:tr>
      <w:tr w:rsidR="00692C0F" w:rsidRPr="001648DD" w14:paraId="7B2E6449" w14:textId="77777777" w:rsidTr="00692C0F">
        <w:tc>
          <w:tcPr>
            <w:tcW w:w="0" w:type="auto"/>
            <w:hideMark/>
          </w:tcPr>
          <w:p w14:paraId="4320598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Estradiol</w:t>
            </w:r>
          </w:p>
        </w:tc>
        <w:tc>
          <w:tcPr>
            <w:tcW w:w="0" w:type="auto"/>
            <w:hideMark/>
          </w:tcPr>
          <w:p w14:paraId="4B17A5F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-0.298*</w:t>
            </w:r>
          </w:p>
        </w:tc>
        <w:tc>
          <w:tcPr>
            <w:tcW w:w="0" w:type="auto"/>
            <w:hideMark/>
          </w:tcPr>
          <w:p w14:paraId="65472D0D"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-0.514**</w:t>
            </w:r>
          </w:p>
        </w:tc>
        <w:tc>
          <w:tcPr>
            <w:tcW w:w="0" w:type="auto"/>
            <w:hideMark/>
          </w:tcPr>
          <w:p w14:paraId="769845A1"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-0.432**</w:t>
            </w:r>
          </w:p>
        </w:tc>
        <w:tc>
          <w:tcPr>
            <w:tcW w:w="0" w:type="auto"/>
            <w:hideMark/>
          </w:tcPr>
          <w:p w14:paraId="4AB41FA2"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w:t>
            </w:r>
          </w:p>
        </w:tc>
      </w:tr>
    </w:tbl>
    <w:p w14:paraId="3DCA4DF0" w14:textId="77777777" w:rsidR="00692C0F" w:rsidRPr="001648DD" w:rsidRDefault="00692C0F" w:rsidP="00433686">
      <w:pPr>
        <w:pStyle w:val="NormalWeb"/>
        <w:jc w:val="both"/>
        <w:rPr>
          <w:rFonts w:ascii="Arial" w:hAnsi="Arial" w:cs="Arial"/>
          <w:sz w:val="20"/>
          <w:szCs w:val="20"/>
        </w:rPr>
      </w:pPr>
      <w:r w:rsidRPr="001648DD">
        <w:rPr>
          <w:rFonts w:ascii="Arial" w:hAnsi="Arial" w:cs="Arial"/>
          <w:sz w:val="20"/>
          <w:szCs w:val="20"/>
        </w:rPr>
        <w:t>*p &lt; 0.05, **p &lt; 0.01</w:t>
      </w:r>
    </w:p>
    <w:p w14:paraId="7079D1DC" w14:textId="795141F3" w:rsidR="00692C0F" w:rsidRPr="001648DD" w:rsidRDefault="00692C0F" w:rsidP="00433686">
      <w:pPr>
        <w:jc w:val="both"/>
        <w:rPr>
          <w:rFonts w:ascii="Arial" w:hAnsi="Arial" w:cs="Arial"/>
          <w:sz w:val="20"/>
          <w:szCs w:val="20"/>
        </w:rPr>
      </w:pPr>
    </w:p>
    <w:p w14:paraId="3D5BEF6E" w14:textId="0AFD1506" w:rsidR="00334B72" w:rsidRPr="001648DD" w:rsidRDefault="00334B72" w:rsidP="00433686">
      <w:pPr>
        <w:jc w:val="both"/>
        <w:rPr>
          <w:rFonts w:ascii="Arial" w:hAnsi="Arial" w:cs="Arial"/>
          <w:sz w:val="20"/>
          <w:szCs w:val="20"/>
        </w:rPr>
      </w:pPr>
    </w:p>
    <w:p w14:paraId="668C17BF" w14:textId="2D16F574" w:rsidR="00334B72" w:rsidRPr="00334B72" w:rsidRDefault="00D30D97" w:rsidP="00433686">
      <w:pPr>
        <w:spacing w:before="100" w:beforeAutospacing="1" w:after="100" w:afterAutospacing="1" w:line="240" w:lineRule="auto"/>
        <w:jc w:val="both"/>
        <w:rPr>
          <w:rFonts w:ascii="Arial" w:eastAsia="Times New Roman" w:hAnsi="Arial" w:cs="Arial"/>
          <w:sz w:val="20"/>
          <w:szCs w:val="20"/>
        </w:rPr>
      </w:pPr>
      <w:r w:rsidRPr="001648DD">
        <w:rPr>
          <w:rFonts w:ascii="Arial" w:eastAsia="Times New Roman" w:hAnsi="Arial" w:cs="Arial"/>
          <w:b/>
          <w:bCs/>
          <w:sz w:val="20"/>
          <w:szCs w:val="20"/>
        </w:rPr>
        <w:t>DISCUSSION</w:t>
      </w:r>
    </w:p>
    <w:p w14:paraId="2777D62D" w14:textId="7934B2FF"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This study examined the multifaceted pathogenesis and determinants of premature ovarian insufficiency (POI) among Nigerian women. The mean hormonal profile</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 xml:space="preserve">markedly elevated FSH (48.26 ± 8.74 </w:t>
      </w:r>
      <w:proofErr w:type="spellStart"/>
      <w:r w:rsidRPr="00334B72">
        <w:rPr>
          <w:rFonts w:ascii="Arial" w:eastAsia="Times New Roman" w:hAnsi="Arial" w:cs="Arial"/>
          <w:sz w:val="20"/>
          <w:szCs w:val="20"/>
        </w:rPr>
        <w:t>mIU</w:t>
      </w:r>
      <w:proofErr w:type="spellEnd"/>
      <w:r w:rsidRPr="00334B72">
        <w:rPr>
          <w:rFonts w:ascii="Arial" w:eastAsia="Times New Roman" w:hAnsi="Arial" w:cs="Arial"/>
          <w:sz w:val="20"/>
          <w:szCs w:val="20"/>
        </w:rPr>
        <w:t xml:space="preserve">/mL) and LH (28.54 ± 9.63 </w:t>
      </w:r>
      <w:proofErr w:type="spellStart"/>
      <w:r w:rsidRPr="00334B72">
        <w:rPr>
          <w:rFonts w:ascii="Arial" w:eastAsia="Times New Roman" w:hAnsi="Arial" w:cs="Arial"/>
          <w:sz w:val="20"/>
          <w:szCs w:val="20"/>
        </w:rPr>
        <w:t>mIU</w:t>
      </w:r>
      <w:proofErr w:type="spellEnd"/>
      <w:r w:rsidRPr="00334B72">
        <w:rPr>
          <w:rFonts w:ascii="Arial" w:eastAsia="Times New Roman" w:hAnsi="Arial" w:cs="Arial"/>
          <w:sz w:val="20"/>
          <w:szCs w:val="20"/>
        </w:rPr>
        <w:t xml:space="preserve">/mL), combined with significantly reduced estradiol (32.47 ± 11.21 </w:t>
      </w:r>
      <w:proofErr w:type="spellStart"/>
      <w:r w:rsidRPr="00334B72">
        <w:rPr>
          <w:rFonts w:ascii="Arial" w:eastAsia="Times New Roman" w:hAnsi="Arial" w:cs="Arial"/>
          <w:sz w:val="20"/>
          <w:szCs w:val="20"/>
        </w:rPr>
        <w:t>pg</w:t>
      </w:r>
      <w:proofErr w:type="spellEnd"/>
      <w:r w:rsidRPr="00334B72">
        <w:rPr>
          <w:rFonts w:ascii="Arial" w:eastAsia="Times New Roman" w:hAnsi="Arial" w:cs="Arial"/>
          <w:sz w:val="20"/>
          <w:szCs w:val="20"/>
        </w:rPr>
        <w:t>/mL)</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aligns with the endocrine signature of POI described in the literature</w:t>
      </w:r>
      <w:r w:rsidR="00C84752" w:rsidRPr="001648DD">
        <w:rPr>
          <w:rFonts w:ascii="Arial" w:eastAsia="Times New Roman" w:hAnsi="Arial" w:cs="Arial"/>
          <w:sz w:val="20"/>
          <w:szCs w:val="20"/>
        </w:rPr>
        <w:t xml:space="preserve"> [4]</w:t>
      </w:r>
      <w:r w:rsidRPr="00334B72">
        <w:rPr>
          <w:rFonts w:ascii="Arial" w:eastAsia="Times New Roman" w:hAnsi="Arial" w:cs="Arial"/>
          <w:sz w:val="20"/>
          <w:szCs w:val="20"/>
        </w:rPr>
        <w:t xml:space="preserve">. Our hormonal values mirror global trends showing </w:t>
      </w:r>
      <w:proofErr w:type="spellStart"/>
      <w:r w:rsidRPr="00334B72">
        <w:rPr>
          <w:rFonts w:ascii="Arial" w:eastAsia="Times New Roman" w:hAnsi="Arial" w:cs="Arial"/>
          <w:sz w:val="20"/>
          <w:szCs w:val="20"/>
        </w:rPr>
        <w:t>hypergonadotropism</w:t>
      </w:r>
      <w:proofErr w:type="spellEnd"/>
      <w:r w:rsidRPr="00334B72">
        <w:rPr>
          <w:rFonts w:ascii="Arial" w:eastAsia="Times New Roman" w:hAnsi="Arial" w:cs="Arial"/>
          <w:sz w:val="20"/>
          <w:szCs w:val="20"/>
        </w:rPr>
        <w:t xml:space="preserve"> and hypoestrogenism in affected women.</w:t>
      </w:r>
    </w:p>
    <w:p w14:paraId="3B604361" w14:textId="774E794C"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Analysis of sociodemographic variables (Table 1) reveals that women aged 35–39 comprised the largest proportion of participants (24.7%), which is congruent with reports that POI prevalence accelerates in this age range</w:t>
      </w:r>
      <w:r w:rsidR="002C386E" w:rsidRPr="001648DD">
        <w:rPr>
          <w:rFonts w:ascii="Arial" w:eastAsia="Times New Roman" w:hAnsi="Arial" w:cs="Arial"/>
          <w:sz w:val="20"/>
          <w:szCs w:val="20"/>
        </w:rPr>
        <w:t xml:space="preserve"> [15]</w:t>
      </w:r>
      <w:r w:rsidRPr="00334B72">
        <w:rPr>
          <w:rFonts w:ascii="Arial" w:eastAsia="Times New Roman" w:hAnsi="Arial" w:cs="Arial"/>
          <w:sz w:val="20"/>
          <w:szCs w:val="20"/>
        </w:rPr>
        <w:t xml:space="preserve">. The strong statistical association between age group and POI (χ²=12.483, p = 0.014) validates age as a critical non-modifiable risk factor. </w:t>
      </w:r>
      <w:r w:rsidR="007A29BC" w:rsidRPr="001648DD">
        <w:rPr>
          <w:rFonts w:ascii="Arial" w:eastAsia="Times New Roman" w:hAnsi="Arial" w:cs="Arial"/>
          <w:sz w:val="20"/>
          <w:szCs w:val="20"/>
        </w:rPr>
        <w:t>This finding echo</w:t>
      </w:r>
      <w:r w:rsidRPr="00334B72">
        <w:rPr>
          <w:rFonts w:ascii="Arial" w:eastAsia="Times New Roman" w:hAnsi="Arial" w:cs="Arial"/>
          <w:sz w:val="20"/>
          <w:szCs w:val="20"/>
        </w:rPr>
        <w:t xml:space="preserve"> </w:t>
      </w:r>
      <w:r w:rsidR="007A29BC" w:rsidRPr="001648DD">
        <w:rPr>
          <w:rFonts w:ascii="Arial" w:eastAsia="Times New Roman" w:hAnsi="Arial" w:cs="Arial"/>
          <w:sz w:val="20"/>
          <w:szCs w:val="20"/>
        </w:rPr>
        <w:t xml:space="preserve">Ding </w:t>
      </w:r>
      <w:r w:rsidRPr="00334B72">
        <w:rPr>
          <w:rFonts w:ascii="Arial" w:eastAsia="Times New Roman" w:hAnsi="Arial" w:cs="Arial"/>
          <w:sz w:val="20"/>
          <w:szCs w:val="20"/>
        </w:rPr>
        <w:t>and colleagues’ observation that early menopause risk increases with advancing age</w:t>
      </w:r>
      <w:r w:rsidR="007A29BC" w:rsidRPr="001648DD">
        <w:rPr>
          <w:rFonts w:ascii="Arial" w:eastAsia="Times New Roman" w:hAnsi="Arial" w:cs="Arial"/>
          <w:sz w:val="20"/>
          <w:szCs w:val="20"/>
        </w:rPr>
        <w:t xml:space="preserve"> [16]</w:t>
      </w:r>
      <w:r w:rsidRPr="00334B72">
        <w:rPr>
          <w:rFonts w:ascii="Arial" w:eastAsia="Times New Roman" w:hAnsi="Arial" w:cs="Arial"/>
          <w:sz w:val="20"/>
          <w:szCs w:val="20"/>
        </w:rPr>
        <w:t>.</w:t>
      </w:r>
    </w:p>
    <w:p w14:paraId="7705C191" w14:textId="65933C53"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 xml:space="preserve">The significant relationship between history of pelvic surgery and POI (χ²=9.227, p = 0.002) supports </w:t>
      </w:r>
      <w:proofErr w:type="spellStart"/>
      <w:r w:rsidR="007A29BC" w:rsidRPr="001648DD">
        <w:rPr>
          <w:rFonts w:ascii="Arial" w:eastAsia="Times New Roman" w:hAnsi="Arial" w:cs="Arial"/>
          <w:sz w:val="20"/>
          <w:szCs w:val="20"/>
        </w:rPr>
        <w:t>Podfigurna-Stopa’s</w:t>
      </w:r>
      <w:proofErr w:type="spellEnd"/>
      <w:r w:rsidR="007A29BC" w:rsidRPr="001648DD">
        <w:rPr>
          <w:rFonts w:ascii="Arial" w:eastAsia="Times New Roman" w:hAnsi="Arial" w:cs="Arial"/>
          <w:sz w:val="20"/>
          <w:szCs w:val="20"/>
        </w:rPr>
        <w:t xml:space="preserve"> </w:t>
      </w:r>
      <w:r w:rsidRPr="00334B72">
        <w:rPr>
          <w:rFonts w:ascii="Arial" w:eastAsia="Times New Roman" w:hAnsi="Arial" w:cs="Arial"/>
          <w:sz w:val="20"/>
          <w:szCs w:val="20"/>
        </w:rPr>
        <w:t>assertion that pelvic procedures can jeopardize ovarian blood flow, precipitating ovarian insufficiency</w:t>
      </w:r>
      <w:r w:rsidR="007A29BC" w:rsidRPr="001648DD">
        <w:rPr>
          <w:rFonts w:ascii="Arial" w:eastAsia="Times New Roman" w:hAnsi="Arial" w:cs="Arial"/>
          <w:sz w:val="20"/>
          <w:szCs w:val="20"/>
        </w:rPr>
        <w:t xml:space="preserve"> [17]</w:t>
      </w:r>
      <w:r w:rsidRPr="00334B72">
        <w:rPr>
          <w:rFonts w:ascii="Arial" w:eastAsia="Times New Roman" w:hAnsi="Arial" w:cs="Arial"/>
          <w:sz w:val="20"/>
          <w:szCs w:val="20"/>
        </w:rPr>
        <w:t>. Nigerian women undergo surgeries</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particularly tubal ligation or cyst removal</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at younger ages, possibly increasing their vulnerability. That 31.3% reported such surgeries, and this variable emerged as a strong POI predictor, emphasizes the need for surgical risk counseling in routine gynecologic care.</w:t>
      </w:r>
    </w:p>
    <w:p w14:paraId="32DFD602" w14:textId="0175202B"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Lifestyle and environmental exposures (Table 3) also showed significant associations. Smoking status was correlated with POI (χ²=4.118, p = 0.042), consistent with global data that even low-intensity smoking may accelerate ovarian aging</w:t>
      </w:r>
      <w:r w:rsidR="001D33CD" w:rsidRPr="001648DD">
        <w:rPr>
          <w:rFonts w:ascii="Arial" w:eastAsia="Times New Roman" w:hAnsi="Arial" w:cs="Arial"/>
          <w:sz w:val="20"/>
          <w:szCs w:val="20"/>
        </w:rPr>
        <w:t xml:space="preserve"> [18]</w:t>
      </w:r>
      <w:r w:rsidRPr="00334B72">
        <w:rPr>
          <w:rFonts w:ascii="Arial" w:eastAsia="Times New Roman" w:hAnsi="Arial" w:cs="Arial"/>
          <w:sz w:val="20"/>
          <w:szCs w:val="20"/>
        </w:rPr>
        <w:t>. Although the prevalence of current smokers was relatively low at 7%, the impact remains clinically relevant. While occupational chemical exposure did not reach formal significance (p = 0.055), nearly a quarter of participants reported exposure. This echoes recent evidence implicating environmental toxicants</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like endocrine disruptors and heavy metals</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in POI pathogenesis</w:t>
      </w:r>
      <w:r w:rsidR="001D33CD" w:rsidRPr="001648DD">
        <w:rPr>
          <w:rFonts w:ascii="Arial" w:eastAsia="Times New Roman" w:hAnsi="Arial" w:cs="Arial"/>
          <w:sz w:val="20"/>
          <w:szCs w:val="20"/>
        </w:rPr>
        <w:t xml:space="preserve"> [18]</w:t>
      </w:r>
      <w:r w:rsidRPr="00334B72">
        <w:rPr>
          <w:rFonts w:ascii="Arial" w:eastAsia="Times New Roman" w:hAnsi="Arial" w:cs="Arial"/>
          <w:sz w:val="20"/>
          <w:szCs w:val="20"/>
        </w:rPr>
        <w:t>. In Nigeria, where industrial and artisanal occupations may increase exposure, this warrants further mechanistic exploration.</w:t>
      </w:r>
    </w:p>
    <w:p w14:paraId="5021C7CB" w14:textId="15BED9D3"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 xml:space="preserve">Family history of early menopause emerged as one of the strongest correlates of POI (χ²=16.201, p &lt; 0.001). With 29.3% reporting this history, and 17.7% in reproductive history reporting early menopause </w:t>
      </w:r>
      <w:r w:rsidRPr="00334B72">
        <w:rPr>
          <w:rFonts w:ascii="Arial" w:eastAsia="Times New Roman" w:hAnsi="Arial" w:cs="Arial"/>
          <w:sz w:val="20"/>
          <w:szCs w:val="20"/>
        </w:rPr>
        <w:lastRenderedPageBreak/>
        <w:t>familial clustering, our data reinforce the established genetic predisposition</w:t>
      </w:r>
      <w:r w:rsidR="00DF7230" w:rsidRPr="001648DD">
        <w:rPr>
          <w:rFonts w:ascii="Arial" w:eastAsia="Times New Roman" w:hAnsi="Arial" w:cs="Arial"/>
          <w:sz w:val="20"/>
          <w:szCs w:val="20"/>
        </w:rPr>
        <w:t xml:space="preserve"> [15,18]</w:t>
      </w:r>
      <w:r w:rsidRPr="00334B72">
        <w:rPr>
          <w:rFonts w:ascii="Arial" w:eastAsia="Times New Roman" w:hAnsi="Arial" w:cs="Arial"/>
          <w:sz w:val="20"/>
          <w:szCs w:val="20"/>
        </w:rPr>
        <w:t>. Genetic etiologies, including mutations in FMR1, BRCA1, MCM8, and others, have been documented as critical factors in inherited ovarian failure</w:t>
      </w:r>
      <w:r w:rsidR="00DF7230" w:rsidRPr="001648DD">
        <w:rPr>
          <w:rFonts w:ascii="Arial" w:eastAsia="Times New Roman" w:hAnsi="Arial" w:cs="Arial"/>
          <w:sz w:val="20"/>
          <w:szCs w:val="20"/>
        </w:rPr>
        <w:t xml:space="preserve"> [18]</w:t>
      </w:r>
      <w:r w:rsidRPr="00334B72">
        <w:rPr>
          <w:rFonts w:ascii="Arial" w:eastAsia="Times New Roman" w:hAnsi="Arial" w:cs="Arial"/>
          <w:sz w:val="20"/>
          <w:szCs w:val="20"/>
        </w:rPr>
        <w:t>. The presence of consanguinity (11.7%) further amplifies the potential for recessive genetic variants contributing to Nigerian POI cases.</w:t>
      </w:r>
    </w:p>
    <w:p w14:paraId="3AFA9202" w14:textId="1E47E318"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The Pearson correlation analysis (Table 8) revealed expected relationships: age at diagnosis positively correlated with FSH and LH and inversely with estradiol</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all statistically significant. This aligns with prior mechanistic insights showing that aging ovaries with follicular depletion produce less estradiol while stimulating gonadotropin release</w:t>
      </w:r>
      <w:r w:rsidR="00DF7230" w:rsidRPr="001648DD">
        <w:rPr>
          <w:rFonts w:ascii="Arial" w:eastAsia="Times New Roman" w:hAnsi="Arial" w:cs="Arial"/>
          <w:sz w:val="20"/>
          <w:szCs w:val="20"/>
        </w:rPr>
        <w:t xml:space="preserve"> [18]</w:t>
      </w:r>
      <w:r w:rsidRPr="00334B72">
        <w:rPr>
          <w:rFonts w:ascii="Arial" w:eastAsia="Times New Roman" w:hAnsi="Arial" w:cs="Arial"/>
          <w:sz w:val="20"/>
          <w:szCs w:val="20"/>
        </w:rPr>
        <w:t>. The strong negative correlation between estradiol and gonadotropins (FSH: r = −0.514, LH: r = −0.432) further solidifies the hormonal dysregulation hallmarking POI.</w:t>
      </w:r>
    </w:p>
    <w:p w14:paraId="39C039B5" w14:textId="6731F61E"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In assessing reproductive and gynecological history (Table 2), 37.3% of participants reported a history of pelvic inflammatory disease (PID), and 31.3% had undergone pelvic surgery. Such inflammatory insults can severely impair ovarian reserve and vascular supply</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an observation supported by existing pathophysiological models. Additionally, about one-fifth (22.3%) reported infertility, consistent with global data indicating subfertility often accompanying POI due to follicular depletion and anovulation</w:t>
      </w:r>
      <w:r w:rsidR="00DF7230" w:rsidRPr="001648DD">
        <w:rPr>
          <w:rFonts w:ascii="Arial" w:eastAsia="Times New Roman" w:hAnsi="Arial" w:cs="Arial"/>
          <w:sz w:val="20"/>
          <w:szCs w:val="20"/>
        </w:rPr>
        <w:t xml:space="preserve"> [4]</w:t>
      </w:r>
      <w:r w:rsidRPr="00334B72">
        <w:rPr>
          <w:rFonts w:ascii="Arial" w:eastAsia="Times New Roman" w:hAnsi="Arial" w:cs="Arial"/>
          <w:sz w:val="20"/>
          <w:szCs w:val="20"/>
        </w:rPr>
        <w:t>.</w:t>
      </w:r>
    </w:p>
    <w:p w14:paraId="1E72AC92" w14:textId="064C7B8A"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Clinical symptomatology (Table 6) was dominated by vasomotor complaints</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hot flushes, night sweats</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along with vaginal dryness, mood and sleep disturbances. The majority endorsed moderate to severe forms of these symptoms, consistent with hypoestrogenism-related sequelae highlighted in the ACOG guidelines</w:t>
      </w:r>
      <w:r w:rsidR="00DF7230" w:rsidRPr="001648DD">
        <w:rPr>
          <w:rFonts w:ascii="Arial" w:eastAsia="Times New Roman" w:hAnsi="Arial" w:cs="Arial"/>
          <w:sz w:val="20"/>
          <w:szCs w:val="20"/>
        </w:rPr>
        <w:t xml:space="preserve"> [19]</w:t>
      </w:r>
      <w:r w:rsidRPr="00334B72">
        <w:rPr>
          <w:rFonts w:ascii="Arial" w:eastAsia="Times New Roman" w:hAnsi="Arial" w:cs="Arial"/>
          <w:sz w:val="20"/>
          <w:szCs w:val="20"/>
        </w:rPr>
        <w:t>. These common presentations argue for structured symptomatic assessment and management strategies tailored to Nigerian women.</w:t>
      </w:r>
    </w:p>
    <w:p w14:paraId="30533262" w14:textId="50B265A0"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Comparing these findings to global and regional research underscores both alignment and new insights. The global prevalence of POI is estimated between 1% and 5.5%</w:t>
      </w:r>
      <w:r w:rsidR="00DF7230" w:rsidRPr="001648DD">
        <w:rPr>
          <w:rFonts w:ascii="Arial" w:eastAsia="Times New Roman" w:hAnsi="Arial" w:cs="Arial"/>
          <w:sz w:val="20"/>
          <w:szCs w:val="20"/>
        </w:rPr>
        <w:t xml:space="preserve"> [15]</w:t>
      </w:r>
      <w:r w:rsidRPr="00334B72">
        <w:rPr>
          <w:rFonts w:ascii="Arial" w:eastAsia="Times New Roman" w:hAnsi="Arial" w:cs="Arial"/>
          <w:sz w:val="20"/>
          <w:szCs w:val="20"/>
        </w:rPr>
        <w:t>. While our study did not ascertain prevalence, the clustering of risk factors</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genetic history, surgery, smoking</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suggests a similar or possibly higher burden in Nigeria. Previous Nigerian and African studies have been limited. Our study fills this gap by detailing sociodemographic context: predominantly urban, well-educated, and married cohorts typical of tertiary clinic visitors. Nonetheless, rural representation (37%) highlights that these issues transcend urban-rural divides.</w:t>
      </w:r>
    </w:p>
    <w:p w14:paraId="02C0AF2C" w14:textId="69622491"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Our findings also complement studies from other settings. Iranian research identified similar correlations between smoking, BMI, and early menopause</w:t>
      </w:r>
      <w:r w:rsidR="001648DD" w:rsidRPr="001648DD">
        <w:rPr>
          <w:rFonts w:ascii="Arial" w:eastAsia="Times New Roman" w:hAnsi="Arial" w:cs="Arial"/>
          <w:sz w:val="20"/>
          <w:szCs w:val="20"/>
        </w:rPr>
        <w:t xml:space="preserve"> [15]</w:t>
      </w:r>
      <w:r w:rsidRPr="00334B72">
        <w:rPr>
          <w:rFonts w:ascii="Arial" w:eastAsia="Times New Roman" w:hAnsi="Arial" w:cs="Arial"/>
          <w:sz w:val="20"/>
          <w:szCs w:val="20"/>
        </w:rPr>
        <w:t>. Chinese reviews have emphasized environmental toxicants and genetic variants as POI drivers</w:t>
      </w:r>
      <w:r w:rsidR="001648DD" w:rsidRPr="001648DD">
        <w:rPr>
          <w:rFonts w:ascii="Arial" w:eastAsia="Times New Roman" w:hAnsi="Arial" w:cs="Arial"/>
          <w:sz w:val="20"/>
          <w:szCs w:val="20"/>
        </w:rPr>
        <w:t xml:space="preserve"> [18]</w:t>
      </w:r>
      <w:r w:rsidRPr="00334B72">
        <w:rPr>
          <w:rFonts w:ascii="Arial" w:eastAsia="Times New Roman" w:hAnsi="Arial" w:cs="Arial"/>
          <w:sz w:val="20"/>
          <w:szCs w:val="20"/>
        </w:rPr>
        <w:t>. Our data mirror these associations, contextualized within Nigerian socio-cultural dynamics. For instance, while alcohol consumption was common (42.3%), it did not emerge statistically significant</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possibly due to variable drinking patterns or weak ovarian toxicity thresholds not reached in this cohort.</w:t>
      </w:r>
    </w:p>
    <w:p w14:paraId="550AC3BA" w14:textId="682992CB" w:rsidR="00334B72" w:rsidRPr="00334B72" w:rsidRDefault="001648DD" w:rsidP="00433686">
      <w:pPr>
        <w:spacing w:before="100" w:beforeAutospacing="1" w:after="100" w:afterAutospacing="1" w:line="240" w:lineRule="auto"/>
        <w:jc w:val="both"/>
        <w:rPr>
          <w:rFonts w:ascii="Arial" w:eastAsia="Times New Roman" w:hAnsi="Arial" w:cs="Arial"/>
          <w:sz w:val="20"/>
          <w:szCs w:val="20"/>
        </w:rPr>
      </w:pPr>
      <w:r w:rsidRPr="001648DD">
        <w:rPr>
          <w:rFonts w:ascii="Arial" w:eastAsia="Times New Roman" w:hAnsi="Arial" w:cs="Arial"/>
          <w:b/>
          <w:bCs/>
          <w:sz w:val="20"/>
          <w:szCs w:val="20"/>
        </w:rPr>
        <w:t>CONCLUSION</w:t>
      </w:r>
    </w:p>
    <w:p w14:paraId="57DA874D" w14:textId="428F4961" w:rsidR="004E53B2" w:rsidRPr="006E3451" w:rsidRDefault="00334B72" w:rsidP="00433686">
      <w:pPr>
        <w:spacing w:before="100" w:beforeAutospacing="1" w:after="100" w:afterAutospacing="1" w:line="240" w:lineRule="auto"/>
        <w:jc w:val="both"/>
        <w:rPr>
          <w:rFonts w:ascii="Arial" w:eastAsia="Times New Roman" w:hAnsi="Arial" w:cs="Arial"/>
          <w:sz w:val="20"/>
          <w:szCs w:val="20"/>
        </w:rPr>
      </w:pPr>
      <w:r w:rsidRPr="006E3451">
        <w:rPr>
          <w:rFonts w:ascii="Arial" w:eastAsia="Times New Roman" w:hAnsi="Arial" w:cs="Arial"/>
          <w:sz w:val="20"/>
          <w:szCs w:val="20"/>
        </w:rPr>
        <w:t>This study reinforces that POI in Nigerian women is a complex condition shaped by age, surgery, smoking, genetic predisposition, and environmental factors. Hormonal markers and clinical presentations align with global patterns. While many findings mirror international literature, this research brings novel insights into the Nigerian context, highlighting unique socioeconomic and cultural dimensions. Future longitudinal, community-based, and genomic research are needed to delineate causality and inform targeted prevention strategies.</w:t>
      </w:r>
      <w:r w:rsidR="003678C3" w:rsidRPr="006E3451">
        <w:rPr>
          <w:rFonts w:ascii="Arial" w:eastAsia="Times New Roman" w:hAnsi="Arial" w:cs="Arial"/>
          <w:sz w:val="20"/>
          <w:szCs w:val="20"/>
        </w:rPr>
        <w:t xml:space="preserve"> </w:t>
      </w:r>
      <w:r w:rsidR="003678C3" w:rsidRPr="006E3451">
        <w:rPr>
          <w:rFonts w:ascii="Arial" w:hAnsi="Arial" w:cs="Arial"/>
          <w:sz w:val="20"/>
          <w:szCs w:val="20"/>
          <w:highlight w:val="yellow"/>
        </w:rPr>
        <w:t>From a health-system perspective, these findings underscore the need to integrate POI awareness and management into reproductive health programs. Strengthening fertility-preservation counseling, early screening in high-risk populations, and psychosocial support services could mitigate the long-term reproductive and emotional burden of POI. Embedding POI management into routine gynecological and primary healthcare practice would not only improve early detection but also enhance comprehensive women’s health services in Nigeria</w:t>
      </w:r>
      <w:r w:rsidR="003678C3" w:rsidRPr="006E3451">
        <w:rPr>
          <w:rFonts w:ascii="Arial" w:hAnsi="Arial" w:cs="Arial"/>
          <w:sz w:val="20"/>
          <w:szCs w:val="20"/>
        </w:rPr>
        <w:t>.</w:t>
      </w:r>
    </w:p>
    <w:p w14:paraId="1AE7B403" w14:textId="77777777" w:rsidR="004E53B2" w:rsidRDefault="004E53B2" w:rsidP="00433686">
      <w:pPr>
        <w:spacing w:before="100" w:beforeAutospacing="1" w:after="100" w:afterAutospacing="1" w:line="240" w:lineRule="auto"/>
        <w:jc w:val="both"/>
        <w:rPr>
          <w:rFonts w:ascii="Arial" w:eastAsia="Times New Roman" w:hAnsi="Arial" w:cs="Arial"/>
          <w:sz w:val="20"/>
          <w:szCs w:val="20"/>
        </w:rPr>
      </w:pPr>
    </w:p>
    <w:p w14:paraId="0F6A325C" w14:textId="77777777" w:rsidR="004E53B2" w:rsidRPr="004E53B2" w:rsidRDefault="004E53B2" w:rsidP="004E53B2">
      <w:pPr>
        <w:spacing w:before="100" w:beforeAutospacing="1" w:after="100" w:afterAutospacing="1" w:line="240" w:lineRule="auto"/>
        <w:jc w:val="both"/>
        <w:rPr>
          <w:rFonts w:ascii="Arial" w:eastAsia="Times New Roman" w:hAnsi="Arial" w:cs="Arial"/>
          <w:sz w:val="20"/>
          <w:szCs w:val="20"/>
        </w:rPr>
      </w:pPr>
      <w:r w:rsidRPr="004E53B2">
        <w:rPr>
          <w:rFonts w:ascii="Arial" w:eastAsia="Times New Roman" w:hAnsi="Arial" w:cs="Arial"/>
          <w:sz w:val="20"/>
          <w:szCs w:val="20"/>
        </w:rPr>
        <w:lastRenderedPageBreak/>
        <w:t>COMPETING INTERESTS DISCLAIMER:</w:t>
      </w:r>
    </w:p>
    <w:p w14:paraId="62010472" w14:textId="09D905FB" w:rsidR="004E53B2" w:rsidRDefault="004E53B2" w:rsidP="004E53B2">
      <w:pPr>
        <w:spacing w:before="100" w:beforeAutospacing="1" w:after="100" w:afterAutospacing="1" w:line="240" w:lineRule="auto"/>
        <w:jc w:val="both"/>
        <w:rPr>
          <w:rFonts w:ascii="Arial" w:eastAsia="Times New Roman" w:hAnsi="Arial" w:cs="Arial"/>
          <w:sz w:val="20"/>
          <w:szCs w:val="20"/>
        </w:rPr>
      </w:pPr>
      <w:r w:rsidRPr="004E53B2">
        <w:rPr>
          <w:rFonts w:ascii="Arial" w:eastAsia="Times New Roman" w:hAnsi="Arial" w:cs="Arial"/>
          <w:sz w:val="20"/>
          <w:szCs w:val="20"/>
        </w:rPr>
        <w:t>Authors have declared that they have no known competing financial interests OR non-financial interests OR personal relationships that could have appeared to influence the work reported in this paper.</w:t>
      </w:r>
    </w:p>
    <w:p w14:paraId="65C7228E" w14:textId="2385A084" w:rsidR="00F235B6" w:rsidRDefault="00F235B6" w:rsidP="004E53B2">
      <w:pPr>
        <w:spacing w:before="100" w:beforeAutospacing="1" w:after="100" w:afterAutospacing="1" w:line="240" w:lineRule="auto"/>
        <w:jc w:val="both"/>
        <w:rPr>
          <w:rFonts w:ascii="Arial" w:eastAsia="Times New Roman" w:hAnsi="Arial" w:cs="Arial"/>
          <w:sz w:val="20"/>
          <w:szCs w:val="20"/>
        </w:rPr>
      </w:pPr>
    </w:p>
    <w:p w14:paraId="373BAE56" w14:textId="77777777" w:rsidR="00F235B6" w:rsidRPr="00270720" w:rsidRDefault="00F235B6" w:rsidP="00F235B6">
      <w:pPr>
        <w:rPr>
          <w:highlight w:val="yellow"/>
        </w:rPr>
      </w:pPr>
      <w:r w:rsidRPr="00270720">
        <w:rPr>
          <w:highlight w:val="yellow"/>
        </w:rPr>
        <w:t>Disclaimer (Artificial intelligence)</w:t>
      </w:r>
    </w:p>
    <w:p w14:paraId="079BE11A" w14:textId="77777777" w:rsidR="00F235B6" w:rsidRPr="00270720" w:rsidRDefault="00F235B6" w:rsidP="00F235B6">
      <w:pPr>
        <w:rPr>
          <w:highlight w:val="yellow"/>
        </w:rPr>
      </w:pPr>
    </w:p>
    <w:p w14:paraId="10E5325A" w14:textId="77777777" w:rsidR="00F235B6" w:rsidRPr="00270720" w:rsidRDefault="00F235B6" w:rsidP="00F235B6">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43C96449" w14:textId="77777777" w:rsidR="00F235B6" w:rsidRPr="00270720" w:rsidRDefault="00F235B6" w:rsidP="00F235B6">
      <w:pPr>
        <w:rPr>
          <w:highlight w:val="yellow"/>
        </w:rPr>
      </w:pPr>
    </w:p>
    <w:p w14:paraId="2A1C344A" w14:textId="0E61AB15" w:rsidR="00334B72" w:rsidRPr="001648DD" w:rsidRDefault="001648DD" w:rsidP="00433686">
      <w:pPr>
        <w:jc w:val="both"/>
        <w:rPr>
          <w:rFonts w:ascii="Arial" w:hAnsi="Arial" w:cs="Arial"/>
          <w:sz w:val="20"/>
          <w:szCs w:val="20"/>
        </w:rPr>
      </w:pPr>
      <w:r w:rsidRPr="001648DD">
        <w:rPr>
          <w:rFonts w:ascii="Arial" w:hAnsi="Arial" w:cs="Arial"/>
          <w:b/>
          <w:bCs/>
          <w:sz w:val="20"/>
          <w:szCs w:val="20"/>
        </w:rPr>
        <w:t>REFERENCES</w:t>
      </w:r>
    </w:p>
    <w:p w14:paraId="4A1A2187" w14:textId="77777777" w:rsidR="001648DD" w:rsidRPr="001648DD" w:rsidRDefault="001648DD" w:rsidP="001648DD">
      <w:pPr>
        <w:pStyle w:val="ListParagraph"/>
        <w:numPr>
          <w:ilvl w:val="0"/>
          <w:numId w:val="1"/>
        </w:numPr>
        <w:spacing w:after="0" w:line="276" w:lineRule="auto"/>
        <w:jc w:val="both"/>
        <w:rPr>
          <w:rFonts w:ascii="Arial" w:eastAsia="Times New Roman" w:hAnsi="Arial" w:cs="Arial"/>
          <w:sz w:val="20"/>
          <w:szCs w:val="20"/>
        </w:rPr>
      </w:pPr>
      <w:r w:rsidRPr="001648DD">
        <w:rPr>
          <w:rFonts w:ascii="Arial" w:eastAsia="Times New Roman" w:hAnsi="Arial" w:cs="Arial"/>
          <w:sz w:val="20"/>
          <w:szCs w:val="20"/>
        </w:rPr>
        <w:t xml:space="preserve">Panay, N., Anderson, R. A., Bennie, A., Cedars, M., Davies, M., Ee, C., Gravholt, C. H., </w:t>
      </w:r>
      <w:proofErr w:type="spellStart"/>
      <w:r w:rsidRPr="001648DD">
        <w:rPr>
          <w:rFonts w:ascii="Arial" w:eastAsia="Times New Roman" w:hAnsi="Arial" w:cs="Arial"/>
          <w:sz w:val="20"/>
          <w:szCs w:val="20"/>
        </w:rPr>
        <w:t>Kalantaridou</w:t>
      </w:r>
      <w:proofErr w:type="spellEnd"/>
      <w:r w:rsidRPr="001648DD">
        <w:rPr>
          <w:rFonts w:ascii="Arial" w:eastAsia="Times New Roman" w:hAnsi="Arial" w:cs="Arial"/>
          <w:sz w:val="20"/>
          <w:szCs w:val="20"/>
        </w:rPr>
        <w:t xml:space="preserve">, S., Kallen, A., Kim, K. Q., Misrahi, M., Mousa, A., Nappi, R. E., Rocca, W. A., Ruan, X., </w:t>
      </w:r>
      <w:proofErr w:type="spellStart"/>
      <w:r w:rsidRPr="001648DD">
        <w:rPr>
          <w:rFonts w:ascii="Arial" w:eastAsia="Times New Roman" w:hAnsi="Arial" w:cs="Arial"/>
          <w:sz w:val="20"/>
          <w:szCs w:val="20"/>
        </w:rPr>
        <w:t>Teede</w:t>
      </w:r>
      <w:proofErr w:type="spellEnd"/>
      <w:r w:rsidRPr="001648DD">
        <w:rPr>
          <w:rFonts w:ascii="Arial" w:eastAsia="Times New Roman" w:hAnsi="Arial" w:cs="Arial"/>
          <w:sz w:val="20"/>
          <w:szCs w:val="20"/>
        </w:rPr>
        <w:t xml:space="preserve">, H., Vermeulen, N., Vogt, E., Vincent, A. J., . . . Flanagan, M. (2024). Evidence-based guideline: Premature ovarian </w:t>
      </w:r>
      <w:proofErr w:type="gramStart"/>
      <w:r w:rsidRPr="001648DD">
        <w:rPr>
          <w:rFonts w:ascii="Arial" w:eastAsia="Times New Roman" w:hAnsi="Arial" w:cs="Arial"/>
          <w:sz w:val="20"/>
          <w:szCs w:val="20"/>
        </w:rPr>
        <w:t>insufficiency,.</w:t>
      </w:r>
      <w:proofErr w:type="gramEnd"/>
      <w:r w:rsidRPr="001648DD">
        <w:rPr>
          <w:rFonts w:ascii="Arial" w:eastAsia="Times New Roman" w:hAnsi="Arial" w:cs="Arial"/>
          <w:sz w:val="20"/>
          <w:szCs w:val="20"/>
        </w:rPr>
        <w:t xml:space="preserve"> </w:t>
      </w:r>
      <w:r w:rsidRPr="001648DD">
        <w:rPr>
          <w:rFonts w:ascii="Arial" w:eastAsia="Times New Roman" w:hAnsi="Arial" w:cs="Arial"/>
          <w:i/>
          <w:iCs/>
          <w:sz w:val="20"/>
          <w:szCs w:val="20"/>
        </w:rPr>
        <w:t>Human Reproduction Open</w:t>
      </w:r>
      <w:r w:rsidRPr="001648DD">
        <w:rPr>
          <w:rFonts w:ascii="Arial" w:eastAsia="Times New Roman" w:hAnsi="Arial" w:cs="Arial"/>
          <w:sz w:val="20"/>
          <w:szCs w:val="20"/>
        </w:rPr>
        <w:t xml:space="preserve">, </w:t>
      </w:r>
      <w:r w:rsidRPr="001648DD">
        <w:rPr>
          <w:rFonts w:ascii="Arial" w:eastAsia="Times New Roman" w:hAnsi="Arial" w:cs="Arial"/>
          <w:i/>
          <w:iCs/>
          <w:sz w:val="20"/>
          <w:szCs w:val="20"/>
        </w:rPr>
        <w:t>2024</w:t>
      </w:r>
      <w:r w:rsidRPr="001648DD">
        <w:rPr>
          <w:rFonts w:ascii="Arial" w:eastAsia="Times New Roman" w:hAnsi="Arial" w:cs="Arial"/>
          <w:sz w:val="20"/>
          <w:szCs w:val="20"/>
        </w:rPr>
        <w:t>(4). https://doi.org/10.1093/hropen/hoae065</w:t>
      </w:r>
    </w:p>
    <w:p w14:paraId="6785243D" w14:textId="77777777" w:rsidR="001648DD" w:rsidRPr="001648DD" w:rsidRDefault="001648DD" w:rsidP="001648DD">
      <w:pPr>
        <w:pStyle w:val="ListParagraph"/>
        <w:numPr>
          <w:ilvl w:val="0"/>
          <w:numId w:val="1"/>
        </w:numPr>
        <w:spacing w:line="276" w:lineRule="auto"/>
        <w:jc w:val="both"/>
        <w:rPr>
          <w:rStyle w:val="Hyperlink"/>
          <w:rFonts w:ascii="Arial" w:hAnsi="Arial" w:cs="Arial"/>
          <w:color w:val="auto"/>
          <w:sz w:val="20"/>
          <w:szCs w:val="20"/>
          <w:u w:val="none"/>
        </w:rPr>
      </w:pPr>
      <w:r w:rsidRPr="001648DD">
        <w:rPr>
          <w:rFonts w:ascii="Arial" w:hAnsi="Arial" w:cs="Arial"/>
          <w:sz w:val="20"/>
          <w:szCs w:val="20"/>
        </w:rPr>
        <w:t xml:space="preserve">Butts, S. F. (2025). The overlooked and undertreated perils of premature ovarian insufficiency. </w:t>
      </w:r>
      <w:r w:rsidRPr="001648DD">
        <w:rPr>
          <w:rStyle w:val="Emphasis"/>
          <w:rFonts w:ascii="Arial" w:hAnsi="Arial" w:cs="Arial"/>
          <w:sz w:val="20"/>
          <w:szCs w:val="20"/>
        </w:rPr>
        <w:t>Cleveland Clinic Journal of Medicine, 92</w:t>
      </w:r>
      <w:r w:rsidRPr="001648DD">
        <w:rPr>
          <w:rFonts w:ascii="Arial" w:hAnsi="Arial" w:cs="Arial"/>
          <w:sz w:val="20"/>
          <w:szCs w:val="20"/>
        </w:rPr>
        <w:t xml:space="preserve">(8), 475–482. </w:t>
      </w:r>
      <w:hyperlink r:id="rId7" w:tgtFrame="_new" w:history="1">
        <w:r w:rsidRPr="001648DD">
          <w:rPr>
            <w:rStyle w:val="Hyperlink"/>
            <w:rFonts w:ascii="Arial" w:hAnsi="Arial" w:cs="Arial"/>
            <w:sz w:val="20"/>
            <w:szCs w:val="20"/>
          </w:rPr>
          <w:t>https://doi.org/10.3949/ccjm.92gr.25056</w:t>
        </w:r>
      </w:hyperlink>
    </w:p>
    <w:p w14:paraId="79CC1D16"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color w:val="212121"/>
          <w:sz w:val="20"/>
          <w:szCs w:val="20"/>
          <w:shd w:val="clear" w:color="auto" w:fill="FFFFFF"/>
        </w:rPr>
        <w:t>Li, M., Zhu, Y., Wei, J., Chen, L., Chen, S., &amp; Lai, D. (2023). The global prevalence of premature ovarian insufficiency: a systematic review and meta-analysis. </w:t>
      </w:r>
      <w:proofErr w:type="gramStart"/>
      <w:r w:rsidRPr="001648DD">
        <w:rPr>
          <w:rFonts w:ascii="Arial" w:hAnsi="Arial" w:cs="Arial"/>
          <w:i/>
          <w:iCs/>
          <w:color w:val="212121"/>
          <w:sz w:val="20"/>
          <w:szCs w:val="20"/>
          <w:shd w:val="clear" w:color="auto" w:fill="FFFFFF"/>
        </w:rPr>
        <w:t>Climacteric :</w:t>
      </w:r>
      <w:proofErr w:type="gramEnd"/>
      <w:r w:rsidRPr="001648DD">
        <w:rPr>
          <w:rFonts w:ascii="Arial" w:hAnsi="Arial" w:cs="Arial"/>
          <w:i/>
          <w:iCs/>
          <w:color w:val="212121"/>
          <w:sz w:val="20"/>
          <w:szCs w:val="20"/>
          <w:shd w:val="clear" w:color="auto" w:fill="FFFFFF"/>
        </w:rPr>
        <w:t xml:space="preserve"> the journal of the International Menopause Society</w:t>
      </w:r>
      <w:r w:rsidRPr="001648DD">
        <w:rPr>
          <w:rFonts w:ascii="Arial" w:hAnsi="Arial" w:cs="Arial"/>
          <w:color w:val="212121"/>
          <w:sz w:val="20"/>
          <w:szCs w:val="20"/>
          <w:shd w:val="clear" w:color="auto" w:fill="FFFFFF"/>
        </w:rPr>
        <w:t>, </w:t>
      </w:r>
      <w:r w:rsidRPr="001648DD">
        <w:rPr>
          <w:rFonts w:ascii="Arial" w:hAnsi="Arial" w:cs="Arial"/>
          <w:i/>
          <w:iCs/>
          <w:color w:val="212121"/>
          <w:sz w:val="20"/>
          <w:szCs w:val="20"/>
          <w:shd w:val="clear" w:color="auto" w:fill="FFFFFF"/>
        </w:rPr>
        <w:t>26</w:t>
      </w:r>
      <w:r w:rsidRPr="001648DD">
        <w:rPr>
          <w:rFonts w:ascii="Arial" w:hAnsi="Arial" w:cs="Arial"/>
          <w:color w:val="212121"/>
          <w:sz w:val="20"/>
          <w:szCs w:val="20"/>
          <w:shd w:val="clear" w:color="auto" w:fill="FFFFFF"/>
        </w:rPr>
        <w:t xml:space="preserve">(2), 95–102. </w:t>
      </w:r>
      <w:hyperlink r:id="rId8" w:history="1">
        <w:r w:rsidRPr="001648DD">
          <w:rPr>
            <w:rStyle w:val="Hyperlink"/>
            <w:rFonts w:ascii="Arial" w:hAnsi="Arial" w:cs="Arial"/>
            <w:sz w:val="20"/>
            <w:szCs w:val="20"/>
            <w:shd w:val="clear" w:color="auto" w:fill="FFFFFF"/>
          </w:rPr>
          <w:t>https://doi.org/10.1080/13697137.2022.2153033</w:t>
        </w:r>
      </w:hyperlink>
    </w:p>
    <w:p w14:paraId="2684C889" w14:textId="77777777" w:rsidR="001648DD" w:rsidRPr="001648DD" w:rsidRDefault="001648DD" w:rsidP="001648DD">
      <w:pPr>
        <w:pStyle w:val="ListParagraph"/>
        <w:numPr>
          <w:ilvl w:val="0"/>
          <w:numId w:val="1"/>
        </w:numPr>
        <w:spacing w:after="0" w:line="276" w:lineRule="auto"/>
        <w:jc w:val="both"/>
        <w:rPr>
          <w:rFonts w:ascii="Arial" w:eastAsia="Times New Roman" w:hAnsi="Arial" w:cs="Arial"/>
          <w:sz w:val="20"/>
          <w:szCs w:val="20"/>
        </w:rPr>
      </w:pPr>
      <w:r w:rsidRPr="001648DD">
        <w:rPr>
          <w:rFonts w:ascii="Arial" w:eastAsia="Times New Roman" w:hAnsi="Arial" w:cs="Arial"/>
          <w:sz w:val="20"/>
          <w:szCs w:val="20"/>
        </w:rPr>
        <w:t xml:space="preserve">Federici, S., Rossetti, R., </w:t>
      </w:r>
      <w:proofErr w:type="spellStart"/>
      <w:r w:rsidRPr="001648DD">
        <w:rPr>
          <w:rFonts w:ascii="Arial" w:eastAsia="Times New Roman" w:hAnsi="Arial" w:cs="Arial"/>
          <w:sz w:val="20"/>
          <w:szCs w:val="20"/>
        </w:rPr>
        <w:t>Moleri</w:t>
      </w:r>
      <w:proofErr w:type="spellEnd"/>
      <w:r w:rsidRPr="001648DD">
        <w:rPr>
          <w:rFonts w:ascii="Arial" w:eastAsia="Times New Roman" w:hAnsi="Arial" w:cs="Arial"/>
          <w:sz w:val="20"/>
          <w:szCs w:val="20"/>
        </w:rPr>
        <w:t xml:space="preserve">, S., Munari, E. V., </w:t>
      </w:r>
      <w:proofErr w:type="spellStart"/>
      <w:r w:rsidRPr="001648DD">
        <w:rPr>
          <w:rFonts w:ascii="Arial" w:eastAsia="Times New Roman" w:hAnsi="Arial" w:cs="Arial"/>
          <w:sz w:val="20"/>
          <w:szCs w:val="20"/>
        </w:rPr>
        <w:t>Frixou</w:t>
      </w:r>
      <w:proofErr w:type="spellEnd"/>
      <w:r w:rsidRPr="001648DD">
        <w:rPr>
          <w:rFonts w:ascii="Arial" w:eastAsia="Times New Roman" w:hAnsi="Arial" w:cs="Arial"/>
          <w:sz w:val="20"/>
          <w:szCs w:val="20"/>
        </w:rPr>
        <w:t xml:space="preserve">, M., Bonomi, M., &amp; </w:t>
      </w:r>
      <w:proofErr w:type="spellStart"/>
      <w:r w:rsidRPr="001648DD">
        <w:rPr>
          <w:rFonts w:ascii="Arial" w:eastAsia="Times New Roman" w:hAnsi="Arial" w:cs="Arial"/>
          <w:sz w:val="20"/>
          <w:szCs w:val="20"/>
        </w:rPr>
        <w:t>Persani</w:t>
      </w:r>
      <w:proofErr w:type="spellEnd"/>
      <w:r w:rsidRPr="001648DD">
        <w:rPr>
          <w:rFonts w:ascii="Arial" w:eastAsia="Times New Roman" w:hAnsi="Arial" w:cs="Arial"/>
          <w:sz w:val="20"/>
          <w:szCs w:val="20"/>
        </w:rPr>
        <w:t xml:space="preserve">, L. (2024). Primary ovarian insufficiency: Update on clinical and genetic findings. </w:t>
      </w:r>
      <w:r w:rsidRPr="001648DD">
        <w:rPr>
          <w:rFonts w:ascii="Arial" w:eastAsia="Times New Roman" w:hAnsi="Arial" w:cs="Arial"/>
          <w:i/>
          <w:iCs/>
          <w:sz w:val="20"/>
          <w:szCs w:val="20"/>
        </w:rPr>
        <w:t>Frontiers in Endocrinology</w:t>
      </w:r>
      <w:r w:rsidRPr="001648DD">
        <w:rPr>
          <w:rFonts w:ascii="Arial" w:eastAsia="Times New Roman" w:hAnsi="Arial" w:cs="Arial"/>
          <w:sz w:val="20"/>
          <w:szCs w:val="20"/>
        </w:rPr>
        <w:t xml:space="preserve">, </w:t>
      </w:r>
      <w:r w:rsidRPr="001648DD">
        <w:rPr>
          <w:rFonts w:ascii="Arial" w:eastAsia="Times New Roman" w:hAnsi="Arial" w:cs="Arial"/>
          <w:i/>
          <w:iCs/>
          <w:sz w:val="20"/>
          <w:szCs w:val="20"/>
        </w:rPr>
        <w:t>15</w:t>
      </w:r>
      <w:r w:rsidRPr="001648DD">
        <w:rPr>
          <w:rFonts w:ascii="Arial" w:eastAsia="Times New Roman" w:hAnsi="Arial" w:cs="Arial"/>
          <w:sz w:val="20"/>
          <w:szCs w:val="20"/>
        </w:rPr>
        <w:t>, 1464803. https://doi.org/10.3389/fendo.2024.1464803</w:t>
      </w:r>
    </w:p>
    <w:p w14:paraId="4F0DE6D7"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color w:val="222222"/>
          <w:sz w:val="20"/>
          <w:szCs w:val="20"/>
          <w:shd w:val="clear" w:color="auto" w:fill="FFFFFF"/>
        </w:rPr>
        <w:t>Chen, M., Jiang, H., &amp; Zhang, C. (2023). Selected Genetic Factors Associated with Primary Ovarian Insufficiency. </w:t>
      </w:r>
      <w:r w:rsidRPr="001648DD">
        <w:rPr>
          <w:rStyle w:val="Emphasis"/>
          <w:rFonts w:ascii="Arial" w:hAnsi="Arial" w:cs="Arial"/>
          <w:color w:val="222222"/>
          <w:sz w:val="20"/>
          <w:szCs w:val="20"/>
          <w:shd w:val="clear" w:color="auto" w:fill="FFFFFF"/>
        </w:rPr>
        <w:t>International Journal of Molecular Sciences</w:t>
      </w:r>
      <w:r w:rsidRPr="001648DD">
        <w:rPr>
          <w:rFonts w:ascii="Arial" w:hAnsi="Arial" w:cs="Arial"/>
          <w:color w:val="222222"/>
          <w:sz w:val="20"/>
          <w:szCs w:val="20"/>
          <w:shd w:val="clear" w:color="auto" w:fill="FFFFFF"/>
        </w:rPr>
        <w:t>, </w:t>
      </w:r>
      <w:r w:rsidRPr="001648DD">
        <w:rPr>
          <w:rStyle w:val="Emphasis"/>
          <w:rFonts w:ascii="Arial" w:hAnsi="Arial" w:cs="Arial"/>
          <w:color w:val="222222"/>
          <w:sz w:val="20"/>
          <w:szCs w:val="20"/>
          <w:shd w:val="clear" w:color="auto" w:fill="FFFFFF"/>
        </w:rPr>
        <w:t>24</w:t>
      </w:r>
      <w:r w:rsidRPr="001648DD">
        <w:rPr>
          <w:rFonts w:ascii="Arial" w:hAnsi="Arial" w:cs="Arial"/>
          <w:color w:val="222222"/>
          <w:sz w:val="20"/>
          <w:szCs w:val="20"/>
          <w:shd w:val="clear" w:color="auto" w:fill="FFFFFF"/>
        </w:rPr>
        <w:t xml:space="preserve">(5), 4423. </w:t>
      </w:r>
      <w:hyperlink r:id="rId9" w:history="1">
        <w:r w:rsidRPr="001648DD">
          <w:rPr>
            <w:rStyle w:val="Hyperlink"/>
            <w:rFonts w:ascii="Arial" w:hAnsi="Arial" w:cs="Arial"/>
            <w:sz w:val="20"/>
            <w:szCs w:val="20"/>
            <w:shd w:val="clear" w:color="auto" w:fill="FFFFFF"/>
          </w:rPr>
          <w:t>https://doi.org/10.3390/ijms24054423</w:t>
        </w:r>
      </w:hyperlink>
    </w:p>
    <w:p w14:paraId="635DB359"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proofErr w:type="spellStart"/>
      <w:r w:rsidRPr="001648DD">
        <w:rPr>
          <w:rFonts w:ascii="Arial" w:hAnsi="Arial" w:cs="Arial"/>
          <w:sz w:val="20"/>
          <w:szCs w:val="20"/>
        </w:rPr>
        <w:t>Saminathan</w:t>
      </w:r>
      <w:proofErr w:type="spellEnd"/>
      <w:r w:rsidRPr="001648DD">
        <w:rPr>
          <w:rFonts w:ascii="Arial" w:hAnsi="Arial" w:cs="Arial"/>
          <w:sz w:val="20"/>
          <w:szCs w:val="20"/>
        </w:rPr>
        <w:t xml:space="preserve">, A., Gowrishankar, K., &amp; Nagarathinam, I. (2023). Case report and a brief review on fragile X associated premature ovarian insufficiency (FXPOI). </w:t>
      </w:r>
      <w:r w:rsidRPr="001648DD">
        <w:rPr>
          <w:rStyle w:val="Emphasis"/>
          <w:rFonts w:ascii="Arial" w:hAnsi="Arial" w:cs="Arial"/>
          <w:sz w:val="20"/>
          <w:szCs w:val="20"/>
        </w:rPr>
        <w:t>Apollo Medicine, 20</w:t>
      </w:r>
      <w:r w:rsidRPr="001648DD">
        <w:rPr>
          <w:rFonts w:ascii="Arial" w:hAnsi="Arial" w:cs="Arial"/>
          <w:sz w:val="20"/>
          <w:szCs w:val="20"/>
        </w:rPr>
        <w:t>(</w:t>
      </w:r>
      <w:proofErr w:type="spellStart"/>
      <w:r w:rsidRPr="001648DD">
        <w:rPr>
          <w:rFonts w:ascii="Arial" w:hAnsi="Arial" w:cs="Arial"/>
          <w:sz w:val="20"/>
          <w:szCs w:val="20"/>
        </w:rPr>
        <w:t>Suppl</w:t>
      </w:r>
      <w:proofErr w:type="spellEnd"/>
      <w:r w:rsidRPr="001648DD">
        <w:rPr>
          <w:rFonts w:ascii="Arial" w:hAnsi="Arial" w:cs="Arial"/>
          <w:sz w:val="20"/>
          <w:szCs w:val="20"/>
        </w:rPr>
        <w:t xml:space="preserve"> 2), S62–S65. </w:t>
      </w:r>
      <w:hyperlink r:id="rId10" w:history="1">
        <w:r w:rsidRPr="001648DD">
          <w:rPr>
            <w:rStyle w:val="Hyperlink"/>
            <w:rFonts w:ascii="Arial" w:hAnsi="Arial" w:cs="Arial"/>
            <w:sz w:val="20"/>
            <w:szCs w:val="20"/>
          </w:rPr>
          <w:t>https://doi.org/10.4103/am.am_67_23</w:t>
        </w:r>
      </w:hyperlink>
    </w:p>
    <w:p w14:paraId="1CB65718" w14:textId="77777777" w:rsidR="001648DD" w:rsidRPr="001648DD" w:rsidRDefault="001648DD" w:rsidP="001648DD">
      <w:pPr>
        <w:pStyle w:val="ListParagraph"/>
        <w:numPr>
          <w:ilvl w:val="0"/>
          <w:numId w:val="1"/>
        </w:numPr>
        <w:spacing w:after="0" w:line="276" w:lineRule="auto"/>
        <w:jc w:val="both"/>
        <w:rPr>
          <w:rFonts w:ascii="Arial" w:eastAsia="Times New Roman" w:hAnsi="Arial" w:cs="Arial"/>
          <w:sz w:val="20"/>
          <w:szCs w:val="20"/>
        </w:rPr>
      </w:pPr>
      <w:proofErr w:type="spellStart"/>
      <w:r w:rsidRPr="001648DD">
        <w:rPr>
          <w:rFonts w:ascii="Arial" w:eastAsia="Times New Roman" w:hAnsi="Arial" w:cs="Arial"/>
          <w:sz w:val="20"/>
          <w:szCs w:val="20"/>
        </w:rPr>
        <w:t>Savukoski</w:t>
      </w:r>
      <w:proofErr w:type="spellEnd"/>
      <w:r w:rsidRPr="001648DD">
        <w:rPr>
          <w:rFonts w:ascii="Arial" w:eastAsia="Times New Roman" w:hAnsi="Arial" w:cs="Arial"/>
          <w:sz w:val="20"/>
          <w:szCs w:val="20"/>
        </w:rPr>
        <w:t xml:space="preserve">, S. M., </w:t>
      </w:r>
      <w:proofErr w:type="spellStart"/>
      <w:r w:rsidRPr="001648DD">
        <w:rPr>
          <w:rFonts w:ascii="Arial" w:eastAsia="Times New Roman" w:hAnsi="Arial" w:cs="Arial"/>
          <w:sz w:val="20"/>
          <w:szCs w:val="20"/>
        </w:rPr>
        <w:t>Silvén</w:t>
      </w:r>
      <w:proofErr w:type="spellEnd"/>
      <w:r w:rsidRPr="001648DD">
        <w:rPr>
          <w:rFonts w:ascii="Arial" w:eastAsia="Times New Roman" w:hAnsi="Arial" w:cs="Arial"/>
          <w:sz w:val="20"/>
          <w:szCs w:val="20"/>
        </w:rPr>
        <w:t xml:space="preserve">, H., Pesonen, P., </w:t>
      </w:r>
      <w:proofErr w:type="spellStart"/>
      <w:r w:rsidRPr="001648DD">
        <w:rPr>
          <w:rFonts w:ascii="Arial" w:eastAsia="Times New Roman" w:hAnsi="Arial" w:cs="Arial"/>
          <w:sz w:val="20"/>
          <w:szCs w:val="20"/>
        </w:rPr>
        <w:t>Pukkala</w:t>
      </w:r>
      <w:proofErr w:type="spellEnd"/>
      <w:r w:rsidRPr="001648DD">
        <w:rPr>
          <w:rFonts w:ascii="Arial" w:eastAsia="Times New Roman" w:hAnsi="Arial" w:cs="Arial"/>
          <w:sz w:val="20"/>
          <w:szCs w:val="20"/>
        </w:rPr>
        <w:t xml:space="preserve">, E., Gissler, M., Suvanto, E., Ollila, M., &amp; Niinimäki, M. (2024). Excess of severe autoimmune diseases in women with premature ovarian insufficiency: A population-based study. </w:t>
      </w:r>
      <w:r w:rsidRPr="001648DD">
        <w:rPr>
          <w:rFonts w:ascii="Arial" w:eastAsia="Times New Roman" w:hAnsi="Arial" w:cs="Arial"/>
          <w:i/>
          <w:iCs/>
          <w:sz w:val="20"/>
          <w:szCs w:val="20"/>
        </w:rPr>
        <w:t>Human Reproduction</w:t>
      </w:r>
      <w:r w:rsidRPr="001648DD">
        <w:rPr>
          <w:rFonts w:ascii="Arial" w:eastAsia="Times New Roman" w:hAnsi="Arial" w:cs="Arial"/>
          <w:sz w:val="20"/>
          <w:szCs w:val="20"/>
        </w:rPr>
        <w:t xml:space="preserve">, </w:t>
      </w:r>
      <w:r w:rsidRPr="001648DD">
        <w:rPr>
          <w:rFonts w:ascii="Arial" w:eastAsia="Times New Roman" w:hAnsi="Arial" w:cs="Arial"/>
          <w:i/>
          <w:iCs/>
          <w:sz w:val="20"/>
          <w:szCs w:val="20"/>
        </w:rPr>
        <w:t>39</w:t>
      </w:r>
      <w:r w:rsidRPr="001648DD">
        <w:rPr>
          <w:rFonts w:ascii="Arial" w:eastAsia="Times New Roman" w:hAnsi="Arial" w:cs="Arial"/>
          <w:sz w:val="20"/>
          <w:szCs w:val="20"/>
        </w:rPr>
        <w:t>(11), 2601-2607. https://doi.org/10.1093/humrep/deae213</w:t>
      </w:r>
    </w:p>
    <w:p w14:paraId="1A37ED91"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sz w:val="20"/>
          <w:szCs w:val="20"/>
        </w:rPr>
        <w:t xml:space="preserve">Su, H. I., </w:t>
      </w:r>
      <w:proofErr w:type="spellStart"/>
      <w:r w:rsidRPr="001648DD">
        <w:rPr>
          <w:rFonts w:ascii="Arial" w:hAnsi="Arial" w:cs="Arial"/>
          <w:sz w:val="20"/>
          <w:szCs w:val="20"/>
        </w:rPr>
        <w:t>Lacchetti</w:t>
      </w:r>
      <w:proofErr w:type="spellEnd"/>
      <w:r w:rsidRPr="001648DD">
        <w:rPr>
          <w:rFonts w:ascii="Arial" w:hAnsi="Arial" w:cs="Arial"/>
          <w:sz w:val="20"/>
          <w:szCs w:val="20"/>
        </w:rPr>
        <w:t xml:space="preserve">, C., Letourneau, J., Partridge, A. H., Qamar, R., Quinn, G. P., Reinecke, J., Smith, J. F., Tesch, M., Wallace, W. H., Wang, E. T., &amp; Loren, A. W. (2025). Fertility preservation in people with cancer: ASCO guideline update. </w:t>
      </w:r>
      <w:r w:rsidRPr="001648DD">
        <w:rPr>
          <w:rStyle w:val="Emphasis"/>
          <w:rFonts w:ascii="Arial" w:hAnsi="Arial" w:cs="Arial"/>
          <w:sz w:val="20"/>
          <w:szCs w:val="20"/>
        </w:rPr>
        <w:t>Journal of Clinical Oncology, 43</w:t>
      </w:r>
      <w:r w:rsidRPr="001648DD">
        <w:rPr>
          <w:rFonts w:ascii="Arial" w:hAnsi="Arial" w:cs="Arial"/>
          <w:sz w:val="20"/>
          <w:szCs w:val="20"/>
        </w:rPr>
        <w:t xml:space="preserve">(12), 1488–1515. </w:t>
      </w:r>
      <w:hyperlink r:id="rId11" w:tgtFrame="_new" w:history="1">
        <w:r w:rsidRPr="001648DD">
          <w:rPr>
            <w:rStyle w:val="Hyperlink"/>
            <w:rFonts w:ascii="Arial" w:hAnsi="Arial" w:cs="Arial"/>
            <w:sz w:val="20"/>
            <w:szCs w:val="20"/>
          </w:rPr>
          <w:t>https://doi.org/10.1200/JCO-24-02782</w:t>
        </w:r>
      </w:hyperlink>
    </w:p>
    <w:p w14:paraId="6EA18FD7"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color w:val="1B1B1B"/>
          <w:sz w:val="20"/>
          <w:szCs w:val="20"/>
          <w:shd w:val="clear" w:color="auto" w:fill="FFFFFF"/>
        </w:rPr>
        <w:t>Feldberg, D., &amp; Purandare, N. (2025). Cancer therapy and reproductive impact. </w:t>
      </w:r>
      <w:r w:rsidRPr="001648DD">
        <w:rPr>
          <w:rFonts w:ascii="Arial" w:hAnsi="Arial" w:cs="Arial"/>
          <w:i/>
          <w:iCs/>
          <w:color w:val="1B1B1B"/>
          <w:sz w:val="20"/>
          <w:szCs w:val="20"/>
          <w:shd w:val="clear" w:color="auto" w:fill="FFFFFF"/>
        </w:rPr>
        <w:t>International journal of gynaecology and obstetrics: the official organ of the International Federation of Gynaecology and Obstetrics</w:t>
      </w:r>
      <w:r w:rsidRPr="001648DD">
        <w:rPr>
          <w:rFonts w:ascii="Arial" w:hAnsi="Arial" w:cs="Arial"/>
          <w:color w:val="1B1B1B"/>
          <w:sz w:val="20"/>
          <w:szCs w:val="20"/>
          <w:shd w:val="clear" w:color="auto" w:fill="FFFFFF"/>
        </w:rPr>
        <w:t>, </w:t>
      </w:r>
      <w:r w:rsidRPr="001648DD">
        <w:rPr>
          <w:rFonts w:ascii="Arial" w:hAnsi="Arial" w:cs="Arial"/>
          <w:i/>
          <w:iCs/>
          <w:color w:val="1B1B1B"/>
          <w:sz w:val="20"/>
          <w:szCs w:val="20"/>
          <w:shd w:val="clear" w:color="auto" w:fill="FFFFFF"/>
        </w:rPr>
        <w:t>169</w:t>
      </w:r>
      <w:r w:rsidRPr="001648DD">
        <w:rPr>
          <w:rFonts w:ascii="Arial" w:hAnsi="Arial" w:cs="Arial"/>
          <w:color w:val="1B1B1B"/>
          <w:sz w:val="20"/>
          <w:szCs w:val="20"/>
          <w:shd w:val="clear" w:color="auto" w:fill="FFFFFF"/>
        </w:rPr>
        <w:t xml:space="preserve">(3), 891–894. </w:t>
      </w:r>
      <w:hyperlink r:id="rId12" w:history="1">
        <w:r w:rsidRPr="001648DD">
          <w:rPr>
            <w:rStyle w:val="Hyperlink"/>
            <w:rFonts w:ascii="Arial" w:hAnsi="Arial" w:cs="Arial"/>
            <w:sz w:val="20"/>
            <w:szCs w:val="20"/>
            <w:shd w:val="clear" w:color="auto" w:fill="FFFFFF"/>
          </w:rPr>
          <w:t>https://doi.org/10.1002/ijgo.16174</w:t>
        </w:r>
      </w:hyperlink>
    </w:p>
    <w:p w14:paraId="471825D7" w14:textId="77777777" w:rsidR="001648DD" w:rsidRPr="001648DD" w:rsidRDefault="001648DD" w:rsidP="001648DD">
      <w:pPr>
        <w:pStyle w:val="ListParagraph"/>
        <w:numPr>
          <w:ilvl w:val="0"/>
          <w:numId w:val="1"/>
        </w:numPr>
        <w:spacing w:after="0" w:line="276" w:lineRule="auto"/>
        <w:jc w:val="both"/>
        <w:rPr>
          <w:rFonts w:ascii="Arial" w:eastAsia="Times New Roman" w:hAnsi="Arial" w:cs="Arial"/>
          <w:sz w:val="20"/>
          <w:szCs w:val="20"/>
        </w:rPr>
      </w:pPr>
      <w:r w:rsidRPr="001648DD">
        <w:rPr>
          <w:rFonts w:ascii="Arial" w:eastAsia="Times New Roman" w:hAnsi="Arial" w:cs="Arial"/>
          <w:sz w:val="20"/>
          <w:szCs w:val="20"/>
        </w:rPr>
        <w:lastRenderedPageBreak/>
        <w:t xml:space="preserve">Kelsey, T. W., Hua, H., Wyatt, A., Indelicato, D., &amp; Wallace, W. H. (2022). A predictive model of the effect of therapeutic radiation on the human ovary. </w:t>
      </w:r>
      <w:r w:rsidRPr="001648DD">
        <w:rPr>
          <w:rFonts w:ascii="Arial" w:eastAsia="Times New Roman" w:hAnsi="Arial" w:cs="Arial"/>
          <w:i/>
          <w:iCs/>
          <w:sz w:val="20"/>
          <w:szCs w:val="20"/>
        </w:rPr>
        <w:t>PLOS ONE</w:t>
      </w:r>
      <w:r w:rsidRPr="001648DD">
        <w:rPr>
          <w:rFonts w:ascii="Arial" w:eastAsia="Times New Roman" w:hAnsi="Arial" w:cs="Arial"/>
          <w:sz w:val="20"/>
          <w:szCs w:val="20"/>
        </w:rPr>
        <w:t xml:space="preserve">, </w:t>
      </w:r>
      <w:r w:rsidRPr="001648DD">
        <w:rPr>
          <w:rFonts w:ascii="Arial" w:eastAsia="Times New Roman" w:hAnsi="Arial" w:cs="Arial"/>
          <w:i/>
          <w:iCs/>
          <w:sz w:val="20"/>
          <w:szCs w:val="20"/>
        </w:rPr>
        <w:t>17</w:t>
      </w:r>
      <w:r w:rsidRPr="001648DD">
        <w:rPr>
          <w:rFonts w:ascii="Arial" w:eastAsia="Times New Roman" w:hAnsi="Arial" w:cs="Arial"/>
          <w:sz w:val="20"/>
          <w:szCs w:val="20"/>
        </w:rPr>
        <w:t>(11), e0277052. https://doi.org/10.1371/journal.pone.0277052</w:t>
      </w:r>
    </w:p>
    <w:p w14:paraId="047070F7"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sz w:val="20"/>
          <w:szCs w:val="20"/>
        </w:rPr>
        <w:t xml:space="preserve">Dharia, A., Anastasopoulou, C., &amp; Singh, M. (2025). </w:t>
      </w:r>
      <w:r w:rsidRPr="001648DD">
        <w:rPr>
          <w:rStyle w:val="Emphasis"/>
          <w:rFonts w:ascii="Arial" w:hAnsi="Arial" w:cs="Arial"/>
          <w:sz w:val="20"/>
          <w:szCs w:val="20"/>
        </w:rPr>
        <w:t>Autoimmune disease and gonadal failure</w:t>
      </w:r>
      <w:r w:rsidRPr="001648DD">
        <w:rPr>
          <w:rFonts w:ascii="Arial" w:hAnsi="Arial" w:cs="Arial"/>
          <w:sz w:val="20"/>
          <w:szCs w:val="20"/>
        </w:rPr>
        <w:t xml:space="preserve">. In </w:t>
      </w:r>
      <w:proofErr w:type="spellStart"/>
      <w:r w:rsidRPr="001648DD">
        <w:rPr>
          <w:rStyle w:val="Emphasis"/>
          <w:rFonts w:ascii="Arial" w:hAnsi="Arial" w:cs="Arial"/>
          <w:sz w:val="20"/>
          <w:szCs w:val="20"/>
        </w:rPr>
        <w:t>StatPearls</w:t>
      </w:r>
      <w:proofErr w:type="spellEnd"/>
      <w:r w:rsidRPr="001648DD">
        <w:rPr>
          <w:rFonts w:ascii="Arial" w:hAnsi="Arial" w:cs="Arial"/>
          <w:sz w:val="20"/>
          <w:szCs w:val="20"/>
        </w:rPr>
        <w:t xml:space="preserve"> [Internet]. </w:t>
      </w:r>
      <w:proofErr w:type="spellStart"/>
      <w:r w:rsidRPr="001648DD">
        <w:rPr>
          <w:rFonts w:ascii="Arial" w:hAnsi="Arial" w:cs="Arial"/>
          <w:sz w:val="20"/>
          <w:szCs w:val="20"/>
        </w:rPr>
        <w:t>StatPearls</w:t>
      </w:r>
      <w:proofErr w:type="spellEnd"/>
      <w:r w:rsidRPr="001648DD">
        <w:rPr>
          <w:rFonts w:ascii="Arial" w:hAnsi="Arial" w:cs="Arial"/>
          <w:sz w:val="20"/>
          <w:szCs w:val="20"/>
        </w:rPr>
        <w:t xml:space="preserve"> Publishing. </w:t>
      </w:r>
      <w:hyperlink r:id="rId13" w:tgtFrame="_new" w:history="1">
        <w:r w:rsidRPr="001648DD">
          <w:rPr>
            <w:rStyle w:val="Hyperlink"/>
            <w:rFonts w:ascii="Arial" w:hAnsi="Arial" w:cs="Arial"/>
            <w:sz w:val="20"/>
            <w:szCs w:val="20"/>
          </w:rPr>
          <w:t>https://www.ncbi.nlm.nih.gov/books/NBK615138/</w:t>
        </w:r>
      </w:hyperlink>
    </w:p>
    <w:p w14:paraId="68AA6E9F"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color w:val="1B1B1B"/>
          <w:sz w:val="20"/>
          <w:szCs w:val="20"/>
          <w:shd w:val="clear" w:color="auto" w:fill="FFFFFF"/>
        </w:rPr>
        <w:t xml:space="preserve">Agaba, P., Meloni, S., Sule, H., </w:t>
      </w:r>
      <w:proofErr w:type="spellStart"/>
      <w:r w:rsidRPr="001648DD">
        <w:rPr>
          <w:rFonts w:ascii="Arial" w:hAnsi="Arial" w:cs="Arial"/>
          <w:color w:val="1B1B1B"/>
          <w:sz w:val="20"/>
          <w:szCs w:val="20"/>
          <w:shd w:val="clear" w:color="auto" w:fill="FFFFFF"/>
        </w:rPr>
        <w:t>Ocheke</w:t>
      </w:r>
      <w:proofErr w:type="spellEnd"/>
      <w:r w:rsidRPr="001648DD">
        <w:rPr>
          <w:rFonts w:ascii="Arial" w:hAnsi="Arial" w:cs="Arial"/>
          <w:color w:val="1B1B1B"/>
          <w:sz w:val="20"/>
          <w:szCs w:val="20"/>
          <w:shd w:val="clear" w:color="auto" w:fill="FFFFFF"/>
        </w:rPr>
        <w:t>, A., Agaba, E., Idoko, J., &amp; Kanki, P. (2017). Factors associated with early menopause among women in Nigeria. </w:t>
      </w:r>
      <w:r w:rsidRPr="001648DD">
        <w:rPr>
          <w:rFonts w:ascii="Arial" w:hAnsi="Arial" w:cs="Arial"/>
          <w:i/>
          <w:iCs/>
          <w:color w:val="1B1B1B"/>
          <w:sz w:val="20"/>
          <w:szCs w:val="20"/>
          <w:shd w:val="clear" w:color="auto" w:fill="FFFFFF"/>
        </w:rPr>
        <w:t>Journal of virus eradication</w:t>
      </w:r>
      <w:r w:rsidRPr="001648DD">
        <w:rPr>
          <w:rFonts w:ascii="Arial" w:hAnsi="Arial" w:cs="Arial"/>
          <w:color w:val="1B1B1B"/>
          <w:sz w:val="20"/>
          <w:szCs w:val="20"/>
          <w:shd w:val="clear" w:color="auto" w:fill="FFFFFF"/>
        </w:rPr>
        <w:t>, </w:t>
      </w:r>
      <w:r w:rsidRPr="001648DD">
        <w:rPr>
          <w:rFonts w:ascii="Arial" w:hAnsi="Arial" w:cs="Arial"/>
          <w:i/>
          <w:iCs/>
          <w:color w:val="1B1B1B"/>
          <w:sz w:val="20"/>
          <w:szCs w:val="20"/>
          <w:shd w:val="clear" w:color="auto" w:fill="FFFFFF"/>
        </w:rPr>
        <w:t>3</w:t>
      </w:r>
      <w:r w:rsidRPr="001648DD">
        <w:rPr>
          <w:rFonts w:ascii="Arial" w:hAnsi="Arial" w:cs="Arial"/>
          <w:color w:val="1B1B1B"/>
          <w:sz w:val="20"/>
          <w:szCs w:val="20"/>
          <w:shd w:val="clear" w:color="auto" w:fill="FFFFFF"/>
        </w:rPr>
        <w:t xml:space="preserve">(3), 145–151. </w:t>
      </w:r>
      <w:hyperlink r:id="rId14" w:history="1">
        <w:r w:rsidRPr="001648DD">
          <w:rPr>
            <w:rStyle w:val="Hyperlink"/>
            <w:rFonts w:ascii="Arial" w:hAnsi="Arial" w:cs="Arial"/>
            <w:sz w:val="20"/>
            <w:szCs w:val="20"/>
            <w:shd w:val="clear" w:color="auto" w:fill="FFFFFF"/>
          </w:rPr>
          <w:t>https://doi.org/10.1016/S2055-6640(20)30333-2</w:t>
        </w:r>
      </w:hyperlink>
    </w:p>
    <w:p w14:paraId="6D62C11F" w14:textId="77777777" w:rsidR="001648DD" w:rsidRPr="001648DD" w:rsidRDefault="001648DD" w:rsidP="001648DD">
      <w:pPr>
        <w:pStyle w:val="ListParagraph"/>
        <w:numPr>
          <w:ilvl w:val="0"/>
          <w:numId w:val="1"/>
        </w:numPr>
        <w:spacing w:line="276" w:lineRule="auto"/>
        <w:jc w:val="both"/>
        <w:rPr>
          <w:rStyle w:val="Hyperlink"/>
          <w:rFonts w:ascii="Arial" w:hAnsi="Arial" w:cs="Arial"/>
          <w:color w:val="212121"/>
          <w:sz w:val="20"/>
          <w:szCs w:val="20"/>
          <w:shd w:val="clear" w:color="auto" w:fill="FFFFFF"/>
        </w:rPr>
      </w:pPr>
      <w:proofErr w:type="spellStart"/>
      <w:r w:rsidRPr="001648DD">
        <w:rPr>
          <w:rFonts w:ascii="Arial" w:hAnsi="Arial" w:cs="Arial"/>
          <w:sz w:val="20"/>
          <w:szCs w:val="20"/>
        </w:rPr>
        <w:t>Ezebuiro</w:t>
      </w:r>
      <w:proofErr w:type="spellEnd"/>
      <w:r w:rsidRPr="001648DD">
        <w:rPr>
          <w:rFonts w:ascii="Arial" w:hAnsi="Arial" w:cs="Arial"/>
          <w:sz w:val="20"/>
          <w:szCs w:val="20"/>
        </w:rPr>
        <w:t xml:space="preserve">, E. I., Abali, I. O., </w:t>
      </w:r>
      <w:proofErr w:type="spellStart"/>
      <w:r w:rsidRPr="001648DD">
        <w:rPr>
          <w:rFonts w:ascii="Arial" w:hAnsi="Arial" w:cs="Arial"/>
          <w:sz w:val="20"/>
          <w:szCs w:val="20"/>
        </w:rPr>
        <w:t>Akenroye</w:t>
      </w:r>
      <w:proofErr w:type="spellEnd"/>
      <w:r w:rsidRPr="001648DD">
        <w:rPr>
          <w:rFonts w:ascii="Arial" w:hAnsi="Arial" w:cs="Arial"/>
          <w:sz w:val="20"/>
          <w:szCs w:val="20"/>
        </w:rPr>
        <w:t xml:space="preserve">, S.G., </w:t>
      </w:r>
      <w:proofErr w:type="spellStart"/>
      <w:r w:rsidRPr="001648DD">
        <w:rPr>
          <w:rFonts w:ascii="Arial" w:hAnsi="Arial" w:cs="Arial"/>
          <w:sz w:val="20"/>
          <w:szCs w:val="20"/>
        </w:rPr>
        <w:t>Onyemereze</w:t>
      </w:r>
      <w:proofErr w:type="spellEnd"/>
      <w:r w:rsidRPr="001648DD">
        <w:rPr>
          <w:rFonts w:ascii="Arial" w:hAnsi="Arial" w:cs="Arial"/>
          <w:sz w:val="20"/>
          <w:szCs w:val="20"/>
        </w:rPr>
        <w:t>, C. O., &amp; Airaodion, A. I. (2025). The Role of Male Involvement in Family Planning and Contraceptive Use in Nigeria. </w:t>
      </w:r>
      <w:r w:rsidRPr="001648DD">
        <w:rPr>
          <w:rFonts w:ascii="Arial" w:hAnsi="Arial" w:cs="Arial"/>
          <w:i/>
          <w:iCs/>
          <w:sz w:val="20"/>
          <w:szCs w:val="20"/>
        </w:rPr>
        <w:t>Journal of Counselling and Family Therapy</w:t>
      </w:r>
      <w:r w:rsidRPr="001648DD">
        <w:rPr>
          <w:rFonts w:ascii="Arial" w:hAnsi="Arial" w:cs="Arial"/>
          <w:sz w:val="20"/>
          <w:szCs w:val="20"/>
        </w:rPr>
        <w:t>, </w:t>
      </w:r>
      <w:r w:rsidRPr="001648DD">
        <w:rPr>
          <w:rFonts w:ascii="Arial" w:hAnsi="Arial" w:cs="Arial"/>
          <w:i/>
          <w:iCs/>
          <w:sz w:val="20"/>
          <w:szCs w:val="20"/>
        </w:rPr>
        <w:t>7</w:t>
      </w:r>
      <w:r w:rsidRPr="001648DD">
        <w:rPr>
          <w:rFonts w:ascii="Arial" w:hAnsi="Arial" w:cs="Arial"/>
          <w:sz w:val="20"/>
          <w:szCs w:val="20"/>
        </w:rPr>
        <w:t xml:space="preserve">(1), 30–37. Retrieved from </w:t>
      </w:r>
      <w:hyperlink r:id="rId15" w:history="1">
        <w:r w:rsidRPr="001648DD">
          <w:rPr>
            <w:rStyle w:val="Hyperlink"/>
            <w:rFonts w:ascii="Arial" w:hAnsi="Arial" w:cs="Arial"/>
            <w:sz w:val="20"/>
            <w:szCs w:val="20"/>
          </w:rPr>
          <w:t>https://matjournals.net/nursing/index.php/JCFT/article/view/328</w:t>
        </w:r>
      </w:hyperlink>
    </w:p>
    <w:p w14:paraId="0097A9AB" w14:textId="77777777" w:rsidR="001648DD" w:rsidRPr="001648DD" w:rsidRDefault="001648DD" w:rsidP="001648DD">
      <w:pPr>
        <w:pStyle w:val="ListParagraph"/>
        <w:numPr>
          <w:ilvl w:val="0"/>
          <w:numId w:val="1"/>
        </w:numPr>
        <w:spacing w:line="276" w:lineRule="auto"/>
        <w:jc w:val="both"/>
        <w:rPr>
          <w:rFonts w:ascii="Arial" w:hAnsi="Arial" w:cs="Arial"/>
          <w:color w:val="212121"/>
          <w:sz w:val="20"/>
          <w:szCs w:val="20"/>
          <w:shd w:val="clear" w:color="auto" w:fill="FFFFFF"/>
        </w:rPr>
      </w:pPr>
      <w:proofErr w:type="spellStart"/>
      <w:r w:rsidRPr="001648DD">
        <w:rPr>
          <w:rFonts w:ascii="Arial" w:hAnsi="Arial" w:cs="Arial"/>
          <w:sz w:val="20"/>
          <w:szCs w:val="20"/>
        </w:rPr>
        <w:t>Akwuruoha</w:t>
      </w:r>
      <w:proofErr w:type="spellEnd"/>
      <w:r w:rsidRPr="001648DD">
        <w:rPr>
          <w:rFonts w:ascii="Arial" w:hAnsi="Arial" w:cs="Arial"/>
          <w:sz w:val="20"/>
          <w:szCs w:val="20"/>
        </w:rPr>
        <w:t xml:space="preserve">, E. M., </w:t>
      </w:r>
      <w:proofErr w:type="spellStart"/>
      <w:r w:rsidRPr="001648DD">
        <w:rPr>
          <w:rFonts w:ascii="Arial" w:hAnsi="Arial" w:cs="Arial"/>
          <w:sz w:val="20"/>
          <w:szCs w:val="20"/>
        </w:rPr>
        <w:t>Onwube</w:t>
      </w:r>
      <w:proofErr w:type="spellEnd"/>
      <w:r w:rsidRPr="001648DD">
        <w:rPr>
          <w:rFonts w:ascii="Arial" w:hAnsi="Arial" w:cs="Arial"/>
          <w:sz w:val="20"/>
          <w:szCs w:val="20"/>
        </w:rPr>
        <w:t xml:space="preserve">, O. C., </w:t>
      </w:r>
      <w:proofErr w:type="spellStart"/>
      <w:r w:rsidRPr="001648DD">
        <w:rPr>
          <w:rFonts w:ascii="Arial" w:hAnsi="Arial" w:cs="Arial"/>
          <w:sz w:val="20"/>
          <w:szCs w:val="20"/>
        </w:rPr>
        <w:t>Akwuruoha</w:t>
      </w:r>
      <w:proofErr w:type="spellEnd"/>
      <w:r w:rsidRPr="001648DD">
        <w:rPr>
          <w:rFonts w:ascii="Arial" w:hAnsi="Arial" w:cs="Arial"/>
          <w:sz w:val="20"/>
          <w:szCs w:val="20"/>
        </w:rPr>
        <w:t xml:space="preserve">, C. U., &amp; Airaodion, A. I. (2025). Prevalence, causes and psychological effects of miscarriage among women in Abia State University Teaching Hospital, Aba, Nigeria. </w:t>
      </w:r>
      <w:r w:rsidRPr="001648DD">
        <w:rPr>
          <w:rStyle w:val="Emphasis"/>
          <w:rFonts w:ascii="Arial" w:hAnsi="Arial" w:cs="Arial"/>
          <w:sz w:val="20"/>
          <w:szCs w:val="20"/>
        </w:rPr>
        <w:t>American Journal of Biomedical Science &amp; Research, 27</w:t>
      </w:r>
      <w:r w:rsidRPr="001648DD">
        <w:rPr>
          <w:rFonts w:ascii="Arial" w:hAnsi="Arial" w:cs="Arial"/>
          <w:sz w:val="20"/>
          <w:szCs w:val="20"/>
        </w:rPr>
        <w:t xml:space="preserve">(5), 850-856. </w:t>
      </w:r>
    </w:p>
    <w:p w14:paraId="5554ABB5"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sz w:val="20"/>
          <w:szCs w:val="20"/>
        </w:rPr>
        <w:t xml:space="preserve">Rostami </w:t>
      </w:r>
      <w:proofErr w:type="spellStart"/>
      <w:r w:rsidRPr="001648DD">
        <w:rPr>
          <w:rFonts w:ascii="Arial" w:hAnsi="Arial" w:cs="Arial"/>
          <w:sz w:val="20"/>
          <w:szCs w:val="20"/>
        </w:rPr>
        <w:t>Dovom</w:t>
      </w:r>
      <w:proofErr w:type="spellEnd"/>
      <w:r w:rsidRPr="001648DD">
        <w:rPr>
          <w:rFonts w:ascii="Arial" w:hAnsi="Arial" w:cs="Arial"/>
          <w:sz w:val="20"/>
          <w:szCs w:val="20"/>
        </w:rPr>
        <w:t xml:space="preserve">, M., </w:t>
      </w:r>
      <w:proofErr w:type="spellStart"/>
      <w:r w:rsidRPr="001648DD">
        <w:rPr>
          <w:rFonts w:ascii="Arial" w:hAnsi="Arial" w:cs="Arial"/>
          <w:sz w:val="20"/>
          <w:szCs w:val="20"/>
        </w:rPr>
        <w:t>Bidhendi-Yarandi</w:t>
      </w:r>
      <w:proofErr w:type="spellEnd"/>
      <w:r w:rsidRPr="001648DD">
        <w:rPr>
          <w:rFonts w:ascii="Arial" w:hAnsi="Arial" w:cs="Arial"/>
          <w:sz w:val="20"/>
          <w:szCs w:val="20"/>
        </w:rPr>
        <w:t xml:space="preserve">, R., Mohammad, K., Farahmand, M., Azizi, F., &amp; Ramezani Tehrani, F. (2021). Prevalence of premature ovarian insufficiency and its determinants in Iranian populations: Tehran lipid and glucose study. </w:t>
      </w:r>
      <w:r w:rsidRPr="001648DD">
        <w:rPr>
          <w:rStyle w:val="Emphasis"/>
          <w:rFonts w:ascii="Arial" w:hAnsi="Arial" w:cs="Arial"/>
          <w:sz w:val="20"/>
          <w:szCs w:val="20"/>
        </w:rPr>
        <w:t>BMC Women's Health, 21</w:t>
      </w:r>
      <w:r w:rsidRPr="001648DD">
        <w:rPr>
          <w:rFonts w:ascii="Arial" w:hAnsi="Arial" w:cs="Arial"/>
          <w:sz w:val="20"/>
          <w:szCs w:val="20"/>
        </w:rPr>
        <w:t xml:space="preserve">, 79. </w:t>
      </w:r>
      <w:hyperlink r:id="rId16" w:tgtFrame="_new" w:history="1">
        <w:r w:rsidRPr="001648DD">
          <w:rPr>
            <w:rStyle w:val="Hyperlink"/>
            <w:rFonts w:ascii="Arial" w:hAnsi="Arial" w:cs="Arial"/>
            <w:sz w:val="20"/>
            <w:szCs w:val="20"/>
          </w:rPr>
          <w:t>https://doi.org/10.1186/s12905-021-01228-1</w:t>
        </w:r>
      </w:hyperlink>
    </w:p>
    <w:p w14:paraId="2C4C2D80" w14:textId="77777777" w:rsidR="001648DD" w:rsidRPr="001648DD" w:rsidRDefault="001648DD" w:rsidP="001648DD">
      <w:pPr>
        <w:pStyle w:val="ListParagraph"/>
        <w:numPr>
          <w:ilvl w:val="0"/>
          <w:numId w:val="1"/>
        </w:numPr>
        <w:spacing w:after="0" w:line="276" w:lineRule="auto"/>
        <w:jc w:val="both"/>
        <w:rPr>
          <w:rFonts w:ascii="Arial" w:eastAsia="Times New Roman" w:hAnsi="Arial" w:cs="Arial"/>
          <w:sz w:val="20"/>
          <w:szCs w:val="20"/>
        </w:rPr>
      </w:pPr>
      <w:r w:rsidRPr="001648DD">
        <w:rPr>
          <w:rFonts w:ascii="Arial" w:eastAsia="Times New Roman" w:hAnsi="Arial" w:cs="Arial"/>
          <w:sz w:val="20"/>
          <w:szCs w:val="20"/>
        </w:rPr>
        <w:t xml:space="preserve">Ding, X., Tang, R., Zhu, J., He, M., Huang, H., Lin, Z., &amp; Zhu, J. (2020). An Appraisal of the Role of Previously Reported Risk Factors in the Age at Menopause Using Mendelian Randomization. </w:t>
      </w:r>
      <w:r w:rsidRPr="001648DD">
        <w:rPr>
          <w:rFonts w:ascii="Arial" w:eastAsia="Times New Roman" w:hAnsi="Arial" w:cs="Arial"/>
          <w:i/>
          <w:iCs/>
          <w:sz w:val="20"/>
          <w:szCs w:val="20"/>
        </w:rPr>
        <w:t>Frontiers in Genetics</w:t>
      </w:r>
      <w:r w:rsidRPr="001648DD">
        <w:rPr>
          <w:rFonts w:ascii="Arial" w:eastAsia="Times New Roman" w:hAnsi="Arial" w:cs="Arial"/>
          <w:sz w:val="20"/>
          <w:szCs w:val="20"/>
        </w:rPr>
        <w:t xml:space="preserve">, </w:t>
      </w:r>
      <w:r w:rsidRPr="001648DD">
        <w:rPr>
          <w:rFonts w:ascii="Arial" w:eastAsia="Times New Roman" w:hAnsi="Arial" w:cs="Arial"/>
          <w:i/>
          <w:iCs/>
          <w:sz w:val="20"/>
          <w:szCs w:val="20"/>
        </w:rPr>
        <w:t>11</w:t>
      </w:r>
      <w:r w:rsidRPr="001648DD">
        <w:rPr>
          <w:rFonts w:ascii="Arial" w:eastAsia="Times New Roman" w:hAnsi="Arial" w:cs="Arial"/>
          <w:sz w:val="20"/>
          <w:szCs w:val="20"/>
        </w:rPr>
        <w:t>, 529668. https://doi.org/10.3389/fgene.2020.00507</w:t>
      </w:r>
    </w:p>
    <w:p w14:paraId="017A5847" w14:textId="77777777" w:rsidR="001648DD" w:rsidRPr="001648DD" w:rsidRDefault="001648DD" w:rsidP="001648DD">
      <w:pPr>
        <w:pStyle w:val="ListParagraph"/>
        <w:numPr>
          <w:ilvl w:val="0"/>
          <w:numId w:val="1"/>
        </w:numPr>
        <w:spacing w:after="0" w:line="276" w:lineRule="auto"/>
        <w:jc w:val="both"/>
        <w:rPr>
          <w:rFonts w:ascii="Arial" w:eastAsia="Times New Roman" w:hAnsi="Arial" w:cs="Arial"/>
          <w:sz w:val="20"/>
          <w:szCs w:val="20"/>
        </w:rPr>
      </w:pPr>
      <w:proofErr w:type="spellStart"/>
      <w:r w:rsidRPr="001648DD">
        <w:rPr>
          <w:rFonts w:ascii="Arial" w:eastAsia="Times New Roman" w:hAnsi="Arial" w:cs="Arial"/>
          <w:sz w:val="20"/>
          <w:szCs w:val="20"/>
        </w:rPr>
        <w:t>Podfigurna-Stopa</w:t>
      </w:r>
      <w:proofErr w:type="spellEnd"/>
      <w:r w:rsidRPr="001648DD">
        <w:rPr>
          <w:rFonts w:ascii="Arial" w:eastAsia="Times New Roman" w:hAnsi="Arial" w:cs="Arial"/>
          <w:sz w:val="20"/>
          <w:szCs w:val="20"/>
        </w:rPr>
        <w:t xml:space="preserve">, A., Czyzyk, A., </w:t>
      </w:r>
      <w:proofErr w:type="spellStart"/>
      <w:r w:rsidRPr="001648DD">
        <w:rPr>
          <w:rFonts w:ascii="Arial" w:eastAsia="Times New Roman" w:hAnsi="Arial" w:cs="Arial"/>
          <w:sz w:val="20"/>
          <w:szCs w:val="20"/>
        </w:rPr>
        <w:t>Grymowicz</w:t>
      </w:r>
      <w:proofErr w:type="spellEnd"/>
      <w:r w:rsidRPr="001648DD">
        <w:rPr>
          <w:rFonts w:ascii="Arial" w:eastAsia="Times New Roman" w:hAnsi="Arial" w:cs="Arial"/>
          <w:sz w:val="20"/>
          <w:szCs w:val="20"/>
        </w:rPr>
        <w:t xml:space="preserve">, M., </w:t>
      </w:r>
      <w:proofErr w:type="spellStart"/>
      <w:r w:rsidRPr="001648DD">
        <w:rPr>
          <w:rFonts w:ascii="Arial" w:eastAsia="Times New Roman" w:hAnsi="Arial" w:cs="Arial"/>
          <w:sz w:val="20"/>
          <w:szCs w:val="20"/>
        </w:rPr>
        <w:t>Smolarczyk</w:t>
      </w:r>
      <w:proofErr w:type="spellEnd"/>
      <w:r w:rsidRPr="001648DD">
        <w:rPr>
          <w:rFonts w:ascii="Arial" w:eastAsia="Times New Roman" w:hAnsi="Arial" w:cs="Arial"/>
          <w:sz w:val="20"/>
          <w:szCs w:val="20"/>
        </w:rPr>
        <w:t xml:space="preserve">, R., </w:t>
      </w:r>
      <w:proofErr w:type="spellStart"/>
      <w:r w:rsidRPr="001648DD">
        <w:rPr>
          <w:rFonts w:ascii="Arial" w:eastAsia="Times New Roman" w:hAnsi="Arial" w:cs="Arial"/>
          <w:sz w:val="20"/>
          <w:szCs w:val="20"/>
        </w:rPr>
        <w:t>Katulski</w:t>
      </w:r>
      <w:proofErr w:type="spellEnd"/>
      <w:r w:rsidRPr="001648DD">
        <w:rPr>
          <w:rFonts w:ascii="Arial" w:eastAsia="Times New Roman" w:hAnsi="Arial" w:cs="Arial"/>
          <w:sz w:val="20"/>
          <w:szCs w:val="20"/>
        </w:rPr>
        <w:t xml:space="preserve">, K., Czajkowski, K., &amp; </w:t>
      </w:r>
      <w:proofErr w:type="spellStart"/>
      <w:r w:rsidRPr="001648DD">
        <w:rPr>
          <w:rFonts w:ascii="Arial" w:eastAsia="Times New Roman" w:hAnsi="Arial" w:cs="Arial"/>
          <w:sz w:val="20"/>
          <w:szCs w:val="20"/>
        </w:rPr>
        <w:t>Meczekalski</w:t>
      </w:r>
      <w:proofErr w:type="spellEnd"/>
      <w:r w:rsidRPr="001648DD">
        <w:rPr>
          <w:rFonts w:ascii="Arial" w:eastAsia="Times New Roman" w:hAnsi="Arial" w:cs="Arial"/>
          <w:sz w:val="20"/>
          <w:szCs w:val="20"/>
        </w:rPr>
        <w:t xml:space="preserve">, B. (2016). Premature ovarian insufficiency: The context of long-term effects. </w:t>
      </w:r>
      <w:r w:rsidRPr="001648DD">
        <w:rPr>
          <w:rFonts w:ascii="Arial" w:eastAsia="Times New Roman" w:hAnsi="Arial" w:cs="Arial"/>
          <w:i/>
          <w:iCs/>
          <w:sz w:val="20"/>
          <w:szCs w:val="20"/>
        </w:rPr>
        <w:t>Journal of Endocrinological Investigation</w:t>
      </w:r>
      <w:r w:rsidRPr="001648DD">
        <w:rPr>
          <w:rFonts w:ascii="Arial" w:eastAsia="Times New Roman" w:hAnsi="Arial" w:cs="Arial"/>
          <w:sz w:val="20"/>
          <w:szCs w:val="20"/>
        </w:rPr>
        <w:t xml:space="preserve">, </w:t>
      </w:r>
      <w:r w:rsidRPr="001648DD">
        <w:rPr>
          <w:rFonts w:ascii="Arial" w:eastAsia="Times New Roman" w:hAnsi="Arial" w:cs="Arial"/>
          <w:i/>
          <w:iCs/>
          <w:sz w:val="20"/>
          <w:szCs w:val="20"/>
        </w:rPr>
        <w:t>39</w:t>
      </w:r>
      <w:r w:rsidRPr="001648DD">
        <w:rPr>
          <w:rFonts w:ascii="Arial" w:eastAsia="Times New Roman" w:hAnsi="Arial" w:cs="Arial"/>
          <w:sz w:val="20"/>
          <w:szCs w:val="20"/>
        </w:rPr>
        <w:t>, 983. https://doi.org/10.1007/s40618-016-0467-z</w:t>
      </w:r>
    </w:p>
    <w:p w14:paraId="4D9947ED"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sz w:val="20"/>
          <w:szCs w:val="20"/>
        </w:rPr>
        <w:t xml:space="preserve">Huang, Y., Liu, Z., Geng, Y., Li, F., Hu, R., Song, Y., Zhang, M., &amp; Song, K. (2025). The risk factors, pathogenesis and treatment of premature ovarian insufficiency. </w:t>
      </w:r>
      <w:r w:rsidRPr="001648DD">
        <w:rPr>
          <w:rStyle w:val="Emphasis"/>
          <w:rFonts w:ascii="Arial" w:hAnsi="Arial" w:cs="Arial"/>
          <w:sz w:val="20"/>
          <w:szCs w:val="20"/>
        </w:rPr>
        <w:t>Journal of Ovarian Research, 18</w:t>
      </w:r>
      <w:r w:rsidRPr="001648DD">
        <w:rPr>
          <w:rFonts w:ascii="Arial" w:hAnsi="Arial" w:cs="Arial"/>
          <w:sz w:val="20"/>
          <w:szCs w:val="20"/>
        </w:rPr>
        <w:t xml:space="preserve">, 134. </w:t>
      </w:r>
      <w:hyperlink r:id="rId17" w:tgtFrame="_new" w:history="1">
        <w:r w:rsidRPr="001648DD">
          <w:rPr>
            <w:rStyle w:val="Hyperlink"/>
            <w:rFonts w:ascii="Arial" w:hAnsi="Arial" w:cs="Arial"/>
            <w:sz w:val="20"/>
            <w:szCs w:val="20"/>
          </w:rPr>
          <w:t>https://doi.org/10.1186/s13048-025-01714-2</w:t>
        </w:r>
      </w:hyperlink>
    </w:p>
    <w:p w14:paraId="0C69286B"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sz w:val="20"/>
          <w:szCs w:val="20"/>
        </w:rPr>
        <w:t xml:space="preserve">Pederson, J., Kumar, R. B., Adams Hillard, P. J., &amp; Bachrach, L. K. (2015). Primary ovarian insufficiency in adolescents: A case series. </w:t>
      </w:r>
      <w:r w:rsidRPr="001648DD">
        <w:rPr>
          <w:rStyle w:val="Emphasis"/>
          <w:rFonts w:ascii="Arial" w:hAnsi="Arial" w:cs="Arial"/>
          <w:sz w:val="20"/>
          <w:szCs w:val="20"/>
        </w:rPr>
        <w:t xml:space="preserve">International Journal of </w:t>
      </w:r>
      <w:proofErr w:type="spellStart"/>
      <w:r w:rsidRPr="001648DD">
        <w:rPr>
          <w:rStyle w:val="Emphasis"/>
          <w:rFonts w:ascii="Arial" w:hAnsi="Arial" w:cs="Arial"/>
          <w:sz w:val="20"/>
          <w:szCs w:val="20"/>
        </w:rPr>
        <w:t>Pediatric</w:t>
      </w:r>
      <w:proofErr w:type="spellEnd"/>
      <w:r w:rsidRPr="001648DD">
        <w:rPr>
          <w:rStyle w:val="Emphasis"/>
          <w:rFonts w:ascii="Arial" w:hAnsi="Arial" w:cs="Arial"/>
          <w:sz w:val="20"/>
          <w:szCs w:val="20"/>
        </w:rPr>
        <w:t xml:space="preserve"> Endocrinology, 2015</w:t>
      </w:r>
      <w:r w:rsidRPr="001648DD">
        <w:rPr>
          <w:rFonts w:ascii="Arial" w:hAnsi="Arial" w:cs="Arial"/>
          <w:sz w:val="20"/>
          <w:szCs w:val="20"/>
        </w:rPr>
        <w:t xml:space="preserve">(1), 13. </w:t>
      </w:r>
      <w:hyperlink r:id="rId18" w:tgtFrame="_new" w:history="1">
        <w:r w:rsidRPr="001648DD">
          <w:rPr>
            <w:rStyle w:val="Hyperlink"/>
            <w:rFonts w:ascii="Arial" w:hAnsi="Arial" w:cs="Arial"/>
            <w:sz w:val="20"/>
            <w:szCs w:val="20"/>
          </w:rPr>
          <w:t>https://doi.org/10.1186/s13633-015-0009-z</w:t>
        </w:r>
      </w:hyperlink>
    </w:p>
    <w:p w14:paraId="39403D3B" w14:textId="77777777" w:rsidR="001648DD" w:rsidRPr="001648DD" w:rsidRDefault="001648DD" w:rsidP="001648DD">
      <w:pPr>
        <w:spacing w:line="276" w:lineRule="auto"/>
        <w:jc w:val="both"/>
        <w:rPr>
          <w:rFonts w:ascii="Arial" w:hAnsi="Arial" w:cs="Arial"/>
          <w:sz w:val="20"/>
          <w:szCs w:val="20"/>
        </w:rPr>
      </w:pPr>
    </w:p>
    <w:p w14:paraId="53ED06DD" w14:textId="77777777" w:rsidR="001648DD" w:rsidRPr="001648DD" w:rsidRDefault="001648DD" w:rsidP="00433686">
      <w:pPr>
        <w:jc w:val="both"/>
        <w:rPr>
          <w:rFonts w:ascii="Arial" w:hAnsi="Arial" w:cs="Arial"/>
          <w:sz w:val="20"/>
          <w:szCs w:val="20"/>
        </w:rPr>
      </w:pPr>
    </w:p>
    <w:sectPr w:rsidR="001648DD" w:rsidRPr="001648D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897DF" w14:textId="77777777" w:rsidR="00555F3C" w:rsidRDefault="00555F3C" w:rsidP="00A2688B">
      <w:pPr>
        <w:spacing w:after="0" w:line="240" w:lineRule="auto"/>
      </w:pPr>
      <w:r>
        <w:separator/>
      </w:r>
    </w:p>
  </w:endnote>
  <w:endnote w:type="continuationSeparator" w:id="0">
    <w:p w14:paraId="7D349978" w14:textId="77777777" w:rsidR="00555F3C" w:rsidRDefault="00555F3C" w:rsidP="00A2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1217" w14:textId="77777777" w:rsidR="00A2688B" w:rsidRDefault="00A26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11F7B" w14:textId="77777777" w:rsidR="00A2688B" w:rsidRDefault="00A26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4C1D" w14:textId="77777777" w:rsidR="00A2688B" w:rsidRDefault="00A26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CA66" w14:textId="77777777" w:rsidR="00555F3C" w:rsidRDefault="00555F3C" w:rsidP="00A2688B">
      <w:pPr>
        <w:spacing w:after="0" w:line="240" w:lineRule="auto"/>
      </w:pPr>
      <w:r>
        <w:separator/>
      </w:r>
    </w:p>
  </w:footnote>
  <w:footnote w:type="continuationSeparator" w:id="0">
    <w:p w14:paraId="400983AB" w14:textId="77777777" w:rsidR="00555F3C" w:rsidRDefault="00555F3C" w:rsidP="00A26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0424" w14:textId="68F93F74" w:rsidR="00A2688B" w:rsidRDefault="00555F3C">
    <w:pPr>
      <w:pStyle w:val="Header"/>
    </w:pPr>
    <w:r>
      <w:rPr>
        <w:noProof/>
      </w:rPr>
      <w:pict w14:anchorId="03E7A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504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A7DA" w14:textId="0ECEFA8C" w:rsidR="00A2688B" w:rsidRDefault="00555F3C">
    <w:pPr>
      <w:pStyle w:val="Header"/>
    </w:pPr>
    <w:r>
      <w:rPr>
        <w:noProof/>
      </w:rPr>
      <w:pict w14:anchorId="7A93AF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504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20F4" w14:textId="7C3FDC80" w:rsidR="00A2688B" w:rsidRDefault="00555F3C">
    <w:pPr>
      <w:pStyle w:val="Header"/>
    </w:pPr>
    <w:r>
      <w:rPr>
        <w:noProof/>
      </w:rPr>
      <w:pict w14:anchorId="7EA78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504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4464C"/>
    <w:multiLevelType w:val="multilevel"/>
    <w:tmpl w:val="03D0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F6076"/>
    <w:multiLevelType w:val="multilevel"/>
    <w:tmpl w:val="D48A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01CEF"/>
    <w:multiLevelType w:val="hybridMultilevel"/>
    <w:tmpl w:val="DB46B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D5E2E"/>
    <w:multiLevelType w:val="multilevel"/>
    <w:tmpl w:val="B0E4C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F752D5"/>
    <w:multiLevelType w:val="multilevel"/>
    <w:tmpl w:val="16564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6D0CF1"/>
    <w:multiLevelType w:val="multilevel"/>
    <w:tmpl w:val="362A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944CD"/>
    <w:multiLevelType w:val="multilevel"/>
    <w:tmpl w:val="75BC3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AE1292"/>
    <w:multiLevelType w:val="multilevel"/>
    <w:tmpl w:val="219A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FF7A96"/>
    <w:multiLevelType w:val="multilevel"/>
    <w:tmpl w:val="4C0E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37768B"/>
    <w:multiLevelType w:val="multilevel"/>
    <w:tmpl w:val="0EDC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036E36"/>
    <w:multiLevelType w:val="hybridMultilevel"/>
    <w:tmpl w:val="078CC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4E6984"/>
    <w:multiLevelType w:val="multilevel"/>
    <w:tmpl w:val="57DA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7E3A5F"/>
    <w:multiLevelType w:val="multilevel"/>
    <w:tmpl w:val="2738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2"/>
  </w:num>
  <w:num w:numId="4">
    <w:abstractNumId w:val="6"/>
  </w:num>
  <w:num w:numId="5">
    <w:abstractNumId w:val="3"/>
  </w:num>
  <w:num w:numId="6">
    <w:abstractNumId w:val="8"/>
  </w:num>
  <w:num w:numId="7">
    <w:abstractNumId w:val="4"/>
  </w:num>
  <w:num w:numId="8">
    <w:abstractNumId w:val="12"/>
  </w:num>
  <w:num w:numId="9">
    <w:abstractNumId w:val="0"/>
  </w:num>
  <w:num w:numId="10">
    <w:abstractNumId w:val="9"/>
  </w:num>
  <w:num w:numId="11">
    <w:abstractNumId w:val="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957"/>
    <w:rsid w:val="00094B97"/>
    <w:rsid w:val="001648DD"/>
    <w:rsid w:val="001D33CD"/>
    <w:rsid w:val="001E1402"/>
    <w:rsid w:val="00231335"/>
    <w:rsid w:val="00260214"/>
    <w:rsid w:val="002C386E"/>
    <w:rsid w:val="00334B72"/>
    <w:rsid w:val="003678C3"/>
    <w:rsid w:val="00433686"/>
    <w:rsid w:val="0045446B"/>
    <w:rsid w:val="004B244B"/>
    <w:rsid w:val="004E53B2"/>
    <w:rsid w:val="00555F3C"/>
    <w:rsid w:val="005609C6"/>
    <w:rsid w:val="00647362"/>
    <w:rsid w:val="00662166"/>
    <w:rsid w:val="00683AD0"/>
    <w:rsid w:val="00692C0F"/>
    <w:rsid w:val="006E3451"/>
    <w:rsid w:val="007A29BC"/>
    <w:rsid w:val="007D3985"/>
    <w:rsid w:val="00824DBE"/>
    <w:rsid w:val="00884709"/>
    <w:rsid w:val="009075E2"/>
    <w:rsid w:val="00A26659"/>
    <w:rsid w:val="00A2688B"/>
    <w:rsid w:val="00A34131"/>
    <w:rsid w:val="00A3607F"/>
    <w:rsid w:val="00A53D98"/>
    <w:rsid w:val="00B346DB"/>
    <w:rsid w:val="00C170D5"/>
    <w:rsid w:val="00C84752"/>
    <w:rsid w:val="00D30D97"/>
    <w:rsid w:val="00DF7230"/>
    <w:rsid w:val="00E11068"/>
    <w:rsid w:val="00E2275F"/>
    <w:rsid w:val="00ED0C3E"/>
    <w:rsid w:val="00ED50A1"/>
    <w:rsid w:val="00F235B6"/>
    <w:rsid w:val="00FF3957"/>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F85579"/>
  <w15:chartTrackingRefBased/>
  <w15:docId w15:val="{C12E4D28-DDB3-4E9E-93EF-0714245A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957"/>
  </w:style>
  <w:style w:type="paragraph" w:styleId="Heading1">
    <w:name w:val="heading 1"/>
    <w:basedOn w:val="Normal"/>
    <w:next w:val="Normal"/>
    <w:link w:val="Heading1Char"/>
    <w:uiPriority w:val="9"/>
    <w:qFormat/>
    <w:rsid w:val="00334B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346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346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346D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3957"/>
    <w:rPr>
      <w:color w:val="0563C1" w:themeColor="hyperlink"/>
      <w:u w:val="single"/>
    </w:rPr>
  </w:style>
  <w:style w:type="character" w:styleId="Strong">
    <w:name w:val="Strong"/>
    <w:basedOn w:val="DefaultParagraphFont"/>
    <w:uiPriority w:val="22"/>
    <w:qFormat/>
    <w:rsid w:val="00FF3957"/>
    <w:rPr>
      <w:b/>
      <w:bCs/>
    </w:rPr>
  </w:style>
  <w:style w:type="character" w:styleId="Emphasis">
    <w:name w:val="Emphasis"/>
    <w:basedOn w:val="DefaultParagraphFont"/>
    <w:uiPriority w:val="20"/>
    <w:qFormat/>
    <w:rsid w:val="00FF3957"/>
    <w:rPr>
      <w:i/>
      <w:iCs/>
    </w:rPr>
  </w:style>
  <w:style w:type="paragraph" w:styleId="ListParagraph">
    <w:name w:val="List Paragraph"/>
    <w:basedOn w:val="Normal"/>
    <w:uiPriority w:val="34"/>
    <w:qFormat/>
    <w:rsid w:val="00FF3957"/>
    <w:pPr>
      <w:spacing w:line="278" w:lineRule="auto"/>
      <w:ind w:left="720"/>
      <w:contextualSpacing/>
    </w:pPr>
    <w:rPr>
      <w:kern w:val="2"/>
      <w:sz w:val="24"/>
      <w:szCs w:val="24"/>
      <w:lang w:val="en-GB"/>
      <w14:ligatures w14:val="standardContextual"/>
    </w:rPr>
  </w:style>
  <w:style w:type="character" w:customStyle="1" w:styleId="UnresolvedMention1">
    <w:name w:val="Unresolved Mention1"/>
    <w:basedOn w:val="DefaultParagraphFont"/>
    <w:uiPriority w:val="99"/>
    <w:semiHidden/>
    <w:unhideWhenUsed/>
    <w:rsid w:val="00FF3957"/>
    <w:rPr>
      <w:color w:val="605E5C"/>
      <w:shd w:val="clear" w:color="auto" w:fill="E1DFDD"/>
    </w:rPr>
  </w:style>
  <w:style w:type="paragraph" w:styleId="NormalWeb">
    <w:name w:val="Normal (Web)"/>
    <w:basedOn w:val="Normal"/>
    <w:uiPriority w:val="99"/>
    <w:semiHidden/>
    <w:unhideWhenUsed/>
    <w:rsid w:val="00FF39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346D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346D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346DB"/>
    <w:rPr>
      <w:rFonts w:ascii="Times New Roman" w:eastAsia="Times New Roman" w:hAnsi="Times New Roman" w:cs="Times New Roman"/>
      <w:b/>
      <w:bCs/>
      <w:sz w:val="24"/>
      <w:szCs w:val="24"/>
    </w:rPr>
  </w:style>
  <w:style w:type="character" w:customStyle="1" w:styleId="katex-mathml">
    <w:name w:val="katex-mathml"/>
    <w:basedOn w:val="DefaultParagraphFont"/>
    <w:rsid w:val="00B346DB"/>
  </w:style>
  <w:style w:type="character" w:customStyle="1" w:styleId="mord">
    <w:name w:val="mord"/>
    <w:basedOn w:val="DefaultParagraphFont"/>
    <w:rsid w:val="00B346DB"/>
  </w:style>
  <w:style w:type="character" w:customStyle="1" w:styleId="mrel">
    <w:name w:val="mrel"/>
    <w:basedOn w:val="DefaultParagraphFont"/>
    <w:rsid w:val="00B346DB"/>
  </w:style>
  <w:style w:type="character" w:customStyle="1" w:styleId="mopen">
    <w:name w:val="mopen"/>
    <w:basedOn w:val="DefaultParagraphFont"/>
    <w:rsid w:val="00B346DB"/>
  </w:style>
  <w:style w:type="character" w:customStyle="1" w:styleId="mbin">
    <w:name w:val="mbin"/>
    <w:basedOn w:val="DefaultParagraphFont"/>
    <w:rsid w:val="00B346DB"/>
  </w:style>
  <w:style w:type="character" w:customStyle="1" w:styleId="mclose">
    <w:name w:val="mclose"/>
    <w:basedOn w:val="DefaultParagraphFont"/>
    <w:rsid w:val="00B346DB"/>
  </w:style>
  <w:style w:type="character" w:customStyle="1" w:styleId="vlist-s">
    <w:name w:val="vlist-s"/>
    <w:basedOn w:val="DefaultParagraphFont"/>
    <w:rsid w:val="00B346DB"/>
  </w:style>
  <w:style w:type="table" w:styleId="TableGrid">
    <w:name w:val="Table Grid"/>
    <w:basedOn w:val="TableNormal"/>
    <w:uiPriority w:val="39"/>
    <w:rsid w:val="00692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4B72"/>
    <w:rPr>
      <w:rFonts w:asciiTheme="majorHAnsi" w:eastAsiaTheme="majorEastAsia" w:hAnsiTheme="majorHAnsi" w:cstheme="majorBidi"/>
      <w:color w:val="2F5496" w:themeColor="accent1" w:themeShade="BF"/>
      <w:sz w:val="32"/>
      <w:szCs w:val="32"/>
    </w:rPr>
  </w:style>
  <w:style w:type="character" w:customStyle="1" w:styleId="ms-1">
    <w:name w:val="ms-1"/>
    <w:basedOn w:val="DefaultParagraphFont"/>
    <w:rsid w:val="00334B72"/>
  </w:style>
  <w:style w:type="character" w:customStyle="1" w:styleId="max-w-full">
    <w:name w:val="max-w-full"/>
    <w:basedOn w:val="DefaultParagraphFont"/>
    <w:rsid w:val="00334B72"/>
  </w:style>
  <w:style w:type="character" w:customStyle="1" w:styleId="-me-1">
    <w:name w:val="-me-1"/>
    <w:basedOn w:val="DefaultParagraphFont"/>
    <w:rsid w:val="00334B72"/>
  </w:style>
  <w:style w:type="paragraph" w:styleId="Header">
    <w:name w:val="header"/>
    <w:basedOn w:val="Normal"/>
    <w:link w:val="HeaderChar"/>
    <w:uiPriority w:val="99"/>
    <w:unhideWhenUsed/>
    <w:rsid w:val="00A2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88B"/>
  </w:style>
  <w:style w:type="paragraph" w:styleId="Footer">
    <w:name w:val="footer"/>
    <w:basedOn w:val="Normal"/>
    <w:link w:val="FooterChar"/>
    <w:uiPriority w:val="99"/>
    <w:unhideWhenUsed/>
    <w:rsid w:val="00A2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90779">
      <w:bodyDiv w:val="1"/>
      <w:marLeft w:val="0"/>
      <w:marRight w:val="0"/>
      <w:marTop w:val="0"/>
      <w:marBottom w:val="0"/>
      <w:divBdr>
        <w:top w:val="none" w:sz="0" w:space="0" w:color="auto"/>
        <w:left w:val="none" w:sz="0" w:space="0" w:color="auto"/>
        <w:bottom w:val="none" w:sz="0" w:space="0" w:color="auto"/>
        <w:right w:val="none" w:sz="0" w:space="0" w:color="auto"/>
      </w:divBdr>
      <w:divsChild>
        <w:div w:id="1135370388">
          <w:marLeft w:val="0"/>
          <w:marRight w:val="0"/>
          <w:marTop w:val="0"/>
          <w:marBottom w:val="0"/>
          <w:divBdr>
            <w:top w:val="none" w:sz="0" w:space="0" w:color="auto"/>
            <w:left w:val="none" w:sz="0" w:space="0" w:color="auto"/>
            <w:bottom w:val="none" w:sz="0" w:space="0" w:color="auto"/>
            <w:right w:val="none" w:sz="0" w:space="0" w:color="auto"/>
          </w:divBdr>
          <w:divsChild>
            <w:div w:id="625501903">
              <w:marLeft w:val="0"/>
              <w:marRight w:val="0"/>
              <w:marTop w:val="0"/>
              <w:marBottom w:val="0"/>
              <w:divBdr>
                <w:top w:val="none" w:sz="0" w:space="0" w:color="auto"/>
                <w:left w:val="none" w:sz="0" w:space="0" w:color="auto"/>
                <w:bottom w:val="none" w:sz="0" w:space="0" w:color="auto"/>
                <w:right w:val="none" w:sz="0" w:space="0" w:color="auto"/>
              </w:divBdr>
            </w:div>
          </w:divsChild>
        </w:div>
        <w:div w:id="492258994">
          <w:marLeft w:val="0"/>
          <w:marRight w:val="0"/>
          <w:marTop w:val="0"/>
          <w:marBottom w:val="0"/>
          <w:divBdr>
            <w:top w:val="none" w:sz="0" w:space="0" w:color="auto"/>
            <w:left w:val="none" w:sz="0" w:space="0" w:color="auto"/>
            <w:bottom w:val="none" w:sz="0" w:space="0" w:color="auto"/>
            <w:right w:val="none" w:sz="0" w:space="0" w:color="auto"/>
          </w:divBdr>
          <w:divsChild>
            <w:div w:id="523904874">
              <w:marLeft w:val="0"/>
              <w:marRight w:val="0"/>
              <w:marTop w:val="0"/>
              <w:marBottom w:val="0"/>
              <w:divBdr>
                <w:top w:val="none" w:sz="0" w:space="0" w:color="auto"/>
                <w:left w:val="none" w:sz="0" w:space="0" w:color="auto"/>
                <w:bottom w:val="none" w:sz="0" w:space="0" w:color="auto"/>
                <w:right w:val="none" w:sz="0" w:space="0" w:color="auto"/>
              </w:divBdr>
            </w:div>
          </w:divsChild>
        </w:div>
        <w:div w:id="1219510633">
          <w:marLeft w:val="0"/>
          <w:marRight w:val="0"/>
          <w:marTop w:val="0"/>
          <w:marBottom w:val="0"/>
          <w:divBdr>
            <w:top w:val="none" w:sz="0" w:space="0" w:color="auto"/>
            <w:left w:val="none" w:sz="0" w:space="0" w:color="auto"/>
            <w:bottom w:val="none" w:sz="0" w:space="0" w:color="auto"/>
            <w:right w:val="none" w:sz="0" w:space="0" w:color="auto"/>
          </w:divBdr>
          <w:divsChild>
            <w:div w:id="1428424586">
              <w:marLeft w:val="0"/>
              <w:marRight w:val="0"/>
              <w:marTop w:val="0"/>
              <w:marBottom w:val="0"/>
              <w:divBdr>
                <w:top w:val="none" w:sz="0" w:space="0" w:color="auto"/>
                <w:left w:val="none" w:sz="0" w:space="0" w:color="auto"/>
                <w:bottom w:val="none" w:sz="0" w:space="0" w:color="auto"/>
                <w:right w:val="none" w:sz="0" w:space="0" w:color="auto"/>
              </w:divBdr>
            </w:div>
          </w:divsChild>
        </w:div>
        <w:div w:id="1088429974">
          <w:marLeft w:val="0"/>
          <w:marRight w:val="0"/>
          <w:marTop w:val="0"/>
          <w:marBottom w:val="0"/>
          <w:divBdr>
            <w:top w:val="none" w:sz="0" w:space="0" w:color="auto"/>
            <w:left w:val="none" w:sz="0" w:space="0" w:color="auto"/>
            <w:bottom w:val="none" w:sz="0" w:space="0" w:color="auto"/>
            <w:right w:val="none" w:sz="0" w:space="0" w:color="auto"/>
          </w:divBdr>
          <w:divsChild>
            <w:div w:id="638609657">
              <w:marLeft w:val="0"/>
              <w:marRight w:val="0"/>
              <w:marTop w:val="0"/>
              <w:marBottom w:val="0"/>
              <w:divBdr>
                <w:top w:val="none" w:sz="0" w:space="0" w:color="auto"/>
                <w:left w:val="none" w:sz="0" w:space="0" w:color="auto"/>
                <w:bottom w:val="none" w:sz="0" w:space="0" w:color="auto"/>
                <w:right w:val="none" w:sz="0" w:space="0" w:color="auto"/>
              </w:divBdr>
            </w:div>
          </w:divsChild>
        </w:div>
        <w:div w:id="422653481">
          <w:marLeft w:val="0"/>
          <w:marRight w:val="0"/>
          <w:marTop w:val="0"/>
          <w:marBottom w:val="0"/>
          <w:divBdr>
            <w:top w:val="none" w:sz="0" w:space="0" w:color="auto"/>
            <w:left w:val="none" w:sz="0" w:space="0" w:color="auto"/>
            <w:bottom w:val="none" w:sz="0" w:space="0" w:color="auto"/>
            <w:right w:val="none" w:sz="0" w:space="0" w:color="auto"/>
          </w:divBdr>
          <w:divsChild>
            <w:div w:id="2077317193">
              <w:marLeft w:val="0"/>
              <w:marRight w:val="0"/>
              <w:marTop w:val="0"/>
              <w:marBottom w:val="0"/>
              <w:divBdr>
                <w:top w:val="none" w:sz="0" w:space="0" w:color="auto"/>
                <w:left w:val="none" w:sz="0" w:space="0" w:color="auto"/>
                <w:bottom w:val="none" w:sz="0" w:space="0" w:color="auto"/>
                <w:right w:val="none" w:sz="0" w:space="0" w:color="auto"/>
              </w:divBdr>
            </w:div>
          </w:divsChild>
        </w:div>
        <w:div w:id="1299988969">
          <w:marLeft w:val="0"/>
          <w:marRight w:val="0"/>
          <w:marTop w:val="0"/>
          <w:marBottom w:val="0"/>
          <w:divBdr>
            <w:top w:val="none" w:sz="0" w:space="0" w:color="auto"/>
            <w:left w:val="none" w:sz="0" w:space="0" w:color="auto"/>
            <w:bottom w:val="none" w:sz="0" w:space="0" w:color="auto"/>
            <w:right w:val="none" w:sz="0" w:space="0" w:color="auto"/>
          </w:divBdr>
          <w:divsChild>
            <w:div w:id="949162818">
              <w:marLeft w:val="0"/>
              <w:marRight w:val="0"/>
              <w:marTop w:val="0"/>
              <w:marBottom w:val="0"/>
              <w:divBdr>
                <w:top w:val="none" w:sz="0" w:space="0" w:color="auto"/>
                <w:left w:val="none" w:sz="0" w:space="0" w:color="auto"/>
                <w:bottom w:val="none" w:sz="0" w:space="0" w:color="auto"/>
                <w:right w:val="none" w:sz="0" w:space="0" w:color="auto"/>
              </w:divBdr>
            </w:div>
          </w:divsChild>
        </w:div>
        <w:div w:id="1774010310">
          <w:marLeft w:val="0"/>
          <w:marRight w:val="0"/>
          <w:marTop w:val="0"/>
          <w:marBottom w:val="0"/>
          <w:divBdr>
            <w:top w:val="none" w:sz="0" w:space="0" w:color="auto"/>
            <w:left w:val="none" w:sz="0" w:space="0" w:color="auto"/>
            <w:bottom w:val="none" w:sz="0" w:space="0" w:color="auto"/>
            <w:right w:val="none" w:sz="0" w:space="0" w:color="auto"/>
          </w:divBdr>
          <w:divsChild>
            <w:div w:id="624315490">
              <w:marLeft w:val="0"/>
              <w:marRight w:val="0"/>
              <w:marTop w:val="0"/>
              <w:marBottom w:val="0"/>
              <w:divBdr>
                <w:top w:val="none" w:sz="0" w:space="0" w:color="auto"/>
                <w:left w:val="none" w:sz="0" w:space="0" w:color="auto"/>
                <w:bottom w:val="none" w:sz="0" w:space="0" w:color="auto"/>
                <w:right w:val="none" w:sz="0" w:space="0" w:color="auto"/>
              </w:divBdr>
            </w:div>
          </w:divsChild>
        </w:div>
        <w:div w:id="2061132434">
          <w:marLeft w:val="0"/>
          <w:marRight w:val="0"/>
          <w:marTop w:val="0"/>
          <w:marBottom w:val="0"/>
          <w:divBdr>
            <w:top w:val="none" w:sz="0" w:space="0" w:color="auto"/>
            <w:left w:val="none" w:sz="0" w:space="0" w:color="auto"/>
            <w:bottom w:val="none" w:sz="0" w:space="0" w:color="auto"/>
            <w:right w:val="none" w:sz="0" w:space="0" w:color="auto"/>
          </w:divBdr>
          <w:divsChild>
            <w:div w:id="19190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16548">
      <w:bodyDiv w:val="1"/>
      <w:marLeft w:val="0"/>
      <w:marRight w:val="0"/>
      <w:marTop w:val="0"/>
      <w:marBottom w:val="0"/>
      <w:divBdr>
        <w:top w:val="none" w:sz="0" w:space="0" w:color="auto"/>
        <w:left w:val="none" w:sz="0" w:space="0" w:color="auto"/>
        <w:bottom w:val="none" w:sz="0" w:space="0" w:color="auto"/>
        <w:right w:val="none" w:sz="0" w:space="0" w:color="auto"/>
      </w:divBdr>
    </w:div>
    <w:div w:id="842820099">
      <w:bodyDiv w:val="1"/>
      <w:marLeft w:val="0"/>
      <w:marRight w:val="0"/>
      <w:marTop w:val="0"/>
      <w:marBottom w:val="0"/>
      <w:divBdr>
        <w:top w:val="none" w:sz="0" w:space="0" w:color="auto"/>
        <w:left w:val="none" w:sz="0" w:space="0" w:color="auto"/>
        <w:bottom w:val="none" w:sz="0" w:space="0" w:color="auto"/>
        <w:right w:val="none" w:sz="0" w:space="0" w:color="auto"/>
      </w:divBdr>
    </w:div>
    <w:div w:id="1411735769">
      <w:bodyDiv w:val="1"/>
      <w:marLeft w:val="0"/>
      <w:marRight w:val="0"/>
      <w:marTop w:val="0"/>
      <w:marBottom w:val="0"/>
      <w:divBdr>
        <w:top w:val="none" w:sz="0" w:space="0" w:color="auto"/>
        <w:left w:val="none" w:sz="0" w:space="0" w:color="auto"/>
        <w:bottom w:val="none" w:sz="0" w:space="0" w:color="auto"/>
        <w:right w:val="none" w:sz="0" w:space="0" w:color="auto"/>
      </w:divBdr>
    </w:div>
    <w:div w:id="1505972333">
      <w:bodyDiv w:val="1"/>
      <w:marLeft w:val="0"/>
      <w:marRight w:val="0"/>
      <w:marTop w:val="0"/>
      <w:marBottom w:val="0"/>
      <w:divBdr>
        <w:top w:val="none" w:sz="0" w:space="0" w:color="auto"/>
        <w:left w:val="none" w:sz="0" w:space="0" w:color="auto"/>
        <w:bottom w:val="none" w:sz="0" w:space="0" w:color="auto"/>
        <w:right w:val="none" w:sz="0" w:space="0" w:color="auto"/>
      </w:divBdr>
    </w:div>
    <w:div w:id="1596744221">
      <w:bodyDiv w:val="1"/>
      <w:marLeft w:val="0"/>
      <w:marRight w:val="0"/>
      <w:marTop w:val="0"/>
      <w:marBottom w:val="0"/>
      <w:divBdr>
        <w:top w:val="none" w:sz="0" w:space="0" w:color="auto"/>
        <w:left w:val="none" w:sz="0" w:space="0" w:color="auto"/>
        <w:bottom w:val="none" w:sz="0" w:space="0" w:color="auto"/>
        <w:right w:val="none" w:sz="0" w:space="0" w:color="auto"/>
      </w:divBdr>
    </w:div>
    <w:div w:id="181567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697137.2022.2153033" TargetMode="External"/><Relationship Id="rId13" Type="http://schemas.openxmlformats.org/officeDocument/2006/relationships/hyperlink" Target="https://www.ncbi.nlm.nih.gov/books/NBK615138/" TargetMode="External"/><Relationship Id="rId18" Type="http://schemas.openxmlformats.org/officeDocument/2006/relationships/hyperlink" Target="https://doi.org/10.1186/s13633-015-0009-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3949/ccjm.92gr.25056" TargetMode="External"/><Relationship Id="rId12" Type="http://schemas.openxmlformats.org/officeDocument/2006/relationships/hyperlink" Target="https://doi.org/10.1002/ijgo.16174" TargetMode="External"/><Relationship Id="rId17" Type="http://schemas.openxmlformats.org/officeDocument/2006/relationships/hyperlink" Target="https://doi.org/10.1186/s13048-025-01714-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86/s12905-021-01228-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00/JCO-24-02782"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matjournals.net/nursing/index.php/JCFT/article/view/328" TargetMode="External"/><Relationship Id="rId23" Type="http://schemas.openxmlformats.org/officeDocument/2006/relationships/header" Target="header3.xml"/><Relationship Id="rId10" Type="http://schemas.openxmlformats.org/officeDocument/2006/relationships/hyperlink" Target="https://doi.org/10.4103/am.am_67_2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ijms24054423" TargetMode="External"/><Relationship Id="rId14" Type="http://schemas.openxmlformats.org/officeDocument/2006/relationships/hyperlink" Target="https://doi.org/10.1016/S2055-6640(20)30333-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12</Pages>
  <Words>4735</Words>
  <Characters>26990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Final Solution</dc:creator>
  <cp:keywords/>
  <dc:description/>
  <cp:lastModifiedBy>Final Solution</cp:lastModifiedBy>
  <cp:revision>32</cp:revision>
  <dcterms:created xsi:type="dcterms:W3CDTF">2025-08-14T07:53:00Z</dcterms:created>
  <dcterms:modified xsi:type="dcterms:W3CDTF">2025-08-18T14:02:00Z</dcterms:modified>
</cp:coreProperties>
</file>