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026492" w14:textId="77777777" w:rsidR="00AA4909" w:rsidRDefault="00AA4909">
      <w:pPr>
        <w:jc w:val="center"/>
        <w:rPr>
          <w:rFonts w:ascii="Times New Roman" w:hAnsi="Times New Roman" w:cs="Times New Roman"/>
          <w:b/>
          <w:bCs/>
          <w:sz w:val="24"/>
          <w:szCs w:val="24"/>
        </w:rPr>
      </w:pPr>
    </w:p>
    <w:p w14:paraId="26D92356" w14:textId="77777777" w:rsidR="00AA4909" w:rsidRDefault="00AA4909">
      <w:pPr>
        <w:jc w:val="center"/>
        <w:rPr>
          <w:rFonts w:ascii="Times New Roman" w:hAnsi="Times New Roman" w:cs="Times New Roman"/>
          <w:b/>
          <w:bCs/>
          <w:sz w:val="24"/>
          <w:szCs w:val="24"/>
        </w:rPr>
      </w:pPr>
    </w:p>
    <w:p w14:paraId="732D5C1A" w14:textId="77777777" w:rsidR="00AA4909" w:rsidRDefault="00812C84">
      <w:pPr>
        <w:jc w:val="right"/>
        <w:rPr>
          <w:rFonts w:ascii="Times New Roman" w:hAnsi="Times New Roman" w:cs="Times New Roman"/>
          <w:b/>
          <w:bCs/>
          <w:i/>
          <w:sz w:val="32"/>
          <w:szCs w:val="32"/>
          <w:u w:val="single"/>
        </w:rPr>
      </w:pPr>
      <w:r>
        <w:rPr>
          <w:rFonts w:ascii="Times New Roman" w:hAnsi="Times New Roman" w:cs="Times New Roman"/>
          <w:b/>
          <w:bCs/>
          <w:i/>
          <w:sz w:val="32"/>
          <w:szCs w:val="32"/>
          <w:u w:val="single"/>
        </w:rPr>
        <w:t xml:space="preserve">Case report </w:t>
      </w:r>
    </w:p>
    <w:p w14:paraId="2E3344B0" w14:textId="2A8529FB" w:rsidR="00AA4909" w:rsidRDefault="00812C84">
      <w:pPr>
        <w:jc w:val="center"/>
        <w:rPr>
          <w:rFonts w:ascii="Times New Roman" w:hAnsi="Times New Roman" w:cs="Times New Roman"/>
          <w:b/>
          <w:bCs/>
          <w:sz w:val="28"/>
          <w:szCs w:val="28"/>
        </w:rPr>
      </w:pPr>
      <w:r>
        <w:rPr>
          <w:rFonts w:ascii="Times New Roman" w:hAnsi="Times New Roman" w:cs="Times New Roman"/>
          <w:b/>
          <w:bCs/>
          <w:sz w:val="28"/>
          <w:szCs w:val="28"/>
        </w:rPr>
        <w:t>SURGICAL MANAGEMENT OF OKC WITH CHEMICAL CAUTERIZATION USING TOPICAL 5-FLUOROURACIL AND SOFT TISSUE RECONSTRUCTION USING A NASOLABIAL FLAP:</w:t>
      </w:r>
    </w:p>
    <w:p w14:paraId="7FDED57F" w14:textId="51A84D90" w:rsidR="00AA4909" w:rsidRDefault="00812C84">
      <w:pPr>
        <w:jc w:val="center"/>
        <w:rPr>
          <w:rFonts w:ascii="Times New Roman" w:hAnsi="Times New Roman" w:cs="Times New Roman"/>
          <w:b/>
          <w:bCs/>
          <w:sz w:val="28"/>
          <w:szCs w:val="28"/>
        </w:rPr>
      </w:pPr>
      <w:r>
        <w:rPr>
          <w:rFonts w:ascii="Times New Roman" w:hAnsi="Times New Roman" w:cs="Times New Roman"/>
          <w:b/>
          <w:bCs/>
          <w:sz w:val="28"/>
          <w:szCs w:val="28"/>
        </w:rPr>
        <w:t xml:space="preserve"> A CASE REPORT</w:t>
      </w:r>
    </w:p>
    <w:p w14:paraId="22B166DE" w14:textId="77777777" w:rsidR="00AA4909" w:rsidRDefault="00AA4909">
      <w:pPr>
        <w:jc w:val="center"/>
        <w:rPr>
          <w:rFonts w:ascii="Times New Roman" w:hAnsi="Times New Roman" w:cs="Times New Roman"/>
          <w:b/>
          <w:bCs/>
          <w:sz w:val="24"/>
          <w:szCs w:val="24"/>
        </w:rPr>
      </w:pPr>
    </w:p>
    <w:p w14:paraId="0AC424B3" w14:textId="77777777" w:rsidR="00AA4909" w:rsidRDefault="00AA4909">
      <w:pPr>
        <w:jc w:val="center"/>
        <w:rPr>
          <w:rFonts w:ascii="Times New Roman" w:hAnsi="Times New Roman" w:cs="Times New Roman"/>
          <w:b/>
          <w:bCs/>
          <w:sz w:val="24"/>
          <w:szCs w:val="24"/>
        </w:rPr>
      </w:pPr>
    </w:p>
    <w:p w14:paraId="5853DF91"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ABSTRACT</w:t>
      </w:r>
    </w:p>
    <w:p w14:paraId="24B4AB99" w14:textId="4B22DFA8" w:rsidR="00AA4909" w:rsidRDefault="00812C84">
      <w:pPr>
        <w:rPr>
          <w:rFonts w:ascii="Times New Roman" w:hAnsi="Times New Roman" w:cs="Times New Roman"/>
          <w:sz w:val="24"/>
          <w:szCs w:val="24"/>
        </w:rPr>
      </w:pPr>
      <w:r>
        <w:rPr>
          <w:rFonts w:ascii="Times New Roman" w:hAnsi="Times New Roman" w:cs="Times New Roman"/>
          <w:b/>
          <w:bCs/>
          <w:sz w:val="24"/>
          <w:szCs w:val="24"/>
        </w:rPr>
        <w:t>AIM:</w:t>
      </w:r>
      <w:r>
        <w:rPr>
          <w:rFonts w:ascii="Times New Roman" w:hAnsi="Times New Roman" w:cs="Times New Roman"/>
          <w:sz w:val="24"/>
          <w:szCs w:val="24"/>
        </w:rPr>
        <w:t xml:space="preserve"> </w:t>
      </w:r>
      <w:r w:rsidR="008E49E5">
        <w:rPr>
          <w:rFonts w:ascii="Times New Roman" w:hAnsi="Times New Roman" w:cs="Times New Roman"/>
          <w:sz w:val="24"/>
          <w:szCs w:val="24"/>
        </w:rPr>
        <w:t>This case report</w:t>
      </w:r>
      <w:r>
        <w:rPr>
          <w:rFonts w:ascii="Times New Roman" w:hAnsi="Times New Roman" w:cs="Times New Roman"/>
          <w:sz w:val="24"/>
          <w:szCs w:val="24"/>
        </w:rPr>
        <w:t xml:space="preserve"> </w:t>
      </w:r>
      <w:bookmarkStart w:id="0" w:name="_GoBack"/>
      <w:bookmarkEnd w:id="0"/>
      <w:r w:rsidR="00801BF7">
        <w:rPr>
          <w:rFonts w:ascii="Times New Roman" w:hAnsi="Times New Roman" w:cs="Times New Roman"/>
          <w:sz w:val="24"/>
          <w:szCs w:val="24"/>
        </w:rPr>
        <w:t>evaluates</w:t>
      </w:r>
      <w:r>
        <w:rPr>
          <w:rFonts w:ascii="Times New Roman" w:hAnsi="Times New Roman" w:cs="Times New Roman"/>
          <w:sz w:val="24"/>
          <w:szCs w:val="24"/>
        </w:rPr>
        <w:t xml:space="preserve"> the effectiveness of surgical enucleation with chemical cauterization using 5-fluorouracil (5-FU) and soft tissue reconstruction with a nasolabial flap in the management of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xml:space="preserve"> (OKC).</w:t>
      </w:r>
    </w:p>
    <w:p w14:paraId="4227D1F7"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STUDY DESIGN</w:t>
      </w:r>
      <w:r>
        <w:rPr>
          <w:rFonts w:ascii="Times New Roman" w:hAnsi="Times New Roman" w:cs="Times New Roman"/>
          <w:sz w:val="24"/>
          <w:szCs w:val="24"/>
        </w:rPr>
        <w:t>: Case Report.</w:t>
      </w:r>
    </w:p>
    <w:p w14:paraId="0CAED237"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PLACE AND DURATION OF STUDY:</w:t>
      </w:r>
      <w:r>
        <w:rPr>
          <w:rFonts w:ascii="Times New Roman" w:hAnsi="Times New Roman" w:cs="Times New Roman"/>
          <w:sz w:val="24"/>
          <w:szCs w:val="24"/>
        </w:rPr>
        <w:t xml:space="preserve"> Department of Oral and Maxillofacial Surgery, C.S.M.S.S Dental College and Hospital, Chhatrapati </w:t>
      </w:r>
      <w:proofErr w:type="spellStart"/>
      <w:r>
        <w:rPr>
          <w:rFonts w:ascii="Times New Roman" w:hAnsi="Times New Roman" w:cs="Times New Roman"/>
          <w:sz w:val="24"/>
          <w:szCs w:val="24"/>
        </w:rPr>
        <w:t>Sambhajinagar</w:t>
      </w:r>
      <w:proofErr w:type="spellEnd"/>
      <w:r>
        <w:rPr>
          <w:rFonts w:ascii="Times New Roman" w:hAnsi="Times New Roman" w:cs="Times New Roman"/>
          <w:sz w:val="24"/>
          <w:szCs w:val="24"/>
        </w:rPr>
        <w:t>, India with follow-up over 1.5 years.</w:t>
      </w:r>
    </w:p>
    <w:p w14:paraId="29C34785" w14:textId="17950FEA" w:rsidR="00AA4909" w:rsidRDefault="00812C84">
      <w:pPr>
        <w:rPr>
          <w:rFonts w:ascii="Times New Roman" w:hAnsi="Times New Roman" w:cs="Times New Roman"/>
          <w:sz w:val="24"/>
          <w:szCs w:val="24"/>
        </w:rPr>
      </w:pPr>
      <w:r>
        <w:rPr>
          <w:rFonts w:ascii="Times New Roman" w:hAnsi="Times New Roman" w:cs="Times New Roman"/>
          <w:b/>
          <w:bCs/>
          <w:sz w:val="24"/>
          <w:szCs w:val="24"/>
        </w:rPr>
        <w:t>METHODOLOGY:</w:t>
      </w:r>
      <w:r>
        <w:rPr>
          <w:rFonts w:ascii="Times New Roman" w:hAnsi="Times New Roman" w:cs="Times New Roman"/>
          <w:sz w:val="24"/>
          <w:szCs w:val="24"/>
        </w:rPr>
        <w:t xml:space="preserve"> </w:t>
      </w:r>
      <w:r w:rsidR="008E04E2">
        <w:rPr>
          <w:rFonts w:ascii="Times New Roman" w:hAnsi="Times New Roman" w:cs="Times New Roman"/>
          <w:sz w:val="24"/>
          <w:szCs w:val="24"/>
        </w:rPr>
        <w:t xml:space="preserve">A </w:t>
      </w:r>
      <w:r>
        <w:rPr>
          <w:rFonts w:ascii="Times New Roman" w:hAnsi="Times New Roman" w:cs="Times New Roman"/>
          <w:sz w:val="24"/>
          <w:szCs w:val="24"/>
        </w:rPr>
        <w:t>52 year</w:t>
      </w:r>
      <w:r>
        <w:rPr>
          <w:rFonts w:ascii="Times New Roman" w:hAnsi="Times New Roman" w:cs="Times New Roman"/>
          <w:sz w:val="24"/>
          <w:szCs w:val="24"/>
        </w:rPr>
        <w:t xml:space="preserve"> </w:t>
      </w:r>
      <w:proofErr w:type="gramStart"/>
      <w:r>
        <w:rPr>
          <w:rFonts w:ascii="Times New Roman" w:hAnsi="Times New Roman" w:cs="Times New Roman"/>
          <w:sz w:val="24"/>
          <w:szCs w:val="24"/>
        </w:rPr>
        <w:t>female  patient</w:t>
      </w:r>
      <w:proofErr w:type="gramEnd"/>
      <w:r>
        <w:rPr>
          <w:rFonts w:ascii="Times New Roman" w:hAnsi="Times New Roman" w:cs="Times New Roman"/>
          <w:sz w:val="24"/>
          <w:szCs w:val="24"/>
        </w:rPr>
        <w:t xml:space="preserve"> underwent surgical enucleation of the OKC, followed by chemical cauterization of the cystic cavity using 5% 5-fluorouracil (5-FU) to minimize recurrence. Postoperatively, soft tissue dehiscence was identified and managed with reconstructio</w:t>
      </w:r>
      <w:r>
        <w:rPr>
          <w:rFonts w:ascii="Times New Roman" w:hAnsi="Times New Roman" w:cs="Times New Roman"/>
          <w:sz w:val="24"/>
          <w:szCs w:val="24"/>
        </w:rPr>
        <w:t>n using an inferiorly based nasolabial flap to restore the intraoral soft tissue integrity.</w:t>
      </w:r>
    </w:p>
    <w:p w14:paraId="439B945B" w14:textId="45A864DB" w:rsidR="00AA4909" w:rsidRDefault="00812C84">
      <w:pPr>
        <w:rPr>
          <w:rFonts w:ascii="Times New Roman" w:hAnsi="Times New Roman" w:cs="Times New Roman"/>
          <w:sz w:val="24"/>
          <w:szCs w:val="24"/>
        </w:rPr>
      </w:pPr>
      <w:r>
        <w:rPr>
          <w:rFonts w:ascii="Times New Roman" w:hAnsi="Times New Roman" w:cs="Times New Roman"/>
          <w:b/>
          <w:bCs/>
          <w:sz w:val="24"/>
          <w:szCs w:val="24"/>
        </w:rPr>
        <w:t xml:space="preserve">RESULTS: </w:t>
      </w:r>
      <w:r>
        <w:rPr>
          <w:rFonts w:ascii="Times New Roman" w:hAnsi="Times New Roman" w:cs="Times New Roman"/>
          <w:sz w:val="24"/>
          <w:szCs w:val="24"/>
        </w:rPr>
        <w:t>The combined approach of enucleation, chemical cauterization with 5-FU, and nasolabial flap reconstruction resulted in successful management of the lesion,</w:t>
      </w:r>
      <w:r>
        <w:rPr>
          <w:rFonts w:ascii="Times New Roman" w:hAnsi="Times New Roman" w:cs="Times New Roman"/>
          <w:sz w:val="24"/>
          <w:szCs w:val="24"/>
        </w:rPr>
        <w:t xml:space="preserve"> minimal recurrence risk, and satisfactory functional and aesthetic outcomes. Postoperative recovery  with excellent healing observed in follow-ups over  1</w:t>
      </w:r>
      <w:r w:rsidR="008E04E2">
        <w:rPr>
          <w:rFonts w:ascii="Times New Roman" w:hAnsi="Times New Roman" w:cs="Times New Roman"/>
          <w:sz w:val="24"/>
          <w:szCs w:val="24"/>
        </w:rPr>
        <w:t xml:space="preserve">.5 </w:t>
      </w:r>
      <w:r>
        <w:rPr>
          <w:rFonts w:ascii="Times New Roman" w:hAnsi="Times New Roman" w:cs="Times New Roman"/>
          <w:sz w:val="24"/>
          <w:szCs w:val="24"/>
        </w:rPr>
        <w:t>year</w:t>
      </w:r>
    </w:p>
    <w:p w14:paraId="42973522"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Surgical enucleation with adjunctive 5-FU chemical cauterization is a promising m</w:t>
      </w:r>
      <w:r>
        <w:rPr>
          <w:rFonts w:ascii="Times New Roman" w:hAnsi="Times New Roman" w:cs="Times New Roman"/>
          <w:sz w:val="24"/>
          <w:szCs w:val="24"/>
        </w:rPr>
        <w:t>ethod for reducing OKC recurrence. The nasolabial flap is a versatile and reliable option for reconstructing small-to-moderate intraoral soft-tissue defects, even in cases with postoperative complications.</w:t>
      </w:r>
    </w:p>
    <w:p w14:paraId="3DDE3D88"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KEY WORDS :</w:t>
      </w:r>
      <w:r>
        <w:rPr>
          <w:rFonts w:ascii="Times New Roman" w:hAnsi="Times New Roman" w:cs="Times New Roman"/>
          <w:sz w:val="24"/>
          <w:szCs w:val="24"/>
        </w:rPr>
        <w:t xml:space="preserve"> OKC , 5 FLUROURACYL (5-FU), BASAL CELL</w:t>
      </w:r>
      <w:r>
        <w:rPr>
          <w:rFonts w:ascii="Times New Roman" w:hAnsi="Times New Roman" w:cs="Times New Roman"/>
          <w:sz w:val="24"/>
          <w:szCs w:val="24"/>
        </w:rPr>
        <w:t xml:space="preserve"> NEVOID CACINOMA SYNDROME , PTCH GENE , CARNOYS SOLLUTION , NASOLABIAL FLAP SURGERY , SMAS . </w:t>
      </w:r>
    </w:p>
    <w:p w14:paraId="11EB5EA1"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lastRenderedPageBreak/>
        <w:t>ABBREVIATIONS:</w:t>
      </w:r>
      <w:r>
        <w:rPr>
          <w:rFonts w:ascii="Times New Roman" w:hAnsi="Times New Roman" w:cs="Times New Roman"/>
          <w:sz w:val="24"/>
          <w:szCs w:val="24"/>
        </w:rPr>
        <w:t xml:space="preserve"> KCOT =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 NBCCS = nevoid basal cell carcinoma syndrome, OKC = Odontogenic </w:t>
      </w:r>
      <w:proofErr w:type="spellStart"/>
      <w:r>
        <w:rPr>
          <w:rFonts w:ascii="Times New Roman" w:hAnsi="Times New Roman" w:cs="Times New Roman"/>
          <w:sz w:val="24"/>
          <w:szCs w:val="24"/>
        </w:rPr>
        <w:t>Keratocyst</w:t>
      </w:r>
      <w:proofErr w:type="spellEnd"/>
      <w:r>
        <w:rPr>
          <w:rFonts w:ascii="Times New Roman" w:hAnsi="Times New Roman" w:cs="Times New Roman"/>
          <w:sz w:val="24"/>
          <w:szCs w:val="24"/>
        </w:rPr>
        <w:t>, WHO = World Health Organization.</w:t>
      </w:r>
      <w:r>
        <w:rPr>
          <w:rFonts w:ascii="Times New Roman" w:hAnsi="Times New Roman" w:cs="Times New Roman"/>
          <w:sz w:val="24"/>
          <w:szCs w:val="24"/>
        </w:rPr>
        <w:t xml:space="preserve"> RMT = Retromolar region , SMAS = superficial musculoskeletal aponeurotic system </w:t>
      </w:r>
    </w:p>
    <w:p w14:paraId="0D9A0043"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pict w14:anchorId="4B776E92">
          <v:rect id="_x0000_i1025" style="width:0;height:1.5pt" o:hralign="center" o:hrstd="t" o:hr="t" fillcolor="#a0a0a0" stroked="f"/>
        </w:pict>
      </w:r>
    </w:p>
    <w:p w14:paraId="6808BF89" w14:textId="77777777" w:rsidR="00AA4909" w:rsidRDefault="00AA4909">
      <w:pPr>
        <w:rPr>
          <w:rFonts w:ascii="Times New Roman" w:hAnsi="Times New Roman" w:cs="Times New Roman"/>
          <w:b/>
          <w:bCs/>
          <w:sz w:val="24"/>
          <w:szCs w:val="24"/>
        </w:rPr>
      </w:pPr>
    </w:p>
    <w:p w14:paraId="32A8E9A0"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 xml:space="preserve">INTRODUCTION </w:t>
      </w:r>
    </w:p>
    <w:p w14:paraId="15176676" w14:textId="08F9CFBE"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Odontogenic keratocysts (OKCs) are aggressive cystic lesions of the jaw that originate from the dental lamina and are characterized by rapid growth and high </w:t>
      </w:r>
      <w:r>
        <w:rPr>
          <w:rFonts w:ascii="Times New Roman" w:hAnsi="Times New Roman" w:cs="Times New Roman"/>
          <w:sz w:val="24"/>
          <w:szCs w:val="24"/>
        </w:rPr>
        <w:t>recurrence rates. They were first described by Philipson in 1956.</w:t>
      </w:r>
      <w:r>
        <w:rPr>
          <w:rFonts w:ascii="Times New Roman" w:hAnsi="Times New Roman" w:cs="Times New Roman"/>
          <w:sz w:val="24"/>
          <w:szCs w:val="24"/>
          <w:vertAlign w:val="superscript"/>
        </w:rPr>
        <w:t>[1]</w:t>
      </w:r>
      <w:r>
        <w:rPr>
          <w:rFonts w:ascii="Times New Roman" w:hAnsi="Times New Roman" w:cs="Times New Roman"/>
          <w:sz w:val="24"/>
          <w:szCs w:val="24"/>
        </w:rPr>
        <w:t xml:space="preserve"> They most commonly occur in the ramus or angle of the mandible, with frequent involvement of the third molar region.</w:t>
      </w:r>
      <w:r>
        <w:rPr>
          <w:rFonts w:ascii="Times New Roman" w:hAnsi="Times New Roman" w:cs="Times New Roman"/>
          <w:sz w:val="24"/>
          <w:szCs w:val="24"/>
          <w:vertAlign w:val="superscript"/>
        </w:rPr>
        <w:t xml:space="preserve">[1] </w:t>
      </w:r>
      <w:r>
        <w:rPr>
          <w:rFonts w:ascii="Times New Roman" w:hAnsi="Times New Roman" w:cs="Times New Roman"/>
          <w:sz w:val="24"/>
          <w:szCs w:val="24"/>
        </w:rPr>
        <w:t xml:space="preserve"> Various studies have reported that </w:t>
      </w:r>
      <w:proofErr w:type="spellStart"/>
      <w:r>
        <w:rPr>
          <w:rFonts w:ascii="Times New Roman" w:hAnsi="Times New Roman" w:cs="Times New Roman"/>
          <w:sz w:val="24"/>
          <w:szCs w:val="24"/>
        </w:rPr>
        <w:t>keratocystic</w:t>
      </w:r>
      <w:proofErr w:type="spellEnd"/>
      <w:r>
        <w:rPr>
          <w:rFonts w:ascii="Times New Roman" w:hAnsi="Times New Roman" w:cs="Times New Roman"/>
          <w:sz w:val="24"/>
          <w:szCs w:val="24"/>
        </w:rPr>
        <w:t xml:space="preserve"> odontogenic tumors</w:t>
      </w:r>
      <w:r>
        <w:rPr>
          <w:rFonts w:ascii="Times New Roman" w:hAnsi="Times New Roman" w:cs="Times New Roman"/>
          <w:sz w:val="24"/>
          <w:szCs w:val="24"/>
        </w:rPr>
        <w:t xml:space="preserve"> (KCOT) account for 3–11% of all odontogenic cysts (Chuong et al., 1982; Payne 1972). </w:t>
      </w:r>
      <w:r w:rsidR="008E04E2" w:rsidRPr="008E04E2">
        <w:rPr>
          <w:rFonts w:ascii="Times New Roman" w:hAnsi="Times New Roman" w:cs="Times New Roman"/>
          <w:sz w:val="24"/>
          <w:szCs w:val="24"/>
        </w:rPr>
        <w:t xml:space="preserve">Odontogenic </w:t>
      </w:r>
      <w:proofErr w:type="spellStart"/>
      <w:r w:rsidR="008E04E2" w:rsidRPr="008E04E2">
        <w:rPr>
          <w:rFonts w:ascii="Times New Roman" w:hAnsi="Times New Roman" w:cs="Times New Roman"/>
          <w:sz w:val="24"/>
          <w:szCs w:val="24"/>
        </w:rPr>
        <w:t>keratocysts</w:t>
      </w:r>
      <w:proofErr w:type="spellEnd"/>
      <w:r w:rsidR="008E04E2" w:rsidRPr="008E04E2">
        <w:rPr>
          <w:rFonts w:ascii="Times New Roman" w:hAnsi="Times New Roman" w:cs="Times New Roman"/>
          <w:sz w:val="24"/>
          <w:szCs w:val="24"/>
        </w:rPr>
        <w:t xml:space="preserve"> (OKCs) typically present as solitary lesions unless associated with nevoid basal cell carcinoma syndrome (NBCCS) (Payne, 1972; </w:t>
      </w:r>
      <w:proofErr w:type="spellStart"/>
      <w:r w:rsidR="008E04E2" w:rsidRPr="008E04E2">
        <w:rPr>
          <w:rFonts w:ascii="Times New Roman" w:hAnsi="Times New Roman" w:cs="Times New Roman"/>
          <w:sz w:val="24"/>
          <w:szCs w:val="24"/>
        </w:rPr>
        <w:t>Chirapathomsakul</w:t>
      </w:r>
      <w:proofErr w:type="spellEnd"/>
      <w:r w:rsidR="008E04E2" w:rsidRPr="008E04E2">
        <w:rPr>
          <w:rFonts w:ascii="Times New Roman" w:hAnsi="Times New Roman" w:cs="Times New Roman"/>
          <w:sz w:val="24"/>
          <w:szCs w:val="24"/>
        </w:rPr>
        <w:t xml:space="preserve"> and </w:t>
      </w:r>
      <w:proofErr w:type="spellStart"/>
      <w:r w:rsidR="008E04E2" w:rsidRPr="008E04E2">
        <w:rPr>
          <w:rFonts w:ascii="Times New Roman" w:hAnsi="Times New Roman" w:cs="Times New Roman"/>
          <w:sz w:val="24"/>
          <w:szCs w:val="24"/>
        </w:rPr>
        <w:t>Sastravaha</w:t>
      </w:r>
      <w:proofErr w:type="spellEnd"/>
      <w:r w:rsidR="008E04E2" w:rsidRPr="008E04E2">
        <w:rPr>
          <w:rFonts w:ascii="Times New Roman" w:hAnsi="Times New Roman" w:cs="Times New Roman"/>
          <w:sz w:val="24"/>
          <w:szCs w:val="24"/>
        </w:rPr>
        <w:t xml:space="preserve">, 2006)[2]. In 2005, the World Health Organization (WHO) reclassified OKC as a </w:t>
      </w:r>
      <w:proofErr w:type="spellStart"/>
      <w:r w:rsidR="008E04E2" w:rsidRPr="008E04E2">
        <w:rPr>
          <w:rFonts w:ascii="Times New Roman" w:hAnsi="Times New Roman" w:cs="Times New Roman"/>
          <w:sz w:val="24"/>
          <w:szCs w:val="24"/>
        </w:rPr>
        <w:t>keratocystic</w:t>
      </w:r>
      <w:proofErr w:type="spellEnd"/>
      <w:r w:rsidR="008E04E2" w:rsidRPr="008E04E2">
        <w:rPr>
          <w:rFonts w:ascii="Times New Roman" w:hAnsi="Times New Roman" w:cs="Times New Roman"/>
          <w:sz w:val="24"/>
          <w:szCs w:val="24"/>
        </w:rPr>
        <w:t xml:space="preserve"> odontogenic tumor (KCOT), defining it as “a benign, </w:t>
      </w:r>
      <w:proofErr w:type="spellStart"/>
      <w:r w:rsidR="008E04E2" w:rsidRPr="008E04E2">
        <w:rPr>
          <w:rFonts w:ascii="Times New Roman" w:hAnsi="Times New Roman" w:cs="Times New Roman"/>
          <w:sz w:val="24"/>
          <w:szCs w:val="24"/>
        </w:rPr>
        <w:t>uni</w:t>
      </w:r>
      <w:proofErr w:type="spellEnd"/>
      <w:r w:rsidR="008E04E2" w:rsidRPr="008E04E2">
        <w:rPr>
          <w:rFonts w:ascii="Times New Roman" w:hAnsi="Times New Roman" w:cs="Times New Roman"/>
          <w:sz w:val="24"/>
          <w:szCs w:val="24"/>
        </w:rPr>
        <w:t xml:space="preserve">- or </w:t>
      </w:r>
      <w:proofErr w:type="spellStart"/>
      <w:r w:rsidR="008E04E2" w:rsidRPr="008E04E2">
        <w:rPr>
          <w:rFonts w:ascii="Times New Roman" w:hAnsi="Times New Roman" w:cs="Times New Roman"/>
          <w:sz w:val="24"/>
          <w:szCs w:val="24"/>
        </w:rPr>
        <w:t>multicystic</w:t>
      </w:r>
      <w:proofErr w:type="spellEnd"/>
      <w:r w:rsidR="008E04E2" w:rsidRPr="008E04E2">
        <w:rPr>
          <w:rFonts w:ascii="Times New Roman" w:hAnsi="Times New Roman" w:cs="Times New Roman"/>
          <w:sz w:val="24"/>
          <w:szCs w:val="24"/>
        </w:rPr>
        <w:t xml:space="preserve">, intraosseous tumor of odontogenic origin, characterized by a </w:t>
      </w:r>
      <w:proofErr w:type="spellStart"/>
      <w:r w:rsidR="008E04E2" w:rsidRPr="008E04E2">
        <w:rPr>
          <w:rFonts w:ascii="Times New Roman" w:hAnsi="Times New Roman" w:cs="Times New Roman"/>
          <w:sz w:val="24"/>
          <w:szCs w:val="24"/>
        </w:rPr>
        <w:t>parakeratinized</w:t>
      </w:r>
      <w:proofErr w:type="spellEnd"/>
      <w:r w:rsidR="008E04E2" w:rsidRPr="008E04E2">
        <w:rPr>
          <w:rFonts w:ascii="Times New Roman" w:hAnsi="Times New Roman" w:cs="Times New Roman"/>
          <w:sz w:val="24"/>
          <w:szCs w:val="24"/>
        </w:rPr>
        <w:t xml:space="preserve"> stratified squamous epithelial lining and a potential for aggressive and infiltrative behavior” (Barnes et al., 2005</w:t>
      </w:r>
      <w:r w:rsidR="008E04E2" w:rsidRPr="008E04E2">
        <w:rPr>
          <w:rFonts w:ascii="Times New Roman" w:hAnsi="Times New Roman" w:cs="Times New Roman"/>
          <w:sz w:val="24"/>
          <w:szCs w:val="24"/>
          <w:vertAlign w:val="superscript"/>
        </w:rPr>
        <w:t>)[2]</w:t>
      </w:r>
      <w:r w:rsidR="008E04E2">
        <w:rPr>
          <w:rFonts w:ascii="Times New Roman" w:hAnsi="Times New Roman" w:cs="Times New Roman"/>
          <w:sz w:val="24"/>
          <w:szCs w:val="24"/>
          <w:vertAlign w:val="superscript"/>
        </w:rPr>
        <w:t xml:space="preserve"> </w:t>
      </w:r>
      <w:r w:rsidR="008E04E2">
        <w:rPr>
          <w:rFonts w:ascii="Times New Roman" w:hAnsi="Times New Roman" w:cs="Times New Roman"/>
          <w:sz w:val="24"/>
          <w:szCs w:val="24"/>
        </w:rPr>
        <w:t xml:space="preserve">. </w:t>
      </w:r>
      <w:r w:rsidR="008E04E2" w:rsidRPr="008E04E2">
        <w:rPr>
          <w:rFonts w:ascii="Times New Roman" w:hAnsi="Times New Roman" w:cs="Times New Roman"/>
          <w:sz w:val="24"/>
          <w:szCs w:val="24"/>
        </w:rPr>
        <w:t>However, in the 2017 WHO classification, the term KCOT was reverted back to OKC due to insufficient evidence supporting its neoplastic nature</w:t>
      </w:r>
      <w:r w:rsidR="008E04E2" w:rsidRPr="008E04E2">
        <w:rPr>
          <w:rFonts w:ascii="Times New Roman" w:hAnsi="Times New Roman" w:cs="Times New Roman"/>
          <w:sz w:val="24"/>
          <w:szCs w:val="24"/>
          <w:vertAlign w:val="superscript"/>
        </w:rPr>
        <w:t>[3]</w:t>
      </w:r>
      <w:r w:rsidR="008E04E2">
        <w:rPr>
          <w:rFonts w:ascii="Times New Roman" w:hAnsi="Times New Roman" w:cs="Times New Roman"/>
          <w:sz w:val="24"/>
          <w:szCs w:val="24"/>
          <w:vertAlign w:val="superscript"/>
        </w:rPr>
        <w:t xml:space="preserve">  </w:t>
      </w:r>
      <w:r>
        <w:rPr>
          <w:rFonts w:ascii="Times New Roman" w:hAnsi="Times New Roman" w:cs="Times New Roman"/>
          <w:sz w:val="24"/>
          <w:szCs w:val="24"/>
        </w:rPr>
        <w:t>Radiographically, OKCs present as uni- or multilocular radiolucencies, often mimicking ameloblastomas and dentigerous cysts. Histologically, they are divided into parakeratotic and orthokeratotic subtypes, respectively. The parakeratotic type sh</w:t>
      </w:r>
      <w:r>
        <w:rPr>
          <w:rFonts w:ascii="Times New Roman" w:hAnsi="Times New Roman" w:cs="Times New Roman"/>
          <w:sz w:val="24"/>
          <w:szCs w:val="24"/>
        </w:rPr>
        <w:t>ows increased keratin production, no keratohyalin granules, and sloughing of epithelial cells into the keratin layer. This classification helps in understanding their distinct behavior and characteristics.</w:t>
      </w:r>
      <w:r>
        <w:rPr>
          <w:rFonts w:ascii="Times New Roman" w:hAnsi="Times New Roman" w:cs="Times New Roman"/>
          <w:sz w:val="24"/>
          <w:szCs w:val="24"/>
          <w:vertAlign w:val="superscript"/>
        </w:rPr>
        <w:t xml:space="preserve">[3] </w:t>
      </w:r>
      <w:r>
        <w:rPr>
          <w:rFonts w:ascii="Times New Roman" w:hAnsi="Times New Roman" w:cs="Times New Roman"/>
          <w:sz w:val="24"/>
          <w:szCs w:val="24"/>
        </w:rPr>
        <w:t xml:space="preserve"> Various treatment options for OKCs include mar</w:t>
      </w:r>
      <w:r>
        <w:rPr>
          <w:rFonts w:ascii="Times New Roman" w:hAnsi="Times New Roman" w:cs="Times New Roman"/>
          <w:sz w:val="24"/>
          <w:szCs w:val="24"/>
        </w:rPr>
        <w:t>supialization, decompression, enucleation (with or without adjuncts such as Carnoy’s solution, cryotherapy, or peripheral ostectomy), and even jaw resection. Carnoy’s solution was once preferred for its lower recurrence rates, but its use declined after ch</w:t>
      </w:r>
      <w:r>
        <w:rPr>
          <w:rFonts w:ascii="Times New Roman" w:hAnsi="Times New Roman" w:cs="Times New Roman"/>
          <w:sz w:val="24"/>
          <w:szCs w:val="24"/>
        </w:rPr>
        <w:t>loroform (a carcinogen) was banned, leading to the adoption of the less effective modified Carnoy solution. Recurrence is attributed to incomplete cyst removal, satellite cysts, residual epithelium, and new OKCs. Higher recurrence is seen with infection, f</w:t>
      </w:r>
      <w:r>
        <w:rPr>
          <w:rFonts w:ascii="Times New Roman" w:hAnsi="Times New Roman" w:cs="Times New Roman"/>
          <w:sz w:val="24"/>
          <w:szCs w:val="24"/>
        </w:rPr>
        <w:t>istulas, bony perforation, and multilocular lesions, as well as due to the lesion’s aggressive biology and proliferative markers.</w:t>
      </w:r>
      <w:r>
        <w:rPr>
          <w:rFonts w:ascii="Times New Roman" w:hAnsi="Times New Roman" w:cs="Times New Roman"/>
          <w:sz w:val="24"/>
          <w:szCs w:val="24"/>
          <w:vertAlign w:val="superscript"/>
        </w:rPr>
        <w:t xml:space="preserve">[3] </w:t>
      </w:r>
    </w:p>
    <w:p w14:paraId="3DC26D5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Topical application of 5-fluorouracil (5-FU), an antimetabolite commonly used in basal cell carcinoma (BCC), has emerged a</w:t>
      </w:r>
      <w:r>
        <w:rPr>
          <w:rFonts w:ascii="Times New Roman" w:hAnsi="Times New Roman" w:cs="Times New Roman"/>
          <w:sz w:val="24"/>
          <w:szCs w:val="24"/>
        </w:rPr>
        <w:t>s a promising adjunct for managing odontogenic keratocysts (OKCs). Its mechanism of action involves thymidylate synthetase inhibition, which disrupts DNA synthesis and induces cell death in proliferating cells. The molecular similarities between OKCs and B</w:t>
      </w:r>
      <w:r>
        <w:rPr>
          <w:rFonts w:ascii="Times New Roman" w:hAnsi="Times New Roman" w:cs="Times New Roman"/>
          <w:sz w:val="24"/>
          <w:szCs w:val="24"/>
        </w:rPr>
        <w:t>CCs, particularly the mutations in the PTCH1 gene and activation of the sonic hedgehog (SHH) pathway, support its use. Compared to traditional adjuncts such as Carnoy’s solution, 5-FU offers ease of application, minimal complications, and no reported neuro</w:t>
      </w:r>
      <w:r>
        <w:rPr>
          <w:rFonts w:ascii="Times New Roman" w:hAnsi="Times New Roman" w:cs="Times New Roman"/>
          <w:sz w:val="24"/>
          <w:szCs w:val="24"/>
        </w:rPr>
        <w:t xml:space="preserve">toxicity. A protocol involving 24-hour gauze application of 5% 5-FU post-enucleation has shown encouraging results; however, further studies are needed to validate its long-term efficacy. By </w:t>
      </w:r>
      <w:r>
        <w:rPr>
          <w:rFonts w:ascii="Times New Roman" w:hAnsi="Times New Roman" w:cs="Times New Roman"/>
          <w:sz w:val="24"/>
          <w:szCs w:val="24"/>
        </w:rPr>
        <w:lastRenderedPageBreak/>
        <w:t xml:space="preserve">blocking pyrimidine thymidine production, 5-FU causes a shortage </w:t>
      </w:r>
      <w:r>
        <w:rPr>
          <w:rFonts w:ascii="Times New Roman" w:hAnsi="Times New Roman" w:cs="Times New Roman"/>
          <w:sz w:val="24"/>
          <w:szCs w:val="24"/>
        </w:rPr>
        <w:t>of dTMP, triggering “thymine-less death” in rapidly dividing cells.</w:t>
      </w:r>
      <w:r>
        <w:rPr>
          <w:rFonts w:ascii="Times New Roman" w:hAnsi="Times New Roman" w:cs="Times New Roman"/>
          <w:sz w:val="24"/>
          <w:szCs w:val="24"/>
          <w:vertAlign w:val="superscript"/>
        </w:rPr>
        <w:t xml:space="preserve"> [3][1] </w:t>
      </w:r>
      <w:r>
        <w:rPr>
          <w:rFonts w:ascii="Times New Roman" w:hAnsi="Times New Roman" w:cs="Times New Roman"/>
          <w:sz w:val="24"/>
          <w:szCs w:val="24"/>
        </w:rPr>
        <w:t xml:space="preserve"> This case report explores 5-FU’s efficacy in treatment of OKC.</w:t>
      </w:r>
      <w:r>
        <w:rPr>
          <w:rFonts w:ascii="Times New Roman" w:hAnsi="Times New Roman" w:cs="Times New Roman"/>
          <w:sz w:val="24"/>
          <w:szCs w:val="24"/>
          <w:vertAlign w:val="superscript"/>
        </w:rPr>
        <w:t xml:space="preserve">[3],[1] </w:t>
      </w:r>
    </w:p>
    <w:p w14:paraId="66E9B6D0" w14:textId="77777777" w:rsidR="00AA4909" w:rsidRDefault="00AA4909">
      <w:pPr>
        <w:rPr>
          <w:rFonts w:ascii="Times New Roman" w:hAnsi="Times New Roman" w:cs="Times New Roman"/>
          <w:sz w:val="24"/>
          <w:szCs w:val="24"/>
        </w:rPr>
      </w:pPr>
    </w:p>
    <w:p w14:paraId="2F172E58" w14:textId="77777777" w:rsidR="00AA4909" w:rsidRDefault="00AA4909">
      <w:pPr>
        <w:rPr>
          <w:rFonts w:ascii="Times New Roman" w:hAnsi="Times New Roman" w:cs="Times New Roman"/>
          <w:sz w:val="24"/>
          <w:szCs w:val="24"/>
        </w:rPr>
      </w:pPr>
    </w:p>
    <w:p w14:paraId="2759A536"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CASE REPORT  : </w:t>
      </w:r>
    </w:p>
    <w:p w14:paraId="3523C7C8"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History:</w:t>
      </w:r>
      <w:r>
        <w:rPr>
          <w:rFonts w:ascii="Times New Roman" w:hAnsi="Times New Roman" w:cs="Times New Roman"/>
          <w:sz w:val="24"/>
          <w:szCs w:val="24"/>
        </w:rPr>
        <w:t xml:space="preserve"> A 52-year-old woman presented with a complaint of swelling on the left side of the</w:t>
      </w:r>
      <w:r>
        <w:rPr>
          <w:rFonts w:ascii="Times New Roman" w:hAnsi="Times New Roman" w:cs="Times New Roman"/>
          <w:sz w:val="24"/>
          <w:szCs w:val="24"/>
        </w:rPr>
        <w:t xml:space="preserve"> mandible for  6 months. The swelling was insidious in onset, progressively increased in size, and was associated with mild discomfort. The patient had no history of trauma, fever, or significant medical comoridities.</w:t>
      </w:r>
    </w:p>
    <w:p w14:paraId="38B42237"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Clinical examination revealed soft tis</w:t>
      </w:r>
      <w:r>
        <w:rPr>
          <w:rFonts w:ascii="Times New Roman" w:hAnsi="Times New Roman" w:cs="Times New Roman"/>
          <w:sz w:val="24"/>
          <w:szCs w:val="24"/>
        </w:rPr>
        <w:t>sue swelling in the left mandible, extending from the canine  to the anterior border of the ramus. The swelling was firm, non-tender, non-fluctuant, and afebrile. The site was sutured with Vicryl, and the patient presented to our institute with an incision</w:t>
      </w:r>
      <w:r>
        <w:rPr>
          <w:rFonts w:ascii="Times New Roman" w:hAnsi="Times New Roman" w:cs="Times New Roman"/>
          <w:sz w:val="24"/>
          <w:szCs w:val="24"/>
        </w:rPr>
        <w:t>al biopsy report confirming an odontogenic keratocyst (OKC). [Refer fig 4 a]  . CBCT imaging showed a single unilocular well-defined radiolucency with corticated margins showing  an  osteolytic lesion extending anteroposteriorly from the canine to the ante</w:t>
      </w:r>
      <w:r>
        <w:rPr>
          <w:rFonts w:ascii="Times New Roman" w:hAnsi="Times New Roman" w:cs="Times New Roman"/>
          <w:sz w:val="24"/>
          <w:szCs w:val="24"/>
        </w:rPr>
        <w:t>rior border of the ramus (approximately 4–5 cm)  and superoinferiorly from the alveolar crest to the inferior border of the mandible (approximately 3 cm) without any impacted teeth or external resorption of roots involved in the cyst, suggestive of  a kera</w:t>
      </w:r>
      <w:r>
        <w:rPr>
          <w:rFonts w:ascii="Times New Roman" w:hAnsi="Times New Roman" w:cs="Times New Roman"/>
          <w:sz w:val="24"/>
          <w:szCs w:val="24"/>
        </w:rPr>
        <w:t xml:space="preserve">tocystic odontogenic tumor (OKC) on the left side of the mandible, extending from the canine to the anterior ramus. [Refer fig 1,2, 3 ]. </w:t>
      </w:r>
    </w:p>
    <w:p w14:paraId="71917AA9" w14:textId="77777777" w:rsidR="00AA4909" w:rsidRDefault="00AA4909">
      <w:pPr>
        <w:rPr>
          <w:rFonts w:ascii="Times New Roman" w:hAnsi="Times New Roman" w:cs="Times New Roman"/>
          <w:sz w:val="24"/>
          <w:szCs w:val="24"/>
        </w:rPr>
      </w:pPr>
    </w:p>
    <w:p w14:paraId="751B87B3" w14:textId="77777777" w:rsidR="00AA4909" w:rsidRDefault="00812C84">
      <w:pPr>
        <w:jc w:val="center"/>
        <w:rPr>
          <w:rFonts w:ascii="Times New Roman" w:hAnsi="Times New Roman" w:cs="Times New Roman"/>
          <w:sz w:val="24"/>
          <w:szCs w:val="24"/>
        </w:rPr>
      </w:pPr>
      <w:r>
        <w:rPr>
          <w:noProof/>
        </w:rPr>
        <w:drawing>
          <wp:inline distT="0" distB="0" distL="0" distR="0" wp14:anchorId="3FD9C077" wp14:editId="1FB95E83">
            <wp:extent cx="4914900" cy="2057400"/>
            <wp:effectExtent l="0" t="0" r="0" b="0"/>
            <wp:docPr id="7534386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438607" name=""/>
                    <pic:cNvPicPr/>
                  </pic:nvPicPr>
                  <pic:blipFill>
                    <a:blip r:embed="rId8"/>
                    <a:stretch>
                      <a:fillRect/>
                    </a:stretch>
                  </pic:blipFill>
                  <pic:spPr>
                    <a:xfrm>
                      <a:off x="0" y="0"/>
                      <a:ext cx="4914900" cy="2057400"/>
                    </a:xfrm>
                    <a:prstGeom prst="rect">
                      <a:avLst/>
                    </a:prstGeom>
                  </pic:spPr>
                </pic:pic>
              </a:graphicData>
            </a:graphic>
          </wp:inline>
        </w:drawing>
      </w:r>
    </w:p>
    <w:p w14:paraId="3C31C3DB"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1. OPG Showing radiolucency from the canine to the ant br of the ramus anteroposteriorly and superoinferiorly </w:t>
      </w:r>
      <w:r>
        <w:rPr>
          <w:rFonts w:ascii="Times New Roman" w:hAnsi="Times New Roman" w:cs="Times New Roman"/>
          <w:sz w:val="24"/>
          <w:szCs w:val="24"/>
        </w:rPr>
        <w:t>extending from the alveolar crest to the inf border of the mandible.</w:t>
      </w:r>
    </w:p>
    <w:p w14:paraId="5C337CB4" w14:textId="77777777" w:rsidR="00AA4909" w:rsidRDefault="00812C84">
      <w:pPr>
        <w:rPr>
          <w:rFonts w:ascii="Times New Roman" w:hAnsi="Times New Roman" w:cs="Times New Roman"/>
          <w:sz w:val="24"/>
          <w:szCs w:val="24"/>
        </w:rPr>
      </w:pPr>
      <w:r>
        <w:rPr>
          <w:noProof/>
        </w:rPr>
        <w:lastRenderedPageBreak/>
        <w:drawing>
          <wp:inline distT="0" distB="0" distL="0" distR="0" wp14:anchorId="256B93CB" wp14:editId="2B11A22C">
            <wp:extent cx="5943600" cy="2453640"/>
            <wp:effectExtent l="0" t="0" r="0" b="3810"/>
            <wp:docPr id="19925274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27400" name=""/>
                    <pic:cNvPicPr/>
                  </pic:nvPicPr>
                  <pic:blipFill>
                    <a:blip r:embed="rId9"/>
                    <a:stretch>
                      <a:fillRect/>
                    </a:stretch>
                  </pic:blipFill>
                  <pic:spPr>
                    <a:xfrm>
                      <a:off x="0" y="0"/>
                      <a:ext cx="5943600" cy="2453640"/>
                    </a:xfrm>
                    <a:prstGeom prst="rect">
                      <a:avLst/>
                    </a:prstGeom>
                  </pic:spPr>
                </pic:pic>
              </a:graphicData>
            </a:graphic>
          </wp:inline>
        </w:drawing>
      </w:r>
    </w:p>
    <w:p w14:paraId="3E43DE8E"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2 (a) CBCT axial view  showing expansion of buccal corticle plate with unilocular radilucency extending anteroposteriorly from premolar zone to ant border of ramus 77 mmx24mm showin</w:t>
      </w:r>
      <w:r>
        <w:rPr>
          <w:rFonts w:ascii="Times New Roman" w:hAnsi="Times New Roman" w:cs="Times New Roman"/>
          <w:sz w:val="24"/>
          <w:szCs w:val="24"/>
        </w:rPr>
        <w:t>g expansion buccal and lingual corticle plate  (b) sagittal section showing approximate size of lesion: 77 mm × 43 mm × 24 mm.</w:t>
      </w:r>
    </w:p>
    <w:p w14:paraId="4CBDCD45" w14:textId="77777777" w:rsidR="00AA4909" w:rsidRDefault="00AA4909">
      <w:pPr>
        <w:jc w:val="center"/>
        <w:rPr>
          <w:rFonts w:ascii="Times New Roman" w:hAnsi="Times New Roman" w:cs="Times New Roman"/>
          <w:sz w:val="24"/>
          <w:szCs w:val="24"/>
        </w:rPr>
      </w:pPr>
    </w:p>
    <w:p w14:paraId="2878A82F" w14:textId="77777777" w:rsidR="00AA4909" w:rsidRDefault="00812C84">
      <w:pPr>
        <w:jc w:val="center"/>
        <w:rPr>
          <w:rFonts w:ascii="Times New Roman" w:hAnsi="Times New Roman" w:cs="Times New Roman"/>
          <w:sz w:val="24"/>
          <w:szCs w:val="24"/>
        </w:rPr>
      </w:pPr>
      <w:r>
        <w:rPr>
          <w:noProof/>
        </w:rPr>
        <w:drawing>
          <wp:inline distT="0" distB="0" distL="0" distR="0" wp14:anchorId="5E873A24" wp14:editId="04CE4DD9">
            <wp:extent cx="4857750" cy="4248150"/>
            <wp:effectExtent l="0" t="0" r="0" b="0"/>
            <wp:docPr id="66434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41237" name=""/>
                    <pic:cNvPicPr/>
                  </pic:nvPicPr>
                  <pic:blipFill>
                    <a:blip r:embed="rId10"/>
                    <a:stretch>
                      <a:fillRect/>
                    </a:stretch>
                  </pic:blipFill>
                  <pic:spPr>
                    <a:xfrm>
                      <a:off x="0" y="0"/>
                      <a:ext cx="4857750" cy="4248150"/>
                    </a:xfrm>
                    <a:prstGeom prst="rect">
                      <a:avLst/>
                    </a:prstGeom>
                  </pic:spPr>
                </pic:pic>
              </a:graphicData>
            </a:graphic>
          </wp:inline>
        </w:drawing>
      </w:r>
    </w:p>
    <w:p w14:paraId="37D8DDEE"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lastRenderedPageBreak/>
        <w:t>Fig 3 : CBCT showing osteolytic lession , without resorption of Buccal cortical plate</w:t>
      </w:r>
    </w:p>
    <w:p w14:paraId="15C6B88C" w14:textId="77777777" w:rsidR="00AA4909" w:rsidRDefault="00AA4909">
      <w:pPr>
        <w:jc w:val="center"/>
        <w:rPr>
          <w:rFonts w:ascii="Times New Roman" w:hAnsi="Times New Roman" w:cs="Times New Roman"/>
          <w:sz w:val="24"/>
          <w:szCs w:val="24"/>
        </w:rPr>
      </w:pPr>
    </w:p>
    <w:p w14:paraId="03A2987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A provisional diagnosis of OKC was made</w:t>
      </w:r>
      <w:r>
        <w:rPr>
          <w:rFonts w:ascii="Times New Roman" w:hAnsi="Times New Roman" w:cs="Times New Roman"/>
          <w:sz w:val="24"/>
          <w:szCs w:val="24"/>
        </w:rPr>
        <w:t xml:space="preserve"> based on the available clinical and radiographic findings. Depending on the clinical scenario, surgical enucleation with chemical quarterization using 5 FU was planned. </w:t>
      </w:r>
    </w:p>
    <w:p w14:paraId="3051FCFF" w14:textId="5887116B" w:rsidR="008E04E2" w:rsidRDefault="008E04E2">
      <w:pPr>
        <w:rPr>
          <w:rFonts w:ascii="Times New Roman" w:hAnsi="Times New Roman" w:cs="Times New Roman"/>
          <w:sz w:val="24"/>
          <w:szCs w:val="24"/>
        </w:rPr>
      </w:pPr>
      <w:r>
        <w:rPr>
          <w:rFonts w:ascii="Times New Roman" w:hAnsi="Times New Roman" w:cs="Times New Roman"/>
          <w:sz w:val="24"/>
          <w:szCs w:val="24"/>
        </w:rPr>
        <w:t>I</w:t>
      </w:r>
      <w:r w:rsidRPr="008E04E2">
        <w:rPr>
          <w:rFonts w:ascii="Times New Roman" w:hAnsi="Times New Roman" w:cs="Times New Roman"/>
          <w:sz w:val="24"/>
          <w:szCs w:val="24"/>
        </w:rPr>
        <w:t>nformed written consent was obtained from the patient prior to the surgical procedure, including consent for clinical photography and publication of the case details.</w:t>
      </w:r>
    </w:p>
    <w:p w14:paraId="0FC0039F"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Surgical Procedure:</w:t>
      </w:r>
      <w:r>
        <w:rPr>
          <w:rFonts w:ascii="Times New Roman" w:hAnsi="Times New Roman" w:cs="Times New Roman"/>
          <w:sz w:val="24"/>
          <w:szCs w:val="24"/>
        </w:rPr>
        <w:t xml:space="preserve"> Under general anesthesia, an intraoral approach was used to access the lesion. An intraoral incision was made from the canine to the anterior border of t</w:t>
      </w:r>
      <w:r>
        <w:rPr>
          <w:rFonts w:ascii="Times New Roman" w:hAnsi="Times New Roman" w:cs="Times New Roman"/>
          <w:sz w:val="24"/>
          <w:szCs w:val="24"/>
        </w:rPr>
        <w:t>he ramus, the full-thickness mucoperiosteal flap was reflected, and lateral corticotomy was performed to access the cystic cavity.  The cyst was carefully enucleated, ensuring the complete removal of the cystic lining. Extraction of 38.37,36 done and the o</w:t>
      </w:r>
      <w:r>
        <w:rPr>
          <w:rFonts w:ascii="Times New Roman" w:hAnsi="Times New Roman" w:cs="Times New Roman"/>
          <w:sz w:val="24"/>
          <w:szCs w:val="24"/>
        </w:rPr>
        <w:t>ffending bone was removed using a bur. Thorough irrigation with Betadine and Inj metrogyl was performed.  Chemical cauterization with 5-FU was performed by topical application of gauze soaked in 5 FU paste. The gauze was packed in the cystic cavity to targ</w:t>
      </w:r>
      <w:r>
        <w:rPr>
          <w:rFonts w:ascii="Times New Roman" w:hAnsi="Times New Roman" w:cs="Times New Roman"/>
          <w:sz w:val="24"/>
          <w:szCs w:val="24"/>
        </w:rPr>
        <w:t>et any residual epithelial cells for 24 h. Closure was performed with 3.0 mersilk, and the distal end of the guage was kept open in the buccal vestibule, corresponding to 33. [Refer fig.4,5,6]. The  cystic lining was enucleated and sent for histopathologic</w:t>
      </w:r>
      <w:r>
        <w:rPr>
          <w:rFonts w:ascii="Times New Roman" w:hAnsi="Times New Roman" w:cs="Times New Roman"/>
          <w:sz w:val="24"/>
          <w:szCs w:val="24"/>
        </w:rPr>
        <w:t>al analysis. [Refer Fig 7 a,b]. Histopathological examination confirmed the diagnosis of OKC. [Refer fig 7 c]</w:t>
      </w:r>
    </w:p>
    <w:p w14:paraId="54579DF0" w14:textId="77777777" w:rsidR="00AA4909" w:rsidRDefault="00AA4909">
      <w:pPr>
        <w:rPr>
          <w:rFonts w:ascii="Times New Roman" w:hAnsi="Times New Roman" w:cs="Times New Roman"/>
          <w:sz w:val="24"/>
          <w:szCs w:val="24"/>
        </w:rPr>
      </w:pPr>
    </w:p>
    <w:p w14:paraId="4052DC59" w14:textId="77777777" w:rsidR="00AA4909" w:rsidRDefault="00812C84">
      <w:pPr>
        <w:rPr>
          <w:rFonts w:ascii="Times New Roman" w:hAnsi="Times New Roman" w:cs="Times New Roman"/>
          <w:sz w:val="24"/>
          <w:szCs w:val="24"/>
        </w:rPr>
      </w:pPr>
      <w:r>
        <w:rPr>
          <w:noProof/>
        </w:rPr>
        <w:drawing>
          <wp:inline distT="0" distB="0" distL="0" distR="0" wp14:anchorId="798D3E58" wp14:editId="3A9D9EDE">
            <wp:extent cx="5943600" cy="3013710"/>
            <wp:effectExtent l="0" t="0" r="0" b="0"/>
            <wp:docPr id="7260993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099361" name=""/>
                    <pic:cNvPicPr/>
                  </pic:nvPicPr>
                  <pic:blipFill>
                    <a:blip r:embed="rId11"/>
                    <a:stretch>
                      <a:fillRect/>
                    </a:stretch>
                  </pic:blipFill>
                  <pic:spPr>
                    <a:xfrm>
                      <a:off x="0" y="0"/>
                      <a:ext cx="5943600" cy="3013710"/>
                    </a:xfrm>
                    <a:prstGeom prst="rect">
                      <a:avLst/>
                    </a:prstGeom>
                  </pic:spPr>
                </pic:pic>
              </a:graphicData>
            </a:graphic>
          </wp:inline>
        </w:drawing>
      </w:r>
    </w:p>
    <w:p w14:paraId="45DC2C35"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4  (a) Preoperative photograph ; (b) Incision taken from the canine to the anterior border of the ramus, refection of the full-thickness </w:t>
      </w:r>
      <w:r>
        <w:rPr>
          <w:rFonts w:ascii="Times New Roman" w:hAnsi="Times New Roman" w:cs="Times New Roman"/>
          <w:sz w:val="24"/>
          <w:szCs w:val="24"/>
        </w:rPr>
        <w:t>mucoperiosteal flap, and expansion of the buccal cortical plate can be appreciated.</w:t>
      </w:r>
    </w:p>
    <w:p w14:paraId="2A98B9FB" w14:textId="77777777" w:rsidR="00AA4909" w:rsidRDefault="00AA4909">
      <w:pPr>
        <w:jc w:val="center"/>
        <w:rPr>
          <w:rFonts w:ascii="Times New Roman" w:hAnsi="Times New Roman" w:cs="Times New Roman"/>
          <w:sz w:val="24"/>
          <w:szCs w:val="24"/>
        </w:rPr>
      </w:pPr>
    </w:p>
    <w:p w14:paraId="4023AC06" w14:textId="77777777" w:rsidR="00AA4909" w:rsidRDefault="00812C84">
      <w:pPr>
        <w:jc w:val="center"/>
        <w:rPr>
          <w:rFonts w:ascii="Times New Roman" w:hAnsi="Times New Roman" w:cs="Times New Roman"/>
          <w:sz w:val="24"/>
          <w:szCs w:val="24"/>
        </w:rPr>
      </w:pPr>
      <w:r>
        <w:rPr>
          <w:noProof/>
        </w:rPr>
        <w:lastRenderedPageBreak/>
        <w:drawing>
          <wp:inline distT="0" distB="0" distL="0" distR="0" wp14:anchorId="4BE48FE0" wp14:editId="1A706D6D">
            <wp:extent cx="5943600" cy="3227070"/>
            <wp:effectExtent l="0" t="0" r="0" b="0"/>
            <wp:docPr id="9110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0096" name=""/>
                    <pic:cNvPicPr/>
                  </pic:nvPicPr>
                  <pic:blipFill>
                    <a:blip r:embed="rId12"/>
                    <a:stretch>
                      <a:fillRect/>
                    </a:stretch>
                  </pic:blipFill>
                  <pic:spPr>
                    <a:xfrm>
                      <a:off x="0" y="0"/>
                      <a:ext cx="5943600" cy="3227070"/>
                    </a:xfrm>
                    <a:prstGeom prst="rect">
                      <a:avLst/>
                    </a:prstGeom>
                  </pic:spPr>
                </pic:pic>
              </a:graphicData>
            </a:graphic>
          </wp:inline>
        </w:drawing>
      </w:r>
    </w:p>
    <w:p w14:paraId="338B33DA"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5 (a)  Lateral corticotomy performed with enucleation of the cystic lining. (b) extraction of 38,37,36 . performed along with the removal of the affected bone.</w:t>
      </w:r>
    </w:p>
    <w:p w14:paraId="7E510B95" w14:textId="77777777" w:rsidR="00AA4909" w:rsidRDefault="00AA4909">
      <w:pPr>
        <w:jc w:val="center"/>
        <w:rPr>
          <w:rFonts w:ascii="Times New Roman" w:hAnsi="Times New Roman" w:cs="Times New Roman"/>
          <w:sz w:val="24"/>
          <w:szCs w:val="24"/>
        </w:rPr>
      </w:pPr>
    </w:p>
    <w:p w14:paraId="063647B9"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1" locked="0" layoutInCell="1" allowOverlap="1" wp14:anchorId="6622BB66" wp14:editId="5D7C18DC">
            <wp:simplePos x="0" y="0"/>
            <wp:positionH relativeFrom="column">
              <wp:posOffset>3368040</wp:posOffset>
            </wp:positionH>
            <wp:positionV relativeFrom="paragraph">
              <wp:posOffset>28575</wp:posOffset>
            </wp:positionV>
            <wp:extent cx="2560955" cy="2354580"/>
            <wp:effectExtent l="0" t="0" r="0" b="7620"/>
            <wp:wrapTight wrapText="bothSides">
              <wp:wrapPolygon edited="0">
                <wp:start x="0" y="0"/>
                <wp:lineTo x="0" y="21495"/>
                <wp:lineTo x="21370" y="21495"/>
                <wp:lineTo x="21370" y="0"/>
                <wp:lineTo x="0" y="0"/>
              </wp:wrapPolygon>
            </wp:wrapTight>
            <wp:docPr id="93243585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682" r="9203" b="7467"/>
                    <a:stretch/>
                  </pic:blipFill>
                  <pic:spPr bwMode="auto">
                    <a:xfrm>
                      <a:off x="0" y="0"/>
                      <a:ext cx="2560955" cy="2354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inline distT="0" distB="0" distL="0" distR="0" wp14:anchorId="7CD2A3D5" wp14:editId="37E42282">
            <wp:extent cx="2404439" cy="3043282"/>
            <wp:effectExtent l="4445" t="0" r="635" b="635"/>
            <wp:docPr id="175158316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477" r="13131"/>
                    <a:stretch/>
                  </pic:blipFill>
                  <pic:spPr bwMode="auto">
                    <a:xfrm rot="16200000">
                      <a:off x="0" y="0"/>
                      <a:ext cx="2446222" cy="309616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Times New Roman" w:hAnsi="Times New Roman" w:cs="Times New Roman"/>
          <w:kern w:val="0"/>
          <w:sz w:val="24"/>
          <w:szCs w:val="24"/>
          <w14:ligatures w14:val="none"/>
        </w:rPr>
        <w:t xml:space="preserve"> </w:t>
      </w:r>
    </w:p>
    <w:p w14:paraId="6B6A2998" w14:textId="77777777" w:rsidR="00AA4909" w:rsidRDefault="00812C84">
      <w:pPr>
        <w:pStyle w:val="ListParagraph"/>
        <w:numPr>
          <w:ilvl w:val="0"/>
          <w:numId w:val="8"/>
        </w:numPr>
        <w:rPr>
          <w:rFonts w:ascii="Times New Roman" w:hAnsi="Times New Roman" w:cs="Times New Roman"/>
          <w:sz w:val="24"/>
          <w:szCs w:val="24"/>
        </w:rPr>
      </w:pPr>
      <w:r>
        <w:rPr>
          <w:rFonts w:ascii="Times New Roman" w:hAnsi="Times New Roman" w:cs="Times New Roman"/>
          <w:sz w:val="24"/>
          <w:szCs w:val="24"/>
        </w:rPr>
        <w:t xml:space="preserve">                                                                    (b) </w:t>
      </w:r>
    </w:p>
    <w:p w14:paraId="62CA9E8F"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6  Chemical quaternization performed with gauze impregnated with 5 FU paste kept in the cystic cavity. (b) gauze impregnated with 5 FU paste</w:t>
      </w:r>
    </w:p>
    <w:p w14:paraId="1231B4FC" w14:textId="77777777" w:rsidR="00AA4909" w:rsidRDefault="00AA4909">
      <w:pPr>
        <w:rPr>
          <w:rFonts w:ascii="Times New Roman" w:hAnsi="Times New Roman" w:cs="Times New Roman"/>
          <w:sz w:val="24"/>
          <w:szCs w:val="24"/>
        </w:rPr>
      </w:pPr>
    </w:p>
    <w:p w14:paraId="17F8E3A4" w14:textId="77777777" w:rsidR="00AA4909" w:rsidRDefault="00AA4909">
      <w:pPr>
        <w:rPr>
          <w:rFonts w:ascii="Times New Roman" w:hAnsi="Times New Roman" w:cs="Times New Roman"/>
          <w:sz w:val="24"/>
          <w:szCs w:val="24"/>
        </w:rPr>
      </w:pPr>
    </w:p>
    <w:p w14:paraId="4241D7FB"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2576" behindDoc="1" locked="0" layoutInCell="1" allowOverlap="1" wp14:anchorId="460CA014" wp14:editId="39F88957">
            <wp:simplePos x="0" y="0"/>
            <wp:positionH relativeFrom="column">
              <wp:posOffset>3214370</wp:posOffset>
            </wp:positionH>
            <wp:positionV relativeFrom="paragraph">
              <wp:posOffset>-1008380</wp:posOffset>
            </wp:positionV>
            <wp:extent cx="1844675" cy="3862070"/>
            <wp:effectExtent l="953" t="0" r="4127" b="4128"/>
            <wp:wrapTight wrapText="bothSides">
              <wp:wrapPolygon edited="0">
                <wp:start x="21589" y="-5"/>
                <wp:lineTo x="175" y="-5"/>
                <wp:lineTo x="175" y="21517"/>
                <wp:lineTo x="21589" y="21517"/>
                <wp:lineTo x="21589" y="-5"/>
              </wp:wrapPolygon>
            </wp:wrapTight>
            <wp:docPr id="110317139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2693" t="961" r="14231"/>
                    <a:stretch/>
                  </pic:blipFill>
                  <pic:spPr bwMode="auto">
                    <a:xfrm rot="16200000" flipH="1">
                      <a:off x="0" y="0"/>
                      <a:ext cx="1844675" cy="386207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14:anchorId="7EB5D416" wp14:editId="20964675">
            <wp:extent cx="1914216" cy="1851660"/>
            <wp:effectExtent l="0" t="0" r="0" b="0"/>
            <wp:docPr id="127998869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9524" b="17927"/>
                    <a:stretch/>
                  </pic:blipFill>
                  <pic:spPr bwMode="auto">
                    <a:xfrm>
                      <a:off x="0" y="0"/>
                      <a:ext cx="1917568" cy="1854902"/>
                    </a:xfrm>
                    <a:prstGeom prst="rect">
                      <a:avLst/>
                    </a:prstGeom>
                    <a:noFill/>
                    <a:ln>
                      <a:noFill/>
                    </a:ln>
                    <a:extLst>
                      <a:ext uri="{53640926-AAD7-44D8-BBD7-CCE9431645EC}">
                        <a14:shadowObscured xmlns:a14="http://schemas.microsoft.com/office/drawing/2010/main"/>
                      </a:ext>
                    </a:extLst>
                  </pic:spPr>
                </pic:pic>
              </a:graphicData>
            </a:graphic>
          </wp:inline>
        </w:drawing>
      </w:r>
    </w:p>
    <w:p w14:paraId="73078402" w14:textId="77777777" w:rsidR="00AA4909" w:rsidRDefault="00812C84">
      <w:pPr>
        <w:pStyle w:val="ListParagraph"/>
        <w:numPr>
          <w:ilvl w:val="0"/>
          <w:numId w:val="15"/>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(b)   </w:t>
      </w:r>
    </w:p>
    <w:p w14:paraId="02603A0A"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Fig 7 (a) , (b) Specimen showing Chessy white aspirate along with cystic lining send for histopathological examination </w:t>
      </w:r>
    </w:p>
    <w:p w14:paraId="409F481B" w14:textId="77777777" w:rsidR="00AA4909" w:rsidRDefault="00AA4909">
      <w:pPr>
        <w:rPr>
          <w:rFonts w:ascii="Times New Roman" w:hAnsi="Times New Roman" w:cs="Times New Roman"/>
          <w:sz w:val="24"/>
          <w:szCs w:val="24"/>
        </w:rPr>
      </w:pPr>
    </w:p>
    <w:p w14:paraId="399E0FAC" w14:textId="77777777" w:rsidR="00AA4909" w:rsidRDefault="00812C84">
      <w:pPr>
        <w:jc w:val="center"/>
        <w:rPr>
          <w:rFonts w:ascii="Times New Roman" w:hAnsi="Times New Roman" w:cs="Times New Roman"/>
          <w:sz w:val="24"/>
          <w:szCs w:val="24"/>
        </w:rPr>
      </w:pPr>
      <w:r>
        <w:rPr>
          <w:rFonts w:ascii="Times New Roman" w:hAnsi="Times New Roman" w:cs="Times New Roman"/>
          <w:noProof/>
          <w:sz w:val="24"/>
          <w:szCs w:val="24"/>
        </w:rPr>
        <w:lastRenderedPageBreak/>
        <mc:AlternateContent>
          <mc:Choice Requires="wpi">
            <w:drawing>
              <wp:anchor distT="0" distB="0" distL="114300" distR="114300" simplePos="0" relativeHeight="251679744" behindDoc="0" locked="0" layoutInCell="1" allowOverlap="1" wp14:anchorId="4019B0B9" wp14:editId="349D8838">
                <wp:simplePos x="0" y="0"/>
                <wp:positionH relativeFrom="column">
                  <wp:posOffset>1957705</wp:posOffset>
                </wp:positionH>
                <wp:positionV relativeFrom="paragraph">
                  <wp:posOffset>1241425</wp:posOffset>
                </wp:positionV>
                <wp:extent cx="396240" cy="635"/>
                <wp:effectExtent l="57150" t="57150" r="41910" b="56515"/>
                <wp:wrapNone/>
                <wp:docPr id="2115054911" name="Ink 8"/>
                <wp:cNvGraphicFramePr/>
                <a:graphic xmlns:a="http://schemas.openxmlformats.org/drawingml/2006/main">
                  <a:graphicData uri="http://schemas.microsoft.com/office/word/2010/wordprocessingInk">
                    <w14:contentPart bwMode="auto" r:id="rId17">
                      <w14:nvContentPartPr>
                        <w14:cNvContentPartPr/>
                      </w14:nvContentPartPr>
                      <w14:xfrm>
                        <a:off x="0" y="0"/>
                        <a:ext cx="396240"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6EEDCB7A"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 o:spid="_x0000_s1026" type="#_x0000_t75" style="position:absolute;margin-left:153.45pt;margin-top:96.5pt;width:32.6pt;height: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">
                <v:imagedata r:id="rId22"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7696" behindDoc="0" locked="0" layoutInCell="1" allowOverlap="1" wp14:anchorId="1A7F8C1C" wp14:editId="2A2ED7C1">
                <wp:simplePos x="0" y="0"/>
                <wp:positionH relativeFrom="column">
                  <wp:posOffset>1948800</wp:posOffset>
                </wp:positionH>
                <wp:positionV relativeFrom="paragraph">
                  <wp:posOffset>1219200</wp:posOffset>
                </wp:positionV>
                <wp:extent cx="420840" cy="67320"/>
                <wp:effectExtent l="57150" t="57150" r="55880" b="46990"/>
                <wp:wrapNone/>
                <wp:docPr id="2077104666" name="Ink 4"/>
                <wp:cNvGraphicFramePr/>
                <a:graphic xmlns:a="http://schemas.openxmlformats.org/drawingml/2006/main">
                  <a:graphicData uri="http://schemas.microsoft.com/office/word/2010/wordprocessingInk">
                    <w14:contentPart bwMode="auto" r:id="rId23">
                      <w14:nvContentPartPr>
                        <w14:cNvContentPartPr/>
                      </w14:nvContentPartPr>
                      <w14:xfrm>
                        <a:off x="0" y="0"/>
                        <a:ext cx="420840" cy="67320"/>
                      </w14:xfrm>
                    </w14:contentPart>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40F6D21" id="Ink 4" o:spid="_x0000_s1026" type="#_x0000_t75" style="position:absolute;margin-left:152.75pt;margin-top:95.3pt;width:34.6pt;height:6.7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">
                <v:imagedata r:id="rId24" o:title=""/>
              </v:shape>
            </w:pict>
          </mc:Fallback>
        </mc:AlternateContent>
      </w:r>
      <w:r>
        <w:rPr>
          <w:rFonts w:ascii="Times New Roman" w:hAnsi="Times New Roman" w:cs="Times New Roman"/>
          <w:noProof/>
          <w:sz w:val="24"/>
          <w:szCs w:val="24"/>
        </w:rPr>
        <mc:AlternateContent>
          <mc:Choice Requires="wpi">
            <w:drawing>
              <wp:anchor distT="0" distB="0" distL="114300" distR="114300" simplePos="0" relativeHeight="251675648" behindDoc="0" locked="0" layoutInCell="1" allowOverlap="1" wp14:anchorId="6217C8D3" wp14:editId="45802BF5">
                <wp:simplePos x="0" y="0"/>
                <wp:positionH relativeFrom="column">
                  <wp:posOffset>1934845</wp:posOffset>
                </wp:positionH>
                <wp:positionV relativeFrom="paragraph">
                  <wp:posOffset>1203325</wp:posOffset>
                </wp:positionV>
                <wp:extent cx="457835" cy="635"/>
                <wp:effectExtent l="57150" t="57150" r="56515" b="56515"/>
                <wp:wrapNone/>
                <wp:docPr id="1599271803" name="Ink 2"/>
                <wp:cNvGraphicFramePr/>
                <a:graphic xmlns:a="http://schemas.openxmlformats.org/drawingml/2006/main">
                  <a:graphicData uri="http://schemas.microsoft.com/office/word/2010/wordprocessingInk">
                    <w14:contentPart bwMode="auto" r:id="rId25">
                      <w14:nvContentPartPr>
                        <w14:cNvContentPartPr/>
                      </w14:nvContentPartPr>
                      <w14:xfrm>
                        <a:off x="0" y="0"/>
                        <a:ext cx="457835" cy="635"/>
                      </w14:xfrm>
                    </w14:contentPart>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9A3CA97" id="Ink 2" o:spid="_x0000_s1026" type="#_x0000_t75" style="position:absolute;margin-left:151.65pt;margin-top:93.5pt;width:37.45pt;height: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">
                <v:imagedata r:id="rId26" o:title=""/>
              </v:shape>
            </w:pict>
          </mc:Fallback>
        </mc:AlternateContent>
      </w:r>
      <w:r>
        <w:rPr>
          <w:rFonts w:ascii="Times New Roman" w:hAnsi="Times New Roman" w:cs="Times New Roman"/>
          <w:noProof/>
          <w:sz w:val="24"/>
          <w:szCs w:val="24"/>
        </w:rPr>
        <w:drawing>
          <wp:inline distT="0" distB="0" distL="0" distR="0" wp14:anchorId="61231FA8" wp14:editId="1B825F14">
            <wp:extent cx="3696020" cy="5273497"/>
            <wp:effectExtent l="0" t="0" r="0" b="3810"/>
            <wp:docPr id="5862092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668686" name=""/>
                    <pic:cNvPicPr/>
                  </pic:nvPicPr>
                  <pic:blipFill>
                    <a:blip r:embed="rId27"/>
                    <a:stretch>
                      <a:fillRect/>
                    </a:stretch>
                  </pic:blipFill>
                  <pic:spPr>
                    <a:xfrm>
                      <a:off x="0" y="0"/>
                      <a:ext cx="3696020" cy="5273497"/>
                    </a:xfrm>
                    <a:prstGeom prst="rect">
                      <a:avLst/>
                    </a:prstGeom>
                  </pic:spPr>
                </pic:pic>
              </a:graphicData>
            </a:graphic>
          </wp:inline>
        </w:drawing>
      </w:r>
    </w:p>
    <w:p w14:paraId="7FCC1E7C" w14:textId="77777777" w:rsidR="00AA4909" w:rsidRDefault="00AA4909">
      <w:pPr>
        <w:rPr>
          <w:rFonts w:ascii="Times New Roman" w:hAnsi="Times New Roman" w:cs="Times New Roman"/>
          <w:sz w:val="24"/>
          <w:szCs w:val="24"/>
        </w:rPr>
      </w:pPr>
    </w:p>
    <w:p w14:paraId="54BA758E"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7 (c) Histopathological reports with final diagnosis as </w:t>
      </w:r>
      <w:r>
        <w:rPr>
          <w:rFonts w:ascii="Times New Roman" w:hAnsi="Times New Roman" w:cs="Times New Roman"/>
          <w:sz w:val="24"/>
          <w:szCs w:val="24"/>
        </w:rPr>
        <w:t xml:space="preserve">OKC </w:t>
      </w:r>
    </w:p>
    <w:p w14:paraId="103CA1D4" w14:textId="77777777" w:rsidR="00AA4909" w:rsidRDefault="00AA4909">
      <w:pPr>
        <w:rPr>
          <w:rFonts w:ascii="Times New Roman" w:hAnsi="Times New Roman" w:cs="Times New Roman"/>
          <w:sz w:val="24"/>
          <w:szCs w:val="24"/>
        </w:rPr>
      </w:pPr>
    </w:p>
    <w:p w14:paraId="0119024F" w14:textId="77777777" w:rsidR="00AA4909" w:rsidRDefault="00AA4909">
      <w:pPr>
        <w:rPr>
          <w:rFonts w:ascii="Times New Roman" w:hAnsi="Times New Roman" w:cs="Times New Roman"/>
          <w:sz w:val="24"/>
          <w:szCs w:val="24"/>
        </w:rPr>
      </w:pPr>
    </w:p>
    <w:p w14:paraId="377A3E55" w14:textId="77777777" w:rsidR="00AA4909" w:rsidRDefault="00AA4909">
      <w:pPr>
        <w:rPr>
          <w:rFonts w:ascii="Times New Roman" w:hAnsi="Times New Roman" w:cs="Times New Roman"/>
          <w:sz w:val="24"/>
          <w:szCs w:val="24"/>
        </w:rPr>
      </w:pPr>
    </w:p>
    <w:p w14:paraId="67B60E1B" w14:textId="77777777" w:rsidR="00AA4909" w:rsidRDefault="00AA4909">
      <w:pPr>
        <w:rPr>
          <w:rFonts w:ascii="Times New Roman" w:hAnsi="Times New Roman" w:cs="Times New Roman"/>
          <w:sz w:val="24"/>
          <w:szCs w:val="24"/>
        </w:rPr>
      </w:pPr>
    </w:p>
    <w:p w14:paraId="4E481533" w14:textId="77777777" w:rsidR="00AA4909" w:rsidRDefault="00AA4909">
      <w:pPr>
        <w:rPr>
          <w:rFonts w:ascii="Times New Roman" w:hAnsi="Times New Roman" w:cs="Times New Roman"/>
          <w:sz w:val="24"/>
          <w:szCs w:val="24"/>
        </w:rPr>
      </w:pPr>
    </w:p>
    <w:p w14:paraId="3E6214E0" w14:textId="77777777" w:rsidR="00AA4909" w:rsidRDefault="00AA4909">
      <w:pPr>
        <w:rPr>
          <w:rFonts w:ascii="Times New Roman" w:hAnsi="Times New Roman" w:cs="Times New Roman"/>
          <w:sz w:val="24"/>
          <w:szCs w:val="24"/>
        </w:rPr>
      </w:pPr>
    </w:p>
    <w:p w14:paraId="53C7BCED" w14:textId="77777777" w:rsidR="00AA4909" w:rsidRDefault="00AA4909">
      <w:pPr>
        <w:rPr>
          <w:rFonts w:ascii="Times New Roman" w:hAnsi="Times New Roman" w:cs="Times New Roman"/>
          <w:sz w:val="24"/>
          <w:szCs w:val="24"/>
        </w:rPr>
      </w:pPr>
    </w:p>
    <w:p w14:paraId="30A7AAFD"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 xml:space="preserve">After 24 h, the gauze impregnated with 5 FU was removed, and the cavity was cleaned and irrigated with Betadine and saline. Primary closure was achieved using 3.0 mer silk.[Refer Fig 8, a ] Patients were followed up at 48 h intervals. </w:t>
      </w:r>
    </w:p>
    <w:p w14:paraId="2B576C0D"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After 15</w:t>
      </w:r>
      <w:r>
        <w:rPr>
          <w:rFonts w:ascii="Times New Roman" w:hAnsi="Times New Roman" w:cs="Times New Roman"/>
          <w:sz w:val="24"/>
          <w:szCs w:val="24"/>
        </w:rPr>
        <w:t xml:space="preserve"> days, postoperative dehiscence was noted in the retromolar region, measuring approximately 3 × 3 cm. [Refer fig 8 b ] Since the tissue was devoid of the underlying periosteum, even after undermining and closing the flap again, dehiscences remained in the </w:t>
      </w:r>
      <w:r>
        <w:rPr>
          <w:rFonts w:ascii="Times New Roman" w:hAnsi="Times New Roman" w:cs="Times New Roman"/>
          <w:sz w:val="24"/>
          <w:szCs w:val="24"/>
        </w:rPr>
        <w:t>retromolar retromolar triangle (RMT) region. Therefore, Reconstruction using a nasolabial flap to ensure both functional and aesthetic restoration was planned.[Refer fig 9 a ]</w:t>
      </w:r>
    </w:p>
    <w:p w14:paraId="53D8F4C8" w14:textId="77777777" w:rsidR="00AA4909" w:rsidRDefault="00AA4909">
      <w:pPr>
        <w:rPr>
          <w:rFonts w:ascii="Times New Roman" w:hAnsi="Times New Roman" w:cs="Times New Roman"/>
          <w:sz w:val="24"/>
          <w:szCs w:val="24"/>
        </w:rPr>
      </w:pPr>
    </w:p>
    <w:p w14:paraId="45337020" w14:textId="77777777" w:rsidR="00AA4909" w:rsidRDefault="00812C84">
      <w:pPr>
        <w:rPr>
          <w:rFonts w:ascii="Times New Roman" w:hAnsi="Times New Roman" w:cs="Times New Roman"/>
          <w:sz w:val="24"/>
          <w:szCs w:val="24"/>
        </w:rPr>
      </w:pPr>
      <w:r>
        <w:rPr>
          <w:noProof/>
        </w:rPr>
        <w:drawing>
          <wp:inline distT="0" distB="0" distL="0" distR="0" wp14:anchorId="73863D15" wp14:editId="7FE23F05">
            <wp:extent cx="5943600" cy="2457450"/>
            <wp:effectExtent l="0" t="0" r="0" b="0"/>
            <wp:docPr id="6058648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5864804" name=""/>
                    <pic:cNvPicPr/>
                  </pic:nvPicPr>
                  <pic:blipFill>
                    <a:blip r:embed="rId28"/>
                    <a:stretch>
                      <a:fillRect/>
                    </a:stretch>
                  </pic:blipFill>
                  <pic:spPr>
                    <a:xfrm>
                      <a:off x="0" y="0"/>
                      <a:ext cx="5943600" cy="2457450"/>
                    </a:xfrm>
                    <a:prstGeom prst="rect">
                      <a:avLst/>
                    </a:prstGeom>
                  </pic:spPr>
                </pic:pic>
              </a:graphicData>
            </a:graphic>
          </wp:inline>
        </w:drawing>
      </w:r>
    </w:p>
    <w:p w14:paraId="616162CD"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 xml:space="preserve">Fig 8 (a)  Primary closure performed  after removal of the gauze. (b) </w:t>
      </w:r>
      <w:r>
        <w:rPr>
          <w:rFonts w:ascii="Times New Roman" w:hAnsi="Times New Roman" w:cs="Times New Roman"/>
          <w:sz w:val="24"/>
          <w:szCs w:val="24"/>
        </w:rPr>
        <w:t>Postoperative dehiscence after 10 days.</w:t>
      </w:r>
    </w:p>
    <w:p w14:paraId="701830E1" w14:textId="77777777" w:rsidR="00AA4909" w:rsidRDefault="00AA4909">
      <w:pPr>
        <w:jc w:val="center"/>
        <w:rPr>
          <w:rFonts w:ascii="Times New Roman" w:hAnsi="Times New Roman" w:cs="Times New Roman"/>
          <w:sz w:val="24"/>
          <w:szCs w:val="24"/>
        </w:rPr>
      </w:pPr>
    </w:p>
    <w:p w14:paraId="6B1822D8" w14:textId="77777777" w:rsidR="00AA4909" w:rsidRDefault="00AA4909">
      <w:pPr>
        <w:jc w:val="center"/>
        <w:rPr>
          <w:rFonts w:ascii="Times New Roman" w:hAnsi="Times New Roman" w:cs="Times New Roman"/>
          <w:sz w:val="24"/>
          <w:szCs w:val="24"/>
        </w:rPr>
      </w:pPr>
    </w:p>
    <w:p w14:paraId="17FDA318"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For Nasolabial flap reconstruction surgery, the patient was placed under general anesthesia, the intraoral fibrous tissue was excised, and the margins were refreshed for better healing with the flap. An extraoral, </w:t>
      </w:r>
      <w:r>
        <w:rPr>
          <w:rFonts w:ascii="Times New Roman" w:hAnsi="Times New Roman" w:cs="Times New Roman"/>
          <w:sz w:val="24"/>
          <w:szCs w:val="24"/>
        </w:rPr>
        <w:t>unilateral,  inferiorly based nasolabial flap of approximately 1.5 cm(width of flap) × 5 cm(length of flap) with a pedicle of 1 cm was designed. The incision was planned with the mesial margin corresponding to the nasolabial fold, 1.5 cm lateral to the cor</w:t>
      </w:r>
      <w:r>
        <w:rPr>
          <w:rFonts w:ascii="Times New Roman" w:hAnsi="Times New Roman" w:cs="Times New Roman"/>
          <w:sz w:val="24"/>
          <w:szCs w:val="24"/>
        </w:rPr>
        <w:t xml:space="preserve">ner of the mouth to avoid injury to the superficial labial artery[Refer Fig 9 b ].  An incision was made through the skin and subcutaneous tissue until the superficial musculoskeletal aponeurotic system (SMAS), just above the facial muscle.[Refer 1.10 a , </w:t>
      </w:r>
      <w:r>
        <w:rPr>
          <w:rFonts w:ascii="Times New Roman" w:hAnsi="Times New Roman" w:cs="Times New Roman"/>
          <w:sz w:val="24"/>
          <w:szCs w:val="24"/>
        </w:rPr>
        <w:t>b] The flap was harvested, and  a tunnel was created to transport the harvested flap into the intraoral defect. Before flap transfer, de-epithelization of the flap corresponding to the tunnel is necessary to avoid postoperative fistula in single-staged sur</w:t>
      </w:r>
      <w:r>
        <w:rPr>
          <w:rFonts w:ascii="Times New Roman" w:hAnsi="Times New Roman" w:cs="Times New Roman"/>
          <w:sz w:val="24"/>
          <w:szCs w:val="24"/>
        </w:rPr>
        <w:t xml:space="preserve">gery. De-epithelization was performed, the flap was transferred intraorally, and the defect was closed with the flap. Primary closure was obtained with a 3.o round body vicryl suture. [Refer fig 11 a, b ] </w:t>
      </w:r>
    </w:p>
    <w:p w14:paraId="7866957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 xml:space="preserve">Postoperative nutrition was managed using a Ryles </w:t>
      </w:r>
      <w:r>
        <w:rPr>
          <w:rFonts w:ascii="Times New Roman" w:hAnsi="Times New Roman" w:cs="Times New Roman"/>
          <w:sz w:val="24"/>
          <w:szCs w:val="24"/>
        </w:rPr>
        <w:t xml:space="preserve">tube, and flap perfusion was checked intraorally by inspecting color changes in the flap and through a prick test. </w:t>
      </w:r>
    </w:p>
    <w:p w14:paraId="1281474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Within 2 weeks, the patient’s functional aspects, tongue mobility, swallowing, and speech improved. Full functional recovery took 6 weeks. </w:t>
      </w:r>
    </w:p>
    <w:p w14:paraId="0498669B" w14:textId="77777777" w:rsidR="00AA4909" w:rsidRDefault="00AA4909">
      <w:pPr>
        <w:rPr>
          <w:rFonts w:ascii="Times New Roman" w:hAnsi="Times New Roman" w:cs="Times New Roman"/>
          <w:sz w:val="24"/>
          <w:szCs w:val="24"/>
        </w:rPr>
      </w:pPr>
    </w:p>
    <w:p w14:paraId="65A50CCB" w14:textId="77777777" w:rsidR="00AA4909" w:rsidRDefault="00AA4909">
      <w:pPr>
        <w:jc w:val="center"/>
        <w:rPr>
          <w:rFonts w:ascii="Times New Roman" w:hAnsi="Times New Roman" w:cs="Times New Roman"/>
          <w:sz w:val="24"/>
          <w:szCs w:val="24"/>
        </w:rPr>
      </w:pPr>
    </w:p>
    <w:p w14:paraId="07E8A257" w14:textId="77777777" w:rsidR="00AA4909" w:rsidRDefault="00AA4909">
      <w:pPr>
        <w:jc w:val="center"/>
        <w:rPr>
          <w:rFonts w:ascii="Times New Roman" w:hAnsi="Times New Roman" w:cs="Times New Roman"/>
          <w:sz w:val="24"/>
          <w:szCs w:val="24"/>
        </w:rPr>
      </w:pPr>
    </w:p>
    <w:p w14:paraId="02A887E0"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0528" behindDoc="1" locked="0" layoutInCell="1" allowOverlap="1" wp14:anchorId="25988E57" wp14:editId="68996C41">
            <wp:simplePos x="0" y="0"/>
            <wp:positionH relativeFrom="column">
              <wp:posOffset>678180</wp:posOffset>
            </wp:positionH>
            <wp:positionV relativeFrom="paragraph">
              <wp:posOffset>96520</wp:posOffset>
            </wp:positionV>
            <wp:extent cx="1911985" cy="3111500"/>
            <wp:effectExtent l="0" t="0" r="0" b="0"/>
            <wp:wrapTight wrapText="bothSides">
              <wp:wrapPolygon edited="0">
                <wp:start x="0" y="0"/>
                <wp:lineTo x="0" y="21424"/>
                <wp:lineTo x="21306" y="21424"/>
                <wp:lineTo x="21306" y="0"/>
                <wp:lineTo x="0" y="0"/>
              </wp:wrapPolygon>
            </wp:wrapTight>
            <wp:docPr id="20797812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554" t="7870" r="-190" b="21852"/>
                    <a:stretch/>
                  </pic:blipFill>
                  <pic:spPr bwMode="auto">
                    <a:xfrm>
                      <a:off x="0" y="0"/>
                      <a:ext cx="1911985" cy="31115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61312" behindDoc="1" locked="0" layoutInCell="1" allowOverlap="1" wp14:anchorId="60DAF2D8" wp14:editId="7D337410">
            <wp:simplePos x="0" y="0"/>
            <wp:positionH relativeFrom="column">
              <wp:posOffset>2991485</wp:posOffset>
            </wp:positionH>
            <wp:positionV relativeFrom="paragraph">
              <wp:posOffset>352425</wp:posOffset>
            </wp:positionV>
            <wp:extent cx="3188970" cy="2470150"/>
            <wp:effectExtent l="0" t="2540" r="8890" b="8890"/>
            <wp:wrapTight wrapText="bothSides">
              <wp:wrapPolygon edited="0">
                <wp:start x="21617" y="22"/>
                <wp:lineTo x="69" y="22"/>
                <wp:lineTo x="69" y="21511"/>
                <wp:lineTo x="21617" y="21511"/>
                <wp:lineTo x="21617" y="22"/>
              </wp:wrapPolygon>
            </wp:wrapTight>
            <wp:docPr id="5811687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 t="37211" r="1891" b="5794"/>
                    <a:stretch/>
                  </pic:blipFill>
                  <pic:spPr bwMode="auto">
                    <a:xfrm rot="16200000">
                      <a:off x="0" y="0"/>
                      <a:ext cx="3188970" cy="2470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6714C8F" w14:textId="77777777" w:rsidR="00AA4909" w:rsidRDefault="00AA4909">
      <w:pPr>
        <w:rPr>
          <w:rFonts w:ascii="Times New Roman" w:hAnsi="Times New Roman" w:cs="Times New Roman"/>
          <w:sz w:val="24"/>
          <w:szCs w:val="24"/>
        </w:rPr>
      </w:pPr>
    </w:p>
    <w:p w14:paraId="1392B590" w14:textId="77777777" w:rsidR="00AA4909" w:rsidRDefault="00AA4909">
      <w:pPr>
        <w:rPr>
          <w:rFonts w:ascii="Times New Roman" w:hAnsi="Times New Roman" w:cs="Times New Roman"/>
          <w:sz w:val="24"/>
          <w:szCs w:val="24"/>
        </w:rPr>
      </w:pPr>
    </w:p>
    <w:p w14:paraId="7E4C14D9" w14:textId="77777777" w:rsidR="00AA4909" w:rsidRDefault="00AA4909">
      <w:pPr>
        <w:rPr>
          <w:rFonts w:ascii="Times New Roman" w:hAnsi="Times New Roman" w:cs="Times New Roman"/>
          <w:sz w:val="24"/>
          <w:szCs w:val="24"/>
        </w:rPr>
      </w:pPr>
    </w:p>
    <w:p w14:paraId="47C8CA3C" w14:textId="77777777" w:rsidR="00AA4909" w:rsidRDefault="00AA4909">
      <w:pPr>
        <w:rPr>
          <w:rFonts w:ascii="Times New Roman" w:hAnsi="Times New Roman" w:cs="Times New Roman"/>
          <w:sz w:val="24"/>
          <w:szCs w:val="24"/>
        </w:rPr>
      </w:pPr>
    </w:p>
    <w:p w14:paraId="7D032DF2" w14:textId="77777777" w:rsidR="00AA4909" w:rsidRDefault="00AA4909">
      <w:pPr>
        <w:rPr>
          <w:rFonts w:ascii="Times New Roman" w:hAnsi="Times New Roman" w:cs="Times New Roman"/>
          <w:sz w:val="24"/>
          <w:szCs w:val="24"/>
        </w:rPr>
      </w:pPr>
    </w:p>
    <w:p w14:paraId="7E06880F" w14:textId="77777777" w:rsidR="00AA4909" w:rsidRDefault="00AA4909">
      <w:pPr>
        <w:rPr>
          <w:rFonts w:ascii="Times New Roman" w:hAnsi="Times New Roman" w:cs="Times New Roman"/>
          <w:sz w:val="24"/>
          <w:szCs w:val="24"/>
        </w:rPr>
      </w:pPr>
    </w:p>
    <w:p w14:paraId="5B9E9E0F" w14:textId="77777777" w:rsidR="00AA4909" w:rsidRDefault="00AA4909">
      <w:pPr>
        <w:rPr>
          <w:rFonts w:ascii="Times New Roman" w:hAnsi="Times New Roman" w:cs="Times New Roman"/>
          <w:sz w:val="24"/>
          <w:szCs w:val="24"/>
        </w:rPr>
      </w:pPr>
    </w:p>
    <w:p w14:paraId="6F2293F7" w14:textId="77777777" w:rsidR="00AA4909" w:rsidRDefault="00AA4909">
      <w:pPr>
        <w:rPr>
          <w:rFonts w:ascii="Times New Roman" w:hAnsi="Times New Roman" w:cs="Times New Roman"/>
          <w:sz w:val="24"/>
          <w:szCs w:val="24"/>
        </w:rPr>
      </w:pPr>
    </w:p>
    <w:p w14:paraId="1C9367DD" w14:textId="77777777" w:rsidR="00AA4909" w:rsidRDefault="00AA4909">
      <w:pPr>
        <w:rPr>
          <w:rFonts w:ascii="Times New Roman" w:hAnsi="Times New Roman" w:cs="Times New Roman"/>
          <w:sz w:val="24"/>
          <w:szCs w:val="24"/>
        </w:rPr>
      </w:pPr>
    </w:p>
    <w:p w14:paraId="5E0449F2" w14:textId="77777777" w:rsidR="00AA4909" w:rsidRDefault="00AA4909">
      <w:pPr>
        <w:rPr>
          <w:rFonts w:ascii="Times New Roman" w:hAnsi="Times New Roman" w:cs="Times New Roman"/>
          <w:sz w:val="24"/>
          <w:szCs w:val="24"/>
        </w:rPr>
      </w:pPr>
    </w:p>
    <w:p w14:paraId="6595BFC0" w14:textId="77777777" w:rsidR="00AA4909" w:rsidRDefault="00AA4909">
      <w:pPr>
        <w:rPr>
          <w:rFonts w:ascii="Times New Roman" w:hAnsi="Times New Roman" w:cs="Times New Roman"/>
          <w:sz w:val="24"/>
          <w:szCs w:val="24"/>
        </w:rPr>
      </w:pPr>
    </w:p>
    <w:p w14:paraId="3CEA05BD" w14:textId="77777777" w:rsidR="00AA4909" w:rsidRDefault="00812C84">
      <w:pPr>
        <w:pStyle w:val="ListParagraph"/>
        <w:numPr>
          <w:ilvl w:val="0"/>
          <w:numId w:val="10"/>
        </w:numPr>
        <w:rPr>
          <w:rFonts w:ascii="Times New Roman" w:hAnsi="Times New Roman" w:cs="Times New Roman"/>
          <w:sz w:val="24"/>
          <w:szCs w:val="24"/>
        </w:rPr>
      </w:pPr>
      <w:r>
        <w:rPr>
          <w:rFonts w:ascii="Times New Roman" w:hAnsi="Times New Roman" w:cs="Times New Roman"/>
          <w:sz w:val="24"/>
          <w:szCs w:val="24"/>
        </w:rPr>
        <w:t xml:space="preserve">                                                                            (b) </w:t>
      </w:r>
    </w:p>
    <w:p w14:paraId="78EAE718" w14:textId="77777777" w:rsidR="00AA4909" w:rsidRDefault="00812C84">
      <w:pPr>
        <w:jc w:val="center"/>
        <w:rPr>
          <w:rFonts w:ascii="Times New Roman" w:hAnsi="Times New Roman" w:cs="Times New Roman"/>
          <w:sz w:val="24"/>
          <w:szCs w:val="24"/>
        </w:rPr>
      </w:pPr>
      <w:r>
        <w:rPr>
          <w:rFonts w:ascii="Times New Roman" w:hAnsi="Times New Roman" w:cs="Times New Roman"/>
          <w:sz w:val="24"/>
          <w:szCs w:val="24"/>
        </w:rPr>
        <w:t>Fig 9 (a) Postoperative soft-tissue dehiscence. (b) Incision for the nasolabial flap for the reconstruction of the intraoral  soft tissue defect.</w:t>
      </w:r>
    </w:p>
    <w:p w14:paraId="66B06FD7" w14:textId="77777777" w:rsidR="00AA4909" w:rsidRDefault="00AA4909">
      <w:pPr>
        <w:rPr>
          <w:rFonts w:ascii="Times New Roman" w:hAnsi="Times New Roman" w:cs="Times New Roman"/>
          <w:sz w:val="24"/>
          <w:szCs w:val="24"/>
        </w:rPr>
      </w:pPr>
    </w:p>
    <w:p w14:paraId="19BF6925" w14:textId="77777777" w:rsidR="00AA4909" w:rsidRDefault="00AA4909">
      <w:pPr>
        <w:rPr>
          <w:rFonts w:ascii="Times New Roman" w:hAnsi="Times New Roman" w:cs="Times New Roman"/>
          <w:sz w:val="24"/>
          <w:szCs w:val="24"/>
        </w:rPr>
      </w:pPr>
    </w:p>
    <w:p w14:paraId="5F316258" w14:textId="77777777" w:rsidR="00AA4909" w:rsidRDefault="00AA4909">
      <w:pPr>
        <w:rPr>
          <w:rFonts w:ascii="Times New Roman" w:hAnsi="Times New Roman" w:cs="Times New Roman"/>
          <w:sz w:val="24"/>
          <w:szCs w:val="24"/>
        </w:rPr>
      </w:pPr>
    </w:p>
    <w:p w14:paraId="0496A2C3"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0288" behindDoc="1" locked="0" layoutInCell="1" allowOverlap="1" wp14:anchorId="748C8723" wp14:editId="4E2941D3">
            <wp:simplePos x="0" y="0"/>
            <wp:positionH relativeFrom="column">
              <wp:posOffset>3238500</wp:posOffset>
            </wp:positionH>
            <wp:positionV relativeFrom="paragraph">
              <wp:posOffset>1270</wp:posOffset>
            </wp:positionV>
            <wp:extent cx="2931160" cy="2839085"/>
            <wp:effectExtent l="0" t="0" r="2540" b="0"/>
            <wp:wrapTight wrapText="bothSides">
              <wp:wrapPolygon edited="0">
                <wp:start x="0" y="0"/>
                <wp:lineTo x="0" y="21450"/>
                <wp:lineTo x="21478" y="21450"/>
                <wp:lineTo x="21478" y="0"/>
                <wp:lineTo x="0" y="0"/>
              </wp:wrapPolygon>
            </wp:wrapTight>
            <wp:docPr id="49946900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31">
                      <a:extLst>
                        <a:ext uri="{28A0092B-C50C-407E-A947-70E740481C1C}">
                          <a14:useLocalDpi xmlns:a14="http://schemas.microsoft.com/office/drawing/2010/main" val="0"/>
                        </a:ext>
                      </a:extLst>
                    </a:blip>
                    <a:srcRect l="14743" t="18268" r="12052" b="28558"/>
                    <a:stretch/>
                  </pic:blipFill>
                  <pic:spPr bwMode="auto">
                    <a:xfrm>
                      <a:off x="0" y="0"/>
                      <a:ext cx="2931160" cy="283908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inline distT="0" distB="0" distL="0" distR="0" wp14:anchorId="1FCF1C16" wp14:editId="5971C8DC">
            <wp:extent cx="2936014" cy="2841625"/>
            <wp:effectExtent l="0" t="0" r="0" b="0"/>
            <wp:docPr id="189928582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339" t="12331" r="8627" b="31750"/>
                    <a:stretch/>
                  </pic:blipFill>
                  <pic:spPr bwMode="auto">
                    <a:xfrm>
                      <a:off x="0" y="0"/>
                      <a:ext cx="2942578" cy="2847978"/>
                    </a:xfrm>
                    <a:prstGeom prst="rect">
                      <a:avLst/>
                    </a:prstGeom>
                    <a:noFill/>
                    <a:ln>
                      <a:noFill/>
                    </a:ln>
                    <a:extLst>
                      <a:ext uri="{53640926-AAD7-44D8-BBD7-CCE9431645EC}">
                        <a14:shadowObscured xmlns:a14="http://schemas.microsoft.com/office/drawing/2010/main"/>
                      </a:ext>
                    </a:extLst>
                  </pic:spPr>
                </pic:pic>
              </a:graphicData>
            </a:graphic>
          </wp:inline>
        </w:drawing>
      </w:r>
    </w:p>
    <w:p w14:paraId="21EECFAF" w14:textId="77777777" w:rsidR="00AA4909" w:rsidRDefault="00812C84">
      <w:pPr>
        <w:pStyle w:val="ListParagraph"/>
        <w:numPr>
          <w:ilvl w:val="0"/>
          <w:numId w:val="11"/>
        </w:numPr>
        <w:rPr>
          <w:rFonts w:ascii="Times New Roman" w:hAnsi="Times New Roman" w:cs="Times New Roman"/>
          <w:sz w:val="24"/>
          <w:szCs w:val="24"/>
        </w:rPr>
      </w:pPr>
      <w:r>
        <w:rPr>
          <w:rFonts w:ascii="Times New Roman" w:hAnsi="Times New Roman" w:cs="Times New Roman"/>
          <w:sz w:val="24"/>
          <w:szCs w:val="24"/>
        </w:rPr>
        <w:t xml:space="preserve">                                                                                          (b) </w:t>
      </w:r>
    </w:p>
    <w:p w14:paraId="61A232EE"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Fig 10 Incision carried out through skin , subcutaneous tissue till SMAS , (b) nasolabial flap harvested  </w:t>
      </w:r>
    </w:p>
    <w:p w14:paraId="2688C3CE" w14:textId="77777777" w:rsidR="00AA4909" w:rsidRDefault="00AA4909">
      <w:pPr>
        <w:rPr>
          <w:rFonts w:ascii="Times New Roman" w:hAnsi="Times New Roman" w:cs="Times New Roman"/>
          <w:sz w:val="24"/>
          <w:szCs w:val="24"/>
        </w:rPr>
      </w:pPr>
    </w:p>
    <w:p w14:paraId="67CC8C87"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14:anchorId="1980D92F" wp14:editId="7F18A8E7">
            <wp:simplePos x="0" y="0"/>
            <wp:positionH relativeFrom="column">
              <wp:posOffset>3147060</wp:posOffset>
            </wp:positionH>
            <wp:positionV relativeFrom="paragraph">
              <wp:posOffset>281940</wp:posOffset>
            </wp:positionV>
            <wp:extent cx="3418840" cy="2182495"/>
            <wp:effectExtent l="0" t="0" r="0" b="8255"/>
            <wp:wrapTight wrapText="bothSides">
              <wp:wrapPolygon edited="0">
                <wp:start x="0" y="0"/>
                <wp:lineTo x="0" y="21493"/>
                <wp:lineTo x="21423" y="21493"/>
                <wp:lineTo x="21423" y="0"/>
                <wp:lineTo x="0" y="0"/>
              </wp:wrapPolygon>
            </wp:wrapTight>
            <wp:docPr id="33620377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rotWithShape="1">
                    <a:blip r:embed="rId33">
                      <a:extLst>
                        <a:ext uri="{28A0092B-C50C-407E-A947-70E740481C1C}">
                          <a14:useLocalDpi xmlns:a14="http://schemas.microsoft.com/office/drawing/2010/main" val="0"/>
                        </a:ext>
                      </a:extLst>
                    </a:blip>
                    <a:srcRect l="14871" t="27064" r="25543" b="45481"/>
                    <a:stretch/>
                  </pic:blipFill>
                  <pic:spPr bwMode="auto">
                    <a:xfrm>
                      <a:off x="0" y="0"/>
                      <a:ext cx="3418840" cy="2182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7F6F4"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0149509" wp14:editId="60A6627E">
            <wp:extent cx="2935605" cy="2201704"/>
            <wp:effectExtent l="0" t="0" r="0" b="8255"/>
            <wp:docPr id="94366053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36241" cy="2202181"/>
                    </a:xfrm>
                    <a:prstGeom prst="rect">
                      <a:avLst/>
                    </a:prstGeom>
                    <a:noFill/>
                    <a:ln>
                      <a:noFill/>
                    </a:ln>
                  </pic:spPr>
                </pic:pic>
              </a:graphicData>
            </a:graphic>
          </wp:inline>
        </w:drawing>
      </w:r>
    </w:p>
    <w:p w14:paraId="5709B54C" w14:textId="77777777" w:rsidR="00AA4909" w:rsidRDefault="00812C84">
      <w:pPr>
        <w:pStyle w:val="ListParagraph"/>
        <w:numPr>
          <w:ilvl w:val="0"/>
          <w:numId w:val="12"/>
        </w:numPr>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 xml:space="preserve">                                         (b)                                                                                       </w:t>
      </w:r>
    </w:p>
    <w:p w14:paraId="2A7D0977"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Fig 11 (a) Flap transported intraorally and defect closed with 3.0 vycryl. (b) Donor site closed in layers with 3.0 vicryl a</w:t>
      </w:r>
      <w:r>
        <w:rPr>
          <w:rFonts w:ascii="Times New Roman" w:hAnsi="Times New Roman" w:cs="Times New Roman"/>
          <w:sz w:val="24"/>
          <w:szCs w:val="24"/>
        </w:rPr>
        <w:t>nd 3.0 ethilon sutures.</w:t>
      </w:r>
    </w:p>
    <w:p w14:paraId="19E0E071" w14:textId="77777777" w:rsidR="00AA4909" w:rsidRDefault="00AA4909">
      <w:pPr>
        <w:pStyle w:val="ListParagraph"/>
        <w:ind w:left="2196"/>
        <w:rPr>
          <w:rFonts w:ascii="Times New Roman" w:hAnsi="Times New Roman" w:cs="Times New Roman"/>
          <w:sz w:val="24"/>
          <w:szCs w:val="24"/>
        </w:rPr>
      </w:pPr>
    </w:p>
    <w:p w14:paraId="630F0A18" w14:textId="77777777" w:rsidR="00AA4909" w:rsidRDefault="00AA4909">
      <w:pPr>
        <w:pStyle w:val="ListParagraph"/>
        <w:ind w:left="2196"/>
        <w:rPr>
          <w:rFonts w:ascii="Times New Roman" w:hAnsi="Times New Roman" w:cs="Times New Roman"/>
          <w:sz w:val="24"/>
          <w:szCs w:val="24"/>
        </w:rPr>
      </w:pPr>
    </w:p>
    <w:p w14:paraId="530319A7" w14:textId="77777777" w:rsidR="00AA4909" w:rsidRDefault="00AA4909">
      <w:pPr>
        <w:rPr>
          <w:rFonts w:ascii="Times New Roman" w:hAnsi="Times New Roman" w:cs="Times New Roman"/>
          <w:sz w:val="24"/>
          <w:szCs w:val="24"/>
        </w:rPr>
      </w:pPr>
    </w:p>
    <w:p w14:paraId="38FBFAD4" w14:textId="77777777" w:rsidR="00AA4909" w:rsidRDefault="00AA4909">
      <w:pPr>
        <w:rPr>
          <w:rFonts w:ascii="Times New Roman" w:hAnsi="Times New Roman" w:cs="Times New Roman"/>
          <w:sz w:val="24"/>
          <w:szCs w:val="24"/>
        </w:rPr>
      </w:pPr>
    </w:p>
    <w:p w14:paraId="35D264B8" w14:textId="61EEB46A" w:rsidR="00AA4909" w:rsidRDefault="00812C84">
      <w:pPr>
        <w:rPr>
          <w:rFonts w:ascii="Times New Roman" w:hAnsi="Times New Roman" w:cs="Times New Roman"/>
          <w:sz w:val="24"/>
          <w:szCs w:val="24"/>
        </w:rPr>
      </w:pPr>
      <w:r>
        <w:rPr>
          <w:rFonts w:ascii="Times New Roman" w:hAnsi="Times New Roman" w:cs="Times New Roman"/>
          <w:sz w:val="24"/>
          <w:szCs w:val="24"/>
        </w:rPr>
        <w:t>Postoperative follow-up at 1.5 years showed excellent soft tissue healing with minimal scarring and donor site morbidity. The flap was well accepted with no complications. A 1</w:t>
      </w:r>
      <w:r w:rsidR="008E04E2">
        <w:rPr>
          <w:rFonts w:ascii="Times New Roman" w:hAnsi="Times New Roman" w:cs="Times New Roman"/>
          <w:sz w:val="24"/>
          <w:szCs w:val="24"/>
        </w:rPr>
        <w:t>.5</w:t>
      </w:r>
      <w:r>
        <w:rPr>
          <w:rFonts w:ascii="Times New Roman" w:hAnsi="Times New Roman" w:cs="Times New Roman"/>
          <w:sz w:val="24"/>
          <w:szCs w:val="24"/>
        </w:rPr>
        <w:t xml:space="preserve">-year postoperative OPG revealed satisfactory bone </w:t>
      </w:r>
      <w:r>
        <w:rPr>
          <w:rFonts w:ascii="Times New Roman" w:hAnsi="Times New Roman" w:cs="Times New Roman"/>
          <w:sz w:val="24"/>
          <w:szCs w:val="24"/>
        </w:rPr>
        <w:t>regeneration without any other notable changes.[ Refer fig 12 a ,b,c ]</w:t>
      </w:r>
    </w:p>
    <w:p w14:paraId="636EA82E" w14:textId="77777777" w:rsidR="00AA4909" w:rsidRDefault="00AA4909">
      <w:pPr>
        <w:jc w:val="center"/>
        <w:rPr>
          <w:rFonts w:ascii="Times New Roman" w:hAnsi="Times New Roman" w:cs="Times New Roman"/>
          <w:sz w:val="24"/>
          <w:szCs w:val="24"/>
        </w:rPr>
      </w:pPr>
    </w:p>
    <w:p w14:paraId="2736D58A" w14:textId="77777777" w:rsidR="00AA4909" w:rsidRDefault="00812C8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3600" behindDoc="1" locked="0" layoutInCell="1" allowOverlap="1" wp14:anchorId="6A1D6F16" wp14:editId="13BD1F98">
            <wp:simplePos x="0" y="0"/>
            <wp:positionH relativeFrom="column">
              <wp:posOffset>353060</wp:posOffset>
            </wp:positionH>
            <wp:positionV relativeFrom="paragraph">
              <wp:posOffset>146685</wp:posOffset>
            </wp:positionV>
            <wp:extent cx="2811780" cy="2726690"/>
            <wp:effectExtent l="4445" t="0" r="0" b="0"/>
            <wp:wrapTight wrapText="bothSides">
              <wp:wrapPolygon edited="0">
                <wp:start x="34" y="21635"/>
                <wp:lineTo x="21400" y="21635"/>
                <wp:lineTo x="21400" y="206"/>
                <wp:lineTo x="34" y="206"/>
                <wp:lineTo x="34" y="21635"/>
              </wp:wrapPolygon>
            </wp:wrapTight>
            <wp:docPr id="18059987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01" t="33191" r="8422"/>
                    <a:stretch>
                      <a:fillRect/>
                    </a:stretch>
                  </pic:blipFill>
                  <pic:spPr bwMode="auto">
                    <a:xfrm rot="5400000">
                      <a:off x="0" y="0"/>
                      <a:ext cx="2811780" cy="272669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noProof/>
          <w:sz w:val="24"/>
          <w:szCs w:val="24"/>
        </w:rPr>
        <w:drawing>
          <wp:anchor distT="0" distB="0" distL="114300" distR="114300" simplePos="0" relativeHeight="251658240" behindDoc="1" locked="0" layoutInCell="1" allowOverlap="1" wp14:anchorId="35B950F8" wp14:editId="2AEE5199">
            <wp:simplePos x="0" y="0"/>
            <wp:positionH relativeFrom="column">
              <wp:posOffset>3322320</wp:posOffset>
            </wp:positionH>
            <wp:positionV relativeFrom="paragraph">
              <wp:posOffset>104775</wp:posOffset>
            </wp:positionV>
            <wp:extent cx="2628265" cy="2763520"/>
            <wp:effectExtent l="0" t="0" r="635" b="0"/>
            <wp:wrapTight wrapText="bothSides">
              <wp:wrapPolygon edited="0">
                <wp:start x="0" y="0"/>
                <wp:lineTo x="0" y="21441"/>
                <wp:lineTo x="21449" y="21441"/>
                <wp:lineTo x="21449" y="0"/>
                <wp:lineTo x="0" y="0"/>
              </wp:wrapPolygon>
            </wp:wrapTight>
            <wp:docPr id="939718922"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9206" t="30770" r="44019" b="47343"/>
                    <a:stretch>
                      <a:fillRect/>
                    </a:stretch>
                  </pic:blipFill>
                  <pic:spPr bwMode="auto">
                    <a:xfrm>
                      <a:off x="0" y="0"/>
                      <a:ext cx="2628265" cy="27635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DAAC707" w14:textId="77777777" w:rsidR="00AA4909" w:rsidRDefault="00AA4909">
      <w:pPr>
        <w:rPr>
          <w:rFonts w:ascii="Times New Roman" w:hAnsi="Times New Roman" w:cs="Times New Roman"/>
          <w:sz w:val="24"/>
          <w:szCs w:val="24"/>
        </w:rPr>
      </w:pPr>
    </w:p>
    <w:p w14:paraId="1BA244B7" w14:textId="77777777" w:rsidR="00AA4909" w:rsidRDefault="00AA4909">
      <w:pPr>
        <w:rPr>
          <w:rFonts w:ascii="Times New Roman" w:hAnsi="Times New Roman" w:cs="Times New Roman"/>
          <w:sz w:val="24"/>
          <w:szCs w:val="24"/>
        </w:rPr>
      </w:pPr>
    </w:p>
    <w:p w14:paraId="3B32ECFC" w14:textId="77777777" w:rsidR="00AA4909" w:rsidRDefault="00AA4909">
      <w:pPr>
        <w:rPr>
          <w:rFonts w:ascii="Times New Roman" w:hAnsi="Times New Roman" w:cs="Times New Roman"/>
          <w:sz w:val="24"/>
          <w:szCs w:val="24"/>
        </w:rPr>
      </w:pPr>
    </w:p>
    <w:p w14:paraId="2BBA447C" w14:textId="77777777" w:rsidR="00AA4909" w:rsidRDefault="00AA4909">
      <w:pPr>
        <w:rPr>
          <w:rFonts w:ascii="Times New Roman" w:hAnsi="Times New Roman" w:cs="Times New Roman"/>
          <w:sz w:val="24"/>
          <w:szCs w:val="24"/>
        </w:rPr>
      </w:pPr>
    </w:p>
    <w:p w14:paraId="23E200B8" w14:textId="77777777" w:rsidR="00AA4909" w:rsidRDefault="00AA4909">
      <w:pPr>
        <w:rPr>
          <w:rFonts w:ascii="Times New Roman" w:hAnsi="Times New Roman" w:cs="Times New Roman"/>
          <w:sz w:val="24"/>
          <w:szCs w:val="24"/>
        </w:rPr>
      </w:pPr>
    </w:p>
    <w:p w14:paraId="30426B1C" w14:textId="77777777" w:rsidR="00AA4909" w:rsidRDefault="00AA4909">
      <w:pPr>
        <w:rPr>
          <w:rFonts w:ascii="Times New Roman" w:hAnsi="Times New Roman" w:cs="Times New Roman"/>
          <w:sz w:val="24"/>
          <w:szCs w:val="24"/>
        </w:rPr>
      </w:pPr>
    </w:p>
    <w:p w14:paraId="7F13E9F5" w14:textId="77777777" w:rsidR="00AA4909" w:rsidRDefault="00AA4909">
      <w:pPr>
        <w:rPr>
          <w:rFonts w:ascii="Times New Roman" w:hAnsi="Times New Roman" w:cs="Times New Roman"/>
          <w:sz w:val="24"/>
          <w:szCs w:val="24"/>
        </w:rPr>
      </w:pPr>
    </w:p>
    <w:p w14:paraId="3A036593" w14:textId="77777777" w:rsidR="00AA4909" w:rsidRDefault="00AA4909">
      <w:pPr>
        <w:rPr>
          <w:rFonts w:ascii="Times New Roman" w:hAnsi="Times New Roman" w:cs="Times New Roman"/>
          <w:sz w:val="24"/>
          <w:szCs w:val="24"/>
        </w:rPr>
      </w:pPr>
    </w:p>
    <w:p w14:paraId="2F5C7EC3" w14:textId="77777777" w:rsidR="00AA4909" w:rsidRDefault="00AA4909">
      <w:pPr>
        <w:rPr>
          <w:rFonts w:ascii="Times New Roman" w:hAnsi="Times New Roman" w:cs="Times New Roman"/>
          <w:sz w:val="24"/>
          <w:szCs w:val="24"/>
        </w:rPr>
      </w:pPr>
    </w:p>
    <w:p w14:paraId="0A77C7D3"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                             Fig 12 (a)                                                                    (b)</w:t>
      </w:r>
    </w:p>
    <w:p w14:paraId="303999FB" w14:textId="77777777" w:rsidR="00AA4909" w:rsidRDefault="00812C84">
      <w:pPr>
        <w:pStyle w:val="ListParagraph"/>
        <w:ind w:left="205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14:anchorId="17776856" wp14:editId="47FC08E7">
            <wp:simplePos x="0" y="0"/>
            <wp:positionH relativeFrom="column">
              <wp:posOffset>347028</wp:posOffset>
            </wp:positionH>
            <wp:positionV relativeFrom="paragraph">
              <wp:posOffset>163195</wp:posOffset>
            </wp:positionV>
            <wp:extent cx="5501640" cy="2819400"/>
            <wp:effectExtent l="0" t="0" r="3810" b="0"/>
            <wp:wrapTight wrapText="bothSides">
              <wp:wrapPolygon edited="0">
                <wp:start x="0" y="0"/>
                <wp:lineTo x="0" y="21454"/>
                <wp:lineTo x="21540" y="21454"/>
                <wp:lineTo x="21540" y="0"/>
                <wp:lineTo x="0" y="0"/>
              </wp:wrapPolygon>
            </wp:wrapTight>
            <wp:docPr id="6895976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7436" t="17949" r="1" b="18803"/>
                    <a:stretch>
                      <a:fillRect/>
                    </a:stretch>
                  </pic:blipFill>
                  <pic:spPr bwMode="auto">
                    <a:xfrm>
                      <a:off x="0" y="0"/>
                      <a:ext cx="5501640" cy="2819400"/>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hAnsi="Times New Roman" w:cs="Times New Roman"/>
          <w:sz w:val="24"/>
          <w:szCs w:val="24"/>
        </w:rPr>
        <w:t xml:space="preserve"> </w:t>
      </w:r>
    </w:p>
    <w:p w14:paraId="2CD51218"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                                                         Fig 12       (c)</w:t>
      </w:r>
    </w:p>
    <w:p w14:paraId="0523E961" w14:textId="654B1FB2" w:rsidR="00AA4909" w:rsidRDefault="00812C84">
      <w:pPr>
        <w:jc w:val="center"/>
        <w:rPr>
          <w:rFonts w:ascii="Times New Roman" w:hAnsi="Times New Roman" w:cs="Times New Roman"/>
          <w:sz w:val="24"/>
          <w:szCs w:val="24"/>
        </w:rPr>
      </w:pPr>
      <w:r>
        <w:rPr>
          <w:rFonts w:ascii="Times New Roman" w:hAnsi="Times New Roman" w:cs="Times New Roman"/>
          <w:sz w:val="24"/>
          <w:szCs w:val="24"/>
        </w:rPr>
        <w:lastRenderedPageBreak/>
        <w:t xml:space="preserve">Fig 12 (a) : </w:t>
      </w:r>
      <w:r w:rsidR="008E04E2">
        <w:rPr>
          <w:rFonts w:ascii="Times New Roman" w:hAnsi="Times New Roman" w:cs="Times New Roman"/>
          <w:sz w:val="24"/>
          <w:szCs w:val="24"/>
        </w:rPr>
        <w:t>1.5</w:t>
      </w:r>
      <w:r>
        <w:rPr>
          <w:rFonts w:ascii="Times New Roman" w:hAnsi="Times New Roman" w:cs="Times New Roman"/>
          <w:sz w:val="24"/>
          <w:szCs w:val="24"/>
        </w:rPr>
        <w:t xml:space="preserve"> yr follow up postoperative photograph of recipient site with healed flap at recipient site , (b) Postoperative healing of the donor sit postoperative) with minimal m</w:t>
      </w:r>
      <w:r>
        <w:rPr>
          <w:rFonts w:ascii="Times New Roman" w:hAnsi="Times New Roman" w:cs="Times New Roman"/>
          <w:sz w:val="24"/>
          <w:szCs w:val="24"/>
        </w:rPr>
        <w:t>orbidity and scarring, (c) : OPG after 1 yr showing bone regeneration in operated site</w:t>
      </w:r>
    </w:p>
    <w:p w14:paraId="4DBCECBA" w14:textId="77777777" w:rsidR="00AA4909" w:rsidRDefault="00AA4909">
      <w:pPr>
        <w:rPr>
          <w:rFonts w:ascii="Times New Roman" w:hAnsi="Times New Roman" w:cs="Times New Roman"/>
          <w:sz w:val="24"/>
          <w:szCs w:val="24"/>
        </w:rPr>
      </w:pPr>
    </w:p>
    <w:p w14:paraId="63D28824"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Discussion:</w:t>
      </w:r>
      <w:r>
        <w:rPr>
          <w:rFonts w:ascii="Times New Roman" w:hAnsi="Times New Roman" w:cs="Times New Roman"/>
          <w:sz w:val="24"/>
          <w:szCs w:val="24"/>
        </w:rPr>
        <w:t xml:space="preserve"> </w:t>
      </w:r>
    </w:p>
    <w:p w14:paraId="1EBDAE7D"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A key feature of OKCs is the presence of daughter cysts formed by the budding of the basal layer into the surrounding connective tissue. The cyst wall was </w:t>
      </w:r>
      <w:r>
        <w:rPr>
          <w:rFonts w:ascii="Times New Roman" w:hAnsi="Times New Roman" w:cs="Times New Roman"/>
          <w:sz w:val="24"/>
          <w:szCs w:val="24"/>
        </w:rPr>
        <w:t>thin, with minimal inflammation. Recurrence rates vary widely (0–100%) owing to differences in follow-up duration, surgical techniques, and inclusion of NBCCS cases. Blanas et al.  reported recurrence rates of 17–56% with simple enucleation, but the use of</w:t>
      </w:r>
      <w:r>
        <w:rPr>
          <w:rFonts w:ascii="Times New Roman" w:hAnsi="Times New Roman" w:cs="Times New Roman"/>
          <w:sz w:val="24"/>
          <w:szCs w:val="24"/>
        </w:rPr>
        <w:t xml:space="preserve"> Carnoy’s solution post-enucleation reduced recurrence to 1.6%, comparable to resection but with less morbidity.</w:t>
      </w:r>
      <w:r>
        <w:rPr>
          <w:rFonts w:ascii="Times New Roman" w:hAnsi="Times New Roman" w:cs="Times New Roman"/>
          <w:sz w:val="24"/>
          <w:szCs w:val="24"/>
          <w:vertAlign w:val="superscript"/>
        </w:rPr>
        <w:t xml:space="preserve">[4] </w:t>
      </w:r>
    </w:p>
    <w:p w14:paraId="6DDBA9FB"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OKC is named because it exhibits keratinization of the cystic lining. The lumen contained a cheesy material resembling keratin debris and c</w:t>
      </w:r>
      <w:r>
        <w:rPr>
          <w:rFonts w:ascii="Times New Roman" w:hAnsi="Times New Roman" w:cs="Times New Roman"/>
          <w:sz w:val="24"/>
          <w:szCs w:val="24"/>
        </w:rPr>
        <w:t>lear fluid. It is an Odontogenic Developmental, and Intraosseous cyst of epithelial origin in the oral and maxillofacial region. In 2004, Reichart and Philipsen proposed a revised classification for odontogenic tumors, reclassifying odontogenic keratocysts</w:t>
      </w:r>
      <w:r>
        <w:rPr>
          <w:rFonts w:ascii="Times New Roman" w:hAnsi="Times New Roman" w:cs="Times New Roman"/>
          <w:sz w:val="24"/>
          <w:szCs w:val="24"/>
        </w:rPr>
        <w:t xml:space="preserve"> (OKC) as keratinizing cystic odontogenic tumors (KCOT). They categorized it under "benign neoplasms of odontogenic epithelium with mature fibrous stroma" due to its tendency for local destruction, aggressive biological behavior, high recurrence rate, and </w:t>
      </w:r>
      <w:r>
        <w:rPr>
          <w:rFonts w:ascii="Times New Roman" w:hAnsi="Times New Roman" w:cs="Times New Roman"/>
          <w:sz w:val="24"/>
          <w:szCs w:val="24"/>
        </w:rPr>
        <w:t>the presence of mitotic figures in the suprabasal layers.</w:t>
      </w:r>
      <w:r>
        <w:rPr>
          <w:rFonts w:ascii="Times New Roman" w:hAnsi="Times New Roman" w:cs="Times New Roman"/>
          <w:sz w:val="24"/>
          <w:szCs w:val="24"/>
          <w:vertAlign w:val="superscript"/>
        </w:rPr>
        <w:t xml:space="preserve">[5] </w:t>
      </w:r>
    </w:p>
    <w:p w14:paraId="1F14E158"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Multiple OKCs are commonly seen as a manifestation of genetic conditions, such as Nevoid Basal Cell Carcinoma Syndrome (NBCCS) or Gorlin-Goltz syndrome. In syndromic cases, patients may develop </w:t>
      </w:r>
      <w:r>
        <w:rPr>
          <w:rFonts w:ascii="Times New Roman" w:hAnsi="Times New Roman" w:cs="Times New Roman"/>
          <w:sz w:val="24"/>
          <w:szCs w:val="24"/>
        </w:rPr>
        <w:t>several cysts simultaneously or experience multiple occurrences at different times throughout their lives.</w:t>
      </w:r>
      <w:r>
        <w:rPr>
          <w:rFonts w:ascii="Times New Roman" w:hAnsi="Times New Roman" w:cs="Times New Roman"/>
          <w:sz w:val="24"/>
          <w:szCs w:val="24"/>
          <w:vertAlign w:val="superscript"/>
        </w:rPr>
        <w:t xml:space="preserve"> [5]</w:t>
      </w:r>
    </w:p>
    <w:p w14:paraId="7F15BAD1"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Reasons for Recurrence of OKC (13–62%) </w:t>
      </w:r>
      <w:r>
        <w:rPr>
          <w:rFonts w:ascii="Times New Roman" w:hAnsi="Times New Roman" w:cs="Times New Roman"/>
          <w:sz w:val="24"/>
          <w:szCs w:val="24"/>
          <w:vertAlign w:val="superscript"/>
        </w:rPr>
        <w:t>[5]</w:t>
      </w:r>
      <w:r>
        <w:rPr>
          <w:rFonts w:ascii="Times New Roman" w:hAnsi="Times New Roman" w:cs="Times New Roman"/>
          <w:sz w:val="24"/>
          <w:szCs w:val="24"/>
        </w:rPr>
        <w:br/>
        <w:t>Nakamura et al</w:t>
      </w:r>
      <w:r>
        <w:rPr>
          <w:rFonts w:ascii="Times New Roman" w:hAnsi="Times New Roman" w:cs="Times New Roman"/>
          <w:sz w:val="24"/>
          <w:szCs w:val="24"/>
          <w:vertAlign w:val="superscript"/>
        </w:rPr>
        <w:t>[5]</w:t>
      </w:r>
      <w:r>
        <w:rPr>
          <w:rFonts w:ascii="Times New Roman" w:hAnsi="Times New Roman" w:cs="Times New Roman"/>
          <w:sz w:val="24"/>
          <w:szCs w:val="24"/>
        </w:rPr>
        <w:t>:</w:t>
      </w:r>
    </w:p>
    <w:p w14:paraId="7FACD98F" w14:textId="77777777" w:rsidR="00AA4909" w:rsidRDefault="00812C84">
      <w:pPr>
        <w:pStyle w:val="ListParagraph"/>
        <w:numPr>
          <w:ilvl w:val="0"/>
          <w:numId w:val="16"/>
        </w:numPr>
        <w:rPr>
          <w:rFonts w:ascii="Times New Roman" w:hAnsi="Times New Roman" w:cs="Times New Roman"/>
          <w:sz w:val="24"/>
          <w:szCs w:val="24"/>
          <w:vertAlign w:val="superscript"/>
        </w:rPr>
      </w:pPr>
      <w:r>
        <w:rPr>
          <w:rFonts w:ascii="Times New Roman" w:hAnsi="Times New Roman" w:cs="Times New Roman"/>
          <w:sz w:val="24"/>
          <w:szCs w:val="24"/>
        </w:rPr>
        <w:t>Thin walls and fragile epithelial lining</w:t>
      </w:r>
      <w:r>
        <w:rPr>
          <w:rFonts w:ascii="Times New Roman" w:hAnsi="Times New Roman" w:cs="Times New Roman"/>
          <w:sz w:val="24"/>
          <w:szCs w:val="24"/>
        </w:rPr>
        <w:br/>
        <w:t>2. Epithelial lining is weakly attached to</w:t>
      </w:r>
      <w:r>
        <w:rPr>
          <w:rFonts w:ascii="Times New Roman" w:hAnsi="Times New Roman" w:cs="Times New Roman"/>
          <w:sz w:val="24"/>
          <w:szCs w:val="24"/>
        </w:rPr>
        <w:t xml:space="preserve"> capsule</w:t>
      </w:r>
      <w:r>
        <w:rPr>
          <w:rFonts w:ascii="Times New Roman" w:hAnsi="Times New Roman" w:cs="Times New Roman"/>
          <w:sz w:val="24"/>
          <w:szCs w:val="24"/>
        </w:rPr>
        <w:br/>
        <w:t>3. Extension of the cyst into cancellous bone</w:t>
      </w:r>
      <w:r>
        <w:rPr>
          <w:rFonts w:ascii="Times New Roman" w:hAnsi="Times New Roman" w:cs="Times New Roman"/>
          <w:sz w:val="24"/>
          <w:szCs w:val="24"/>
        </w:rPr>
        <w:br/>
        <w:t>4. Dental lamina remnants in bone/overlying mucosa</w:t>
      </w:r>
      <w:r>
        <w:rPr>
          <w:rFonts w:ascii="Times New Roman" w:hAnsi="Times New Roman" w:cs="Times New Roman"/>
          <w:sz w:val="24"/>
          <w:szCs w:val="24"/>
        </w:rPr>
        <w:br/>
        <w:t>5. In the case of perforation of the cortex, cyst lining adheres to adjoining bone or buccal or lingual mucosa (especially, lingual perforation is dif</w:t>
      </w:r>
      <w:r>
        <w:rPr>
          <w:rFonts w:ascii="Times New Roman" w:hAnsi="Times New Roman" w:cs="Times New Roman"/>
          <w:sz w:val="24"/>
          <w:szCs w:val="24"/>
        </w:rPr>
        <w:t>ficult to access during enucleation)</w:t>
      </w:r>
      <w:r>
        <w:rPr>
          <w:rFonts w:ascii="Times New Roman" w:hAnsi="Times New Roman" w:cs="Times New Roman"/>
          <w:sz w:val="24"/>
          <w:szCs w:val="24"/>
        </w:rPr>
        <w:br/>
        <w:t>6. In dentate area (residual remnants in intraradicular areas)</w:t>
      </w:r>
      <w:r>
        <w:rPr>
          <w:rFonts w:ascii="Times New Roman" w:hAnsi="Times New Roman" w:cs="Times New Roman"/>
          <w:sz w:val="24"/>
          <w:szCs w:val="24"/>
        </w:rPr>
        <w:br/>
        <w:t>7. Scalloped margins in multilocular variety</w:t>
      </w:r>
      <w:r>
        <w:rPr>
          <w:rFonts w:ascii="Times New Roman" w:hAnsi="Times New Roman" w:cs="Times New Roman"/>
          <w:sz w:val="24"/>
          <w:szCs w:val="24"/>
        </w:rPr>
        <w:br/>
        <w:t>8. Desire to preserve adjacent vital structures</w:t>
      </w:r>
      <w:r>
        <w:rPr>
          <w:rFonts w:ascii="Times New Roman" w:hAnsi="Times New Roman" w:cs="Times New Roman"/>
          <w:sz w:val="24"/>
          <w:szCs w:val="24"/>
        </w:rPr>
        <w:br/>
        <w:t>9. Location with difficult access</w:t>
      </w:r>
      <w:r>
        <w:rPr>
          <w:rFonts w:ascii="Times New Roman" w:hAnsi="Times New Roman" w:cs="Times New Roman"/>
          <w:sz w:val="24"/>
          <w:szCs w:val="24"/>
        </w:rPr>
        <w:br/>
        <w:t>10. Extensive lesion involvin</w:t>
      </w:r>
      <w:r>
        <w:rPr>
          <w:rFonts w:ascii="Times New Roman" w:hAnsi="Times New Roman" w:cs="Times New Roman"/>
          <w:sz w:val="24"/>
          <w:szCs w:val="24"/>
        </w:rPr>
        <w:t xml:space="preserve">g coronoid/ascending ramus (difficult access) </w:t>
      </w:r>
      <w:r>
        <w:rPr>
          <w:rFonts w:ascii="Times New Roman" w:hAnsi="Times New Roman" w:cs="Times New Roman"/>
          <w:sz w:val="24"/>
          <w:szCs w:val="24"/>
          <w:vertAlign w:val="superscript"/>
        </w:rPr>
        <w:t>[5]</w:t>
      </w:r>
    </w:p>
    <w:p w14:paraId="25234A0C" w14:textId="77777777" w:rsidR="00AA4909" w:rsidRDefault="00AA4909">
      <w:pPr>
        <w:pStyle w:val="ListParagraph"/>
        <w:ind w:left="408"/>
        <w:rPr>
          <w:rFonts w:ascii="Times New Roman" w:hAnsi="Times New Roman" w:cs="Times New Roman"/>
          <w:sz w:val="24"/>
          <w:szCs w:val="24"/>
          <w:vertAlign w:val="subscript"/>
        </w:rPr>
      </w:pPr>
    </w:p>
    <w:p w14:paraId="55DC7504" w14:textId="77777777" w:rsidR="00AA4909" w:rsidRDefault="00AA4909">
      <w:pPr>
        <w:pStyle w:val="ListParagraph"/>
        <w:ind w:left="408"/>
        <w:rPr>
          <w:rFonts w:ascii="Times New Roman" w:hAnsi="Times New Roman" w:cs="Times New Roman"/>
          <w:sz w:val="24"/>
          <w:szCs w:val="24"/>
        </w:rPr>
      </w:pPr>
    </w:p>
    <w:p w14:paraId="0581FF4F"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 xml:space="preserve">The targeted strategy for treating OKC (Early known)  has emerged from advances in understanding its molecular genetics. Studies on the patched homolog (PTCH) tumor suppressor gene pathway, which is </w:t>
      </w:r>
      <w:r>
        <w:rPr>
          <w:rFonts w:ascii="Times New Roman" w:hAnsi="Times New Roman" w:cs="Times New Roman"/>
          <w:sz w:val="24"/>
          <w:szCs w:val="24"/>
        </w:rPr>
        <w:t>implicated in basal cell carcinomas (BCCs), have revealed that PTCH1 mutations in KOTs activate smoothened (SMO) and the sonic hedgehog (SHH) signaling pathway, promoting neoplastic growth. Recent findings by Rui et al. suggest that SMO gene alterations pl</w:t>
      </w:r>
      <w:r>
        <w:rPr>
          <w:rFonts w:ascii="Times New Roman" w:hAnsi="Times New Roman" w:cs="Times New Roman"/>
          <w:sz w:val="24"/>
          <w:szCs w:val="24"/>
        </w:rPr>
        <w:t>ay a key role in KOT development, highlighting SHH pathway inhibitionvia SMO blockers and suppression of SHH transcription factorsas a potential therapeutic approach. Notably, vismodegib, an SHH inhibitor, has shown promise in reducing BCC and KOT burden i</w:t>
      </w:r>
      <w:r>
        <w:rPr>
          <w:rFonts w:ascii="Times New Roman" w:hAnsi="Times New Roman" w:cs="Times New Roman"/>
          <w:sz w:val="24"/>
          <w:szCs w:val="24"/>
        </w:rPr>
        <w:t>n nevoid basal cell carcinoma syndrome patients</w:t>
      </w:r>
      <w:r>
        <w:rPr>
          <w:rFonts w:ascii="Times New Roman" w:hAnsi="Times New Roman" w:cs="Times New Roman"/>
          <w:sz w:val="24"/>
          <w:szCs w:val="24"/>
          <w:vertAlign w:val="superscript"/>
        </w:rPr>
        <w:t xml:space="preserve">.[6] </w:t>
      </w:r>
      <w:r>
        <w:rPr>
          <w:rFonts w:ascii="Times New Roman" w:hAnsi="Times New Roman" w:cs="Times New Roman"/>
          <w:sz w:val="24"/>
          <w:szCs w:val="24"/>
        </w:rPr>
        <w:t>.</w:t>
      </w:r>
    </w:p>
    <w:p w14:paraId="672C3FE8"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Additionally, 5-fluorouracil (5-FU), an antimetabolite, has been found to induce apoptosis through SHH pathway inhibition in hepatocellular carcinoma and is already used topically for superficial BCCs. </w:t>
      </w:r>
      <w:r>
        <w:rPr>
          <w:rFonts w:ascii="Times New Roman" w:hAnsi="Times New Roman" w:cs="Times New Roman"/>
          <w:sz w:val="24"/>
          <w:szCs w:val="24"/>
        </w:rPr>
        <w:t>Tumor response to 5-FU is influenced by enzymes such as thymidylate synthase (TS), dihydropyrimidine dehydrogenase (DPD), and thymidine phosphorylase (TP). Elevated TS expression correlates with 5-FU resistance, whereas its downregulation enhances efficacy</w:t>
      </w:r>
      <w:r>
        <w:rPr>
          <w:rFonts w:ascii="Times New Roman" w:hAnsi="Times New Roman" w:cs="Times New Roman"/>
          <w:sz w:val="24"/>
          <w:szCs w:val="24"/>
        </w:rPr>
        <w:t xml:space="preserve">. Low DPD levels improve treatment outcomes as DPD metabolizes 5-FU, whereas high TP expression increases responsiveness due to elevated production of active 5-FU metabolites, such as FdUMP. </w:t>
      </w:r>
      <w:r>
        <w:rPr>
          <w:rFonts w:ascii="Times New Roman" w:hAnsi="Times New Roman" w:cs="Times New Roman"/>
          <w:sz w:val="24"/>
          <w:szCs w:val="24"/>
          <w:vertAlign w:val="superscript"/>
        </w:rPr>
        <w:t>[6][4][3][1]</w:t>
      </w:r>
    </w:p>
    <w:p w14:paraId="279C88B1"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5</w:t>
      </w:r>
      <w:r>
        <w:rPr>
          <w:rFonts w:ascii="Times New Roman" w:hAnsi="Times New Roman" w:cs="Times New Roman"/>
          <w:sz w:val="24"/>
          <w:szCs w:val="24"/>
        </w:rPr>
        <w:noBreakHyphen/>
        <w:t>Fluorouracil (5</w:t>
      </w:r>
      <w:r>
        <w:rPr>
          <w:rFonts w:ascii="Times New Roman" w:hAnsi="Times New Roman" w:cs="Times New Roman"/>
          <w:sz w:val="24"/>
          <w:szCs w:val="24"/>
        </w:rPr>
        <w:noBreakHyphen/>
        <w:t>FU), an antimetabolite that target</w:t>
      </w:r>
      <w:r>
        <w:rPr>
          <w:rFonts w:ascii="Times New Roman" w:hAnsi="Times New Roman" w:cs="Times New Roman"/>
          <w:sz w:val="24"/>
          <w:szCs w:val="24"/>
        </w:rPr>
        <w:t>s pyrimidine synthesis, is an effective and well-tolerated topical treatment for superficial basal cell carcinomas (BCCs). Its active metabolite, fluorodeoxyuridine monophosphate, inhibits thymidylate synthase (TS), blocking thymidine production and causin</w:t>
      </w:r>
      <w:r>
        <w:rPr>
          <w:rFonts w:ascii="Times New Roman" w:hAnsi="Times New Roman" w:cs="Times New Roman"/>
          <w:sz w:val="24"/>
          <w:szCs w:val="24"/>
        </w:rPr>
        <w:t>g DNA damage in proliferating cells</w:t>
      </w:r>
      <w:r>
        <w:rPr>
          <w:rFonts w:ascii="Times New Roman" w:hAnsi="Times New Roman" w:cs="Times New Roman"/>
          <w:sz w:val="24"/>
          <w:szCs w:val="24"/>
          <w:vertAlign w:val="superscript"/>
        </w:rPr>
        <w:t>.[7]</w:t>
      </w:r>
      <w:r>
        <w:rPr>
          <w:rFonts w:ascii="Times New Roman" w:hAnsi="Times New Roman" w:cs="Times New Roman"/>
          <w:sz w:val="24"/>
          <w:szCs w:val="24"/>
        </w:rPr>
        <w:t>.</w:t>
      </w:r>
    </w:p>
    <w:p w14:paraId="3B34A6DF"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According to Tyler et al,.  A systematic review and meta-analysis by Jacobs et al. (2024) demonstrates that </w:t>
      </w:r>
      <w:r>
        <w:rPr>
          <w:rFonts w:ascii="Times New Roman" w:hAnsi="Times New Roman" w:cs="Times New Roman"/>
          <w:b/>
          <w:bCs/>
          <w:sz w:val="24"/>
          <w:szCs w:val="24"/>
        </w:rPr>
        <w:t>5-Fluorouracil (5-FU) is significantly more effective than Modified Carnoy’s solution (MCS)</w:t>
      </w:r>
      <w:r>
        <w:rPr>
          <w:rFonts w:ascii="Times New Roman" w:hAnsi="Times New Roman" w:cs="Times New Roman"/>
          <w:sz w:val="24"/>
          <w:szCs w:val="24"/>
        </w:rPr>
        <w:t xml:space="preserve"> in managing odo</w:t>
      </w:r>
      <w:r>
        <w:rPr>
          <w:rFonts w:ascii="Times New Roman" w:hAnsi="Times New Roman" w:cs="Times New Roman"/>
          <w:sz w:val="24"/>
          <w:szCs w:val="24"/>
        </w:rPr>
        <w:t xml:space="preserve">ntogenic keratocysts (OKCs). The study found a </w:t>
      </w:r>
      <w:r>
        <w:rPr>
          <w:rFonts w:ascii="Times New Roman" w:hAnsi="Times New Roman" w:cs="Times New Roman"/>
          <w:b/>
          <w:bCs/>
          <w:sz w:val="24"/>
          <w:szCs w:val="24"/>
        </w:rPr>
        <w:t>98% reduction in recurrence risk</w:t>
      </w:r>
      <w:r>
        <w:rPr>
          <w:rFonts w:ascii="Times New Roman" w:hAnsi="Times New Roman" w:cs="Times New Roman"/>
          <w:sz w:val="24"/>
          <w:szCs w:val="24"/>
        </w:rPr>
        <w:t xml:space="preserve"> and a </w:t>
      </w:r>
      <w:r>
        <w:rPr>
          <w:rFonts w:ascii="Times New Roman" w:hAnsi="Times New Roman" w:cs="Times New Roman"/>
          <w:b/>
          <w:bCs/>
          <w:sz w:val="24"/>
          <w:szCs w:val="24"/>
        </w:rPr>
        <w:t>56% lower rate of permanent peripheral nerve injury</w:t>
      </w:r>
      <w:r>
        <w:rPr>
          <w:rFonts w:ascii="Times New Roman" w:hAnsi="Times New Roman" w:cs="Times New Roman"/>
          <w:sz w:val="24"/>
          <w:szCs w:val="24"/>
        </w:rPr>
        <w:t xml:space="preserve"> with 5-FU compared to MCS, following enucleation, curettage, and peripheral ostectomy. These results strongly support </w:t>
      </w:r>
      <w:r>
        <w:rPr>
          <w:rFonts w:ascii="Times New Roman" w:hAnsi="Times New Roman" w:cs="Times New Roman"/>
          <w:sz w:val="24"/>
          <w:szCs w:val="24"/>
        </w:rPr>
        <w:t>the use of 5-FU as a superior adjuvant therapy for OKCs.</w:t>
      </w:r>
      <w:r>
        <w:rPr>
          <w:rFonts w:ascii="Times New Roman" w:hAnsi="Times New Roman" w:cs="Times New Roman"/>
          <w:sz w:val="24"/>
          <w:szCs w:val="24"/>
          <w:vertAlign w:val="superscript"/>
        </w:rPr>
        <w:t>[8]</w:t>
      </w:r>
    </w:p>
    <w:p w14:paraId="6DF2982B"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Most studies favor the </w:t>
      </w:r>
      <w:r>
        <w:rPr>
          <w:rFonts w:ascii="Times New Roman" w:hAnsi="Times New Roman" w:cs="Times New Roman"/>
          <w:b/>
          <w:bCs/>
          <w:sz w:val="24"/>
          <w:szCs w:val="24"/>
        </w:rPr>
        <w:t>buccal fat pad</w:t>
      </w:r>
      <w:r>
        <w:rPr>
          <w:rFonts w:ascii="Times New Roman" w:hAnsi="Times New Roman" w:cs="Times New Roman"/>
          <w:sz w:val="24"/>
          <w:szCs w:val="24"/>
        </w:rPr>
        <w:t xml:space="preserve"> for the reconstruction of oral defects because of its ease of harvest, minimal donor site morbidity, and reduced postoperative complications, making it suitab</w:t>
      </w:r>
      <w:r>
        <w:rPr>
          <w:rFonts w:ascii="Times New Roman" w:hAnsi="Times New Roman" w:cs="Times New Roman"/>
          <w:sz w:val="24"/>
          <w:szCs w:val="24"/>
        </w:rPr>
        <w:t xml:space="preserve">le for moderate defects. The </w:t>
      </w:r>
      <w:r>
        <w:rPr>
          <w:rFonts w:ascii="Times New Roman" w:hAnsi="Times New Roman" w:cs="Times New Roman"/>
          <w:b/>
          <w:bCs/>
          <w:sz w:val="24"/>
          <w:szCs w:val="24"/>
        </w:rPr>
        <w:t>nasolabial flap</w:t>
      </w:r>
      <w:r>
        <w:rPr>
          <w:rFonts w:ascii="Times New Roman" w:hAnsi="Times New Roman" w:cs="Times New Roman"/>
          <w:sz w:val="24"/>
          <w:szCs w:val="24"/>
        </w:rPr>
        <w:t xml:space="preserve"> offers greater tissue bulk and progressive improvement in mouth opening but is associated with intraoral hair growth and extraoral scarring. The </w:t>
      </w:r>
      <w:r>
        <w:rPr>
          <w:rFonts w:ascii="Times New Roman" w:hAnsi="Times New Roman" w:cs="Times New Roman"/>
          <w:b/>
          <w:bCs/>
          <w:sz w:val="24"/>
          <w:szCs w:val="24"/>
        </w:rPr>
        <w:t>platysma myocutaneous flap</w:t>
      </w:r>
      <w:r>
        <w:rPr>
          <w:rFonts w:ascii="Times New Roman" w:hAnsi="Times New Roman" w:cs="Times New Roman"/>
          <w:sz w:val="24"/>
          <w:szCs w:val="24"/>
        </w:rPr>
        <w:t xml:space="preserve"> has emerged as a versatile alternative </w:t>
      </w:r>
      <w:r>
        <w:rPr>
          <w:rFonts w:ascii="Times New Roman" w:hAnsi="Times New Roman" w:cs="Times New Roman"/>
          <w:sz w:val="24"/>
          <w:szCs w:val="24"/>
        </w:rPr>
        <w:t>for larger or complex intraoral defects because of its excellent tissue bulk, color match, and minimal donor site morbidity. In a present case report operating surgeon has chosen nasolabial flap for reconstruction of postoperative soft tissue defect depend</w:t>
      </w:r>
      <w:r>
        <w:rPr>
          <w:rFonts w:ascii="Times New Roman" w:hAnsi="Times New Roman" w:cs="Times New Roman"/>
          <w:sz w:val="24"/>
          <w:szCs w:val="24"/>
        </w:rPr>
        <w:t xml:space="preserve">ing on soft tissue defect. </w:t>
      </w:r>
      <w:r>
        <w:rPr>
          <w:rFonts w:ascii="Times New Roman" w:hAnsi="Times New Roman" w:cs="Times New Roman"/>
          <w:sz w:val="24"/>
          <w:szCs w:val="24"/>
          <w:vertAlign w:val="superscript"/>
        </w:rPr>
        <w:t>[9]</w:t>
      </w:r>
    </w:p>
    <w:p w14:paraId="0EC49DB0" w14:textId="77777777" w:rsidR="00AA4909" w:rsidRDefault="00812C84">
      <w:pPr>
        <w:rPr>
          <w:rFonts w:ascii="Times New Roman" w:hAnsi="Times New Roman" w:cs="Times New Roman"/>
          <w:sz w:val="24"/>
          <w:szCs w:val="24"/>
          <w:vertAlign w:val="superscript"/>
        </w:rPr>
      </w:pPr>
      <w:r>
        <w:rPr>
          <w:rFonts w:ascii="Times New Roman" w:hAnsi="Times New Roman" w:cs="Times New Roman"/>
          <w:sz w:val="24"/>
          <w:szCs w:val="24"/>
        </w:rPr>
        <w:t xml:space="preserve">In the present case, we designed a unilateral, inferior-based nasolabial flap for the reconstruction of the intraoral soft tissue defect. </w:t>
      </w:r>
    </w:p>
    <w:p w14:paraId="27E22A5A"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Nasolabial Flap For Oral Cavity Reconstruction:</w:t>
      </w:r>
      <w:r>
        <w:rPr>
          <w:rFonts w:ascii="Times New Roman" w:hAnsi="Times New Roman" w:cs="Times New Roman"/>
          <w:sz w:val="24"/>
          <w:szCs w:val="24"/>
        </w:rPr>
        <w:t xml:space="preserve"> The reconstruction of soft tissue loss</w:t>
      </w:r>
      <w:r>
        <w:rPr>
          <w:rFonts w:ascii="Times New Roman" w:hAnsi="Times New Roman" w:cs="Times New Roman"/>
          <w:sz w:val="24"/>
          <w:szCs w:val="24"/>
        </w:rPr>
        <w:t xml:space="preserve"> following traumatic injuries or surgical excision often necessitates the use of soft tissue flaps. The nasolabial flap (NLF) is one of the oldest techniques used to restore orofacial soft tissue </w:t>
      </w:r>
      <w:r>
        <w:rPr>
          <w:rFonts w:ascii="Times New Roman" w:hAnsi="Times New Roman" w:cs="Times New Roman"/>
          <w:sz w:val="24"/>
          <w:szCs w:val="24"/>
        </w:rPr>
        <w:lastRenderedPageBreak/>
        <w:t>defects. Notably, Sushruta, an Indian surgeon in 600 BC, des</w:t>
      </w:r>
      <w:r>
        <w:rPr>
          <w:rFonts w:ascii="Times New Roman" w:hAnsi="Times New Roman" w:cs="Times New Roman"/>
          <w:sz w:val="24"/>
          <w:szCs w:val="24"/>
        </w:rPr>
        <w:t>cribed a soft tissue flap remarkably similar to the modern nasolabial flap.</w:t>
      </w:r>
      <w:r>
        <w:rPr>
          <w:rFonts w:ascii="Times New Roman" w:hAnsi="Times New Roman" w:cs="Times New Roman"/>
          <w:sz w:val="24"/>
          <w:szCs w:val="24"/>
          <w:vertAlign w:val="superscript"/>
        </w:rPr>
        <w:t xml:space="preserve">[10] </w:t>
      </w:r>
      <w:r>
        <w:rPr>
          <w:rFonts w:ascii="Times New Roman" w:hAnsi="Times New Roman" w:cs="Times New Roman"/>
          <w:sz w:val="24"/>
          <w:szCs w:val="24"/>
        </w:rPr>
        <w:t>The nasolabial flap, designed as a true myocutaneous flap based on the facial artery, is a durable and versatile option well-suited for single-stage reconstruction of oral cavi</w:t>
      </w:r>
      <w:r>
        <w:rPr>
          <w:rFonts w:ascii="Times New Roman" w:hAnsi="Times New Roman" w:cs="Times New Roman"/>
          <w:sz w:val="24"/>
          <w:szCs w:val="24"/>
        </w:rPr>
        <w:t>ty defects.</w:t>
      </w:r>
      <w:r>
        <w:rPr>
          <w:rFonts w:ascii="Times New Roman" w:hAnsi="Times New Roman" w:cs="Times New Roman"/>
          <w:sz w:val="24"/>
          <w:szCs w:val="24"/>
          <w:vertAlign w:val="superscript"/>
        </w:rPr>
        <w:t xml:space="preserve">[10]   </w:t>
      </w:r>
      <w:r>
        <w:rPr>
          <w:rFonts w:ascii="Times New Roman" w:hAnsi="Times New Roman" w:cs="Times New Roman"/>
          <w:sz w:val="24"/>
          <w:szCs w:val="24"/>
        </w:rPr>
        <w:t xml:space="preserve">This flap can be used unilaterally or bilaterally in the form of superiorly, inferiorly, or centrally based pedicle flaps. The </w:t>
      </w:r>
      <w:r>
        <w:rPr>
          <w:rFonts w:ascii="Times New Roman" w:hAnsi="Times New Roman" w:cs="Times New Roman"/>
          <w:b/>
          <w:bCs/>
          <w:sz w:val="24"/>
          <w:szCs w:val="24"/>
        </w:rPr>
        <w:t xml:space="preserve">nasolabial flap </w:t>
      </w:r>
      <w:r>
        <w:rPr>
          <w:rFonts w:ascii="Times New Roman" w:hAnsi="Times New Roman" w:cs="Times New Roman"/>
          <w:sz w:val="24"/>
          <w:szCs w:val="24"/>
        </w:rPr>
        <w:t>is a robust and versatile myocutaneous flap that is based on the facial artery. It is ideal for</w:t>
      </w:r>
      <w:r>
        <w:rPr>
          <w:rFonts w:ascii="Times New Roman" w:hAnsi="Times New Roman" w:cs="Times New Roman"/>
          <w:sz w:val="24"/>
          <w:szCs w:val="24"/>
        </w:rPr>
        <w:t xml:space="preserve"> single-stage reconstruction of oral cavity defects or staged facial reconstruction. The flap harvested from the nasolabial fold region includes skin, subcutaneous tissue, and underlying musculature, ensuring excellent blood supply and viability. The techn</w:t>
      </w:r>
      <w:r>
        <w:rPr>
          <w:rFonts w:ascii="Times New Roman" w:hAnsi="Times New Roman" w:cs="Times New Roman"/>
          <w:sz w:val="24"/>
          <w:szCs w:val="24"/>
        </w:rPr>
        <w:t>ique involves careful design, elevation, and tunneling of the flap into the oral cavity with minimal donor site morbidity. Clinical applications include the reconstruction of defects in the alveolus, floor of the mouth, buccal cavity, and palate. The advan</w:t>
      </w:r>
      <w:r>
        <w:rPr>
          <w:rFonts w:ascii="Times New Roman" w:hAnsi="Times New Roman" w:cs="Times New Roman"/>
          <w:sz w:val="24"/>
          <w:szCs w:val="24"/>
        </w:rPr>
        <w:t>tages of this method are its reliability, ease of harvest, and minimal impact on speech or function. Complications like mild upper lip weakness are rare and generally well tolerated.</w:t>
      </w:r>
      <w:r>
        <w:rPr>
          <w:rFonts w:ascii="Times New Roman" w:hAnsi="Times New Roman" w:cs="Times New Roman"/>
          <w:sz w:val="24"/>
          <w:szCs w:val="24"/>
          <w:vertAlign w:val="superscript"/>
        </w:rPr>
        <w:t>[10]</w:t>
      </w:r>
    </w:p>
    <w:p w14:paraId="2A7F8820"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The flap is a simple and versatile option for small to medium intraor</w:t>
      </w:r>
      <w:r>
        <w:rPr>
          <w:rFonts w:ascii="Times New Roman" w:hAnsi="Times New Roman" w:cs="Times New Roman"/>
          <w:sz w:val="24"/>
          <w:szCs w:val="24"/>
        </w:rPr>
        <w:t>al defects, offering good cosmetic and functional outcomes with minimal donor site morbidity. Complications were minimal, including wound dehiscence in three patients and one orocutaneous fistula. Despite facial artery ligation in some cases, flap viabilit</w:t>
      </w:r>
      <w:r>
        <w:rPr>
          <w:rFonts w:ascii="Times New Roman" w:hAnsi="Times New Roman" w:cs="Times New Roman"/>
          <w:sz w:val="24"/>
          <w:szCs w:val="24"/>
        </w:rPr>
        <w:t>y was unaffected, highlighting the robust vascularity of the flap. The nasolabial flap remains an effective and reliable option for reconstructing anterior oral cavity defects, though larger defects may require alternative techniques</w:t>
      </w:r>
      <w:r>
        <w:rPr>
          <w:rFonts w:ascii="Times New Roman" w:hAnsi="Times New Roman" w:cs="Times New Roman"/>
          <w:sz w:val="24"/>
          <w:szCs w:val="24"/>
          <w:vertAlign w:val="superscript"/>
        </w:rPr>
        <w:t>[11]</w:t>
      </w:r>
      <w:r>
        <w:rPr>
          <w:rFonts w:ascii="Times New Roman" w:hAnsi="Times New Roman" w:cs="Times New Roman"/>
          <w:sz w:val="24"/>
          <w:szCs w:val="24"/>
        </w:rPr>
        <w:t>.</w:t>
      </w:r>
    </w:p>
    <w:p w14:paraId="79960DC3" w14:textId="77777777" w:rsidR="00AA4909" w:rsidRDefault="00AA4909">
      <w:pPr>
        <w:rPr>
          <w:rFonts w:ascii="Times New Roman" w:hAnsi="Times New Roman" w:cs="Times New Roman"/>
          <w:sz w:val="24"/>
          <w:szCs w:val="24"/>
        </w:rPr>
      </w:pPr>
    </w:p>
    <w:p w14:paraId="0C9ADF63" w14:textId="77777777" w:rsidR="00AA4909" w:rsidRDefault="00812C84">
      <w:pPr>
        <w:rPr>
          <w:rFonts w:ascii="Times New Roman" w:hAnsi="Times New Roman" w:cs="Times New Roman"/>
          <w:sz w:val="24"/>
          <w:szCs w:val="24"/>
        </w:rPr>
      </w:pPr>
      <w:r>
        <w:rPr>
          <w:rFonts w:ascii="Times New Roman" w:hAnsi="Times New Roman" w:cs="Times New Roman"/>
          <w:b/>
          <w:bCs/>
          <w:sz w:val="24"/>
          <w:szCs w:val="24"/>
        </w:rPr>
        <w:t>Conclusion:</w:t>
      </w:r>
      <w:r>
        <w:rPr>
          <w:rFonts w:ascii="Times New Roman" w:hAnsi="Times New Roman" w:cs="Times New Roman"/>
          <w:sz w:val="24"/>
          <w:szCs w:val="24"/>
        </w:rPr>
        <w:t xml:space="preserve"> </w:t>
      </w:r>
    </w:p>
    <w:p w14:paraId="2C78A205"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Thi</w:t>
      </w:r>
      <w:r>
        <w:rPr>
          <w:rFonts w:ascii="Times New Roman" w:hAnsi="Times New Roman" w:cs="Times New Roman"/>
          <w:sz w:val="24"/>
          <w:szCs w:val="24"/>
        </w:rPr>
        <w:t>s case report presents the successful management of an odontogenic keratocyst (OKC) in a 52-year-old woman using surgical enucleation combined with chemical cauterization by topical application of 5-fluorouracil (5-FU). The lesion, located in the left mand</w:t>
      </w:r>
      <w:r>
        <w:rPr>
          <w:rFonts w:ascii="Times New Roman" w:hAnsi="Times New Roman" w:cs="Times New Roman"/>
          <w:sz w:val="24"/>
          <w:szCs w:val="24"/>
        </w:rPr>
        <w:t>ible, was initially treated with enucleation and 5-FU-impregnated gauze to target residual epithelial cells and reduce the risk of recurrence. Postoperatively, the patient developed soft tissue dehiscence in the retromolar region. This was effectively reco</w:t>
      </w:r>
      <w:r>
        <w:rPr>
          <w:rFonts w:ascii="Times New Roman" w:hAnsi="Times New Roman" w:cs="Times New Roman"/>
          <w:sz w:val="24"/>
          <w:szCs w:val="24"/>
        </w:rPr>
        <w:t>nstructed using an inferiorly based nasolabial flap, which provided excellent functional and aesthetic outcomes with minimal donor-site morbidity. This case highlights 5-FU’s role as a safe and effective alternative to Carnoy’s solution for chemical cauter</w:t>
      </w:r>
      <w:r>
        <w:rPr>
          <w:rFonts w:ascii="Times New Roman" w:hAnsi="Times New Roman" w:cs="Times New Roman"/>
          <w:sz w:val="24"/>
          <w:szCs w:val="24"/>
        </w:rPr>
        <w:t>ization, reducing the risk of recurrence without neurotoxicity. The versatility of the nasolabial flap in repairing small to moderate intraoral soft tissue defects.</w:t>
      </w:r>
    </w:p>
    <w:p w14:paraId="2AEC777A" w14:textId="77777777" w:rsidR="00AA4909" w:rsidRDefault="00AA4909">
      <w:pPr>
        <w:rPr>
          <w:rFonts w:ascii="Times New Roman" w:hAnsi="Times New Roman" w:cs="Times New Roman"/>
          <w:sz w:val="24"/>
          <w:szCs w:val="24"/>
        </w:rPr>
      </w:pPr>
    </w:p>
    <w:p w14:paraId="4CB05F1B" w14:textId="77777777" w:rsidR="00AA4909" w:rsidRDefault="00AA4909">
      <w:pPr>
        <w:rPr>
          <w:rFonts w:ascii="Times New Roman" w:hAnsi="Times New Roman" w:cs="Times New Roman"/>
          <w:sz w:val="24"/>
          <w:szCs w:val="24"/>
        </w:rPr>
      </w:pPr>
    </w:p>
    <w:p w14:paraId="253D7C35"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CONSENT</w:t>
      </w:r>
    </w:p>
    <w:p w14:paraId="42D2B839"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All authors declare that written informed consent was obtained from the patient f</w:t>
      </w:r>
      <w:r>
        <w:rPr>
          <w:rFonts w:ascii="Times New Roman" w:hAnsi="Times New Roman" w:cs="Times New Roman"/>
          <w:sz w:val="24"/>
          <w:szCs w:val="24"/>
        </w:rPr>
        <w:t>or the publication of this case report and accompanying images. A copy of the written consent is available for review by our editorial office.</w:t>
      </w:r>
    </w:p>
    <w:p w14:paraId="28F23AAD"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lastRenderedPageBreak/>
        <w:t>ETHICAL APPROVAL</w:t>
      </w:r>
    </w:p>
    <w:p w14:paraId="6FC1BBC3" w14:textId="77777777" w:rsidR="00AA4909" w:rsidRDefault="00812C84">
      <w:pPr>
        <w:rPr>
          <w:rFonts w:ascii="Times New Roman" w:hAnsi="Times New Roman" w:cs="Times New Roman"/>
          <w:sz w:val="24"/>
          <w:szCs w:val="24"/>
        </w:rPr>
      </w:pPr>
      <w:r>
        <w:rPr>
          <w:rFonts w:ascii="Times New Roman" w:hAnsi="Times New Roman" w:cs="Times New Roman"/>
          <w:sz w:val="24"/>
          <w:szCs w:val="24"/>
        </w:rPr>
        <w:t xml:space="preserve">All authors declare that all procedures were performed in accordance with the institutional </w:t>
      </w:r>
      <w:r>
        <w:rPr>
          <w:rFonts w:ascii="Times New Roman" w:hAnsi="Times New Roman" w:cs="Times New Roman"/>
          <w:sz w:val="24"/>
          <w:szCs w:val="24"/>
        </w:rPr>
        <w:t>guidelines and the Declaration of Helsinki. Ethical clearance was granted by the Institutional Ethics Committee.</w:t>
      </w:r>
    </w:p>
    <w:p w14:paraId="764D1B87"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Disclaimer (Artificial intelligence)</w:t>
      </w:r>
    </w:p>
    <w:p w14:paraId="0725F545"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 xml:space="preserve">Option 1: </w:t>
      </w:r>
    </w:p>
    <w:p w14:paraId="563F08D8"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 xml:space="preserve">The author (s) hereby declare that NO generative AI technologies, such as Large Language Models (ChatGPT, COPILOT, etc.) and text-to-image generators, were used during the writing or editing of this manuscript. </w:t>
      </w:r>
    </w:p>
    <w:p w14:paraId="4B4329D3"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 xml:space="preserve">Option 2: </w:t>
      </w:r>
    </w:p>
    <w:p w14:paraId="6AA857F2" w14:textId="77777777" w:rsidR="00AA4909" w:rsidRDefault="00812C84">
      <w:pPr>
        <w:rPr>
          <w:rFonts w:ascii="Times New Roman" w:eastAsia="Calibri" w:hAnsi="Times New Roman" w:cs="Times New Roman"/>
          <w:sz w:val="24"/>
          <w:szCs w:val="24"/>
        </w:rPr>
      </w:pPr>
      <w:r>
        <w:rPr>
          <w:rFonts w:ascii="Times New Roman" w:eastAsia="Calibri" w:hAnsi="Times New Roman" w:cs="Times New Roman"/>
          <w:sz w:val="24"/>
          <w:szCs w:val="24"/>
        </w:rPr>
        <w:t>The author (s) hereby declare tha</w:t>
      </w:r>
      <w:r>
        <w:rPr>
          <w:rFonts w:ascii="Times New Roman" w:eastAsia="Calibri" w:hAnsi="Times New Roman" w:cs="Times New Roman"/>
          <w:sz w:val="24"/>
          <w:szCs w:val="24"/>
        </w:rPr>
        <w:t>t generative AI technologies, such as Large Language Models, have not been used during the writing or editing of this manuscript.</w:t>
      </w:r>
    </w:p>
    <w:p w14:paraId="5742C604" w14:textId="77777777" w:rsidR="00AA4909" w:rsidRDefault="00AA4909">
      <w:pPr>
        <w:rPr>
          <w:rFonts w:ascii="Times New Roman" w:eastAsia="Calibri" w:hAnsi="Times New Roman" w:cs="Times New Roman"/>
          <w:sz w:val="24"/>
          <w:szCs w:val="24"/>
        </w:rPr>
      </w:pPr>
    </w:p>
    <w:p w14:paraId="37B35EE5" w14:textId="77777777" w:rsidR="00AA4909" w:rsidRDefault="00812C84">
      <w:pPr>
        <w:rPr>
          <w:rFonts w:ascii="Times New Roman" w:hAnsi="Times New Roman" w:cs="Times New Roman"/>
          <w:b/>
          <w:bCs/>
          <w:sz w:val="24"/>
          <w:szCs w:val="24"/>
        </w:rPr>
      </w:pPr>
      <w:r>
        <w:rPr>
          <w:rFonts w:ascii="Times New Roman" w:hAnsi="Times New Roman" w:cs="Times New Roman"/>
          <w:b/>
          <w:bCs/>
          <w:sz w:val="24"/>
          <w:szCs w:val="24"/>
        </w:rPr>
        <w:t>References</w:t>
      </w:r>
    </w:p>
    <w:p w14:paraId="774C500E" w14:textId="77777777" w:rsidR="00AA4909" w:rsidRDefault="00AA4909">
      <w:pPr>
        <w:pStyle w:val="ListParagraph"/>
        <w:rPr>
          <w:rFonts w:ascii="Times New Roman" w:hAnsi="Times New Roman" w:cs="Times New Roman"/>
          <w:b/>
          <w:bCs/>
          <w:sz w:val="24"/>
          <w:szCs w:val="24"/>
        </w:rPr>
      </w:pPr>
    </w:p>
    <w:p w14:paraId="45A81342" w14:textId="77777777" w:rsidR="00AA4909" w:rsidRDefault="00AA4909">
      <w:pPr>
        <w:rPr>
          <w:rFonts w:ascii="Times New Roman" w:hAnsi="Times New Roman" w:cs="Times New Roman"/>
          <w:sz w:val="24"/>
          <w:szCs w:val="24"/>
        </w:rPr>
      </w:pPr>
    </w:p>
    <w:p w14:paraId="3AB2849F" w14:textId="77777777" w:rsidR="00C72677" w:rsidRPr="00A97923" w:rsidRDefault="00C72677" w:rsidP="00C72677">
      <w:pPr>
        <w:pStyle w:val="ListParagraph"/>
        <w:numPr>
          <w:ilvl w:val="0"/>
          <w:numId w:val="14"/>
        </w:numPr>
        <w:rPr>
          <w:rFonts w:ascii="Times New Roman" w:hAnsi="Times New Roman" w:cs="Times New Roman"/>
          <w:sz w:val="24"/>
          <w:szCs w:val="24"/>
        </w:rPr>
      </w:pPr>
      <w:r w:rsidRPr="00343CC2">
        <w:rPr>
          <w:rFonts w:ascii="Times New Roman" w:hAnsi="Times New Roman" w:cs="Times New Roman"/>
          <w:sz w:val="24"/>
          <w:szCs w:val="24"/>
        </w:rPr>
        <w:t xml:space="preserve">Akhter Lone P, Ahmed </w:t>
      </w:r>
      <w:proofErr w:type="spellStart"/>
      <w:r w:rsidRPr="00343CC2">
        <w:rPr>
          <w:rFonts w:ascii="Times New Roman" w:hAnsi="Times New Roman" w:cs="Times New Roman"/>
          <w:sz w:val="24"/>
          <w:szCs w:val="24"/>
        </w:rPr>
        <w:t>Wani</w:t>
      </w:r>
      <w:proofErr w:type="spellEnd"/>
      <w:r w:rsidRPr="00343CC2">
        <w:rPr>
          <w:rFonts w:ascii="Times New Roman" w:hAnsi="Times New Roman" w:cs="Times New Roman"/>
          <w:sz w:val="24"/>
          <w:szCs w:val="24"/>
        </w:rPr>
        <w:t xml:space="preserve"> N, Ahmed </w:t>
      </w:r>
      <w:proofErr w:type="spellStart"/>
      <w:r w:rsidRPr="00343CC2">
        <w:rPr>
          <w:rFonts w:ascii="Times New Roman" w:hAnsi="Times New Roman" w:cs="Times New Roman"/>
          <w:sz w:val="24"/>
          <w:szCs w:val="24"/>
        </w:rPr>
        <w:t>Janbaz</w:t>
      </w:r>
      <w:proofErr w:type="spellEnd"/>
      <w:r w:rsidRPr="00343CC2">
        <w:rPr>
          <w:rFonts w:ascii="Times New Roman" w:hAnsi="Times New Roman" w:cs="Times New Roman"/>
          <w:sz w:val="24"/>
          <w:szCs w:val="24"/>
        </w:rPr>
        <w:t xml:space="preserve"> Z, Bibi M, Kour A. Topical 5-fluorouracil application in management of odontogenic </w:t>
      </w:r>
      <w:proofErr w:type="spellStart"/>
      <w:r w:rsidRPr="00343CC2">
        <w:rPr>
          <w:rFonts w:ascii="Times New Roman" w:hAnsi="Times New Roman" w:cs="Times New Roman"/>
          <w:sz w:val="24"/>
          <w:szCs w:val="24"/>
        </w:rPr>
        <w:t>keratocysts</w:t>
      </w:r>
      <w:proofErr w:type="spellEnd"/>
      <w:r w:rsidRPr="00343CC2">
        <w:rPr>
          <w:rFonts w:ascii="Times New Roman" w:hAnsi="Times New Roman" w:cs="Times New Roman"/>
          <w:sz w:val="24"/>
          <w:szCs w:val="24"/>
        </w:rPr>
        <w:t xml:space="preserve">. J Oral Biol </w:t>
      </w:r>
      <w:proofErr w:type="spellStart"/>
      <w:r w:rsidRPr="00343CC2">
        <w:rPr>
          <w:rFonts w:ascii="Times New Roman" w:hAnsi="Times New Roman" w:cs="Times New Roman"/>
          <w:sz w:val="24"/>
          <w:szCs w:val="24"/>
        </w:rPr>
        <w:t>Craniofac</w:t>
      </w:r>
      <w:proofErr w:type="spellEnd"/>
      <w:r w:rsidRPr="00343CC2">
        <w:rPr>
          <w:rFonts w:ascii="Times New Roman" w:hAnsi="Times New Roman" w:cs="Times New Roman"/>
          <w:sz w:val="24"/>
          <w:szCs w:val="24"/>
        </w:rPr>
        <w:t xml:space="preserve"> Res. 2020 Oct-Dec;10(4):404-406. </w:t>
      </w:r>
      <w:proofErr w:type="spellStart"/>
      <w:r w:rsidRPr="00343CC2">
        <w:rPr>
          <w:rFonts w:ascii="Times New Roman" w:hAnsi="Times New Roman" w:cs="Times New Roman"/>
          <w:sz w:val="24"/>
          <w:szCs w:val="24"/>
        </w:rPr>
        <w:t>doi</w:t>
      </w:r>
      <w:proofErr w:type="spellEnd"/>
      <w:r w:rsidRPr="00343CC2">
        <w:rPr>
          <w:rFonts w:ascii="Times New Roman" w:hAnsi="Times New Roman" w:cs="Times New Roman"/>
          <w:sz w:val="24"/>
          <w:szCs w:val="24"/>
        </w:rPr>
        <w:t xml:space="preserve">: 10.1016/j.jobcr.2020.07.008. </w:t>
      </w:r>
      <w:proofErr w:type="spellStart"/>
      <w:r w:rsidRPr="00343CC2">
        <w:rPr>
          <w:rFonts w:ascii="Times New Roman" w:hAnsi="Times New Roman" w:cs="Times New Roman"/>
          <w:sz w:val="24"/>
          <w:szCs w:val="24"/>
        </w:rPr>
        <w:t>Epub</w:t>
      </w:r>
      <w:proofErr w:type="spellEnd"/>
      <w:r w:rsidRPr="00343CC2">
        <w:rPr>
          <w:rFonts w:ascii="Times New Roman" w:hAnsi="Times New Roman" w:cs="Times New Roman"/>
          <w:sz w:val="24"/>
          <w:szCs w:val="24"/>
        </w:rPr>
        <w:t xml:space="preserve"> 2020 Jul 22. PMID: 32775182; PMCID: PMC7394907.</w:t>
      </w:r>
    </w:p>
    <w:p w14:paraId="48B3DDFE"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Abdullah WA. Surgical treatment of keratocystic odontogenic tumour: A review article. Sa</w:t>
      </w:r>
      <w:r>
        <w:rPr>
          <w:rFonts w:ascii="Times New Roman" w:hAnsi="Times New Roman" w:cs="Times New Roman"/>
          <w:sz w:val="24"/>
          <w:szCs w:val="24"/>
        </w:rPr>
        <w:t>udi Dent J. 2011 Apr;23(2):61-5. doi: 10.1016/j.sdentj.2011.01.002. Epub 2011 Jan 28. PMID: 24151416; PMCID: PMC3770236.</w:t>
      </w:r>
    </w:p>
    <w:p w14:paraId="37582853"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Barua CG, Ali I, Tripathi A, Malakar A, Singha PK. The Role of 5-Fluorouracil in Preventing Recurrence After Enucleation of Odontogenic</w:t>
      </w:r>
      <w:r>
        <w:rPr>
          <w:rFonts w:ascii="Times New Roman" w:hAnsi="Times New Roman" w:cs="Times New Roman"/>
          <w:sz w:val="24"/>
          <w:szCs w:val="24"/>
        </w:rPr>
        <w:t xml:space="preserve"> Keratocyst: A Case Report. Cureus. 2023 Sep 6;15(9):e44777. doi: 10.7759/cureus.44777. PMID: 37809265; PMCID: PMC10558008.</w:t>
      </w:r>
    </w:p>
    <w:p w14:paraId="4C0FC3D4"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Khan AA, Qahtani SA, Dawasaz AA, Saquib SA, Asif SM, Ishfaq M, Kota MZ, Ibrahim M. Management of an extensive odontogenic keratocyst</w:t>
      </w:r>
      <w:r>
        <w:rPr>
          <w:rFonts w:ascii="Times New Roman" w:hAnsi="Times New Roman" w:cs="Times New Roman"/>
          <w:sz w:val="24"/>
          <w:szCs w:val="24"/>
        </w:rPr>
        <w:t>: A rare case report with 10-year follow-up. Medicine (Baltimore). 2019 Dec;98(51):e17987. doi: 10.1097/MD.0000000000017987. PMID: 31860950; PMCID: PMC6940056.</w:t>
      </w:r>
    </w:p>
    <w:p w14:paraId="0054D323" w14:textId="6E0015CA" w:rsidR="00C72677" w:rsidRPr="00A97923" w:rsidRDefault="00C72677" w:rsidP="00C72677">
      <w:pPr>
        <w:pStyle w:val="ListParagraph"/>
        <w:numPr>
          <w:ilvl w:val="0"/>
          <w:numId w:val="14"/>
        </w:numPr>
        <w:rPr>
          <w:rFonts w:ascii="Times New Roman" w:hAnsi="Times New Roman" w:cs="Times New Roman"/>
          <w:sz w:val="24"/>
          <w:szCs w:val="24"/>
        </w:rPr>
      </w:pPr>
      <w:bookmarkStart w:id="1" w:name="_Hlk204874649"/>
      <w:proofErr w:type="spellStart"/>
      <w:r w:rsidRPr="005F2374">
        <w:rPr>
          <w:rFonts w:ascii="Times New Roman" w:hAnsi="Times New Roman" w:cs="Times New Roman"/>
          <w:sz w:val="24"/>
          <w:szCs w:val="24"/>
        </w:rPr>
        <w:t>Bonanthaya</w:t>
      </w:r>
      <w:proofErr w:type="spellEnd"/>
      <w:r w:rsidRPr="005F2374">
        <w:rPr>
          <w:rFonts w:ascii="Times New Roman" w:hAnsi="Times New Roman" w:cs="Times New Roman"/>
          <w:sz w:val="24"/>
          <w:szCs w:val="24"/>
        </w:rPr>
        <w:t xml:space="preserve"> K, </w:t>
      </w:r>
      <w:proofErr w:type="spellStart"/>
      <w:r w:rsidRPr="005F2374">
        <w:rPr>
          <w:rFonts w:ascii="Times New Roman" w:hAnsi="Times New Roman" w:cs="Times New Roman"/>
          <w:sz w:val="24"/>
          <w:szCs w:val="24"/>
        </w:rPr>
        <w:t>Panneerselvam</w:t>
      </w:r>
      <w:proofErr w:type="spellEnd"/>
      <w:r w:rsidRPr="005F2374">
        <w:rPr>
          <w:rFonts w:ascii="Times New Roman" w:hAnsi="Times New Roman" w:cs="Times New Roman"/>
          <w:sz w:val="24"/>
          <w:szCs w:val="24"/>
        </w:rPr>
        <w:t xml:space="preserve"> E, Manuel S, Kumar VV, Rai A, editors. </w:t>
      </w:r>
      <w:r w:rsidRPr="005F2374">
        <w:rPr>
          <w:rFonts w:ascii="Times New Roman" w:hAnsi="Times New Roman" w:cs="Times New Roman"/>
          <w:i/>
          <w:iCs/>
          <w:sz w:val="24"/>
          <w:szCs w:val="24"/>
        </w:rPr>
        <w:t>Oral and Maxillofacial Surgery for the Clinician</w:t>
      </w:r>
      <w:r w:rsidRPr="005F2374">
        <w:rPr>
          <w:rFonts w:ascii="Times New Roman" w:hAnsi="Times New Roman" w:cs="Times New Roman"/>
          <w:sz w:val="24"/>
          <w:szCs w:val="24"/>
        </w:rPr>
        <w:t>. Singapore: Springer; 2021. ISBN 978</w:t>
      </w:r>
      <w:r w:rsidRPr="005F2374">
        <w:rPr>
          <w:rFonts w:ascii="Times New Roman" w:hAnsi="Times New Roman" w:cs="Times New Roman"/>
          <w:sz w:val="24"/>
          <w:szCs w:val="24"/>
        </w:rPr>
        <w:noBreakHyphen/>
        <w:t>981</w:t>
      </w:r>
      <w:r w:rsidRPr="005F2374">
        <w:rPr>
          <w:rFonts w:ascii="Times New Roman" w:hAnsi="Times New Roman" w:cs="Times New Roman"/>
          <w:sz w:val="24"/>
          <w:szCs w:val="24"/>
        </w:rPr>
        <w:noBreakHyphen/>
        <w:t>15</w:t>
      </w:r>
      <w:r w:rsidRPr="005F2374">
        <w:rPr>
          <w:rFonts w:ascii="Times New Roman" w:hAnsi="Times New Roman" w:cs="Times New Roman"/>
          <w:sz w:val="24"/>
          <w:szCs w:val="24"/>
        </w:rPr>
        <w:noBreakHyphen/>
        <w:t>1345</w:t>
      </w:r>
      <w:r w:rsidRPr="005F2374">
        <w:rPr>
          <w:rFonts w:ascii="Times New Roman" w:hAnsi="Times New Roman" w:cs="Times New Roman"/>
          <w:sz w:val="24"/>
          <w:szCs w:val="24"/>
        </w:rPr>
        <w:noBreakHyphen/>
        <w:t>9 (print); 978</w:t>
      </w:r>
      <w:r w:rsidRPr="005F2374">
        <w:rPr>
          <w:rFonts w:ascii="Times New Roman" w:hAnsi="Times New Roman" w:cs="Times New Roman"/>
          <w:sz w:val="24"/>
          <w:szCs w:val="24"/>
        </w:rPr>
        <w:noBreakHyphen/>
        <w:t>981</w:t>
      </w:r>
      <w:r w:rsidRPr="005F2374">
        <w:rPr>
          <w:rFonts w:ascii="Times New Roman" w:hAnsi="Times New Roman" w:cs="Times New Roman"/>
          <w:sz w:val="24"/>
          <w:szCs w:val="24"/>
        </w:rPr>
        <w:noBreakHyphen/>
        <w:t>15</w:t>
      </w:r>
      <w:r w:rsidRPr="005F2374">
        <w:rPr>
          <w:rFonts w:ascii="Times New Roman" w:hAnsi="Times New Roman" w:cs="Times New Roman"/>
          <w:sz w:val="24"/>
          <w:szCs w:val="24"/>
        </w:rPr>
        <w:noBreakHyphen/>
        <w:t>1346</w:t>
      </w:r>
      <w:r w:rsidRPr="005F2374">
        <w:rPr>
          <w:rFonts w:ascii="Times New Roman" w:hAnsi="Times New Roman" w:cs="Times New Roman"/>
          <w:sz w:val="24"/>
          <w:szCs w:val="24"/>
        </w:rPr>
        <w:noBreakHyphen/>
        <w:t>6 (e</w:t>
      </w:r>
      <w:r w:rsidRPr="005F2374">
        <w:rPr>
          <w:rFonts w:ascii="Times New Roman" w:hAnsi="Times New Roman" w:cs="Times New Roman"/>
          <w:sz w:val="24"/>
          <w:szCs w:val="24"/>
        </w:rPr>
        <w:noBreakHyphen/>
        <w:t xml:space="preserve">book). Available from: </w:t>
      </w:r>
      <w:r w:rsidRPr="00343CC2">
        <w:rPr>
          <w:rFonts w:ascii="Times New Roman" w:hAnsi="Times New Roman" w:cs="Times New Roman"/>
          <w:sz w:val="24"/>
          <w:szCs w:val="24"/>
        </w:rPr>
        <w:t>Chapter (</w:t>
      </w:r>
      <w:r>
        <w:rPr>
          <w:rFonts w:ascii="Times New Roman" w:hAnsi="Times New Roman" w:cs="Times New Roman"/>
          <w:sz w:val="24"/>
          <w:szCs w:val="24"/>
        </w:rPr>
        <w:t>11</w:t>
      </w:r>
      <w:r w:rsidRPr="00343CC2">
        <w:rPr>
          <w:rFonts w:ascii="Times New Roman" w:hAnsi="Times New Roman" w:cs="Times New Roman"/>
          <w:sz w:val="24"/>
          <w:szCs w:val="24"/>
        </w:rPr>
        <w:t xml:space="preserve">) </w:t>
      </w:r>
      <w:hyperlink r:id="rId38" w:tgtFrame="_new" w:history="1">
        <w:r w:rsidRPr="005F2374">
          <w:rPr>
            <w:rStyle w:val="Hyperlink"/>
            <w:rFonts w:ascii="Times New Roman" w:hAnsi="Times New Roman" w:cs="Times New Roman"/>
            <w:sz w:val="24"/>
            <w:szCs w:val="24"/>
          </w:rPr>
          <w:t>https://doi.org/10.1007/978</w:t>
        </w:r>
        <w:r w:rsidRPr="005F2374">
          <w:rPr>
            <w:rStyle w:val="Hyperlink"/>
            <w:rFonts w:ascii="Times New Roman" w:hAnsi="Times New Roman" w:cs="Times New Roman"/>
            <w:sz w:val="24"/>
            <w:szCs w:val="24"/>
          </w:rPr>
          <w:noBreakHyphen/>
          <w:t>981</w:t>
        </w:r>
        <w:r w:rsidRPr="005F2374">
          <w:rPr>
            <w:rStyle w:val="Hyperlink"/>
            <w:rFonts w:ascii="Times New Roman" w:hAnsi="Times New Roman" w:cs="Times New Roman"/>
            <w:sz w:val="24"/>
            <w:szCs w:val="24"/>
          </w:rPr>
          <w:noBreakHyphen/>
          <w:t>15</w:t>
        </w:r>
        <w:r w:rsidRPr="005F2374">
          <w:rPr>
            <w:rStyle w:val="Hyperlink"/>
            <w:rFonts w:ascii="Times New Roman" w:hAnsi="Times New Roman" w:cs="Times New Roman"/>
            <w:sz w:val="24"/>
            <w:szCs w:val="24"/>
          </w:rPr>
          <w:noBreakHyphen/>
          <w:t>1346</w:t>
        </w:r>
        <w:r w:rsidRPr="005F2374">
          <w:rPr>
            <w:rStyle w:val="Hyperlink"/>
            <w:rFonts w:ascii="Times New Roman" w:hAnsi="Times New Roman" w:cs="Times New Roman"/>
            <w:sz w:val="24"/>
            <w:szCs w:val="24"/>
          </w:rPr>
          <w:noBreakHyphen/>
          <w:t>6</w:t>
        </w:r>
      </w:hyperlink>
      <w:r w:rsidRPr="005F2374">
        <w:rPr>
          <w:rFonts w:ascii="Times New Roman" w:hAnsi="Times New Roman" w:cs="Times New Roman"/>
          <w:sz w:val="24"/>
          <w:szCs w:val="24"/>
        </w:rPr>
        <w:t> </w:t>
      </w:r>
      <w:r>
        <w:rPr>
          <w:rFonts w:ascii="Times New Roman" w:hAnsi="Times New Roman" w:cs="Times New Roman"/>
          <w:sz w:val="24"/>
          <w:szCs w:val="24"/>
        </w:rPr>
        <w:t>.</w:t>
      </w:r>
      <w:r w:rsidRPr="00343CC2">
        <w:rPr>
          <w:rFonts w:ascii="Times New Roman" w:hAnsi="Times New Roman" w:cs="Times New Roman"/>
          <w:sz w:val="24"/>
          <w:szCs w:val="24"/>
        </w:rPr>
        <w:t xml:space="preserve"> </w:t>
      </w:r>
    </w:p>
    <w:bookmarkEnd w:id="1"/>
    <w:p w14:paraId="74CEC5F7" w14:textId="3BE9A0AF" w:rsidR="00AA4909" w:rsidRPr="00C72677" w:rsidRDefault="00812C84" w:rsidP="00C72677">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C72677">
        <w:rPr>
          <w:rFonts w:ascii="Times New Roman" w:hAnsi="Times New Roman" w:cs="Times New Roman"/>
          <w:sz w:val="24"/>
          <w:szCs w:val="24"/>
        </w:rPr>
        <w:t>Ledderhof</w:t>
      </w:r>
      <w:proofErr w:type="spellEnd"/>
      <w:r w:rsidRPr="00C72677">
        <w:rPr>
          <w:rFonts w:ascii="Times New Roman" w:hAnsi="Times New Roman" w:cs="Times New Roman"/>
          <w:sz w:val="24"/>
          <w:szCs w:val="24"/>
        </w:rPr>
        <w:t xml:space="preserve"> NJ, </w:t>
      </w:r>
      <w:proofErr w:type="spellStart"/>
      <w:r w:rsidRPr="00C72677">
        <w:rPr>
          <w:rFonts w:ascii="Times New Roman" w:hAnsi="Times New Roman" w:cs="Times New Roman"/>
          <w:sz w:val="24"/>
          <w:szCs w:val="24"/>
        </w:rPr>
        <w:t>Caminiti</w:t>
      </w:r>
      <w:proofErr w:type="spellEnd"/>
      <w:r w:rsidRPr="00C72677">
        <w:rPr>
          <w:rFonts w:ascii="Times New Roman" w:hAnsi="Times New Roman" w:cs="Times New Roman"/>
          <w:sz w:val="24"/>
          <w:szCs w:val="24"/>
        </w:rPr>
        <w:t xml:space="preserve"> MF, Bradley G, Lam DK. Topical 5-Fluorouracil is a Novel Targeted Therapy for the Keratocystic Odontogenic Tumor. J Oral Maxillofac Surg. 2017 </w:t>
      </w:r>
      <w:r w:rsidRPr="00C72677">
        <w:rPr>
          <w:rFonts w:ascii="Times New Roman" w:hAnsi="Times New Roman" w:cs="Times New Roman"/>
          <w:sz w:val="24"/>
          <w:szCs w:val="24"/>
        </w:rPr>
        <w:lastRenderedPageBreak/>
        <w:t>Mar;75(3):514-524. doi: 10.1016/j.joms.2016.</w:t>
      </w:r>
      <w:r w:rsidRPr="00C72677">
        <w:rPr>
          <w:rFonts w:ascii="Times New Roman" w:hAnsi="Times New Roman" w:cs="Times New Roman"/>
          <w:sz w:val="24"/>
          <w:szCs w:val="24"/>
        </w:rPr>
        <w:t>09.039. Epub 2016 Sep 30. PMID: 27789270.</w:t>
      </w:r>
    </w:p>
    <w:p w14:paraId="3B8D8F3D" w14:textId="77777777" w:rsidR="00AA4909" w:rsidRDefault="00812C84">
      <w:pPr>
        <w:pStyle w:val="ListParagraph"/>
        <w:numPr>
          <w:ilvl w:val="0"/>
          <w:numId w:val="14"/>
        </w:numPr>
        <w:rPr>
          <w:rFonts w:ascii="Times New Roman" w:hAnsi="Times New Roman" w:cs="Times New Roman"/>
          <w:sz w:val="24"/>
          <w:szCs w:val="24"/>
        </w:rPr>
      </w:pPr>
      <w:r>
        <w:rPr>
          <w:rFonts w:ascii="Times New Roman" w:hAnsi="Times New Roman" w:cs="Times New Roman"/>
          <w:sz w:val="24"/>
          <w:szCs w:val="24"/>
        </w:rPr>
        <w:t>Eid MK, Alqhtani NR, Atef AM, Sakka S. Application of topical 5-Fluorouracil to reduce the recurrence of odontogenic keratocyst: A prospective study with 2-year follow-up. Curr Probl Surg. 2024 Sep;61(9):101558. do</w:t>
      </w:r>
      <w:r>
        <w:rPr>
          <w:rFonts w:ascii="Times New Roman" w:hAnsi="Times New Roman" w:cs="Times New Roman"/>
          <w:sz w:val="24"/>
          <w:szCs w:val="24"/>
        </w:rPr>
        <w:t>i: 10.1016/j.cpsurg.2024.101558. Epub 2024 Jul 18. PMID: 39168535.</w:t>
      </w:r>
    </w:p>
    <w:p w14:paraId="40BCF066" w14:textId="77777777" w:rsidR="00AA4909" w:rsidRDefault="00812C84">
      <w:pPr>
        <w:pStyle w:val="ListParagraph"/>
        <w:numPr>
          <w:ilvl w:val="0"/>
          <w:numId w:val="14"/>
        </w:numPr>
        <w:tabs>
          <w:tab w:val="left" w:pos="810"/>
        </w:tabs>
        <w:spacing w:after="0" w:line="240" w:lineRule="auto"/>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Jacobs T, Patil D, Shanti R, Ziccardi VB. Comparing 5-Fluorouracil Versus Modified Carnoy's Solution for the Treatment of Odontogenic Keratocysts: A Systematic Review </w:t>
      </w:r>
    </w:p>
    <w:p w14:paraId="2B5F5FB5" w14:textId="77777777" w:rsidR="00AA4909" w:rsidRDefault="00812C84">
      <w:pPr>
        <w:tabs>
          <w:tab w:val="left" w:pos="810"/>
        </w:tabs>
        <w:spacing w:after="0" w:line="240" w:lineRule="auto"/>
        <w:ind w:left="720" w:hanging="720"/>
        <w:rPr>
          <w:rFonts w:ascii="Times New Roman" w:eastAsia="Times New Roman" w:hAnsi="Times New Roman" w:cs="Times New Roman"/>
          <w:kern w:val="0"/>
          <w:sz w:val="24"/>
          <w:szCs w:val="24"/>
          <w:lang w:bidi="mr-IN"/>
          <w14:ligatures w14:val="none"/>
        </w:rPr>
      </w:pPr>
      <w:r>
        <w:rPr>
          <w:rFonts w:ascii="Times New Roman" w:eastAsia="Times New Roman" w:hAnsi="Times New Roman" w:cs="Times New Roman"/>
          <w:kern w:val="0"/>
          <w:sz w:val="24"/>
          <w:szCs w:val="24"/>
          <w:lang w:bidi="mr-IN"/>
          <w14:ligatures w14:val="none"/>
        </w:rPr>
        <w:t xml:space="preserve">            and Meta-</w:t>
      </w:r>
      <w:r>
        <w:rPr>
          <w:rFonts w:ascii="Times New Roman" w:eastAsia="Times New Roman" w:hAnsi="Times New Roman" w:cs="Times New Roman"/>
          <w:kern w:val="0"/>
          <w:sz w:val="24"/>
          <w:szCs w:val="24"/>
          <w:lang w:bidi="mr-IN"/>
          <w14:ligatures w14:val="none"/>
        </w:rPr>
        <w:t>Analysis. J Oral Maxillofac Surg. 2024 Nov;82(11):1433-1440. doi:    10.1016/j.joms.2024.06.181. Epub 2024 Jul 5. PMID: 39038594.</w:t>
      </w:r>
    </w:p>
    <w:p w14:paraId="04E776C1" w14:textId="77777777" w:rsidR="00AA4909" w:rsidRDefault="00812C84">
      <w:pPr>
        <w:pStyle w:val="font-sans"/>
        <w:numPr>
          <w:ilvl w:val="0"/>
          <w:numId w:val="14"/>
        </w:numPr>
        <w:spacing w:before="0" w:beforeAutospacing="0" w:after="0" w:afterAutospacing="0" w:line="300" w:lineRule="atLeast"/>
        <w:rPr>
          <w:rStyle w:val="Strong"/>
          <w:b w:val="0"/>
          <w:bCs w:val="0"/>
        </w:rPr>
      </w:pPr>
      <w:r>
        <w:t>Tiwari P, Bera RN, and Chauhan N. What is the Optimal Reconstructive Option for Oral Submucous Fibrosis? A Systematic Review a</w:t>
      </w:r>
      <w:r>
        <w:t>nd Meta-analysis of Buccal Pad of Fat Versus Conventional Nasolabial and Extended Nasolabial Flap Versus Platysma Myocutaneous Flap. J Maxillofac Oral Surg. 2020 Dec;19(4):490-497. doi: 10.1007/s12663-020-01373-4. Epub 2020 May 5. PMID: 33071494; PMCID: PM</w:t>
      </w:r>
      <w:r>
        <w:t>C7524926.</w:t>
      </w:r>
    </w:p>
    <w:p w14:paraId="4BA86C14" w14:textId="77777777" w:rsidR="00C72677" w:rsidRDefault="00C72677" w:rsidP="00C72677">
      <w:pPr>
        <w:pStyle w:val="font-sans"/>
        <w:numPr>
          <w:ilvl w:val="0"/>
          <w:numId w:val="14"/>
        </w:numPr>
        <w:spacing w:before="0" w:beforeAutospacing="0" w:after="0" w:afterAutospacing="0" w:line="300" w:lineRule="atLeast"/>
        <w:rPr>
          <w:rStyle w:val="Strong"/>
          <w:b w:val="0"/>
          <w:bCs w:val="0"/>
        </w:rPr>
      </w:pPr>
      <w:r w:rsidRPr="00343CC2">
        <w:t xml:space="preserve">Wright H, Stephan S, Netterville J. </w:t>
      </w:r>
      <w:r w:rsidRPr="00343CC2">
        <w:rPr>
          <w:b/>
          <w:bCs/>
        </w:rPr>
        <w:t>Nasolabial flap for oral cavity reconstruction</w:t>
      </w:r>
      <w:r w:rsidRPr="00343CC2">
        <w:t xml:space="preserve">. In: Fagan JJ, editor. </w:t>
      </w:r>
      <w:r w:rsidRPr="00343CC2">
        <w:rPr>
          <w:i/>
          <w:iCs/>
        </w:rPr>
        <w:t>Open Access Atlas of Otolaryngology, Head &amp; Neck Operative Surgery</w:t>
      </w:r>
      <w:r w:rsidRPr="00343CC2">
        <w:t xml:space="preserve"> [Internet]. Cape Town: J. Fagan; [cited 2025 Jul 18]. Available from: https://www.entdev.uct.ac.za</w:t>
      </w:r>
    </w:p>
    <w:p w14:paraId="6A8554BE" w14:textId="3293FD0A" w:rsidR="00AA4909" w:rsidRDefault="00812C84" w:rsidP="00C72677">
      <w:pPr>
        <w:pStyle w:val="font-sans"/>
        <w:numPr>
          <w:ilvl w:val="0"/>
          <w:numId w:val="14"/>
        </w:numPr>
        <w:spacing w:before="0" w:beforeAutospacing="0" w:after="0" w:afterAutospacing="0" w:line="300" w:lineRule="atLeast"/>
      </w:pPr>
      <w:r>
        <w:t>Singh S, Singh RK, Pandey M. Nasolabial flap reconstruction for oral cancer. World J Surg Oncol. 2012 Oct 30;10:227. doi: 10.1186/1477-7819-10-227. PMID: 23</w:t>
      </w:r>
      <w:r>
        <w:t>110587; PMCID: PMC3544680.</w:t>
      </w:r>
    </w:p>
    <w:p w14:paraId="1810FAC2"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5E709002"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1F518B06"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164F270B"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75999DDF"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214A5BCA" w14:textId="77777777" w:rsidR="00AA4909" w:rsidRDefault="00AA4909">
      <w:pPr>
        <w:spacing w:after="0" w:line="240" w:lineRule="auto"/>
        <w:rPr>
          <w:rFonts w:ascii="Times New Roman" w:eastAsia="Times New Roman" w:hAnsi="Times New Roman" w:cs="Times New Roman"/>
          <w:kern w:val="0"/>
          <w:sz w:val="24"/>
          <w:szCs w:val="24"/>
          <w:lang w:bidi="mr-IN"/>
          <w14:ligatures w14:val="none"/>
        </w:rPr>
      </w:pPr>
    </w:p>
    <w:p w14:paraId="3CB01DE3" w14:textId="77777777" w:rsidR="00AA4909" w:rsidRDefault="00AA4909">
      <w:pPr>
        <w:pStyle w:val="ListParagraph"/>
        <w:rPr>
          <w:rFonts w:ascii="Times New Roman" w:hAnsi="Times New Roman" w:cs="Times New Roman"/>
          <w:sz w:val="24"/>
          <w:szCs w:val="24"/>
        </w:rPr>
      </w:pPr>
    </w:p>
    <w:sectPr w:rsidR="00AA4909">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956C1A" w14:textId="77777777" w:rsidR="00812C84" w:rsidRDefault="00812C84">
      <w:pPr>
        <w:spacing w:after="0" w:line="240" w:lineRule="auto"/>
      </w:pPr>
      <w:r>
        <w:separator/>
      </w:r>
    </w:p>
  </w:endnote>
  <w:endnote w:type="continuationSeparator" w:id="0">
    <w:p w14:paraId="07E8B2DA" w14:textId="77777777" w:rsidR="00812C84" w:rsidRDefault="00812C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C38AA" w14:textId="77777777" w:rsidR="00AA4909" w:rsidRDefault="00AA490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B25C2" w14:textId="77777777" w:rsidR="00AA4909" w:rsidRDefault="00AA490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00514" w14:textId="77777777" w:rsidR="00AA4909" w:rsidRDefault="00AA490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3D3A28" w14:textId="77777777" w:rsidR="00812C84" w:rsidRDefault="00812C84">
      <w:pPr>
        <w:spacing w:after="0" w:line="240" w:lineRule="auto"/>
      </w:pPr>
      <w:r>
        <w:separator/>
      </w:r>
    </w:p>
  </w:footnote>
  <w:footnote w:type="continuationSeparator" w:id="0">
    <w:p w14:paraId="2A2C4B30" w14:textId="77777777" w:rsidR="00812C84" w:rsidRDefault="00812C8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219F60" w14:textId="77777777" w:rsidR="00AA4909" w:rsidRDefault="00812C84">
    <w:pPr>
      <w:pStyle w:val="Header"/>
    </w:pPr>
    <w:r>
      <w:rPr>
        <w:noProof/>
      </w:rPr>
      <w:pict w14:anchorId="0EFAB7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1"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8D85E1" w14:textId="77777777" w:rsidR="00AA4909" w:rsidRDefault="00812C84">
    <w:pPr>
      <w:pStyle w:val="Header"/>
    </w:pPr>
    <w:r>
      <w:rPr>
        <w:noProof/>
      </w:rPr>
      <w:pict w14:anchorId="4359A2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2"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EF1D5" w14:textId="77777777" w:rsidR="00AA4909" w:rsidRDefault="00812C84">
    <w:pPr>
      <w:pStyle w:val="Header"/>
    </w:pPr>
    <w:r>
      <w:rPr>
        <w:noProof/>
      </w:rPr>
      <w:pict w14:anchorId="60C7B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2596500"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C3E6F"/>
    <w:multiLevelType w:val="hybridMultilevel"/>
    <w:tmpl w:val="E4DC7E02"/>
    <w:lvl w:ilvl="0" w:tplc="DC6470D4">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 w15:restartNumberingAfterBreak="0">
    <w:nsid w:val="14E3734A"/>
    <w:multiLevelType w:val="hybridMultilevel"/>
    <w:tmpl w:val="49162146"/>
    <w:lvl w:ilvl="0" w:tplc="4CF0EB2A">
      <w:start w:val="1"/>
      <w:numFmt w:val="lowerLetter"/>
      <w:lvlText w:val="(%1)"/>
      <w:lvlJc w:val="left"/>
      <w:pPr>
        <w:ind w:left="1956" w:hanging="360"/>
      </w:pPr>
      <w:rPr>
        <w:rFonts w:hint="default"/>
      </w:rPr>
    </w:lvl>
    <w:lvl w:ilvl="1" w:tplc="04090019" w:tentative="1">
      <w:start w:val="1"/>
      <w:numFmt w:val="lowerLetter"/>
      <w:lvlText w:val="%2."/>
      <w:lvlJc w:val="left"/>
      <w:pPr>
        <w:ind w:left="2676" w:hanging="360"/>
      </w:pPr>
    </w:lvl>
    <w:lvl w:ilvl="2" w:tplc="0409001B" w:tentative="1">
      <w:start w:val="1"/>
      <w:numFmt w:val="lowerRoman"/>
      <w:lvlText w:val="%3."/>
      <w:lvlJc w:val="right"/>
      <w:pPr>
        <w:ind w:left="3396" w:hanging="180"/>
      </w:pPr>
    </w:lvl>
    <w:lvl w:ilvl="3" w:tplc="0409000F" w:tentative="1">
      <w:start w:val="1"/>
      <w:numFmt w:val="decimal"/>
      <w:lvlText w:val="%4."/>
      <w:lvlJc w:val="left"/>
      <w:pPr>
        <w:ind w:left="4116" w:hanging="360"/>
      </w:pPr>
    </w:lvl>
    <w:lvl w:ilvl="4" w:tplc="04090019" w:tentative="1">
      <w:start w:val="1"/>
      <w:numFmt w:val="lowerLetter"/>
      <w:lvlText w:val="%5."/>
      <w:lvlJc w:val="left"/>
      <w:pPr>
        <w:ind w:left="4836" w:hanging="360"/>
      </w:pPr>
    </w:lvl>
    <w:lvl w:ilvl="5" w:tplc="0409001B" w:tentative="1">
      <w:start w:val="1"/>
      <w:numFmt w:val="lowerRoman"/>
      <w:lvlText w:val="%6."/>
      <w:lvlJc w:val="right"/>
      <w:pPr>
        <w:ind w:left="5556" w:hanging="180"/>
      </w:pPr>
    </w:lvl>
    <w:lvl w:ilvl="6" w:tplc="0409000F" w:tentative="1">
      <w:start w:val="1"/>
      <w:numFmt w:val="decimal"/>
      <w:lvlText w:val="%7."/>
      <w:lvlJc w:val="left"/>
      <w:pPr>
        <w:ind w:left="6276" w:hanging="360"/>
      </w:pPr>
    </w:lvl>
    <w:lvl w:ilvl="7" w:tplc="04090019" w:tentative="1">
      <w:start w:val="1"/>
      <w:numFmt w:val="lowerLetter"/>
      <w:lvlText w:val="%8."/>
      <w:lvlJc w:val="left"/>
      <w:pPr>
        <w:ind w:left="6996" w:hanging="360"/>
      </w:pPr>
    </w:lvl>
    <w:lvl w:ilvl="8" w:tplc="0409001B" w:tentative="1">
      <w:start w:val="1"/>
      <w:numFmt w:val="lowerRoman"/>
      <w:lvlText w:val="%9."/>
      <w:lvlJc w:val="right"/>
      <w:pPr>
        <w:ind w:left="7716" w:hanging="180"/>
      </w:pPr>
    </w:lvl>
  </w:abstractNum>
  <w:abstractNum w:abstractNumId="2" w15:restartNumberingAfterBreak="0">
    <w:nsid w:val="178741A6"/>
    <w:multiLevelType w:val="hybridMultilevel"/>
    <w:tmpl w:val="D794F948"/>
    <w:lvl w:ilvl="0" w:tplc="D2B4F3F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3" w15:restartNumberingAfterBreak="0">
    <w:nsid w:val="1C040931"/>
    <w:multiLevelType w:val="multilevel"/>
    <w:tmpl w:val="7A9AC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DEE7C30"/>
    <w:multiLevelType w:val="hybridMultilevel"/>
    <w:tmpl w:val="C630CE38"/>
    <w:lvl w:ilvl="0" w:tplc="DFDA2F08">
      <w:start w:val="1"/>
      <w:numFmt w:val="lowerLetter"/>
      <w:lvlText w:val="(%1)"/>
      <w:lvlJc w:val="left"/>
      <w:pPr>
        <w:ind w:left="2244" w:hanging="360"/>
      </w:pPr>
      <w:rPr>
        <w:rFonts w:hint="default"/>
      </w:rPr>
    </w:lvl>
    <w:lvl w:ilvl="1" w:tplc="04090019" w:tentative="1">
      <w:start w:val="1"/>
      <w:numFmt w:val="lowerLetter"/>
      <w:lvlText w:val="%2."/>
      <w:lvlJc w:val="left"/>
      <w:pPr>
        <w:ind w:left="2964" w:hanging="360"/>
      </w:pPr>
    </w:lvl>
    <w:lvl w:ilvl="2" w:tplc="0409001B" w:tentative="1">
      <w:start w:val="1"/>
      <w:numFmt w:val="lowerRoman"/>
      <w:lvlText w:val="%3."/>
      <w:lvlJc w:val="right"/>
      <w:pPr>
        <w:ind w:left="3684" w:hanging="180"/>
      </w:pPr>
    </w:lvl>
    <w:lvl w:ilvl="3" w:tplc="0409000F" w:tentative="1">
      <w:start w:val="1"/>
      <w:numFmt w:val="decimal"/>
      <w:lvlText w:val="%4."/>
      <w:lvlJc w:val="left"/>
      <w:pPr>
        <w:ind w:left="4404" w:hanging="360"/>
      </w:pPr>
    </w:lvl>
    <w:lvl w:ilvl="4" w:tplc="04090019" w:tentative="1">
      <w:start w:val="1"/>
      <w:numFmt w:val="lowerLetter"/>
      <w:lvlText w:val="%5."/>
      <w:lvlJc w:val="left"/>
      <w:pPr>
        <w:ind w:left="5124" w:hanging="360"/>
      </w:pPr>
    </w:lvl>
    <w:lvl w:ilvl="5" w:tplc="0409001B" w:tentative="1">
      <w:start w:val="1"/>
      <w:numFmt w:val="lowerRoman"/>
      <w:lvlText w:val="%6."/>
      <w:lvlJc w:val="right"/>
      <w:pPr>
        <w:ind w:left="5844" w:hanging="180"/>
      </w:pPr>
    </w:lvl>
    <w:lvl w:ilvl="6" w:tplc="0409000F" w:tentative="1">
      <w:start w:val="1"/>
      <w:numFmt w:val="decimal"/>
      <w:lvlText w:val="%7."/>
      <w:lvlJc w:val="left"/>
      <w:pPr>
        <w:ind w:left="6564" w:hanging="360"/>
      </w:pPr>
    </w:lvl>
    <w:lvl w:ilvl="7" w:tplc="04090019" w:tentative="1">
      <w:start w:val="1"/>
      <w:numFmt w:val="lowerLetter"/>
      <w:lvlText w:val="%8."/>
      <w:lvlJc w:val="left"/>
      <w:pPr>
        <w:ind w:left="7284" w:hanging="360"/>
      </w:pPr>
    </w:lvl>
    <w:lvl w:ilvl="8" w:tplc="0409001B" w:tentative="1">
      <w:start w:val="1"/>
      <w:numFmt w:val="lowerRoman"/>
      <w:lvlText w:val="%9."/>
      <w:lvlJc w:val="right"/>
      <w:pPr>
        <w:ind w:left="8004" w:hanging="180"/>
      </w:pPr>
    </w:lvl>
  </w:abstractNum>
  <w:abstractNum w:abstractNumId="5" w15:restartNumberingAfterBreak="0">
    <w:nsid w:val="268E53B0"/>
    <w:multiLevelType w:val="hybridMultilevel"/>
    <w:tmpl w:val="1980C06C"/>
    <w:lvl w:ilvl="0" w:tplc="515480A0">
      <w:start w:val="1"/>
      <w:numFmt w:val="lowerLetter"/>
      <w:lvlText w:val="(%1)"/>
      <w:lvlJc w:val="left"/>
      <w:pPr>
        <w:ind w:left="2100" w:hanging="360"/>
      </w:pPr>
      <w:rPr>
        <w:rFonts w:hint="default"/>
      </w:rPr>
    </w:lvl>
    <w:lvl w:ilvl="1" w:tplc="04090019" w:tentative="1">
      <w:start w:val="1"/>
      <w:numFmt w:val="lowerLetter"/>
      <w:lvlText w:val="%2."/>
      <w:lvlJc w:val="left"/>
      <w:pPr>
        <w:ind w:left="2820" w:hanging="360"/>
      </w:pPr>
    </w:lvl>
    <w:lvl w:ilvl="2" w:tplc="0409001B" w:tentative="1">
      <w:start w:val="1"/>
      <w:numFmt w:val="lowerRoman"/>
      <w:lvlText w:val="%3."/>
      <w:lvlJc w:val="right"/>
      <w:pPr>
        <w:ind w:left="3540" w:hanging="180"/>
      </w:pPr>
    </w:lvl>
    <w:lvl w:ilvl="3" w:tplc="0409000F" w:tentative="1">
      <w:start w:val="1"/>
      <w:numFmt w:val="decimal"/>
      <w:lvlText w:val="%4."/>
      <w:lvlJc w:val="left"/>
      <w:pPr>
        <w:ind w:left="4260" w:hanging="360"/>
      </w:pPr>
    </w:lvl>
    <w:lvl w:ilvl="4" w:tplc="04090019" w:tentative="1">
      <w:start w:val="1"/>
      <w:numFmt w:val="lowerLetter"/>
      <w:lvlText w:val="%5."/>
      <w:lvlJc w:val="left"/>
      <w:pPr>
        <w:ind w:left="4980" w:hanging="360"/>
      </w:pPr>
    </w:lvl>
    <w:lvl w:ilvl="5" w:tplc="0409001B" w:tentative="1">
      <w:start w:val="1"/>
      <w:numFmt w:val="lowerRoman"/>
      <w:lvlText w:val="%6."/>
      <w:lvlJc w:val="right"/>
      <w:pPr>
        <w:ind w:left="5700" w:hanging="180"/>
      </w:pPr>
    </w:lvl>
    <w:lvl w:ilvl="6" w:tplc="0409000F" w:tentative="1">
      <w:start w:val="1"/>
      <w:numFmt w:val="decimal"/>
      <w:lvlText w:val="%7."/>
      <w:lvlJc w:val="left"/>
      <w:pPr>
        <w:ind w:left="6420" w:hanging="360"/>
      </w:pPr>
    </w:lvl>
    <w:lvl w:ilvl="7" w:tplc="04090019" w:tentative="1">
      <w:start w:val="1"/>
      <w:numFmt w:val="lowerLetter"/>
      <w:lvlText w:val="%8."/>
      <w:lvlJc w:val="left"/>
      <w:pPr>
        <w:ind w:left="7140" w:hanging="360"/>
      </w:pPr>
    </w:lvl>
    <w:lvl w:ilvl="8" w:tplc="0409001B" w:tentative="1">
      <w:start w:val="1"/>
      <w:numFmt w:val="lowerRoman"/>
      <w:lvlText w:val="%9."/>
      <w:lvlJc w:val="right"/>
      <w:pPr>
        <w:ind w:left="7860" w:hanging="180"/>
      </w:pPr>
    </w:lvl>
  </w:abstractNum>
  <w:abstractNum w:abstractNumId="6" w15:restartNumberingAfterBreak="0">
    <w:nsid w:val="27157B60"/>
    <w:multiLevelType w:val="hybridMultilevel"/>
    <w:tmpl w:val="BB6810BC"/>
    <w:lvl w:ilvl="0" w:tplc="5CD27624">
      <w:start w:val="1"/>
      <w:numFmt w:val="bullet"/>
      <w:lvlText w:val="•"/>
      <w:lvlJc w:val="left"/>
      <w:pPr>
        <w:tabs>
          <w:tab w:val="num" w:pos="720"/>
        </w:tabs>
        <w:ind w:left="720" w:hanging="360"/>
      </w:pPr>
      <w:rPr>
        <w:rFonts w:ascii="Arial" w:hAnsi="Arial" w:hint="default"/>
      </w:rPr>
    </w:lvl>
    <w:lvl w:ilvl="1" w:tplc="A1048FE2">
      <w:start w:val="1"/>
      <w:numFmt w:val="bullet"/>
      <w:lvlText w:val="•"/>
      <w:lvlJc w:val="left"/>
      <w:pPr>
        <w:tabs>
          <w:tab w:val="num" w:pos="1440"/>
        </w:tabs>
        <w:ind w:left="1440" w:hanging="360"/>
      </w:pPr>
      <w:rPr>
        <w:rFonts w:ascii="Arial" w:hAnsi="Arial" w:hint="default"/>
      </w:rPr>
    </w:lvl>
    <w:lvl w:ilvl="2" w:tplc="5D5C18DA" w:tentative="1">
      <w:start w:val="1"/>
      <w:numFmt w:val="bullet"/>
      <w:lvlText w:val="•"/>
      <w:lvlJc w:val="left"/>
      <w:pPr>
        <w:tabs>
          <w:tab w:val="num" w:pos="2160"/>
        </w:tabs>
        <w:ind w:left="2160" w:hanging="360"/>
      </w:pPr>
      <w:rPr>
        <w:rFonts w:ascii="Arial" w:hAnsi="Arial" w:hint="default"/>
      </w:rPr>
    </w:lvl>
    <w:lvl w:ilvl="3" w:tplc="A524F888" w:tentative="1">
      <w:start w:val="1"/>
      <w:numFmt w:val="bullet"/>
      <w:lvlText w:val="•"/>
      <w:lvlJc w:val="left"/>
      <w:pPr>
        <w:tabs>
          <w:tab w:val="num" w:pos="2880"/>
        </w:tabs>
        <w:ind w:left="2880" w:hanging="360"/>
      </w:pPr>
      <w:rPr>
        <w:rFonts w:ascii="Arial" w:hAnsi="Arial" w:hint="default"/>
      </w:rPr>
    </w:lvl>
    <w:lvl w:ilvl="4" w:tplc="4472471E" w:tentative="1">
      <w:start w:val="1"/>
      <w:numFmt w:val="bullet"/>
      <w:lvlText w:val="•"/>
      <w:lvlJc w:val="left"/>
      <w:pPr>
        <w:tabs>
          <w:tab w:val="num" w:pos="3600"/>
        </w:tabs>
        <w:ind w:left="3600" w:hanging="360"/>
      </w:pPr>
      <w:rPr>
        <w:rFonts w:ascii="Arial" w:hAnsi="Arial" w:hint="default"/>
      </w:rPr>
    </w:lvl>
    <w:lvl w:ilvl="5" w:tplc="B9C2F5BE" w:tentative="1">
      <w:start w:val="1"/>
      <w:numFmt w:val="bullet"/>
      <w:lvlText w:val="•"/>
      <w:lvlJc w:val="left"/>
      <w:pPr>
        <w:tabs>
          <w:tab w:val="num" w:pos="4320"/>
        </w:tabs>
        <w:ind w:left="4320" w:hanging="360"/>
      </w:pPr>
      <w:rPr>
        <w:rFonts w:ascii="Arial" w:hAnsi="Arial" w:hint="default"/>
      </w:rPr>
    </w:lvl>
    <w:lvl w:ilvl="6" w:tplc="101EB85A" w:tentative="1">
      <w:start w:val="1"/>
      <w:numFmt w:val="bullet"/>
      <w:lvlText w:val="•"/>
      <w:lvlJc w:val="left"/>
      <w:pPr>
        <w:tabs>
          <w:tab w:val="num" w:pos="5040"/>
        </w:tabs>
        <w:ind w:left="5040" w:hanging="360"/>
      </w:pPr>
      <w:rPr>
        <w:rFonts w:ascii="Arial" w:hAnsi="Arial" w:hint="default"/>
      </w:rPr>
    </w:lvl>
    <w:lvl w:ilvl="7" w:tplc="00089002" w:tentative="1">
      <w:start w:val="1"/>
      <w:numFmt w:val="bullet"/>
      <w:lvlText w:val="•"/>
      <w:lvlJc w:val="left"/>
      <w:pPr>
        <w:tabs>
          <w:tab w:val="num" w:pos="5760"/>
        </w:tabs>
        <w:ind w:left="5760" w:hanging="360"/>
      </w:pPr>
      <w:rPr>
        <w:rFonts w:ascii="Arial" w:hAnsi="Arial" w:hint="default"/>
      </w:rPr>
    </w:lvl>
    <w:lvl w:ilvl="8" w:tplc="FEEA0FB6"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32940B95"/>
    <w:multiLevelType w:val="hybridMultilevel"/>
    <w:tmpl w:val="56C2EA08"/>
    <w:lvl w:ilvl="0" w:tplc="A8E4ACD8">
      <w:start w:val="1"/>
      <w:numFmt w:val="lowerLetter"/>
      <w:lvlText w:val="(%1)"/>
      <w:lvlJc w:val="left"/>
      <w:pPr>
        <w:ind w:left="2196" w:hanging="360"/>
      </w:pPr>
      <w:rPr>
        <w:rFonts w:hint="default"/>
      </w:rPr>
    </w:lvl>
    <w:lvl w:ilvl="1" w:tplc="04090019" w:tentative="1">
      <w:start w:val="1"/>
      <w:numFmt w:val="lowerLetter"/>
      <w:lvlText w:val="%2."/>
      <w:lvlJc w:val="left"/>
      <w:pPr>
        <w:ind w:left="2916" w:hanging="360"/>
      </w:pPr>
    </w:lvl>
    <w:lvl w:ilvl="2" w:tplc="0409001B" w:tentative="1">
      <w:start w:val="1"/>
      <w:numFmt w:val="lowerRoman"/>
      <w:lvlText w:val="%3."/>
      <w:lvlJc w:val="right"/>
      <w:pPr>
        <w:ind w:left="3636" w:hanging="180"/>
      </w:pPr>
    </w:lvl>
    <w:lvl w:ilvl="3" w:tplc="0409000F" w:tentative="1">
      <w:start w:val="1"/>
      <w:numFmt w:val="decimal"/>
      <w:lvlText w:val="%4."/>
      <w:lvlJc w:val="left"/>
      <w:pPr>
        <w:ind w:left="4356" w:hanging="360"/>
      </w:pPr>
    </w:lvl>
    <w:lvl w:ilvl="4" w:tplc="04090019" w:tentative="1">
      <w:start w:val="1"/>
      <w:numFmt w:val="lowerLetter"/>
      <w:lvlText w:val="%5."/>
      <w:lvlJc w:val="left"/>
      <w:pPr>
        <w:ind w:left="5076" w:hanging="360"/>
      </w:pPr>
    </w:lvl>
    <w:lvl w:ilvl="5" w:tplc="0409001B" w:tentative="1">
      <w:start w:val="1"/>
      <w:numFmt w:val="lowerRoman"/>
      <w:lvlText w:val="%6."/>
      <w:lvlJc w:val="right"/>
      <w:pPr>
        <w:ind w:left="5796" w:hanging="180"/>
      </w:pPr>
    </w:lvl>
    <w:lvl w:ilvl="6" w:tplc="0409000F" w:tentative="1">
      <w:start w:val="1"/>
      <w:numFmt w:val="decimal"/>
      <w:lvlText w:val="%7."/>
      <w:lvlJc w:val="left"/>
      <w:pPr>
        <w:ind w:left="6516" w:hanging="360"/>
      </w:pPr>
    </w:lvl>
    <w:lvl w:ilvl="7" w:tplc="04090019" w:tentative="1">
      <w:start w:val="1"/>
      <w:numFmt w:val="lowerLetter"/>
      <w:lvlText w:val="%8."/>
      <w:lvlJc w:val="left"/>
      <w:pPr>
        <w:ind w:left="7236" w:hanging="360"/>
      </w:pPr>
    </w:lvl>
    <w:lvl w:ilvl="8" w:tplc="0409001B" w:tentative="1">
      <w:start w:val="1"/>
      <w:numFmt w:val="lowerRoman"/>
      <w:lvlText w:val="%9."/>
      <w:lvlJc w:val="right"/>
      <w:pPr>
        <w:ind w:left="7956" w:hanging="180"/>
      </w:pPr>
    </w:lvl>
  </w:abstractNum>
  <w:abstractNum w:abstractNumId="8" w15:restartNumberingAfterBreak="0">
    <w:nsid w:val="33D51DF8"/>
    <w:multiLevelType w:val="hybridMultilevel"/>
    <w:tmpl w:val="7794E4F8"/>
    <w:lvl w:ilvl="0" w:tplc="517EAC4C">
      <w:start w:val="1"/>
      <w:numFmt w:val="lowerLetter"/>
      <w:lvlText w:val="(%1)"/>
      <w:lvlJc w:val="left"/>
      <w:pPr>
        <w:ind w:left="804" w:hanging="360"/>
      </w:pPr>
      <w:rPr>
        <w:rFonts w:hint="default"/>
      </w:rPr>
    </w:lvl>
    <w:lvl w:ilvl="1" w:tplc="04090019" w:tentative="1">
      <w:start w:val="1"/>
      <w:numFmt w:val="lowerLetter"/>
      <w:lvlText w:val="%2."/>
      <w:lvlJc w:val="left"/>
      <w:pPr>
        <w:ind w:left="1524" w:hanging="360"/>
      </w:pPr>
    </w:lvl>
    <w:lvl w:ilvl="2" w:tplc="0409001B" w:tentative="1">
      <w:start w:val="1"/>
      <w:numFmt w:val="lowerRoman"/>
      <w:lvlText w:val="%3."/>
      <w:lvlJc w:val="right"/>
      <w:pPr>
        <w:ind w:left="2244" w:hanging="180"/>
      </w:pPr>
    </w:lvl>
    <w:lvl w:ilvl="3" w:tplc="0409000F" w:tentative="1">
      <w:start w:val="1"/>
      <w:numFmt w:val="decimal"/>
      <w:lvlText w:val="%4."/>
      <w:lvlJc w:val="left"/>
      <w:pPr>
        <w:ind w:left="2964" w:hanging="360"/>
      </w:pPr>
    </w:lvl>
    <w:lvl w:ilvl="4" w:tplc="04090019" w:tentative="1">
      <w:start w:val="1"/>
      <w:numFmt w:val="lowerLetter"/>
      <w:lvlText w:val="%5."/>
      <w:lvlJc w:val="left"/>
      <w:pPr>
        <w:ind w:left="3684" w:hanging="360"/>
      </w:pPr>
    </w:lvl>
    <w:lvl w:ilvl="5" w:tplc="0409001B" w:tentative="1">
      <w:start w:val="1"/>
      <w:numFmt w:val="lowerRoman"/>
      <w:lvlText w:val="%6."/>
      <w:lvlJc w:val="right"/>
      <w:pPr>
        <w:ind w:left="4404" w:hanging="180"/>
      </w:pPr>
    </w:lvl>
    <w:lvl w:ilvl="6" w:tplc="0409000F" w:tentative="1">
      <w:start w:val="1"/>
      <w:numFmt w:val="decimal"/>
      <w:lvlText w:val="%7."/>
      <w:lvlJc w:val="left"/>
      <w:pPr>
        <w:ind w:left="5124" w:hanging="360"/>
      </w:pPr>
    </w:lvl>
    <w:lvl w:ilvl="7" w:tplc="04090019" w:tentative="1">
      <w:start w:val="1"/>
      <w:numFmt w:val="lowerLetter"/>
      <w:lvlText w:val="%8."/>
      <w:lvlJc w:val="left"/>
      <w:pPr>
        <w:ind w:left="5844" w:hanging="360"/>
      </w:pPr>
    </w:lvl>
    <w:lvl w:ilvl="8" w:tplc="0409001B" w:tentative="1">
      <w:start w:val="1"/>
      <w:numFmt w:val="lowerRoman"/>
      <w:lvlText w:val="%9."/>
      <w:lvlJc w:val="right"/>
      <w:pPr>
        <w:ind w:left="6564" w:hanging="180"/>
      </w:pPr>
    </w:lvl>
  </w:abstractNum>
  <w:abstractNum w:abstractNumId="9" w15:restartNumberingAfterBreak="0">
    <w:nsid w:val="40D912F7"/>
    <w:multiLevelType w:val="multilevel"/>
    <w:tmpl w:val="324AAF7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4D90913"/>
    <w:multiLevelType w:val="hybridMultilevel"/>
    <w:tmpl w:val="59C0A9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7774B6"/>
    <w:multiLevelType w:val="hybridMultilevel"/>
    <w:tmpl w:val="A13854C2"/>
    <w:lvl w:ilvl="0" w:tplc="F914FB12">
      <w:start w:val="1"/>
      <w:numFmt w:val="lowerLetter"/>
      <w:lvlText w:val="(%1)"/>
      <w:lvlJc w:val="left"/>
      <w:pPr>
        <w:ind w:left="1608" w:hanging="360"/>
      </w:pPr>
      <w:rPr>
        <w:rFonts w:hint="default"/>
      </w:rPr>
    </w:lvl>
    <w:lvl w:ilvl="1" w:tplc="04090019" w:tentative="1">
      <w:start w:val="1"/>
      <w:numFmt w:val="lowerLetter"/>
      <w:lvlText w:val="%2."/>
      <w:lvlJc w:val="left"/>
      <w:pPr>
        <w:ind w:left="2328" w:hanging="360"/>
      </w:pPr>
    </w:lvl>
    <w:lvl w:ilvl="2" w:tplc="0409001B" w:tentative="1">
      <w:start w:val="1"/>
      <w:numFmt w:val="lowerRoman"/>
      <w:lvlText w:val="%3."/>
      <w:lvlJc w:val="right"/>
      <w:pPr>
        <w:ind w:left="3048" w:hanging="180"/>
      </w:pPr>
    </w:lvl>
    <w:lvl w:ilvl="3" w:tplc="0409000F" w:tentative="1">
      <w:start w:val="1"/>
      <w:numFmt w:val="decimal"/>
      <w:lvlText w:val="%4."/>
      <w:lvlJc w:val="left"/>
      <w:pPr>
        <w:ind w:left="3768" w:hanging="360"/>
      </w:pPr>
    </w:lvl>
    <w:lvl w:ilvl="4" w:tplc="04090019" w:tentative="1">
      <w:start w:val="1"/>
      <w:numFmt w:val="lowerLetter"/>
      <w:lvlText w:val="%5."/>
      <w:lvlJc w:val="left"/>
      <w:pPr>
        <w:ind w:left="4488" w:hanging="360"/>
      </w:pPr>
    </w:lvl>
    <w:lvl w:ilvl="5" w:tplc="0409001B" w:tentative="1">
      <w:start w:val="1"/>
      <w:numFmt w:val="lowerRoman"/>
      <w:lvlText w:val="%6."/>
      <w:lvlJc w:val="right"/>
      <w:pPr>
        <w:ind w:left="5208" w:hanging="180"/>
      </w:pPr>
    </w:lvl>
    <w:lvl w:ilvl="6" w:tplc="0409000F" w:tentative="1">
      <w:start w:val="1"/>
      <w:numFmt w:val="decimal"/>
      <w:lvlText w:val="%7."/>
      <w:lvlJc w:val="left"/>
      <w:pPr>
        <w:ind w:left="5928" w:hanging="360"/>
      </w:pPr>
    </w:lvl>
    <w:lvl w:ilvl="7" w:tplc="04090019" w:tentative="1">
      <w:start w:val="1"/>
      <w:numFmt w:val="lowerLetter"/>
      <w:lvlText w:val="%8."/>
      <w:lvlJc w:val="left"/>
      <w:pPr>
        <w:ind w:left="6648" w:hanging="360"/>
      </w:pPr>
    </w:lvl>
    <w:lvl w:ilvl="8" w:tplc="0409001B" w:tentative="1">
      <w:start w:val="1"/>
      <w:numFmt w:val="lowerRoman"/>
      <w:lvlText w:val="%9."/>
      <w:lvlJc w:val="right"/>
      <w:pPr>
        <w:ind w:left="7368" w:hanging="180"/>
      </w:pPr>
    </w:lvl>
  </w:abstractNum>
  <w:abstractNum w:abstractNumId="12" w15:restartNumberingAfterBreak="0">
    <w:nsid w:val="4B025157"/>
    <w:multiLevelType w:val="hybridMultilevel"/>
    <w:tmpl w:val="AE6ABD44"/>
    <w:lvl w:ilvl="0" w:tplc="745AFB06">
      <w:start w:val="1"/>
      <w:numFmt w:val="lowerLetter"/>
      <w:lvlText w:val="(%1)"/>
      <w:lvlJc w:val="left"/>
      <w:pPr>
        <w:ind w:left="2052" w:hanging="360"/>
      </w:pPr>
      <w:rPr>
        <w:rFonts w:hint="default"/>
      </w:rPr>
    </w:lvl>
    <w:lvl w:ilvl="1" w:tplc="04090019" w:tentative="1">
      <w:start w:val="1"/>
      <w:numFmt w:val="lowerLetter"/>
      <w:lvlText w:val="%2."/>
      <w:lvlJc w:val="left"/>
      <w:pPr>
        <w:ind w:left="2772" w:hanging="360"/>
      </w:pPr>
    </w:lvl>
    <w:lvl w:ilvl="2" w:tplc="0409001B" w:tentative="1">
      <w:start w:val="1"/>
      <w:numFmt w:val="lowerRoman"/>
      <w:lvlText w:val="%3."/>
      <w:lvlJc w:val="right"/>
      <w:pPr>
        <w:ind w:left="3492" w:hanging="180"/>
      </w:pPr>
    </w:lvl>
    <w:lvl w:ilvl="3" w:tplc="0409000F" w:tentative="1">
      <w:start w:val="1"/>
      <w:numFmt w:val="decimal"/>
      <w:lvlText w:val="%4."/>
      <w:lvlJc w:val="left"/>
      <w:pPr>
        <w:ind w:left="4212" w:hanging="360"/>
      </w:pPr>
    </w:lvl>
    <w:lvl w:ilvl="4" w:tplc="04090019" w:tentative="1">
      <w:start w:val="1"/>
      <w:numFmt w:val="lowerLetter"/>
      <w:lvlText w:val="%5."/>
      <w:lvlJc w:val="left"/>
      <w:pPr>
        <w:ind w:left="4932" w:hanging="360"/>
      </w:pPr>
    </w:lvl>
    <w:lvl w:ilvl="5" w:tplc="0409001B" w:tentative="1">
      <w:start w:val="1"/>
      <w:numFmt w:val="lowerRoman"/>
      <w:lvlText w:val="%6."/>
      <w:lvlJc w:val="right"/>
      <w:pPr>
        <w:ind w:left="5652" w:hanging="180"/>
      </w:pPr>
    </w:lvl>
    <w:lvl w:ilvl="6" w:tplc="0409000F" w:tentative="1">
      <w:start w:val="1"/>
      <w:numFmt w:val="decimal"/>
      <w:lvlText w:val="%7."/>
      <w:lvlJc w:val="left"/>
      <w:pPr>
        <w:ind w:left="6372" w:hanging="360"/>
      </w:pPr>
    </w:lvl>
    <w:lvl w:ilvl="7" w:tplc="04090019" w:tentative="1">
      <w:start w:val="1"/>
      <w:numFmt w:val="lowerLetter"/>
      <w:lvlText w:val="%8."/>
      <w:lvlJc w:val="left"/>
      <w:pPr>
        <w:ind w:left="7092" w:hanging="360"/>
      </w:pPr>
    </w:lvl>
    <w:lvl w:ilvl="8" w:tplc="0409001B" w:tentative="1">
      <w:start w:val="1"/>
      <w:numFmt w:val="lowerRoman"/>
      <w:lvlText w:val="%9."/>
      <w:lvlJc w:val="right"/>
      <w:pPr>
        <w:ind w:left="7812" w:hanging="180"/>
      </w:pPr>
    </w:lvl>
  </w:abstractNum>
  <w:abstractNum w:abstractNumId="13" w15:restartNumberingAfterBreak="0">
    <w:nsid w:val="551E314B"/>
    <w:multiLevelType w:val="hybridMultilevel"/>
    <w:tmpl w:val="F258CD28"/>
    <w:lvl w:ilvl="0" w:tplc="0A4EBAEE">
      <w:start w:val="1"/>
      <w:numFmt w:val="decimal"/>
      <w:lvlText w:val="%1."/>
      <w:lvlJc w:val="left"/>
      <w:pPr>
        <w:ind w:left="408" w:hanging="360"/>
      </w:pPr>
      <w:rPr>
        <w:rFonts w:hint="default"/>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14" w15:restartNumberingAfterBreak="0">
    <w:nsid w:val="5C9A41C3"/>
    <w:multiLevelType w:val="hybridMultilevel"/>
    <w:tmpl w:val="356CE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CD64A6B"/>
    <w:multiLevelType w:val="multilevel"/>
    <w:tmpl w:val="846ED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7B55715"/>
    <w:multiLevelType w:val="hybridMultilevel"/>
    <w:tmpl w:val="48D8FF86"/>
    <w:lvl w:ilvl="0" w:tplc="917CE442">
      <w:start w:val="1"/>
      <w:numFmt w:val="lowerLetter"/>
      <w:lvlText w:val="(%1)"/>
      <w:lvlJc w:val="left"/>
      <w:pPr>
        <w:ind w:left="1752" w:hanging="360"/>
      </w:pPr>
      <w:rPr>
        <w:rFonts w:hint="default"/>
      </w:rPr>
    </w:lvl>
    <w:lvl w:ilvl="1" w:tplc="04090019" w:tentative="1">
      <w:start w:val="1"/>
      <w:numFmt w:val="lowerLetter"/>
      <w:lvlText w:val="%2."/>
      <w:lvlJc w:val="left"/>
      <w:pPr>
        <w:ind w:left="2472" w:hanging="360"/>
      </w:pPr>
    </w:lvl>
    <w:lvl w:ilvl="2" w:tplc="0409001B" w:tentative="1">
      <w:start w:val="1"/>
      <w:numFmt w:val="lowerRoman"/>
      <w:lvlText w:val="%3."/>
      <w:lvlJc w:val="right"/>
      <w:pPr>
        <w:ind w:left="3192" w:hanging="180"/>
      </w:pPr>
    </w:lvl>
    <w:lvl w:ilvl="3" w:tplc="0409000F" w:tentative="1">
      <w:start w:val="1"/>
      <w:numFmt w:val="decimal"/>
      <w:lvlText w:val="%4."/>
      <w:lvlJc w:val="left"/>
      <w:pPr>
        <w:ind w:left="3912" w:hanging="360"/>
      </w:pPr>
    </w:lvl>
    <w:lvl w:ilvl="4" w:tplc="04090019" w:tentative="1">
      <w:start w:val="1"/>
      <w:numFmt w:val="lowerLetter"/>
      <w:lvlText w:val="%5."/>
      <w:lvlJc w:val="left"/>
      <w:pPr>
        <w:ind w:left="4632" w:hanging="360"/>
      </w:pPr>
    </w:lvl>
    <w:lvl w:ilvl="5" w:tplc="0409001B" w:tentative="1">
      <w:start w:val="1"/>
      <w:numFmt w:val="lowerRoman"/>
      <w:lvlText w:val="%6."/>
      <w:lvlJc w:val="right"/>
      <w:pPr>
        <w:ind w:left="5352" w:hanging="180"/>
      </w:pPr>
    </w:lvl>
    <w:lvl w:ilvl="6" w:tplc="0409000F" w:tentative="1">
      <w:start w:val="1"/>
      <w:numFmt w:val="decimal"/>
      <w:lvlText w:val="%7."/>
      <w:lvlJc w:val="left"/>
      <w:pPr>
        <w:ind w:left="6072" w:hanging="360"/>
      </w:pPr>
    </w:lvl>
    <w:lvl w:ilvl="7" w:tplc="04090019" w:tentative="1">
      <w:start w:val="1"/>
      <w:numFmt w:val="lowerLetter"/>
      <w:lvlText w:val="%8."/>
      <w:lvlJc w:val="left"/>
      <w:pPr>
        <w:ind w:left="6792" w:hanging="360"/>
      </w:pPr>
    </w:lvl>
    <w:lvl w:ilvl="8" w:tplc="0409001B" w:tentative="1">
      <w:start w:val="1"/>
      <w:numFmt w:val="lowerRoman"/>
      <w:lvlText w:val="%9."/>
      <w:lvlJc w:val="right"/>
      <w:pPr>
        <w:ind w:left="7512" w:hanging="180"/>
      </w:pPr>
    </w:lvl>
  </w:abstractNum>
  <w:abstractNum w:abstractNumId="17" w15:restartNumberingAfterBreak="0">
    <w:nsid w:val="69D4378B"/>
    <w:multiLevelType w:val="hybridMultilevel"/>
    <w:tmpl w:val="D618EE90"/>
    <w:lvl w:ilvl="0" w:tplc="8342F1EE">
      <w:start w:val="1"/>
      <w:numFmt w:val="lowerLetter"/>
      <w:lvlText w:val="(%1)"/>
      <w:lvlJc w:val="left"/>
      <w:pPr>
        <w:ind w:left="3048" w:hanging="360"/>
      </w:pPr>
      <w:rPr>
        <w:rFonts w:hint="default"/>
      </w:rPr>
    </w:lvl>
    <w:lvl w:ilvl="1" w:tplc="04090019" w:tentative="1">
      <w:start w:val="1"/>
      <w:numFmt w:val="lowerLetter"/>
      <w:lvlText w:val="%2."/>
      <w:lvlJc w:val="left"/>
      <w:pPr>
        <w:ind w:left="3768" w:hanging="360"/>
      </w:pPr>
    </w:lvl>
    <w:lvl w:ilvl="2" w:tplc="0409001B" w:tentative="1">
      <w:start w:val="1"/>
      <w:numFmt w:val="lowerRoman"/>
      <w:lvlText w:val="%3."/>
      <w:lvlJc w:val="right"/>
      <w:pPr>
        <w:ind w:left="4488" w:hanging="180"/>
      </w:pPr>
    </w:lvl>
    <w:lvl w:ilvl="3" w:tplc="0409000F" w:tentative="1">
      <w:start w:val="1"/>
      <w:numFmt w:val="decimal"/>
      <w:lvlText w:val="%4."/>
      <w:lvlJc w:val="left"/>
      <w:pPr>
        <w:ind w:left="5208" w:hanging="360"/>
      </w:pPr>
    </w:lvl>
    <w:lvl w:ilvl="4" w:tplc="04090019" w:tentative="1">
      <w:start w:val="1"/>
      <w:numFmt w:val="lowerLetter"/>
      <w:lvlText w:val="%5."/>
      <w:lvlJc w:val="left"/>
      <w:pPr>
        <w:ind w:left="5928" w:hanging="360"/>
      </w:pPr>
    </w:lvl>
    <w:lvl w:ilvl="5" w:tplc="0409001B" w:tentative="1">
      <w:start w:val="1"/>
      <w:numFmt w:val="lowerRoman"/>
      <w:lvlText w:val="%6."/>
      <w:lvlJc w:val="right"/>
      <w:pPr>
        <w:ind w:left="6648" w:hanging="180"/>
      </w:pPr>
    </w:lvl>
    <w:lvl w:ilvl="6" w:tplc="0409000F" w:tentative="1">
      <w:start w:val="1"/>
      <w:numFmt w:val="decimal"/>
      <w:lvlText w:val="%7."/>
      <w:lvlJc w:val="left"/>
      <w:pPr>
        <w:ind w:left="7368" w:hanging="360"/>
      </w:pPr>
    </w:lvl>
    <w:lvl w:ilvl="7" w:tplc="04090019" w:tentative="1">
      <w:start w:val="1"/>
      <w:numFmt w:val="lowerLetter"/>
      <w:lvlText w:val="%8."/>
      <w:lvlJc w:val="left"/>
      <w:pPr>
        <w:ind w:left="8088" w:hanging="360"/>
      </w:pPr>
    </w:lvl>
    <w:lvl w:ilvl="8" w:tplc="0409001B" w:tentative="1">
      <w:start w:val="1"/>
      <w:numFmt w:val="lowerRoman"/>
      <w:lvlText w:val="%9."/>
      <w:lvlJc w:val="right"/>
      <w:pPr>
        <w:ind w:left="8808" w:hanging="180"/>
      </w:pPr>
    </w:lvl>
  </w:abstractNum>
  <w:abstractNum w:abstractNumId="18" w15:restartNumberingAfterBreak="0">
    <w:nsid w:val="728D617F"/>
    <w:multiLevelType w:val="hybridMultilevel"/>
    <w:tmpl w:val="52469CC0"/>
    <w:lvl w:ilvl="0" w:tplc="E2A44318">
      <w:start w:val="1"/>
      <w:numFmt w:val="lowerLetter"/>
      <w:lvlText w:val="(%1)"/>
      <w:lvlJc w:val="left"/>
      <w:pPr>
        <w:ind w:left="1308" w:hanging="360"/>
      </w:pPr>
      <w:rPr>
        <w:rFonts w:hint="default"/>
      </w:rPr>
    </w:lvl>
    <w:lvl w:ilvl="1" w:tplc="04090019" w:tentative="1">
      <w:start w:val="1"/>
      <w:numFmt w:val="lowerLetter"/>
      <w:lvlText w:val="%2."/>
      <w:lvlJc w:val="left"/>
      <w:pPr>
        <w:ind w:left="2028" w:hanging="360"/>
      </w:pPr>
    </w:lvl>
    <w:lvl w:ilvl="2" w:tplc="0409001B" w:tentative="1">
      <w:start w:val="1"/>
      <w:numFmt w:val="lowerRoman"/>
      <w:lvlText w:val="%3."/>
      <w:lvlJc w:val="right"/>
      <w:pPr>
        <w:ind w:left="2748" w:hanging="180"/>
      </w:pPr>
    </w:lvl>
    <w:lvl w:ilvl="3" w:tplc="0409000F" w:tentative="1">
      <w:start w:val="1"/>
      <w:numFmt w:val="decimal"/>
      <w:lvlText w:val="%4."/>
      <w:lvlJc w:val="left"/>
      <w:pPr>
        <w:ind w:left="3468" w:hanging="360"/>
      </w:pPr>
    </w:lvl>
    <w:lvl w:ilvl="4" w:tplc="04090019" w:tentative="1">
      <w:start w:val="1"/>
      <w:numFmt w:val="lowerLetter"/>
      <w:lvlText w:val="%5."/>
      <w:lvlJc w:val="left"/>
      <w:pPr>
        <w:ind w:left="4188" w:hanging="360"/>
      </w:pPr>
    </w:lvl>
    <w:lvl w:ilvl="5" w:tplc="0409001B" w:tentative="1">
      <w:start w:val="1"/>
      <w:numFmt w:val="lowerRoman"/>
      <w:lvlText w:val="%6."/>
      <w:lvlJc w:val="right"/>
      <w:pPr>
        <w:ind w:left="4908" w:hanging="180"/>
      </w:pPr>
    </w:lvl>
    <w:lvl w:ilvl="6" w:tplc="0409000F" w:tentative="1">
      <w:start w:val="1"/>
      <w:numFmt w:val="decimal"/>
      <w:lvlText w:val="%7."/>
      <w:lvlJc w:val="left"/>
      <w:pPr>
        <w:ind w:left="5628" w:hanging="360"/>
      </w:pPr>
    </w:lvl>
    <w:lvl w:ilvl="7" w:tplc="04090019" w:tentative="1">
      <w:start w:val="1"/>
      <w:numFmt w:val="lowerLetter"/>
      <w:lvlText w:val="%8."/>
      <w:lvlJc w:val="left"/>
      <w:pPr>
        <w:ind w:left="6348" w:hanging="360"/>
      </w:pPr>
    </w:lvl>
    <w:lvl w:ilvl="8" w:tplc="0409001B" w:tentative="1">
      <w:start w:val="1"/>
      <w:numFmt w:val="lowerRoman"/>
      <w:lvlText w:val="%9."/>
      <w:lvlJc w:val="right"/>
      <w:pPr>
        <w:ind w:left="7068" w:hanging="180"/>
      </w:pPr>
    </w:lvl>
  </w:abstractNum>
  <w:num w:numId="1">
    <w:abstractNumId w:val="3"/>
  </w:num>
  <w:num w:numId="2">
    <w:abstractNumId w:val="9"/>
  </w:num>
  <w:num w:numId="3">
    <w:abstractNumId w:val="14"/>
  </w:num>
  <w:num w:numId="4">
    <w:abstractNumId w:val="6"/>
  </w:num>
  <w:num w:numId="5">
    <w:abstractNumId w:val="0"/>
  </w:num>
  <w:num w:numId="6">
    <w:abstractNumId w:val="16"/>
  </w:num>
  <w:num w:numId="7">
    <w:abstractNumId w:val="4"/>
  </w:num>
  <w:num w:numId="8">
    <w:abstractNumId w:val="17"/>
  </w:num>
  <w:num w:numId="9">
    <w:abstractNumId w:val="5"/>
  </w:num>
  <w:num w:numId="10">
    <w:abstractNumId w:val="1"/>
  </w:num>
  <w:num w:numId="11">
    <w:abstractNumId w:val="2"/>
  </w:num>
  <w:num w:numId="12">
    <w:abstractNumId w:val="7"/>
  </w:num>
  <w:num w:numId="13">
    <w:abstractNumId w:val="12"/>
  </w:num>
  <w:num w:numId="14">
    <w:abstractNumId w:val="10"/>
  </w:num>
  <w:num w:numId="15">
    <w:abstractNumId w:val="8"/>
  </w:num>
  <w:num w:numId="16">
    <w:abstractNumId w:val="13"/>
  </w:num>
  <w:num w:numId="17">
    <w:abstractNumId w:val="11"/>
  </w:num>
  <w:num w:numId="18">
    <w:abstractNumId w:val="18"/>
  </w:num>
  <w:num w:numId="19">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C3MDQ0NTYzNDQxMDZW0lEKTi0uzszPAykwrAUASVuOmSwAAAA="/>
  </w:docVars>
  <w:rsids>
    <w:rsidRoot w:val="00AA4909"/>
    <w:rsid w:val="001C3985"/>
    <w:rsid w:val="005D6FA8"/>
    <w:rsid w:val="00801BF7"/>
    <w:rsid w:val="00812C84"/>
    <w:rsid w:val="008E04E2"/>
    <w:rsid w:val="008E49E5"/>
    <w:rsid w:val="00AA4909"/>
    <w:rsid w:val="00C72677"/>
  </w:rsids>
  <m:mathPr>
    <m:mathFont m:val="Cambria Math"/>
    <m:brkBin m:val="before"/>
    <m:brkBinSub m:val="--"/>
    <m:smallFrac m:val="0"/>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61E619B"/>
  <w15:chartTrackingRefBased/>
  <w15:docId w15:val="{0B2AC862-72EE-4C32-9588-0DD71A1F95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NormalWeb">
    <w:name w:val="Normal (Web)"/>
    <w:basedOn w:val="Normal"/>
    <w:uiPriority w:val="99"/>
    <w:semiHidden/>
    <w:unhideWhenUsed/>
    <w:rPr>
      <w:rFonts w:ascii="Times New Roman" w:hAnsi="Times New Roman" w:cs="Times New Roman"/>
      <w:sz w:val="24"/>
      <w:szCs w:val="24"/>
    </w:rPr>
  </w:style>
  <w:style w:type="paragraph" w:styleId="z-TopofForm">
    <w:name w:val="HTML Top of Form"/>
    <w:basedOn w:val="Normal"/>
    <w:next w:val="Normal"/>
    <w:link w:val="z-TopofFormChar"/>
    <w:hidden/>
    <w:uiPriority w:val="99"/>
    <w:semiHidden/>
    <w:unhideWhenUsed/>
    <w:pPr>
      <w:pBdr>
        <w:bottom w:val="single" w:sz="6" w:space="1" w:color="auto"/>
      </w:pBdr>
      <w:spacing w:after="0" w:line="240" w:lineRule="auto"/>
      <w:jc w:val="center"/>
    </w:pPr>
    <w:rPr>
      <w:rFonts w:ascii="Arial" w:eastAsia="Times New Roman" w:hAnsi="Arial" w:cs="Arial"/>
      <w:vanish/>
      <w:kern w:val="0"/>
      <w:sz w:val="16"/>
      <w:szCs w:val="14"/>
      <w:lang w:bidi="mr-IN"/>
      <w14:ligatures w14:val="none"/>
    </w:rPr>
  </w:style>
  <w:style w:type="character" w:customStyle="1" w:styleId="z-TopofFormChar">
    <w:name w:val="z-Top of Form Char"/>
    <w:basedOn w:val="DefaultParagraphFont"/>
    <w:link w:val="z-TopofForm"/>
    <w:uiPriority w:val="99"/>
    <w:semiHidden/>
    <w:rPr>
      <w:rFonts w:ascii="Arial" w:eastAsia="Times New Roman" w:hAnsi="Arial" w:cs="Arial"/>
      <w:vanish/>
      <w:kern w:val="0"/>
      <w:sz w:val="16"/>
      <w:szCs w:val="14"/>
      <w:lang w:bidi="mr-IN"/>
      <w14:ligatures w14:val="none"/>
    </w:rPr>
  </w:style>
  <w:style w:type="paragraph" w:customStyle="1" w:styleId="font-sans">
    <w:name w:val="font-sans"/>
    <w:basedOn w:val="Normal"/>
    <w:pPr>
      <w:spacing w:before="100" w:beforeAutospacing="1" w:after="100" w:afterAutospacing="1" w:line="240" w:lineRule="auto"/>
    </w:pPr>
    <w:rPr>
      <w:rFonts w:ascii="Times New Roman" w:eastAsia="Times New Roman" w:hAnsi="Times New Roman" w:cs="Times New Roman"/>
      <w:kern w:val="0"/>
      <w:sz w:val="24"/>
      <w:szCs w:val="24"/>
      <w:lang w:bidi="mr-IN"/>
      <w14:ligatures w14:val="none"/>
    </w:rPr>
  </w:style>
  <w:style w:type="character" w:styleId="Strong">
    <w:name w:val="Strong"/>
    <w:basedOn w:val="DefaultParagraphFont"/>
    <w:uiPriority w:val="22"/>
    <w:qFormat/>
    <w:rPr>
      <w:b/>
      <w:bCs/>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8675">
      <w:bodyDiv w:val="1"/>
      <w:marLeft w:val="0"/>
      <w:marRight w:val="0"/>
      <w:marTop w:val="0"/>
      <w:marBottom w:val="0"/>
      <w:divBdr>
        <w:top w:val="none" w:sz="0" w:space="0" w:color="auto"/>
        <w:left w:val="none" w:sz="0" w:space="0" w:color="auto"/>
        <w:bottom w:val="none" w:sz="0" w:space="0" w:color="auto"/>
        <w:right w:val="none" w:sz="0" w:space="0" w:color="auto"/>
      </w:divBdr>
    </w:div>
    <w:div w:id="74403221">
      <w:bodyDiv w:val="1"/>
      <w:marLeft w:val="0"/>
      <w:marRight w:val="0"/>
      <w:marTop w:val="0"/>
      <w:marBottom w:val="0"/>
      <w:divBdr>
        <w:top w:val="none" w:sz="0" w:space="0" w:color="auto"/>
        <w:left w:val="none" w:sz="0" w:space="0" w:color="auto"/>
        <w:bottom w:val="none" w:sz="0" w:space="0" w:color="auto"/>
        <w:right w:val="none" w:sz="0" w:space="0" w:color="auto"/>
      </w:divBdr>
    </w:div>
    <w:div w:id="192113293">
      <w:bodyDiv w:val="1"/>
      <w:marLeft w:val="0"/>
      <w:marRight w:val="0"/>
      <w:marTop w:val="0"/>
      <w:marBottom w:val="0"/>
      <w:divBdr>
        <w:top w:val="none" w:sz="0" w:space="0" w:color="auto"/>
        <w:left w:val="none" w:sz="0" w:space="0" w:color="auto"/>
        <w:bottom w:val="none" w:sz="0" w:space="0" w:color="auto"/>
        <w:right w:val="none" w:sz="0" w:space="0" w:color="auto"/>
      </w:divBdr>
    </w:div>
    <w:div w:id="289170568">
      <w:bodyDiv w:val="1"/>
      <w:marLeft w:val="0"/>
      <w:marRight w:val="0"/>
      <w:marTop w:val="0"/>
      <w:marBottom w:val="0"/>
      <w:divBdr>
        <w:top w:val="none" w:sz="0" w:space="0" w:color="auto"/>
        <w:left w:val="none" w:sz="0" w:space="0" w:color="auto"/>
        <w:bottom w:val="none" w:sz="0" w:space="0" w:color="auto"/>
        <w:right w:val="none" w:sz="0" w:space="0" w:color="auto"/>
      </w:divBdr>
      <w:divsChild>
        <w:div w:id="133766807">
          <w:marLeft w:val="1166"/>
          <w:marRight w:val="0"/>
          <w:marTop w:val="100"/>
          <w:marBottom w:val="0"/>
          <w:divBdr>
            <w:top w:val="none" w:sz="0" w:space="0" w:color="auto"/>
            <w:left w:val="none" w:sz="0" w:space="0" w:color="auto"/>
            <w:bottom w:val="none" w:sz="0" w:space="0" w:color="auto"/>
            <w:right w:val="none" w:sz="0" w:space="0" w:color="auto"/>
          </w:divBdr>
        </w:div>
        <w:div w:id="818956003">
          <w:marLeft w:val="1166"/>
          <w:marRight w:val="0"/>
          <w:marTop w:val="100"/>
          <w:marBottom w:val="0"/>
          <w:divBdr>
            <w:top w:val="none" w:sz="0" w:space="0" w:color="auto"/>
            <w:left w:val="none" w:sz="0" w:space="0" w:color="auto"/>
            <w:bottom w:val="none" w:sz="0" w:space="0" w:color="auto"/>
            <w:right w:val="none" w:sz="0" w:space="0" w:color="auto"/>
          </w:divBdr>
        </w:div>
        <w:div w:id="910315221">
          <w:marLeft w:val="360"/>
          <w:marRight w:val="0"/>
          <w:marTop w:val="200"/>
          <w:marBottom w:val="0"/>
          <w:divBdr>
            <w:top w:val="none" w:sz="0" w:space="0" w:color="auto"/>
            <w:left w:val="none" w:sz="0" w:space="0" w:color="auto"/>
            <w:bottom w:val="none" w:sz="0" w:space="0" w:color="auto"/>
            <w:right w:val="none" w:sz="0" w:space="0" w:color="auto"/>
          </w:divBdr>
        </w:div>
        <w:div w:id="1233538430">
          <w:marLeft w:val="1166"/>
          <w:marRight w:val="0"/>
          <w:marTop w:val="100"/>
          <w:marBottom w:val="0"/>
          <w:divBdr>
            <w:top w:val="none" w:sz="0" w:space="0" w:color="auto"/>
            <w:left w:val="none" w:sz="0" w:space="0" w:color="auto"/>
            <w:bottom w:val="none" w:sz="0" w:space="0" w:color="auto"/>
            <w:right w:val="none" w:sz="0" w:space="0" w:color="auto"/>
          </w:divBdr>
        </w:div>
        <w:div w:id="1554464376">
          <w:marLeft w:val="1166"/>
          <w:marRight w:val="0"/>
          <w:marTop w:val="100"/>
          <w:marBottom w:val="0"/>
          <w:divBdr>
            <w:top w:val="none" w:sz="0" w:space="0" w:color="auto"/>
            <w:left w:val="none" w:sz="0" w:space="0" w:color="auto"/>
            <w:bottom w:val="none" w:sz="0" w:space="0" w:color="auto"/>
            <w:right w:val="none" w:sz="0" w:space="0" w:color="auto"/>
          </w:divBdr>
        </w:div>
      </w:divsChild>
    </w:div>
    <w:div w:id="299772728">
      <w:bodyDiv w:val="1"/>
      <w:marLeft w:val="0"/>
      <w:marRight w:val="0"/>
      <w:marTop w:val="0"/>
      <w:marBottom w:val="0"/>
      <w:divBdr>
        <w:top w:val="none" w:sz="0" w:space="0" w:color="auto"/>
        <w:left w:val="none" w:sz="0" w:space="0" w:color="auto"/>
        <w:bottom w:val="none" w:sz="0" w:space="0" w:color="auto"/>
        <w:right w:val="none" w:sz="0" w:space="0" w:color="auto"/>
      </w:divBdr>
    </w:div>
    <w:div w:id="326784389">
      <w:bodyDiv w:val="1"/>
      <w:marLeft w:val="0"/>
      <w:marRight w:val="0"/>
      <w:marTop w:val="0"/>
      <w:marBottom w:val="0"/>
      <w:divBdr>
        <w:top w:val="none" w:sz="0" w:space="0" w:color="auto"/>
        <w:left w:val="none" w:sz="0" w:space="0" w:color="auto"/>
        <w:bottom w:val="none" w:sz="0" w:space="0" w:color="auto"/>
        <w:right w:val="none" w:sz="0" w:space="0" w:color="auto"/>
      </w:divBdr>
    </w:div>
    <w:div w:id="362942926">
      <w:bodyDiv w:val="1"/>
      <w:marLeft w:val="0"/>
      <w:marRight w:val="0"/>
      <w:marTop w:val="0"/>
      <w:marBottom w:val="0"/>
      <w:divBdr>
        <w:top w:val="none" w:sz="0" w:space="0" w:color="auto"/>
        <w:left w:val="none" w:sz="0" w:space="0" w:color="auto"/>
        <w:bottom w:val="none" w:sz="0" w:space="0" w:color="auto"/>
        <w:right w:val="none" w:sz="0" w:space="0" w:color="auto"/>
      </w:divBdr>
    </w:div>
    <w:div w:id="387073654">
      <w:bodyDiv w:val="1"/>
      <w:marLeft w:val="0"/>
      <w:marRight w:val="0"/>
      <w:marTop w:val="0"/>
      <w:marBottom w:val="0"/>
      <w:divBdr>
        <w:top w:val="none" w:sz="0" w:space="0" w:color="auto"/>
        <w:left w:val="none" w:sz="0" w:space="0" w:color="auto"/>
        <w:bottom w:val="none" w:sz="0" w:space="0" w:color="auto"/>
        <w:right w:val="none" w:sz="0" w:space="0" w:color="auto"/>
      </w:divBdr>
    </w:div>
    <w:div w:id="397629475">
      <w:bodyDiv w:val="1"/>
      <w:marLeft w:val="0"/>
      <w:marRight w:val="0"/>
      <w:marTop w:val="0"/>
      <w:marBottom w:val="0"/>
      <w:divBdr>
        <w:top w:val="none" w:sz="0" w:space="0" w:color="auto"/>
        <w:left w:val="none" w:sz="0" w:space="0" w:color="auto"/>
        <w:bottom w:val="none" w:sz="0" w:space="0" w:color="auto"/>
        <w:right w:val="none" w:sz="0" w:space="0" w:color="auto"/>
      </w:divBdr>
    </w:div>
    <w:div w:id="427890487">
      <w:bodyDiv w:val="1"/>
      <w:marLeft w:val="0"/>
      <w:marRight w:val="0"/>
      <w:marTop w:val="0"/>
      <w:marBottom w:val="0"/>
      <w:divBdr>
        <w:top w:val="none" w:sz="0" w:space="0" w:color="auto"/>
        <w:left w:val="none" w:sz="0" w:space="0" w:color="auto"/>
        <w:bottom w:val="none" w:sz="0" w:space="0" w:color="auto"/>
        <w:right w:val="none" w:sz="0" w:space="0" w:color="auto"/>
      </w:divBdr>
    </w:div>
    <w:div w:id="464858733">
      <w:bodyDiv w:val="1"/>
      <w:marLeft w:val="0"/>
      <w:marRight w:val="0"/>
      <w:marTop w:val="0"/>
      <w:marBottom w:val="0"/>
      <w:divBdr>
        <w:top w:val="none" w:sz="0" w:space="0" w:color="auto"/>
        <w:left w:val="none" w:sz="0" w:space="0" w:color="auto"/>
        <w:bottom w:val="none" w:sz="0" w:space="0" w:color="auto"/>
        <w:right w:val="none" w:sz="0" w:space="0" w:color="auto"/>
      </w:divBdr>
    </w:div>
    <w:div w:id="487017155">
      <w:bodyDiv w:val="1"/>
      <w:marLeft w:val="0"/>
      <w:marRight w:val="0"/>
      <w:marTop w:val="0"/>
      <w:marBottom w:val="0"/>
      <w:divBdr>
        <w:top w:val="none" w:sz="0" w:space="0" w:color="auto"/>
        <w:left w:val="none" w:sz="0" w:space="0" w:color="auto"/>
        <w:bottom w:val="none" w:sz="0" w:space="0" w:color="auto"/>
        <w:right w:val="none" w:sz="0" w:space="0" w:color="auto"/>
      </w:divBdr>
    </w:div>
    <w:div w:id="498160740">
      <w:bodyDiv w:val="1"/>
      <w:marLeft w:val="0"/>
      <w:marRight w:val="0"/>
      <w:marTop w:val="0"/>
      <w:marBottom w:val="0"/>
      <w:divBdr>
        <w:top w:val="none" w:sz="0" w:space="0" w:color="auto"/>
        <w:left w:val="none" w:sz="0" w:space="0" w:color="auto"/>
        <w:bottom w:val="none" w:sz="0" w:space="0" w:color="auto"/>
        <w:right w:val="none" w:sz="0" w:space="0" w:color="auto"/>
      </w:divBdr>
    </w:div>
    <w:div w:id="532427341">
      <w:bodyDiv w:val="1"/>
      <w:marLeft w:val="0"/>
      <w:marRight w:val="0"/>
      <w:marTop w:val="0"/>
      <w:marBottom w:val="0"/>
      <w:divBdr>
        <w:top w:val="none" w:sz="0" w:space="0" w:color="auto"/>
        <w:left w:val="none" w:sz="0" w:space="0" w:color="auto"/>
        <w:bottom w:val="none" w:sz="0" w:space="0" w:color="auto"/>
        <w:right w:val="none" w:sz="0" w:space="0" w:color="auto"/>
      </w:divBdr>
    </w:div>
    <w:div w:id="542787309">
      <w:bodyDiv w:val="1"/>
      <w:marLeft w:val="0"/>
      <w:marRight w:val="0"/>
      <w:marTop w:val="0"/>
      <w:marBottom w:val="0"/>
      <w:divBdr>
        <w:top w:val="none" w:sz="0" w:space="0" w:color="auto"/>
        <w:left w:val="none" w:sz="0" w:space="0" w:color="auto"/>
        <w:bottom w:val="none" w:sz="0" w:space="0" w:color="auto"/>
        <w:right w:val="none" w:sz="0" w:space="0" w:color="auto"/>
      </w:divBdr>
    </w:div>
    <w:div w:id="548495889">
      <w:bodyDiv w:val="1"/>
      <w:marLeft w:val="0"/>
      <w:marRight w:val="0"/>
      <w:marTop w:val="0"/>
      <w:marBottom w:val="0"/>
      <w:divBdr>
        <w:top w:val="none" w:sz="0" w:space="0" w:color="auto"/>
        <w:left w:val="none" w:sz="0" w:space="0" w:color="auto"/>
        <w:bottom w:val="none" w:sz="0" w:space="0" w:color="auto"/>
        <w:right w:val="none" w:sz="0" w:space="0" w:color="auto"/>
      </w:divBdr>
    </w:div>
    <w:div w:id="558564192">
      <w:bodyDiv w:val="1"/>
      <w:marLeft w:val="0"/>
      <w:marRight w:val="0"/>
      <w:marTop w:val="0"/>
      <w:marBottom w:val="0"/>
      <w:divBdr>
        <w:top w:val="none" w:sz="0" w:space="0" w:color="auto"/>
        <w:left w:val="none" w:sz="0" w:space="0" w:color="auto"/>
        <w:bottom w:val="none" w:sz="0" w:space="0" w:color="auto"/>
        <w:right w:val="none" w:sz="0" w:space="0" w:color="auto"/>
      </w:divBdr>
    </w:div>
    <w:div w:id="593783867">
      <w:bodyDiv w:val="1"/>
      <w:marLeft w:val="0"/>
      <w:marRight w:val="0"/>
      <w:marTop w:val="0"/>
      <w:marBottom w:val="0"/>
      <w:divBdr>
        <w:top w:val="none" w:sz="0" w:space="0" w:color="auto"/>
        <w:left w:val="none" w:sz="0" w:space="0" w:color="auto"/>
        <w:bottom w:val="none" w:sz="0" w:space="0" w:color="auto"/>
        <w:right w:val="none" w:sz="0" w:space="0" w:color="auto"/>
      </w:divBdr>
    </w:div>
    <w:div w:id="593905861">
      <w:bodyDiv w:val="1"/>
      <w:marLeft w:val="0"/>
      <w:marRight w:val="0"/>
      <w:marTop w:val="0"/>
      <w:marBottom w:val="0"/>
      <w:divBdr>
        <w:top w:val="none" w:sz="0" w:space="0" w:color="auto"/>
        <w:left w:val="none" w:sz="0" w:space="0" w:color="auto"/>
        <w:bottom w:val="none" w:sz="0" w:space="0" w:color="auto"/>
        <w:right w:val="none" w:sz="0" w:space="0" w:color="auto"/>
      </w:divBdr>
    </w:div>
    <w:div w:id="667754928">
      <w:bodyDiv w:val="1"/>
      <w:marLeft w:val="0"/>
      <w:marRight w:val="0"/>
      <w:marTop w:val="0"/>
      <w:marBottom w:val="0"/>
      <w:divBdr>
        <w:top w:val="none" w:sz="0" w:space="0" w:color="auto"/>
        <w:left w:val="none" w:sz="0" w:space="0" w:color="auto"/>
        <w:bottom w:val="none" w:sz="0" w:space="0" w:color="auto"/>
        <w:right w:val="none" w:sz="0" w:space="0" w:color="auto"/>
      </w:divBdr>
      <w:divsChild>
        <w:div w:id="1929650209">
          <w:marLeft w:val="0"/>
          <w:marRight w:val="0"/>
          <w:marTop w:val="0"/>
          <w:marBottom w:val="0"/>
          <w:divBdr>
            <w:top w:val="none" w:sz="0" w:space="0" w:color="auto"/>
            <w:left w:val="none" w:sz="0" w:space="0" w:color="auto"/>
            <w:bottom w:val="none" w:sz="0" w:space="0" w:color="auto"/>
            <w:right w:val="none" w:sz="0" w:space="0" w:color="auto"/>
          </w:divBdr>
          <w:divsChild>
            <w:div w:id="273560936">
              <w:marLeft w:val="0"/>
              <w:marRight w:val="0"/>
              <w:marTop w:val="0"/>
              <w:marBottom w:val="0"/>
              <w:divBdr>
                <w:top w:val="none" w:sz="0" w:space="0" w:color="auto"/>
                <w:left w:val="none" w:sz="0" w:space="0" w:color="auto"/>
                <w:bottom w:val="none" w:sz="0" w:space="0" w:color="auto"/>
                <w:right w:val="none" w:sz="0" w:space="0" w:color="auto"/>
              </w:divBdr>
              <w:divsChild>
                <w:div w:id="969479230">
                  <w:marLeft w:val="0"/>
                  <w:marRight w:val="0"/>
                  <w:marTop w:val="0"/>
                  <w:marBottom w:val="0"/>
                  <w:divBdr>
                    <w:top w:val="none" w:sz="0" w:space="0" w:color="auto"/>
                    <w:left w:val="none" w:sz="0" w:space="0" w:color="auto"/>
                    <w:bottom w:val="none" w:sz="0" w:space="0" w:color="auto"/>
                    <w:right w:val="none" w:sz="0" w:space="0" w:color="auto"/>
                  </w:divBdr>
                  <w:divsChild>
                    <w:div w:id="16196609">
                      <w:marLeft w:val="0"/>
                      <w:marRight w:val="0"/>
                      <w:marTop w:val="0"/>
                      <w:marBottom w:val="0"/>
                      <w:divBdr>
                        <w:top w:val="none" w:sz="0" w:space="0" w:color="auto"/>
                        <w:left w:val="none" w:sz="0" w:space="0" w:color="auto"/>
                        <w:bottom w:val="none" w:sz="0" w:space="0" w:color="auto"/>
                        <w:right w:val="none" w:sz="0" w:space="0" w:color="auto"/>
                      </w:divBdr>
                      <w:divsChild>
                        <w:div w:id="1454985418">
                          <w:marLeft w:val="0"/>
                          <w:marRight w:val="0"/>
                          <w:marTop w:val="0"/>
                          <w:marBottom w:val="0"/>
                          <w:divBdr>
                            <w:top w:val="none" w:sz="0" w:space="0" w:color="auto"/>
                            <w:left w:val="none" w:sz="0" w:space="0" w:color="auto"/>
                            <w:bottom w:val="none" w:sz="0" w:space="0" w:color="auto"/>
                            <w:right w:val="none" w:sz="0" w:space="0" w:color="auto"/>
                          </w:divBdr>
                          <w:divsChild>
                            <w:div w:id="129518012">
                              <w:marLeft w:val="0"/>
                              <w:marRight w:val="0"/>
                              <w:marTop w:val="0"/>
                              <w:marBottom w:val="0"/>
                              <w:divBdr>
                                <w:top w:val="none" w:sz="0" w:space="0" w:color="auto"/>
                                <w:left w:val="none" w:sz="0" w:space="0" w:color="auto"/>
                                <w:bottom w:val="none" w:sz="0" w:space="0" w:color="auto"/>
                                <w:right w:val="none" w:sz="0" w:space="0" w:color="auto"/>
                              </w:divBdr>
                              <w:divsChild>
                                <w:div w:id="626929430">
                                  <w:marLeft w:val="0"/>
                                  <w:marRight w:val="0"/>
                                  <w:marTop w:val="0"/>
                                  <w:marBottom w:val="0"/>
                                  <w:divBdr>
                                    <w:top w:val="none" w:sz="0" w:space="0" w:color="auto"/>
                                    <w:left w:val="none" w:sz="0" w:space="0" w:color="auto"/>
                                    <w:bottom w:val="none" w:sz="0" w:space="0" w:color="auto"/>
                                    <w:right w:val="none" w:sz="0" w:space="0" w:color="auto"/>
                                  </w:divBdr>
                                  <w:divsChild>
                                    <w:div w:id="101118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7230651">
                      <w:marLeft w:val="0"/>
                      <w:marRight w:val="0"/>
                      <w:marTop w:val="0"/>
                      <w:marBottom w:val="0"/>
                      <w:divBdr>
                        <w:top w:val="none" w:sz="0" w:space="0" w:color="auto"/>
                        <w:left w:val="none" w:sz="0" w:space="0" w:color="auto"/>
                        <w:bottom w:val="none" w:sz="0" w:space="0" w:color="auto"/>
                        <w:right w:val="none" w:sz="0" w:space="0" w:color="auto"/>
                      </w:divBdr>
                      <w:divsChild>
                        <w:div w:id="116956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1448191">
      <w:bodyDiv w:val="1"/>
      <w:marLeft w:val="0"/>
      <w:marRight w:val="0"/>
      <w:marTop w:val="0"/>
      <w:marBottom w:val="0"/>
      <w:divBdr>
        <w:top w:val="none" w:sz="0" w:space="0" w:color="auto"/>
        <w:left w:val="none" w:sz="0" w:space="0" w:color="auto"/>
        <w:bottom w:val="none" w:sz="0" w:space="0" w:color="auto"/>
        <w:right w:val="none" w:sz="0" w:space="0" w:color="auto"/>
      </w:divBdr>
    </w:div>
    <w:div w:id="688723871">
      <w:bodyDiv w:val="1"/>
      <w:marLeft w:val="0"/>
      <w:marRight w:val="0"/>
      <w:marTop w:val="0"/>
      <w:marBottom w:val="0"/>
      <w:divBdr>
        <w:top w:val="none" w:sz="0" w:space="0" w:color="auto"/>
        <w:left w:val="none" w:sz="0" w:space="0" w:color="auto"/>
        <w:bottom w:val="none" w:sz="0" w:space="0" w:color="auto"/>
        <w:right w:val="none" w:sz="0" w:space="0" w:color="auto"/>
      </w:divBdr>
    </w:div>
    <w:div w:id="716127593">
      <w:bodyDiv w:val="1"/>
      <w:marLeft w:val="0"/>
      <w:marRight w:val="0"/>
      <w:marTop w:val="0"/>
      <w:marBottom w:val="0"/>
      <w:divBdr>
        <w:top w:val="none" w:sz="0" w:space="0" w:color="auto"/>
        <w:left w:val="none" w:sz="0" w:space="0" w:color="auto"/>
        <w:bottom w:val="none" w:sz="0" w:space="0" w:color="auto"/>
        <w:right w:val="none" w:sz="0" w:space="0" w:color="auto"/>
      </w:divBdr>
      <w:divsChild>
        <w:div w:id="737098046">
          <w:marLeft w:val="0"/>
          <w:marRight w:val="0"/>
          <w:marTop w:val="0"/>
          <w:marBottom w:val="0"/>
          <w:divBdr>
            <w:top w:val="none" w:sz="0" w:space="0" w:color="auto"/>
            <w:left w:val="none" w:sz="0" w:space="0" w:color="auto"/>
            <w:bottom w:val="none" w:sz="0" w:space="0" w:color="auto"/>
            <w:right w:val="none" w:sz="0" w:space="0" w:color="auto"/>
          </w:divBdr>
          <w:divsChild>
            <w:div w:id="848562718">
              <w:marLeft w:val="0"/>
              <w:marRight w:val="0"/>
              <w:marTop w:val="0"/>
              <w:marBottom w:val="0"/>
              <w:divBdr>
                <w:top w:val="none" w:sz="0" w:space="0" w:color="auto"/>
                <w:left w:val="none" w:sz="0" w:space="0" w:color="auto"/>
                <w:bottom w:val="none" w:sz="0" w:space="0" w:color="auto"/>
                <w:right w:val="none" w:sz="0" w:space="0" w:color="auto"/>
              </w:divBdr>
              <w:divsChild>
                <w:div w:id="22094792">
                  <w:marLeft w:val="0"/>
                  <w:marRight w:val="0"/>
                  <w:marTop w:val="0"/>
                  <w:marBottom w:val="0"/>
                  <w:divBdr>
                    <w:top w:val="none" w:sz="0" w:space="0" w:color="auto"/>
                    <w:left w:val="none" w:sz="0" w:space="0" w:color="auto"/>
                    <w:bottom w:val="none" w:sz="0" w:space="0" w:color="auto"/>
                    <w:right w:val="none" w:sz="0" w:space="0" w:color="auto"/>
                  </w:divBdr>
                  <w:divsChild>
                    <w:div w:id="82924059">
                      <w:marLeft w:val="0"/>
                      <w:marRight w:val="0"/>
                      <w:marTop w:val="0"/>
                      <w:marBottom w:val="0"/>
                      <w:divBdr>
                        <w:top w:val="none" w:sz="0" w:space="0" w:color="auto"/>
                        <w:left w:val="none" w:sz="0" w:space="0" w:color="auto"/>
                        <w:bottom w:val="none" w:sz="0" w:space="0" w:color="auto"/>
                        <w:right w:val="none" w:sz="0" w:space="0" w:color="auto"/>
                      </w:divBdr>
                      <w:divsChild>
                        <w:div w:id="1977830299">
                          <w:marLeft w:val="0"/>
                          <w:marRight w:val="0"/>
                          <w:marTop w:val="0"/>
                          <w:marBottom w:val="0"/>
                          <w:divBdr>
                            <w:top w:val="none" w:sz="0" w:space="0" w:color="auto"/>
                            <w:left w:val="none" w:sz="0" w:space="0" w:color="auto"/>
                            <w:bottom w:val="none" w:sz="0" w:space="0" w:color="auto"/>
                            <w:right w:val="none" w:sz="0" w:space="0" w:color="auto"/>
                          </w:divBdr>
                        </w:div>
                      </w:divsChild>
                    </w:div>
                    <w:div w:id="2004890477">
                      <w:marLeft w:val="0"/>
                      <w:marRight w:val="0"/>
                      <w:marTop w:val="0"/>
                      <w:marBottom w:val="0"/>
                      <w:divBdr>
                        <w:top w:val="none" w:sz="0" w:space="0" w:color="auto"/>
                        <w:left w:val="none" w:sz="0" w:space="0" w:color="auto"/>
                        <w:bottom w:val="none" w:sz="0" w:space="0" w:color="auto"/>
                        <w:right w:val="none" w:sz="0" w:space="0" w:color="auto"/>
                      </w:divBdr>
                      <w:divsChild>
                        <w:div w:id="975988533">
                          <w:marLeft w:val="0"/>
                          <w:marRight w:val="0"/>
                          <w:marTop w:val="0"/>
                          <w:marBottom w:val="0"/>
                          <w:divBdr>
                            <w:top w:val="none" w:sz="0" w:space="0" w:color="auto"/>
                            <w:left w:val="none" w:sz="0" w:space="0" w:color="auto"/>
                            <w:bottom w:val="none" w:sz="0" w:space="0" w:color="auto"/>
                            <w:right w:val="none" w:sz="0" w:space="0" w:color="auto"/>
                          </w:divBdr>
                          <w:divsChild>
                            <w:div w:id="93979560">
                              <w:marLeft w:val="0"/>
                              <w:marRight w:val="0"/>
                              <w:marTop w:val="0"/>
                              <w:marBottom w:val="0"/>
                              <w:divBdr>
                                <w:top w:val="none" w:sz="0" w:space="0" w:color="auto"/>
                                <w:left w:val="none" w:sz="0" w:space="0" w:color="auto"/>
                                <w:bottom w:val="none" w:sz="0" w:space="0" w:color="auto"/>
                                <w:right w:val="none" w:sz="0" w:space="0" w:color="auto"/>
                              </w:divBdr>
                              <w:divsChild>
                                <w:div w:id="1441534750">
                                  <w:marLeft w:val="0"/>
                                  <w:marRight w:val="0"/>
                                  <w:marTop w:val="0"/>
                                  <w:marBottom w:val="0"/>
                                  <w:divBdr>
                                    <w:top w:val="none" w:sz="0" w:space="0" w:color="auto"/>
                                    <w:left w:val="none" w:sz="0" w:space="0" w:color="auto"/>
                                    <w:bottom w:val="none" w:sz="0" w:space="0" w:color="auto"/>
                                    <w:right w:val="none" w:sz="0" w:space="0" w:color="auto"/>
                                  </w:divBdr>
                                  <w:divsChild>
                                    <w:div w:id="144068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9984113">
      <w:bodyDiv w:val="1"/>
      <w:marLeft w:val="0"/>
      <w:marRight w:val="0"/>
      <w:marTop w:val="0"/>
      <w:marBottom w:val="0"/>
      <w:divBdr>
        <w:top w:val="none" w:sz="0" w:space="0" w:color="auto"/>
        <w:left w:val="none" w:sz="0" w:space="0" w:color="auto"/>
        <w:bottom w:val="none" w:sz="0" w:space="0" w:color="auto"/>
        <w:right w:val="none" w:sz="0" w:space="0" w:color="auto"/>
      </w:divBdr>
    </w:div>
    <w:div w:id="854615423">
      <w:bodyDiv w:val="1"/>
      <w:marLeft w:val="0"/>
      <w:marRight w:val="0"/>
      <w:marTop w:val="0"/>
      <w:marBottom w:val="0"/>
      <w:divBdr>
        <w:top w:val="none" w:sz="0" w:space="0" w:color="auto"/>
        <w:left w:val="none" w:sz="0" w:space="0" w:color="auto"/>
        <w:bottom w:val="none" w:sz="0" w:space="0" w:color="auto"/>
        <w:right w:val="none" w:sz="0" w:space="0" w:color="auto"/>
      </w:divBdr>
    </w:div>
    <w:div w:id="857934631">
      <w:bodyDiv w:val="1"/>
      <w:marLeft w:val="0"/>
      <w:marRight w:val="0"/>
      <w:marTop w:val="0"/>
      <w:marBottom w:val="0"/>
      <w:divBdr>
        <w:top w:val="none" w:sz="0" w:space="0" w:color="auto"/>
        <w:left w:val="none" w:sz="0" w:space="0" w:color="auto"/>
        <w:bottom w:val="none" w:sz="0" w:space="0" w:color="auto"/>
        <w:right w:val="none" w:sz="0" w:space="0" w:color="auto"/>
      </w:divBdr>
    </w:div>
    <w:div w:id="898054836">
      <w:bodyDiv w:val="1"/>
      <w:marLeft w:val="0"/>
      <w:marRight w:val="0"/>
      <w:marTop w:val="0"/>
      <w:marBottom w:val="0"/>
      <w:divBdr>
        <w:top w:val="none" w:sz="0" w:space="0" w:color="auto"/>
        <w:left w:val="none" w:sz="0" w:space="0" w:color="auto"/>
        <w:bottom w:val="none" w:sz="0" w:space="0" w:color="auto"/>
        <w:right w:val="none" w:sz="0" w:space="0" w:color="auto"/>
      </w:divBdr>
    </w:div>
    <w:div w:id="902760820">
      <w:bodyDiv w:val="1"/>
      <w:marLeft w:val="0"/>
      <w:marRight w:val="0"/>
      <w:marTop w:val="0"/>
      <w:marBottom w:val="0"/>
      <w:divBdr>
        <w:top w:val="none" w:sz="0" w:space="0" w:color="auto"/>
        <w:left w:val="none" w:sz="0" w:space="0" w:color="auto"/>
        <w:bottom w:val="none" w:sz="0" w:space="0" w:color="auto"/>
        <w:right w:val="none" w:sz="0" w:space="0" w:color="auto"/>
      </w:divBdr>
    </w:div>
    <w:div w:id="927732952">
      <w:bodyDiv w:val="1"/>
      <w:marLeft w:val="0"/>
      <w:marRight w:val="0"/>
      <w:marTop w:val="0"/>
      <w:marBottom w:val="0"/>
      <w:divBdr>
        <w:top w:val="none" w:sz="0" w:space="0" w:color="auto"/>
        <w:left w:val="none" w:sz="0" w:space="0" w:color="auto"/>
        <w:bottom w:val="none" w:sz="0" w:space="0" w:color="auto"/>
        <w:right w:val="none" w:sz="0" w:space="0" w:color="auto"/>
      </w:divBdr>
    </w:div>
    <w:div w:id="967129870">
      <w:bodyDiv w:val="1"/>
      <w:marLeft w:val="0"/>
      <w:marRight w:val="0"/>
      <w:marTop w:val="0"/>
      <w:marBottom w:val="0"/>
      <w:divBdr>
        <w:top w:val="none" w:sz="0" w:space="0" w:color="auto"/>
        <w:left w:val="none" w:sz="0" w:space="0" w:color="auto"/>
        <w:bottom w:val="none" w:sz="0" w:space="0" w:color="auto"/>
        <w:right w:val="none" w:sz="0" w:space="0" w:color="auto"/>
      </w:divBdr>
    </w:div>
    <w:div w:id="1006909180">
      <w:bodyDiv w:val="1"/>
      <w:marLeft w:val="0"/>
      <w:marRight w:val="0"/>
      <w:marTop w:val="0"/>
      <w:marBottom w:val="0"/>
      <w:divBdr>
        <w:top w:val="none" w:sz="0" w:space="0" w:color="auto"/>
        <w:left w:val="none" w:sz="0" w:space="0" w:color="auto"/>
        <w:bottom w:val="none" w:sz="0" w:space="0" w:color="auto"/>
        <w:right w:val="none" w:sz="0" w:space="0" w:color="auto"/>
      </w:divBdr>
    </w:div>
    <w:div w:id="1067190101">
      <w:bodyDiv w:val="1"/>
      <w:marLeft w:val="0"/>
      <w:marRight w:val="0"/>
      <w:marTop w:val="0"/>
      <w:marBottom w:val="0"/>
      <w:divBdr>
        <w:top w:val="none" w:sz="0" w:space="0" w:color="auto"/>
        <w:left w:val="none" w:sz="0" w:space="0" w:color="auto"/>
        <w:bottom w:val="none" w:sz="0" w:space="0" w:color="auto"/>
        <w:right w:val="none" w:sz="0" w:space="0" w:color="auto"/>
      </w:divBdr>
    </w:div>
    <w:div w:id="1072503300">
      <w:bodyDiv w:val="1"/>
      <w:marLeft w:val="0"/>
      <w:marRight w:val="0"/>
      <w:marTop w:val="0"/>
      <w:marBottom w:val="0"/>
      <w:divBdr>
        <w:top w:val="none" w:sz="0" w:space="0" w:color="auto"/>
        <w:left w:val="none" w:sz="0" w:space="0" w:color="auto"/>
        <w:bottom w:val="none" w:sz="0" w:space="0" w:color="auto"/>
        <w:right w:val="none" w:sz="0" w:space="0" w:color="auto"/>
      </w:divBdr>
    </w:div>
    <w:div w:id="1112213733">
      <w:bodyDiv w:val="1"/>
      <w:marLeft w:val="0"/>
      <w:marRight w:val="0"/>
      <w:marTop w:val="0"/>
      <w:marBottom w:val="0"/>
      <w:divBdr>
        <w:top w:val="none" w:sz="0" w:space="0" w:color="auto"/>
        <w:left w:val="none" w:sz="0" w:space="0" w:color="auto"/>
        <w:bottom w:val="none" w:sz="0" w:space="0" w:color="auto"/>
        <w:right w:val="none" w:sz="0" w:space="0" w:color="auto"/>
      </w:divBdr>
    </w:div>
    <w:div w:id="1160270778">
      <w:bodyDiv w:val="1"/>
      <w:marLeft w:val="0"/>
      <w:marRight w:val="0"/>
      <w:marTop w:val="0"/>
      <w:marBottom w:val="0"/>
      <w:divBdr>
        <w:top w:val="none" w:sz="0" w:space="0" w:color="auto"/>
        <w:left w:val="none" w:sz="0" w:space="0" w:color="auto"/>
        <w:bottom w:val="none" w:sz="0" w:space="0" w:color="auto"/>
        <w:right w:val="none" w:sz="0" w:space="0" w:color="auto"/>
      </w:divBdr>
    </w:div>
    <w:div w:id="1166551946">
      <w:bodyDiv w:val="1"/>
      <w:marLeft w:val="0"/>
      <w:marRight w:val="0"/>
      <w:marTop w:val="0"/>
      <w:marBottom w:val="0"/>
      <w:divBdr>
        <w:top w:val="none" w:sz="0" w:space="0" w:color="auto"/>
        <w:left w:val="none" w:sz="0" w:space="0" w:color="auto"/>
        <w:bottom w:val="none" w:sz="0" w:space="0" w:color="auto"/>
        <w:right w:val="none" w:sz="0" w:space="0" w:color="auto"/>
      </w:divBdr>
    </w:div>
    <w:div w:id="1177110677">
      <w:bodyDiv w:val="1"/>
      <w:marLeft w:val="0"/>
      <w:marRight w:val="0"/>
      <w:marTop w:val="0"/>
      <w:marBottom w:val="0"/>
      <w:divBdr>
        <w:top w:val="none" w:sz="0" w:space="0" w:color="auto"/>
        <w:left w:val="none" w:sz="0" w:space="0" w:color="auto"/>
        <w:bottom w:val="none" w:sz="0" w:space="0" w:color="auto"/>
        <w:right w:val="none" w:sz="0" w:space="0" w:color="auto"/>
      </w:divBdr>
    </w:div>
    <w:div w:id="1242520043">
      <w:bodyDiv w:val="1"/>
      <w:marLeft w:val="0"/>
      <w:marRight w:val="0"/>
      <w:marTop w:val="0"/>
      <w:marBottom w:val="0"/>
      <w:divBdr>
        <w:top w:val="none" w:sz="0" w:space="0" w:color="auto"/>
        <w:left w:val="none" w:sz="0" w:space="0" w:color="auto"/>
        <w:bottom w:val="none" w:sz="0" w:space="0" w:color="auto"/>
        <w:right w:val="none" w:sz="0" w:space="0" w:color="auto"/>
      </w:divBdr>
    </w:div>
    <w:div w:id="1274753892">
      <w:bodyDiv w:val="1"/>
      <w:marLeft w:val="0"/>
      <w:marRight w:val="0"/>
      <w:marTop w:val="0"/>
      <w:marBottom w:val="0"/>
      <w:divBdr>
        <w:top w:val="none" w:sz="0" w:space="0" w:color="auto"/>
        <w:left w:val="none" w:sz="0" w:space="0" w:color="auto"/>
        <w:bottom w:val="none" w:sz="0" w:space="0" w:color="auto"/>
        <w:right w:val="none" w:sz="0" w:space="0" w:color="auto"/>
      </w:divBdr>
    </w:div>
    <w:div w:id="1280987916">
      <w:bodyDiv w:val="1"/>
      <w:marLeft w:val="0"/>
      <w:marRight w:val="0"/>
      <w:marTop w:val="0"/>
      <w:marBottom w:val="0"/>
      <w:divBdr>
        <w:top w:val="none" w:sz="0" w:space="0" w:color="auto"/>
        <w:left w:val="none" w:sz="0" w:space="0" w:color="auto"/>
        <w:bottom w:val="none" w:sz="0" w:space="0" w:color="auto"/>
        <w:right w:val="none" w:sz="0" w:space="0" w:color="auto"/>
      </w:divBdr>
    </w:div>
    <w:div w:id="1335255632">
      <w:bodyDiv w:val="1"/>
      <w:marLeft w:val="0"/>
      <w:marRight w:val="0"/>
      <w:marTop w:val="0"/>
      <w:marBottom w:val="0"/>
      <w:divBdr>
        <w:top w:val="none" w:sz="0" w:space="0" w:color="auto"/>
        <w:left w:val="none" w:sz="0" w:space="0" w:color="auto"/>
        <w:bottom w:val="none" w:sz="0" w:space="0" w:color="auto"/>
        <w:right w:val="none" w:sz="0" w:space="0" w:color="auto"/>
      </w:divBdr>
    </w:div>
    <w:div w:id="1401054252">
      <w:bodyDiv w:val="1"/>
      <w:marLeft w:val="0"/>
      <w:marRight w:val="0"/>
      <w:marTop w:val="0"/>
      <w:marBottom w:val="0"/>
      <w:divBdr>
        <w:top w:val="none" w:sz="0" w:space="0" w:color="auto"/>
        <w:left w:val="none" w:sz="0" w:space="0" w:color="auto"/>
        <w:bottom w:val="none" w:sz="0" w:space="0" w:color="auto"/>
        <w:right w:val="none" w:sz="0" w:space="0" w:color="auto"/>
      </w:divBdr>
    </w:div>
    <w:div w:id="1436250472">
      <w:bodyDiv w:val="1"/>
      <w:marLeft w:val="0"/>
      <w:marRight w:val="0"/>
      <w:marTop w:val="0"/>
      <w:marBottom w:val="0"/>
      <w:divBdr>
        <w:top w:val="none" w:sz="0" w:space="0" w:color="auto"/>
        <w:left w:val="none" w:sz="0" w:space="0" w:color="auto"/>
        <w:bottom w:val="none" w:sz="0" w:space="0" w:color="auto"/>
        <w:right w:val="none" w:sz="0" w:space="0" w:color="auto"/>
      </w:divBdr>
    </w:div>
    <w:div w:id="1458986423">
      <w:bodyDiv w:val="1"/>
      <w:marLeft w:val="0"/>
      <w:marRight w:val="0"/>
      <w:marTop w:val="0"/>
      <w:marBottom w:val="0"/>
      <w:divBdr>
        <w:top w:val="none" w:sz="0" w:space="0" w:color="auto"/>
        <w:left w:val="none" w:sz="0" w:space="0" w:color="auto"/>
        <w:bottom w:val="none" w:sz="0" w:space="0" w:color="auto"/>
        <w:right w:val="none" w:sz="0" w:space="0" w:color="auto"/>
      </w:divBdr>
    </w:div>
    <w:div w:id="1484588166">
      <w:bodyDiv w:val="1"/>
      <w:marLeft w:val="0"/>
      <w:marRight w:val="0"/>
      <w:marTop w:val="0"/>
      <w:marBottom w:val="0"/>
      <w:divBdr>
        <w:top w:val="none" w:sz="0" w:space="0" w:color="auto"/>
        <w:left w:val="none" w:sz="0" w:space="0" w:color="auto"/>
        <w:bottom w:val="none" w:sz="0" w:space="0" w:color="auto"/>
        <w:right w:val="none" w:sz="0" w:space="0" w:color="auto"/>
      </w:divBdr>
    </w:div>
    <w:div w:id="1494494086">
      <w:bodyDiv w:val="1"/>
      <w:marLeft w:val="0"/>
      <w:marRight w:val="0"/>
      <w:marTop w:val="0"/>
      <w:marBottom w:val="0"/>
      <w:divBdr>
        <w:top w:val="none" w:sz="0" w:space="0" w:color="auto"/>
        <w:left w:val="none" w:sz="0" w:space="0" w:color="auto"/>
        <w:bottom w:val="none" w:sz="0" w:space="0" w:color="auto"/>
        <w:right w:val="none" w:sz="0" w:space="0" w:color="auto"/>
      </w:divBdr>
    </w:div>
    <w:div w:id="1524201801">
      <w:bodyDiv w:val="1"/>
      <w:marLeft w:val="0"/>
      <w:marRight w:val="0"/>
      <w:marTop w:val="0"/>
      <w:marBottom w:val="0"/>
      <w:divBdr>
        <w:top w:val="none" w:sz="0" w:space="0" w:color="auto"/>
        <w:left w:val="none" w:sz="0" w:space="0" w:color="auto"/>
        <w:bottom w:val="none" w:sz="0" w:space="0" w:color="auto"/>
        <w:right w:val="none" w:sz="0" w:space="0" w:color="auto"/>
      </w:divBdr>
    </w:div>
    <w:div w:id="1530145193">
      <w:bodyDiv w:val="1"/>
      <w:marLeft w:val="0"/>
      <w:marRight w:val="0"/>
      <w:marTop w:val="0"/>
      <w:marBottom w:val="0"/>
      <w:divBdr>
        <w:top w:val="none" w:sz="0" w:space="0" w:color="auto"/>
        <w:left w:val="none" w:sz="0" w:space="0" w:color="auto"/>
        <w:bottom w:val="none" w:sz="0" w:space="0" w:color="auto"/>
        <w:right w:val="none" w:sz="0" w:space="0" w:color="auto"/>
      </w:divBdr>
    </w:div>
    <w:div w:id="1544367023">
      <w:bodyDiv w:val="1"/>
      <w:marLeft w:val="0"/>
      <w:marRight w:val="0"/>
      <w:marTop w:val="0"/>
      <w:marBottom w:val="0"/>
      <w:divBdr>
        <w:top w:val="none" w:sz="0" w:space="0" w:color="auto"/>
        <w:left w:val="none" w:sz="0" w:space="0" w:color="auto"/>
        <w:bottom w:val="none" w:sz="0" w:space="0" w:color="auto"/>
        <w:right w:val="none" w:sz="0" w:space="0" w:color="auto"/>
      </w:divBdr>
    </w:div>
    <w:div w:id="1560363722">
      <w:bodyDiv w:val="1"/>
      <w:marLeft w:val="0"/>
      <w:marRight w:val="0"/>
      <w:marTop w:val="0"/>
      <w:marBottom w:val="0"/>
      <w:divBdr>
        <w:top w:val="none" w:sz="0" w:space="0" w:color="auto"/>
        <w:left w:val="none" w:sz="0" w:space="0" w:color="auto"/>
        <w:bottom w:val="none" w:sz="0" w:space="0" w:color="auto"/>
        <w:right w:val="none" w:sz="0" w:space="0" w:color="auto"/>
      </w:divBdr>
    </w:div>
    <w:div w:id="1566069116">
      <w:bodyDiv w:val="1"/>
      <w:marLeft w:val="0"/>
      <w:marRight w:val="0"/>
      <w:marTop w:val="0"/>
      <w:marBottom w:val="0"/>
      <w:divBdr>
        <w:top w:val="none" w:sz="0" w:space="0" w:color="auto"/>
        <w:left w:val="none" w:sz="0" w:space="0" w:color="auto"/>
        <w:bottom w:val="none" w:sz="0" w:space="0" w:color="auto"/>
        <w:right w:val="none" w:sz="0" w:space="0" w:color="auto"/>
      </w:divBdr>
      <w:divsChild>
        <w:div w:id="427503111">
          <w:marLeft w:val="0"/>
          <w:marRight w:val="0"/>
          <w:marTop w:val="0"/>
          <w:marBottom w:val="0"/>
          <w:divBdr>
            <w:top w:val="none" w:sz="0" w:space="0" w:color="auto"/>
            <w:left w:val="none" w:sz="0" w:space="0" w:color="auto"/>
            <w:bottom w:val="none" w:sz="0" w:space="0" w:color="auto"/>
            <w:right w:val="none" w:sz="0" w:space="0" w:color="auto"/>
          </w:divBdr>
          <w:divsChild>
            <w:div w:id="567037304">
              <w:marLeft w:val="0"/>
              <w:marRight w:val="0"/>
              <w:marTop w:val="0"/>
              <w:marBottom w:val="0"/>
              <w:divBdr>
                <w:top w:val="none" w:sz="0" w:space="0" w:color="auto"/>
                <w:left w:val="none" w:sz="0" w:space="0" w:color="auto"/>
                <w:bottom w:val="none" w:sz="0" w:space="0" w:color="auto"/>
                <w:right w:val="none" w:sz="0" w:space="0" w:color="auto"/>
              </w:divBdr>
              <w:divsChild>
                <w:div w:id="800880332">
                  <w:marLeft w:val="0"/>
                  <w:marRight w:val="0"/>
                  <w:marTop w:val="0"/>
                  <w:marBottom w:val="0"/>
                  <w:divBdr>
                    <w:top w:val="none" w:sz="0" w:space="0" w:color="auto"/>
                    <w:left w:val="none" w:sz="0" w:space="0" w:color="auto"/>
                    <w:bottom w:val="none" w:sz="0" w:space="0" w:color="auto"/>
                    <w:right w:val="none" w:sz="0" w:space="0" w:color="auto"/>
                  </w:divBdr>
                  <w:divsChild>
                    <w:div w:id="126557704">
                      <w:marLeft w:val="0"/>
                      <w:marRight w:val="0"/>
                      <w:marTop w:val="0"/>
                      <w:marBottom w:val="0"/>
                      <w:divBdr>
                        <w:top w:val="none" w:sz="0" w:space="0" w:color="auto"/>
                        <w:left w:val="none" w:sz="0" w:space="0" w:color="auto"/>
                        <w:bottom w:val="none" w:sz="0" w:space="0" w:color="auto"/>
                        <w:right w:val="none" w:sz="0" w:space="0" w:color="auto"/>
                      </w:divBdr>
                      <w:divsChild>
                        <w:div w:id="834689838">
                          <w:marLeft w:val="0"/>
                          <w:marRight w:val="0"/>
                          <w:marTop w:val="0"/>
                          <w:marBottom w:val="0"/>
                          <w:divBdr>
                            <w:top w:val="none" w:sz="0" w:space="0" w:color="auto"/>
                            <w:left w:val="none" w:sz="0" w:space="0" w:color="auto"/>
                            <w:bottom w:val="none" w:sz="0" w:space="0" w:color="auto"/>
                            <w:right w:val="none" w:sz="0" w:space="0" w:color="auto"/>
                          </w:divBdr>
                          <w:divsChild>
                            <w:div w:id="1626425951">
                              <w:marLeft w:val="0"/>
                              <w:marRight w:val="0"/>
                              <w:marTop w:val="0"/>
                              <w:marBottom w:val="0"/>
                              <w:divBdr>
                                <w:top w:val="none" w:sz="0" w:space="0" w:color="auto"/>
                                <w:left w:val="none" w:sz="0" w:space="0" w:color="auto"/>
                                <w:bottom w:val="none" w:sz="0" w:space="0" w:color="auto"/>
                                <w:right w:val="none" w:sz="0" w:space="0" w:color="auto"/>
                              </w:divBdr>
                              <w:divsChild>
                                <w:div w:id="603851319">
                                  <w:marLeft w:val="0"/>
                                  <w:marRight w:val="0"/>
                                  <w:marTop w:val="0"/>
                                  <w:marBottom w:val="0"/>
                                  <w:divBdr>
                                    <w:top w:val="none" w:sz="0" w:space="0" w:color="auto"/>
                                    <w:left w:val="none" w:sz="0" w:space="0" w:color="auto"/>
                                    <w:bottom w:val="none" w:sz="0" w:space="0" w:color="auto"/>
                                    <w:right w:val="none" w:sz="0" w:space="0" w:color="auto"/>
                                  </w:divBdr>
                                  <w:divsChild>
                                    <w:div w:id="70398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038130">
                      <w:marLeft w:val="0"/>
                      <w:marRight w:val="0"/>
                      <w:marTop w:val="0"/>
                      <w:marBottom w:val="0"/>
                      <w:divBdr>
                        <w:top w:val="none" w:sz="0" w:space="0" w:color="auto"/>
                        <w:left w:val="none" w:sz="0" w:space="0" w:color="auto"/>
                        <w:bottom w:val="none" w:sz="0" w:space="0" w:color="auto"/>
                        <w:right w:val="none" w:sz="0" w:space="0" w:color="auto"/>
                      </w:divBdr>
                      <w:divsChild>
                        <w:div w:id="65013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77310">
      <w:bodyDiv w:val="1"/>
      <w:marLeft w:val="0"/>
      <w:marRight w:val="0"/>
      <w:marTop w:val="0"/>
      <w:marBottom w:val="0"/>
      <w:divBdr>
        <w:top w:val="none" w:sz="0" w:space="0" w:color="auto"/>
        <w:left w:val="none" w:sz="0" w:space="0" w:color="auto"/>
        <w:bottom w:val="none" w:sz="0" w:space="0" w:color="auto"/>
        <w:right w:val="none" w:sz="0" w:space="0" w:color="auto"/>
      </w:divBdr>
      <w:divsChild>
        <w:div w:id="992871135">
          <w:marLeft w:val="0"/>
          <w:marRight w:val="0"/>
          <w:marTop w:val="0"/>
          <w:marBottom w:val="0"/>
          <w:divBdr>
            <w:top w:val="none" w:sz="0" w:space="0" w:color="auto"/>
            <w:left w:val="none" w:sz="0" w:space="0" w:color="auto"/>
            <w:bottom w:val="none" w:sz="0" w:space="0" w:color="auto"/>
            <w:right w:val="none" w:sz="0" w:space="0" w:color="auto"/>
          </w:divBdr>
        </w:div>
      </w:divsChild>
    </w:div>
    <w:div w:id="1587032355">
      <w:bodyDiv w:val="1"/>
      <w:marLeft w:val="0"/>
      <w:marRight w:val="0"/>
      <w:marTop w:val="0"/>
      <w:marBottom w:val="0"/>
      <w:divBdr>
        <w:top w:val="none" w:sz="0" w:space="0" w:color="auto"/>
        <w:left w:val="none" w:sz="0" w:space="0" w:color="auto"/>
        <w:bottom w:val="none" w:sz="0" w:space="0" w:color="auto"/>
        <w:right w:val="none" w:sz="0" w:space="0" w:color="auto"/>
      </w:divBdr>
    </w:div>
    <w:div w:id="1617517115">
      <w:bodyDiv w:val="1"/>
      <w:marLeft w:val="0"/>
      <w:marRight w:val="0"/>
      <w:marTop w:val="0"/>
      <w:marBottom w:val="0"/>
      <w:divBdr>
        <w:top w:val="none" w:sz="0" w:space="0" w:color="auto"/>
        <w:left w:val="none" w:sz="0" w:space="0" w:color="auto"/>
        <w:bottom w:val="none" w:sz="0" w:space="0" w:color="auto"/>
        <w:right w:val="none" w:sz="0" w:space="0" w:color="auto"/>
      </w:divBdr>
    </w:div>
    <w:div w:id="1618373931">
      <w:bodyDiv w:val="1"/>
      <w:marLeft w:val="0"/>
      <w:marRight w:val="0"/>
      <w:marTop w:val="0"/>
      <w:marBottom w:val="0"/>
      <w:divBdr>
        <w:top w:val="none" w:sz="0" w:space="0" w:color="auto"/>
        <w:left w:val="none" w:sz="0" w:space="0" w:color="auto"/>
        <w:bottom w:val="none" w:sz="0" w:space="0" w:color="auto"/>
        <w:right w:val="none" w:sz="0" w:space="0" w:color="auto"/>
      </w:divBdr>
      <w:divsChild>
        <w:div w:id="2076469508">
          <w:marLeft w:val="0"/>
          <w:marRight w:val="0"/>
          <w:marTop w:val="0"/>
          <w:marBottom w:val="0"/>
          <w:divBdr>
            <w:top w:val="none" w:sz="0" w:space="0" w:color="auto"/>
            <w:left w:val="none" w:sz="0" w:space="0" w:color="auto"/>
            <w:bottom w:val="none" w:sz="0" w:space="0" w:color="auto"/>
            <w:right w:val="none" w:sz="0" w:space="0" w:color="auto"/>
          </w:divBdr>
          <w:divsChild>
            <w:div w:id="1402676500">
              <w:marLeft w:val="0"/>
              <w:marRight w:val="0"/>
              <w:marTop w:val="0"/>
              <w:marBottom w:val="0"/>
              <w:divBdr>
                <w:top w:val="none" w:sz="0" w:space="0" w:color="auto"/>
                <w:left w:val="none" w:sz="0" w:space="0" w:color="auto"/>
                <w:bottom w:val="none" w:sz="0" w:space="0" w:color="auto"/>
                <w:right w:val="none" w:sz="0" w:space="0" w:color="auto"/>
              </w:divBdr>
              <w:divsChild>
                <w:div w:id="193470989">
                  <w:marLeft w:val="0"/>
                  <w:marRight w:val="0"/>
                  <w:marTop w:val="0"/>
                  <w:marBottom w:val="0"/>
                  <w:divBdr>
                    <w:top w:val="none" w:sz="0" w:space="0" w:color="auto"/>
                    <w:left w:val="none" w:sz="0" w:space="0" w:color="auto"/>
                    <w:bottom w:val="none" w:sz="0" w:space="0" w:color="auto"/>
                    <w:right w:val="none" w:sz="0" w:space="0" w:color="auto"/>
                  </w:divBdr>
                  <w:divsChild>
                    <w:div w:id="575241072">
                      <w:marLeft w:val="0"/>
                      <w:marRight w:val="0"/>
                      <w:marTop w:val="0"/>
                      <w:marBottom w:val="0"/>
                      <w:divBdr>
                        <w:top w:val="none" w:sz="0" w:space="0" w:color="auto"/>
                        <w:left w:val="none" w:sz="0" w:space="0" w:color="auto"/>
                        <w:bottom w:val="none" w:sz="0" w:space="0" w:color="auto"/>
                        <w:right w:val="none" w:sz="0" w:space="0" w:color="auto"/>
                      </w:divBdr>
                      <w:divsChild>
                        <w:div w:id="572395875">
                          <w:marLeft w:val="0"/>
                          <w:marRight w:val="0"/>
                          <w:marTop w:val="0"/>
                          <w:marBottom w:val="0"/>
                          <w:divBdr>
                            <w:top w:val="none" w:sz="0" w:space="0" w:color="auto"/>
                            <w:left w:val="none" w:sz="0" w:space="0" w:color="auto"/>
                            <w:bottom w:val="none" w:sz="0" w:space="0" w:color="auto"/>
                            <w:right w:val="none" w:sz="0" w:space="0" w:color="auto"/>
                          </w:divBdr>
                          <w:divsChild>
                            <w:div w:id="1315523333">
                              <w:marLeft w:val="0"/>
                              <w:marRight w:val="0"/>
                              <w:marTop w:val="0"/>
                              <w:marBottom w:val="0"/>
                              <w:divBdr>
                                <w:top w:val="none" w:sz="0" w:space="0" w:color="auto"/>
                                <w:left w:val="none" w:sz="0" w:space="0" w:color="auto"/>
                                <w:bottom w:val="none" w:sz="0" w:space="0" w:color="auto"/>
                                <w:right w:val="none" w:sz="0" w:space="0" w:color="auto"/>
                              </w:divBdr>
                              <w:divsChild>
                                <w:div w:id="4485563">
                                  <w:marLeft w:val="0"/>
                                  <w:marRight w:val="0"/>
                                  <w:marTop w:val="0"/>
                                  <w:marBottom w:val="0"/>
                                  <w:divBdr>
                                    <w:top w:val="none" w:sz="0" w:space="0" w:color="auto"/>
                                    <w:left w:val="none" w:sz="0" w:space="0" w:color="auto"/>
                                    <w:bottom w:val="none" w:sz="0" w:space="0" w:color="auto"/>
                                    <w:right w:val="none" w:sz="0" w:space="0" w:color="auto"/>
                                  </w:divBdr>
                                  <w:divsChild>
                                    <w:div w:id="416096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5777837">
                      <w:marLeft w:val="0"/>
                      <w:marRight w:val="0"/>
                      <w:marTop w:val="0"/>
                      <w:marBottom w:val="0"/>
                      <w:divBdr>
                        <w:top w:val="none" w:sz="0" w:space="0" w:color="auto"/>
                        <w:left w:val="none" w:sz="0" w:space="0" w:color="auto"/>
                        <w:bottom w:val="none" w:sz="0" w:space="0" w:color="auto"/>
                        <w:right w:val="none" w:sz="0" w:space="0" w:color="auto"/>
                      </w:divBdr>
                      <w:divsChild>
                        <w:div w:id="308674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8243059">
      <w:bodyDiv w:val="1"/>
      <w:marLeft w:val="0"/>
      <w:marRight w:val="0"/>
      <w:marTop w:val="0"/>
      <w:marBottom w:val="0"/>
      <w:divBdr>
        <w:top w:val="none" w:sz="0" w:space="0" w:color="auto"/>
        <w:left w:val="none" w:sz="0" w:space="0" w:color="auto"/>
        <w:bottom w:val="none" w:sz="0" w:space="0" w:color="auto"/>
        <w:right w:val="none" w:sz="0" w:space="0" w:color="auto"/>
      </w:divBdr>
    </w:div>
    <w:div w:id="1635987739">
      <w:bodyDiv w:val="1"/>
      <w:marLeft w:val="0"/>
      <w:marRight w:val="0"/>
      <w:marTop w:val="0"/>
      <w:marBottom w:val="0"/>
      <w:divBdr>
        <w:top w:val="none" w:sz="0" w:space="0" w:color="auto"/>
        <w:left w:val="none" w:sz="0" w:space="0" w:color="auto"/>
        <w:bottom w:val="none" w:sz="0" w:space="0" w:color="auto"/>
        <w:right w:val="none" w:sz="0" w:space="0" w:color="auto"/>
      </w:divBdr>
    </w:div>
    <w:div w:id="1675036641">
      <w:bodyDiv w:val="1"/>
      <w:marLeft w:val="0"/>
      <w:marRight w:val="0"/>
      <w:marTop w:val="0"/>
      <w:marBottom w:val="0"/>
      <w:divBdr>
        <w:top w:val="none" w:sz="0" w:space="0" w:color="auto"/>
        <w:left w:val="none" w:sz="0" w:space="0" w:color="auto"/>
        <w:bottom w:val="none" w:sz="0" w:space="0" w:color="auto"/>
        <w:right w:val="none" w:sz="0" w:space="0" w:color="auto"/>
      </w:divBdr>
      <w:divsChild>
        <w:div w:id="1020273939">
          <w:marLeft w:val="0"/>
          <w:marRight w:val="0"/>
          <w:marTop w:val="0"/>
          <w:marBottom w:val="0"/>
          <w:divBdr>
            <w:top w:val="none" w:sz="0" w:space="0" w:color="auto"/>
            <w:left w:val="none" w:sz="0" w:space="0" w:color="auto"/>
            <w:bottom w:val="none" w:sz="0" w:space="0" w:color="auto"/>
            <w:right w:val="none" w:sz="0" w:space="0" w:color="auto"/>
          </w:divBdr>
          <w:divsChild>
            <w:div w:id="1488395751">
              <w:marLeft w:val="0"/>
              <w:marRight w:val="0"/>
              <w:marTop w:val="0"/>
              <w:marBottom w:val="0"/>
              <w:divBdr>
                <w:top w:val="none" w:sz="0" w:space="0" w:color="auto"/>
                <w:left w:val="none" w:sz="0" w:space="0" w:color="auto"/>
                <w:bottom w:val="none" w:sz="0" w:space="0" w:color="auto"/>
                <w:right w:val="none" w:sz="0" w:space="0" w:color="auto"/>
              </w:divBdr>
              <w:divsChild>
                <w:div w:id="2628565">
                  <w:marLeft w:val="0"/>
                  <w:marRight w:val="0"/>
                  <w:marTop w:val="0"/>
                  <w:marBottom w:val="0"/>
                  <w:divBdr>
                    <w:top w:val="none" w:sz="0" w:space="0" w:color="auto"/>
                    <w:left w:val="none" w:sz="0" w:space="0" w:color="auto"/>
                    <w:bottom w:val="none" w:sz="0" w:space="0" w:color="auto"/>
                    <w:right w:val="none" w:sz="0" w:space="0" w:color="auto"/>
                  </w:divBdr>
                  <w:divsChild>
                    <w:div w:id="213084301">
                      <w:marLeft w:val="0"/>
                      <w:marRight w:val="0"/>
                      <w:marTop w:val="0"/>
                      <w:marBottom w:val="0"/>
                      <w:divBdr>
                        <w:top w:val="none" w:sz="0" w:space="0" w:color="auto"/>
                        <w:left w:val="none" w:sz="0" w:space="0" w:color="auto"/>
                        <w:bottom w:val="none" w:sz="0" w:space="0" w:color="auto"/>
                        <w:right w:val="none" w:sz="0" w:space="0" w:color="auto"/>
                      </w:divBdr>
                      <w:divsChild>
                        <w:div w:id="1634944028">
                          <w:marLeft w:val="0"/>
                          <w:marRight w:val="0"/>
                          <w:marTop w:val="0"/>
                          <w:marBottom w:val="0"/>
                          <w:divBdr>
                            <w:top w:val="none" w:sz="0" w:space="0" w:color="auto"/>
                            <w:left w:val="none" w:sz="0" w:space="0" w:color="auto"/>
                            <w:bottom w:val="none" w:sz="0" w:space="0" w:color="auto"/>
                            <w:right w:val="none" w:sz="0" w:space="0" w:color="auto"/>
                          </w:divBdr>
                        </w:div>
                      </w:divsChild>
                    </w:div>
                    <w:div w:id="1245606936">
                      <w:marLeft w:val="0"/>
                      <w:marRight w:val="0"/>
                      <w:marTop w:val="0"/>
                      <w:marBottom w:val="0"/>
                      <w:divBdr>
                        <w:top w:val="none" w:sz="0" w:space="0" w:color="auto"/>
                        <w:left w:val="none" w:sz="0" w:space="0" w:color="auto"/>
                        <w:bottom w:val="none" w:sz="0" w:space="0" w:color="auto"/>
                        <w:right w:val="none" w:sz="0" w:space="0" w:color="auto"/>
                      </w:divBdr>
                      <w:divsChild>
                        <w:div w:id="1365132652">
                          <w:marLeft w:val="0"/>
                          <w:marRight w:val="0"/>
                          <w:marTop w:val="0"/>
                          <w:marBottom w:val="0"/>
                          <w:divBdr>
                            <w:top w:val="none" w:sz="0" w:space="0" w:color="auto"/>
                            <w:left w:val="none" w:sz="0" w:space="0" w:color="auto"/>
                            <w:bottom w:val="none" w:sz="0" w:space="0" w:color="auto"/>
                            <w:right w:val="none" w:sz="0" w:space="0" w:color="auto"/>
                          </w:divBdr>
                          <w:divsChild>
                            <w:div w:id="1337421590">
                              <w:marLeft w:val="0"/>
                              <w:marRight w:val="0"/>
                              <w:marTop w:val="0"/>
                              <w:marBottom w:val="0"/>
                              <w:divBdr>
                                <w:top w:val="none" w:sz="0" w:space="0" w:color="auto"/>
                                <w:left w:val="none" w:sz="0" w:space="0" w:color="auto"/>
                                <w:bottom w:val="none" w:sz="0" w:space="0" w:color="auto"/>
                                <w:right w:val="none" w:sz="0" w:space="0" w:color="auto"/>
                              </w:divBdr>
                              <w:divsChild>
                                <w:div w:id="218245922">
                                  <w:marLeft w:val="0"/>
                                  <w:marRight w:val="0"/>
                                  <w:marTop w:val="0"/>
                                  <w:marBottom w:val="0"/>
                                  <w:divBdr>
                                    <w:top w:val="none" w:sz="0" w:space="0" w:color="auto"/>
                                    <w:left w:val="none" w:sz="0" w:space="0" w:color="auto"/>
                                    <w:bottom w:val="none" w:sz="0" w:space="0" w:color="auto"/>
                                    <w:right w:val="none" w:sz="0" w:space="0" w:color="auto"/>
                                  </w:divBdr>
                                  <w:divsChild>
                                    <w:div w:id="48643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91643465">
      <w:bodyDiv w:val="1"/>
      <w:marLeft w:val="0"/>
      <w:marRight w:val="0"/>
      <w:marTop w:val="0"/>
      <w:marBottom w:val="0"/>
      <w:divBdr>
        <w:top w:val="none" w:sz="0" w:space="0" w:color="auto"/>
        <w:left w:val="none" w:sz="0" w:space="0" w:color="auto"/>
        <w:bottom w:val="none" w:sz="0" w:space="0" w:color="auto"/>
        <w:right w:val="none" w:sz="0" w:space="0" w:color="auto"/>
      </w:divBdr>
    </w:div>
    <w:div w:id="1750998168">
      <w:bodyDiv w:val="1"/>
      <w:marLeft w:val="0"/>
      <w:marRight w:val="0"/>
      <w:marTop w:val="0"/>
      <w:marBottom w:val="0"/>
      <w:divBdr>
        <w:top w:val="none" w:sz="0" w:space="0" w:color="auto"/>
        <w:left w:val="none" w:sz="0" w:space="0" w:color="auto"/>
        <w:bottom w:val="none" w:sz="0" w:space="0" w:color="auto"/>
        <w:right w:val="none" w:sz="0" w:space="0" w:color="auto"/>
      </w:divBdr>
      <w:divsChild>
        <w:div w:id="415565093">
          <w:marLeft w:val="0"/>
          <w:marRight w:val="0"/>
          <w:marTop w:val="0"/>
          <w:marBottom w:val="0"/>
          <w:divBdr>
            <w:top w:val="none" w:sz="0" w:space="0" w:color="auto"/>
            <w:left w:val="none" w:sz="0" w:space="0" w:color="auto"/>
            <w:bottom w:val="none" w:sz="0" w:space="0" w:color="auto"/>
            <w:right w:val="none" w:sz="0" w:space="0" w:color="auto"/>
          </w:divBdr>
        </w:div>
        <w:div w:id="1767382319">
          <w:marLeft w:val="0"/>
          <w:marRight w:val="0"/>
          <w:marTop w:val="0"/>
          <w:marBottom w:val="0"/>
          <w:divBdr>
            <w:top w:val="single" w:sz="6" w:space="0" w:color="5B616B"/>
            <w:left w:val="single" w:sz="6" w:space="0" w:color="5B616B"/>
            <w:bottom w:val="single" w:sz="6" w:space="0" w:color="5B616B"/>
            <w:right w:val="single" w:sz="6" w:space="0" w:color="5B616B"/>
          </w:divBdr>
        </w:div>
      </w:divsChild>
    </w:div>
    <w:div w:id="1800880034">
      <w:bodyDiv w:val="1"/>
      <w:marLeft w:val="0"/>
      <w:marRight w:val="0"/>
      <w:marTop w:val="0"/>
      <w:marBottom w:val="0"/>
      <w:divBdr>
        <w:top w:val="none" w:sz="0" w:space="0" w:color="auto"/>
        <w:left w:val="none" w:sz="0" w:space="0" w:color="auto"/>
        <w:bottom w:val="none" w:sz="0" w:space="0" w:color="auto"/>
        <w:right w:val="none" w:sz="0" w:space="0" w:color="auto"/>
      </w:divBdr>
    </w:div>
    <w:div w:id="1819766088">
      <w:bodyDiv w:val="1"/>
      <w:marLeft w:val="0"/>
      <w:marRight w:val="0"/>
      <w:marTop w:val="0"/>
      <w:marBottom w:val="0"/>
      <w:divBdr>
        <w:top w:val="none" w:sz="0" w:space="0" w:color="auto"/>
        <w:left w:val="none" w:sz="0" w:space="0" w:color="auto"/>
        <w:bottom w:val="none" w:sz="0" w:space="0" w:color="auto"/>
        <w:right w:val="none" w:sz="0" w:space="0" w:color="auto"/>
      </w:divBdr>
      <w:divsChild>
        <w:div w:id="454637681">
          <w:marLeft w:val="0"/>
          <w:marRight w:val="0"/>
          <w:marTop w:val="0"/>
          <w:marBottom w:val="0"/>
          <w:divBdr>
            <w:top w:val="none" w:sz="0" w:space="0" w:color="auto"/>
            <w:left w:val="none" w:sz="0" w:space="0" w:color="auto"/>
            <w:bottom w:val="none" w:sz="0" w:space="0" w:color="auto"/>
            <w:right w:val="none" w:sz="0" w:space="0" w:color="auto"/>
          </w:divBdr>
        </w:div>
      </w:divsChild>
    </w:div>
    <w:div w:id="1855681785">
      <w:bodyDiv w:val="1"/>
      <w:marLeft w:val="0"/>
      <w:marRight w:val="0"/>
      <w:marTop w:val="0"/>
      <w:marBottom w:val="0"/>
      <w:divBdr>
        <w:top w:val="none" w:sz="0" w:space="0" w:color="auto"/>
        <w:left w:val="none" w:sz="0" w:space="0" w:color="auto"/>
        <w:bottom w:val="none" w:sz="0" w:space="0" w:color="auto"/>
        <w:right w:val="none" w:sz="0" w:space="0" w:color="auto"/>
      </w:divBdr>
    </w:div>
    <w:div w:id="1877542040">
      <w:bodyDiv w:val="1"/>
      <w:marLeft w:val="0"/>
      <w:marRight w:val="0"/>
      <w:marTop w:val="0"/>
      <w:marBottom w:val="0"/>
      <w:divBdr>
        <w:top w:val="none" w:sz="0" w:space="0" w:color="auto"/>
        <w:left w:val="none" w:sz="0" w:space="0" w:color="auto"/>
        <w:bottom w:val="none" w:sz="0" w:space="0" w:color="auto"/>
        <w:right w:val="none" w:sz="0" w:space="0" w:color="auto"/>
      </w:divBdr>
    </w:div>
    <w:div w:id="1952514152">
      <w:bodyDiv w:val="1"/>
      <w:marLeft w:val="0"/>
      <w:marRight w:val="0"/>
      <w:marTop w:val="0"/>
      <w:marBottom w:val="0"/>
      <w:divBdr>
        <w:top w:val="none" w:sz="0" w:space="0" w:color="auto"/>
        <w:left w:val="none" w:sz="0" w:space="0" w:color="auto"/>
        <w:bottom w:val="none" w:sz="0" w:space="0" w:color="auto"/>
        <w:right w:val="none" w:sz="0" w:space="0" w:color="auto"/>
      </w:divBdr>
      <w:divsChild>
        <w:div w:id="377512617">
          <w:marLeft w:val="1166"/>
          <w:marRight w:val="0"/>
          <w:marTop w:val="100"/>
          <w:marBottom w:val="0"/>
          <w:divBdr>
            <w:top w:val="none" w:sz="0" w:space="0" w:color="auto"/>
            <w:left w:val="none" w:sz="0" w:space="0" w:color="auto"/>
            <w:bottom w:val="none" w:sz="0" w:space="0" w:color="auto"/>
            <w:right w:val="none" w:sz="0" w:space="0" w:color="auto"/>
          </w:divBdr>
        </w:div>
        <w:div w:id="1237596448">
          <w:marLeft w:val="360"/>
          <w:marRight w:val="0"/>
          <w:marTop w:val="200"/>
          <w:marBottom w:val="0"/>
          <w:divBdr>
            <w:top w:val="none" w:sz="0" w:space="0" w:color="auto"/>
            <w:left w:val="none" w:sz="0" w:space="0" w:color="auto"/>
            <w:bottom w:val="none" w:sz="0" w:space="0" w:color="auto"/>
            <w:right w:val="none" w:sz="0" w:space="0" w:color="auto"/>
          </w:divBdr>
        </w:div>
        <w:div w:id="1578132007">
          <w:marLeft w:val="1166"/>
          <w:marRight w:val="0"/>
          <w:marTop w:val="100"/>
          <w:marBottom w:val="0"/>
          <w:divBdr>
            <w:top w:val="none" w:sz="0" w:space="0" w:color="auto"/>
            <w:left w:val="none" w:sz="0" w:space="0" w:color="auto"/>
            <w:bottom w:val="none" w:sz="0" w:space="0" w:color="auto"/>
            <w:right w:val="none" w:sz="0" w:space="0" w:color="auto"/>
          </w:divBdr>
        </w:div>
        <w:div w:id="1949510366">
          <w:marLeft w:val="1166"/>
          <w:marRight w:val="0"/>
          <w:marTop w:val="100"/>
          <w:marBottom w:val="0"/>
          <w:divBdr>
            <w:top w:val="none" w:sz="0" w:space="0" w:color="auto"/>
            <w:left w:val="none" w:sz="0" w:space="0" w:color="auto"/>
            <w:bottom w:val="none" w:sz="0" w:space="0" w:color="auto"/>
            <w:right w:val="none" w:sz="0" w:space="0" w:color="auto"/>
          </w:divBdr>
        </w:div>
        <w:div w:id="2013482853">
          <w:marLeft w:val="1166"/>
          <w:marRight w:val="0"/>
          <w:marTop w:val="100"/>
          <w:marBottom w:val="0"/>
          <w:divBdr>
            <w:top w:val="none" w:sz="0" w:space="0" w:color="auto"/>
            <w:left w:val="none" w:sz="0" w:space="0" w:color="auto"/>
            <w:bottom w:val="none" w:sz="0" w:space="0" w:color="auto"/>
            <w:right w:val="none" w:sz="0" w:space="0" w:color="auto"/>
          </w:divBdr>
        </w:div>
      </w:divsChild>
    </w:div>
    <w:div w:id="1980570608">
      <w:bodyDiv w:val="1"/>
      <w:marLeft w:val="0"/>
      <w:marRight w:val="0"/>
      <w:marTop w:val="0"/>
      <w:marBottom w:val="0"/>
      <w:divBdr>
        <w:top w:val="none" w:sz="0" w:space="0" w:color="auto"/>
        <w:left w:val="none" w:sz="0" w:space="0" w:color="auto"/>
        <w:bottom w:val="none" w:sz="0" w:space="0" w:color="auto"/>
        <w:right w:val="none" w:sz="0" w:space="0" w:color="auto"/>
      </w:divBdr>
    </w:div>
    <w:div w:id="2065443188">
      <w:bodyDiv w:val="1"/>
      <w:marLeft w:val="0"/>
      <w:marRight w:val="0"/>
      <w:marTop w:val="0"/>
      <w:marBottom w:val="0"/>
      <w:divBdr>
        <w:top w:val="none" w:sz="0" w:space="0" w:color="auto"/>
        <w:left w:val="none" w:sz="0" w:space="0" w:color="auto"/>
        <w:bottom w:val="none" w:sz="0" w:space="0" w:color="auto"/>
        <w:right w:val="none" w:sz="0" w:space="0" w:color="auto"/>
      </w:divBdr>
    </w:div>
    <w:div w:id="2067952442">
      <w:bodyDiv w:val="1"/>
      <w:marLeft w:val="0"/>
      <w:marRight w:val="0"/>
      <w:marTop w:val="0"/>
      <w:marBottom w:val="0"/>
      <w:divBdr>
        <w:top w:val="none" w:sz="0" w:space="0" w:color="auto"/>
        <w:left w:val="none" w:sz="0" w:space="0" w:color="auto"/>
        <w:bottom w:val="none" w:sz="0" w:space="0" w:color="auto"/>
        <w:right w:val="none" w:sz="0" w:space="0" w:color="auto"/>
      </w:divBdr>
    </w:div>
    <w:div w:id="2082025648">
      <w:bodyDiv w:val="1"/>
      <w:marLeft w:val="0"/>
      <w:marRight w:val="0"/>
      <w:marTop w:val="0"/>
      <w:marBottom w:val="0"/>
      <w:divBdr>
        <w:top w:val="none" w:sz="0" w:space="0" w:color="auto"/>
        <w:left w:val="none" w:sz="0" w:space="0" w:color="auto"/>
        <w:bottom w:val="none" w:sz="0" w:space="0" w:color="auto"/>
        <w:right w:val="none" w:sz="0" w:space="0" w:color="auto"/>
      </w:divBdr>
    </w:div>
    <w:div w:id="2083795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26" Type="http://schemas.openxmlformats.org/officeDocument/2006/relationships/image" Target="media/image15.png"/><Relationship Id="rId39" Type="http://schemas.openxmlformats.org/officeDocument/2006/relationships/header" Target="header1.xml"/><Relationship Id="rId34" Type="http://schemas.openxmlformats.org/officeDocument/2006/relationships/image" Target="media/image17.jpe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2.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ink/ink2.xml"/><Relationship Id="rId28" Type="http://schemas.openxmlformats.org/officeDocument/2006/relationships/image" Target="media/image11.png"/><Relationship Id="rId36" Type="http://schemas.openxmlformats.org/officeDocument/2006/relationships/image" Target="media/image19.jpeg"/><Relationship Id="rId10" Type="http://schemas.openxmlformats.org/officeDocument/2006/relationships/image" Target="media/image3.png"/><Relationship Id="rId31" Type="http://schemas.openxmlformats.org/officeDocument/2006/relationships/image" Target="media/image14.jpeg"/><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0.pn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ustomXml" Target="ink/ink1.xml"/><Relationship Id="rId25" Type="http://schemas.openxmlformats.org/officeDocument/2006/relationships/customXml" Target="ink/ink3.xml"/><Relationship Id="rId33" Type="http://schemas.openxmlformats.org/officeDocument/2006/relationships/image" Target="media/image16.jpeg"/><Relationship Id="rId38" Type="http://schemas.openxmlformats.org/officeDocument/2006/relationships/hyperlink" Target="https://doi.org/10.1007/978%E2%80%91981%E2%80%9115%E2%80%911346%E2%80%916" TargetMode="External"/><Relationship Id="rId46"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8:03.287"/>
    </inkml:context>
    <inkml:brush xml:id="br0">
      <inkml:brushProperty name="width" value="0.05" units="cm"/>
      <inkml:brushProperty name="height" value="0.05" units="cm"/>
    </inkml:brush>
  </inkml:definitions>
  <inkml:trace contextRef="#ctx0" brushRef="#br0">0 5 24264,'1100'0'0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47.300"/>
    </inkml:context>
    <inkml:brush xml:id="br0">
      <inkml:brushProperty name="width" value="0.05" units="cm"/>
      <inkml:brushProperty name="height" value="0.05" units="cm"/>
    </inkml:brush>
  </inkml:definitions>
  <inkml:trace contextRef="#ctx0" brushRef="#br0">0 1 24529,'0'186'0,"1167"-186"0,-1167-186 0,-1167 186 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07-21T08:17:34.444"/>
    </inkml:context>
    <inkml:brush xml:id="br0">
      <inkml:brushProperty name="width" value="0.05" units="cm"/>
      <inkml:brushProperty name="height" value="0.05" units="cm"/>
    </inkml:brush>
  </inkml:definitions>
  <inkml:trace contextRef="#ctx0" brushRef="#br0">0 7 23513,'1271'0'0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C8147C1-A75F-4D84-A9C6-4687FAED0C90}">
  <we:reference id="WA200001361" version="2.129.3.0" store="Omex" storeType="OMEX"/>
  <we:alternateReferences>
    <we:reference id="WA200001361" version="2.129.3.0" store="WA200001361" storeType="OMEX"/>
  </we:alternateReferences>
  <we:properties>
    <we:property name="paperpal-document-id" value="&quot;c88697cf-03c7-471f-b5c9-fb91b15d88d8&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DAC5C5-624F-4CC3-9086-9C82523FB8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3881</Words>
  <Characters>22125</Characters>
  <Application>Microsoft Office Word</Application>
  <DocSecurity>0</DocSecurity>
  <Lines>184</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Nishigandha Pawar</dc:creator>
  <cp:keywords/>
  <dc:description/>
  <cp:lastModifiedBy>SDI PC New 16</cp:lastModifiedBy>
  <cp:revision>4</cp:revision>
  <dcterms:created xsi:type="dcterms:W3CDTF">2025-07-31T12:10:00Z</dcterms:created>
  <dcterms:modified xsi:type="dcterms:W3CDTF">2025-08-04T11:39:00Z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http://www.zotero.org/styles/ieee</vt:lpwstr>
  </property>
  <property fmtid="{D5CDD505-2E9C-101B-9397-08002B2CF9AE}" pid="24" name="Mendeley Unique User Id_1">
    <vt:lpwstr>fc8665ea-8ca9-325b-ba69-08683d67db95</vt:lpwstr>
  </property>
</Properties>
</file>