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9FD" w:rsidRDefault="001257B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Silent Swell: </w:t>
      </w:r>
      <w:r w:rsidRPr="001257B3">
        <w:rPr>
          <w:rFonts w:ascii="Times New Roman" w:eastAsia="Times New Roman" w:hAnsi="Times New Roman" w:cs="Times New Roman"/>
          <w:b/>
          <w:sz w:val="24"/>
          <w:szCs w:val="24"/>
        </w:rPr>
        <w:t>A Case Report</w:t>
      </w:r>
      <w:r>
        <w:rPr>
          <w:rFonts w:ascii="Times New Roman" w:eastAsia="Times New Roman" w:hAnsi="Times New Roman" w:cs="Times New Roman"/>
          <w:b/>
          <w:sz w:val="24"/>
          <w:szCs w:val="24"/>
        </w:rPr>
        <w:t xml:space="preserve"> of Unmasking Ameloblastoma of the Right Posterior Mandible </w:t>
      </w:r>
    </w:p>
    <w:p w:rsidR="007609FD" w:rsidRDefault="007609FD">
      <w:pPr>
        <w:rPr>
          <w:rFonts w:ascii="Times New Roman" w:eastAsia="Times New Roman" w:hAnsi="Times New Roman" w:cs="Times New Roman"/>
          <w:b/>
          <w:sz w:val="24"/>
          <w:szCs w:val="24"/>
        </w:rPr>
      </w:pPr>
    </w:p>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7609FD"/>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Ameloblastoma is a benign, locally aggressive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that most commonly arises in the posterior mandible. Although typically painless in the early stages, it can cause significant destruction of bone and adjacent structures if untreated. This case presents a 31-year-old male with progressive swelling in the right mandibular body region. Detailed clinical, radiographic, and histopathological evaluation confirmed the diagnosis of ameloblastoma. Surgical resection with reconstruction was performed, followed by restorative and maintenance care. This report emphasizes the classic but often overlooked features of ameloblastoma and underscores the importance of timely diagnosis and multidisciplinary management.</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Ameloblastoma, Bone grafting, Mandible, Multilocular radiolucency,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Surgical resection.</w:t>
      </w:r>
    </w:p>
    <w:p w:rsidR="007609FD" w:rsidRDefault="007609FD">
      <w:pPr>
        <w:jc w:val="both"/>
        <w:rPr>
          <w:rFonts w:ascii="Times New Roman" w:eastAsia="Times New Roman" w:hAnsi="Times New Roman" w:cs="Times New Roman"/>
          <w:b/>
          <w:sz w:val="24"/>
          <w:szCs w:val="24"/>
        </w:rPr>
      </w:pP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Ameloblastoma is a rare, benign epithelial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that, despite its non-malignant classification, displays notably aggressive local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It arises from the odontogenic epithelium, which includes remnants of the dental lamina, enamel organ, or epithelium lining odontogenic cysts.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Although accounting for only about 1% of all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affecting the oral cavity and head and neck region, ameloblastoma constitutes approximately 11–13% of all odontogenic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making it one of the most clinically significant entities within this group.</w:t>
      </w:r>
      <w:r>
        <w:rPr>
          <w:rFonts w:ascii="Times New Roman" w:eastAsia="Times New Roman" w:hAnsi="Times New Roman" w:cs="Times New Roman"/>
          <w:sz w:val="24"/>
          <w:szCs w:val="24"/>
          <w:vertAlign w:val="superscript"/>
        </w:rPr>
        <w:t>[3]</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 xml:space="preserve">The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distinguishes them from other benign lesions. They typically present as slow-growing, painless swellings, often discovered incidentally or after noticeable facial asymmetry or tooth </w:t>
      </w:r>
      <w:proofErr w:type="gramStart"/>
      <w:r>
        <w:rPr>
          <w:rFonts w:ascii="Times New Roman" w:eastAsia="Times New Roman" w:hAnsi="Times New Roman" w:cs="Times New Roman"/>
          <w:sz w:val="24"/>
          <w:szCs w:val="24"/>
        </w:rPr>
        <w:t>displacement.</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However, if left undiagnosed or untreated, these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can lead to significant bony expansion, cortical perforation, root resorption, and, in rare cases, soft tissue infiltration. These destructive tendencies contribute to considerable morbidity, even in the absence of </w:t>
      </w:r>
      <w:proofErr w:type="gramStart"/>
      <w:r>
        <w:rPr>
          <w:rFonts w:ascii="Times New Roman" w:eastAsia="Times New Roman" w:hAnsi="Times New Roman" w:cs="Times New Roman"/>
          <w:sz w:val="24"/>
          <w:szCs w:val="24"/>
        </w:rPr>
        <w:t>metastasis.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5]</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Most commonly affecting adults between 30 and 50 years of age,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have no marked gender </w:t>
      </w:r>
      <w:proofErr w:type="gramStart"/>
      <w:r>
        <w:rPr>
          <w:rFonts w:ascii="Times New Roman" w:eastAsia="Times New Roman" w:hAnsi="Times New Roman" w:cs="Times New Roman"/>
          <w:sz w:val="24"/>
          <w:szCs w:val="24"/>
        </w:rPr>
        <w:t>predilection.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The mandible is the most frequent site of occurrence, particularly the posterior segment including the molar and ramus region, which is involved in nearly 80% of reported cases.</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Radiographically,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may appear unilocular or multilocular, with the latter exhibiting a characteristic "soap bubble" or "honeycomb" appearance. Root resorption of adjacent teeth and expansion or perforation of the cortices are also frequently </w:t>
      </w:r>
      <w:proofErr w:type="gramStart"/>
      <w:r>
        <w:rPr>
          <w:rFonts w:ascii="Times New Roman" w:eastAsia="Times New Roman" w:hAnsi="Times New Roman" w:cs="Times New Roman"/>
          <w:sz w:val="24"/>
          <w:szCs w:val="24"/>
        </w:rPr>
        <w:t>observed.</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8]</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Histologically,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are classified into several subtypes, the most common being follicular and plexiform. Less frequent patterns include </w:t>
      </w:r>
      <w:proofErr w:type="spellStart"/>
      <w:r>
        <w:rPr>
          <w:rFonts w:ascii="Times New Roman" w:eastAsia="Times New Roman" w:hAnsi="Times New Roman" w:cs="Times New Roman"/>
          <w:sz w:val="24"/>
          <w:szCs w:val="24"/>
        </w:rPr>
        <w:t>acanthomatous</w:t>
      </w:r>
      <w:proofErr w:type="spellEnd"/>
      <w:r>
        <w:rPr>
          <w:rFonts w:ascii="Times New Roman" w:eastAsia="Times New Roman" w:hAnsi="Times New Roman" w:cs="Times New Roman"/>
          <w:sz w:val="24"/>
          <w:szCs w:val="24"/>
        </w:rPr>
        <w:t xml:space="preserve">, granular cell, basal cell, desmoplastic, and clear cell variants. Each variant has unique cellular characteristics and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though all are associated with a risk of recurrence, especially when managed </w:t>
      </w:r>
      <w:proofErr w:type="gramStart"/>
      <w:r>
        <w:rPr>
          <w:rFonts w:ascii="Times New Roman" w:eastAsia="Times New Roman" w:hAnsi="Times New Roman" w:cs="Times New Roman"/>
          <w:sz w:val="24"/>
          <w:szCs w:val="24"/>
        </w:rPr>
        <w:t>conservatively.</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9]</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World Health Organization’s most recent classification system has emphasized the importance of correlating histopathologic patterns with clinical presentation, radiographic appearance, and biologic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to guide treatment </w:t>
      </w:r>
      <w:proofErr w:type="gramStart"/>
      <w:r>
        <w:rPr>
          <w:rFonts w:ascii="Times New Roman" w:eastAsia="Times New Roman" w:hAnsi="Times New Roman" w:cs="Times New Roman"/>
          <w:sz w:val="24"/>
          <w:szCs w:val="24"/>
        </w:rPr>
        <w:t>planning.</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Although malignant transformation is rare, the potential for extensive bone destruction and recurrence following incomplete excision necessitates a vigilant and often aggressive approach to management.</w:t>
      </w:r>
      <w:r>
        <w:rPr>
          <w:rFonts w:ascii="Times New Roman" w:eastAsia="Times New Roman" w:hAnsi="Times New Roman" w:cs="Times New Roman"/>
          <w:sz w:val="24"/>
          <w:szCs w:val="24"/>
          <w:vertAlign w:val="superscript"/>
        </w:rPr>
        <w:t>[11]</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report illustrates a classical presentation of ameloblastoma in a young adult male, highlighting the typical clinical features, radiographic findings, histopathological confirmation, and surgical management. The case emphasizes the importance of early detection, multidisciplinary evaluation, and long-term follow-up to minimize recurrence and functional impairment.</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PRESENTATION</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31-year-old male presented to the Department of Oral Medicine and Radiology with a complains of swelling in the lower right back region of his jaw for the past six months. The patient reported that the swelling had appeared spontaneously and was initially small. Over time, the swelling had gradually increased in size. The associated pain was dull and intermittent, noted primarily upon touching the area. Additionally, the patient complained of progressive loosening of teeth in the affected region. There was no history of pus discharge, ulceration, fever, or weight loss.</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 extraoral examination, facial asymmetry was noted on the right side, attributable to a single diffuse swelling involving the right mandibular body region. The swelling extended from the ala-tragus line superiorly to the lower border of the mandible inferiorly, and mediolaterally from the corner of the mouth to the angle of the mandible. The overlying skin was normal and freely mobile. Palpation revealed a bony hard, mildly tender swelling. Temporomandibular joint examination showed no </w:t>
      </w:r>
      <w:proofErr w:type="gramStart"/>
      <w:r>
        <w:rPr>
          <w:rFonts w:ascii="Times New Roman" w:eastAsia="Times New Roman" w:hAnsi="Times New Roman" w:cs="Times New Roman"/>
          <w:sz w:val="24"/>
          <w:szCs w:val="24"/>
        </w:rPr>
        <w:t>abnormalities.</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Fig. 1]</w:t>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w:drawing>
          <wp:inline distT="0" distB="0" distL="0" distR="0">
            <wp:extent cx="1418096" cy="1735088"/>
            <wp:effectExtent l="0" t="0" r="0" b="0"/>
            <wp:docPr id="4" name="image3.png" descr="A person with a beard and mustach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with a beard and mustache&#10;&#10;AI-generated content may be incorrect."/>
                    <pic:cNvPicPr preferRelativeResize="0"/>
                  </pic:nvPicPr>
                  <pic:blipFill>
                    <a:blip r:embed="rId5"/>
                    <a:srcRect l="10892" t="-1" r="7869" b="25587"/>
                    <a:stretch>
                      <a:fillRect/>
                    </a:stretch>
                  </pic:blipFill>
                  <pic:spPr>
                    <a:xfrm>
                      <a:off x="0" y="0"/>
                      <a:ext cx="1418096" cy="1735088"/>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extent cx="1303771" cy="1741508"/>
            <wp:effectExtent l="0" t="0" r="0" b="0"/>
            <wp:docPr id="5" name="image4.png" descr="A profile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rofile of a person&#10;&#10;AI-generated content may be incorrect."/>
                    <pic:cNvPicPr preferRelativeResize="0"/>
                  </pic:nvPicPr>
                  <pic:blipFill>
                    <a:blip r:embed="rId6"/>
                    <a:srcRect/>
                    <a:stretch>
                      <a:fillRect/>
                    </a:stretch>
                  </pic:blipFill>
                  <pic:spPr>
                    <a:xfrm>
                      <a:off x="0" y="0"/>
                      <a:ext cx="1303771" cy="174150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1681480</wp:posOffset>
                </wp:positionH>
                <wp:positionV relativeFrom="paragraph">
                  <wp:posOffset>765175</wp:posOffset>
                </wp:positionV>
                <wp:extent cx="785004" cy="180664"/>
                <wp:effectExtent l="0" t="0" r="15240" b="10160"/>
                <wp:wrapNone/>
                <wp:docPr id="1" name="Rectangle 1"/>
                <wp:cNvGraphicFramePr/>
                <a:graphic xmlns:a="http://schemas.openxmlformats.org/drawingml/2006/main">
                  <a:graphicData uri="http://schemas.microsoft.com/office/word/2010/wordprocessingShape">
                    <wps:wsp>
                      <wps:cNvSpPr/>
                      <wps:spPr>
                        <a:xfrm>
                          <a:off x="0" y="0"/>
                          <a:ext cx="785004" cy="18066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1681480</wp:posOffset>
                </wp:positionH>
                <wp:positionV relativeFrom="paragraph">
                  <wp:posOffset>765175</wp:posOffset>
                </wp:positionV>
                <wp:extent cx="800244" cy="190824"/>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00244" cy="190824"/>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3820160</wp:posOffset>
                </wp:positionH>
                <wp:positionV relativeFrom="paragraph">
                  <wp:posOffset>661670</wp:posOffset>
                </wp:positionV>
                <wp:extent cx="380390" cy="131673"/>
                <wp:effectExtent l="0" t="0" r="19685" b="20955"/>
                <wp:wrapNone/>
                <wp:docPr id="3" name="Rectangle 3"/>
                <wp:cNvGraphicFramePr/>
                <a:graphic xmlns:a="http://schemas.openxmlformats.org/drawingml/2006/main">
                  <a:graphicData uri="http://schemas.microsoft.com/office/word/2010/wordprocessingShape">
                    <wps:wsp>
                      <wps:cNvSpPr/>
                      <wps:spPr>
                        <a:xfrm>
                          <a:off x="0" y="0"/>
                          <a:ext cx="380390" cy="13167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3820160</wp:posOffset>
                </wp:positionH>
                <wp:positionV relativeFrom="paragraph">
                  <wp:posOffset>661670</wp:posOffset>
                </wp:positionV>
                <wp:extent cx="400075" cy="152628"/>
                <wp:effectExtent b="0" l="0" r="0" t="0"/>
                <wp:wrapNone/>
                <wp:docPr id="3"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00075" cy="152628"/>
                        </a:xfrm>
                        <a:prstGeom prst="rect"/>
                        <a:ln/>
                      </pic:spPr>
                    </pic:pic>
                  </a:graphicData>
                </a:graphic>
              </wp:anchor>
            </w:drawing>
          </mc:Fallback>
        </mc:AlternateContent>
      </w:r>
    </w:p>
    <w:p w:rsidR="007609FD" w:rsidRDefault="00D02F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1-Extraoral swelling seen on right side of face</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Intraorally, a localized swelling was observed from teeth 44 to 48, causing buccal and lingual cortical expansion and obliteration of the corresponding vestibules. The mucosa appeared intact and unremarkable. Palpation confirmed the presence of cortical perforation on the buccal aspect near tooth 46 and on the lingual aspect near tooth 47. </w:t>
      </w:r>
      <w:r>
        <w:rPr>
          <w:rFonts w:ascii="Times New Roman" w:eastAsia="Times New Roman" w:hAnsi="Times New Roman" w:cs="Times New Roman"/>
          <w:b/>
          <w:sz w:val="24"/>
          <w:szCs w:val="24"/>
        </w:rPr>
        <w:t>[Fig. 2]</w:t>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2983298" cy="1811562"/>
            <wp:effectExtent l="0" t="0" r="0" b="0"/>
            <wp:docPr id="6" name="image5.png" descr="A close-up of a person's mou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person's mouth&#10;&#10;AI-generated content may be incorrect."/>
                    <pic:cNvPicPr preferRelativeResize="0"/>
                  </pic:nvPicPr>
                  <pic:blipFill>
                    <a:blip r:embed="rId11"/>
                    <a:srcRect l="19971" t="25471" r="24117" b="29142"/>
                    <a:stretch>
                      <a:fillRect/>
                    </a:stretch>
                  </pic:blipFill>
                  <pic:spPr>
                    <a:xfrm>
                      <a:off x="0" y="0"/>
                      <a:ext cx="2983298" cy="1811562"/>
                    </a:xfrm>
                    <a:prstGeom prst="rect">
                      <a:avLst/>
                    </a:prstGeom>
                    <a:ln/>
                  </pic:spPr>
                </pic:pic>
              </a:graphicData>
            </a:graphic>
          </wp:inline>
        </w:drawing>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2-Obliteration of buccal and lingual vestibules with expansion of cortical plates on right side</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clinical features, a provisional diagnosis of ameloblastoma of the right posterior mandible was made. Calcifying epithelial odontogenic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Odontogenic myxoma and central giant cell granuloma were considered as a differential diagnosis.</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RADIOGRAPHIC FINDINGS</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Reconstructed panoramic radiography and cone beam computed tomography (CBCT) were performed. A multilocular radiolucent lesion was observed in the right posterior mandibular region, extending </w:t>
      </w:r>
      <w:proofErr w:type="spellStart"/>
      <w:r>
        <w:rPr>
          <w:rFonts w:ascii="Times New Roman" w:eastAsia="Times New Roman" w:hAnsi="Times New Roman" w:cs="Times New Roman"/>
          <w:sz w:val="24"/>
          <w:szCs w:val="24"/>
        </w:rPr>
        <w:t>anteroposteriorly</w:t>
      </w:r>
      <w:proofErr w:type="spellEnd"/>
      <w:r>
        <w:rPr>
          <w:rFonts w:ascii="Times New Roman" w:eastAsia="Times New Roman" w:hAnsi="Times New Roman" w:cs="Times New Roman"/>
          <w:sz w:val="24"/>
          <w:szCs w:val="24"/>
        </w:rPr>
        <w:t xml:space="preserve"> from the apical region of tooth 43 to 0.5-1 cm posterior to 48 in the ramus and </w:t>
      </w:r>
      <w:proofErr w:type="spellStart"/>
      <w:r>
        <w:rPr>
          <w:rFonts w:ascii="Times New Roman" w:eastAsia="Times New Roman" w:hAnsi="Times New Roman" w:cs="Times New Roman"/>
          <w:sz w:val="24"/>
          <w:szCs w:val="24"/>
        </w:rPr>
        <w:t>superoinferiorly</w:t>
      </w:r>
      <w:proofErr w:type="spellEnd"/>
      <w:r>
        <w:rPr>
          <w:rFonts w:ascii="Times New Roman" w:eastAsia="Times New Roman" w:hAnsi="Times New Roman" w:cs="Times New Roman"/>
          <w:sz w:val="24"/>
          <w:szCs w:val="24"/>
        </w:rPr>
        <w:t xml:space="preserve"> from the alveolar crest to the inferior border of the mandible. The lesion measured approximately 70.4 mm in the anteroposterior dimension, 42.8 mm </w:t>
      </w:r>
      <w:proofErr w:type="spellStart"/>
      <w:r>
        <w:rPr>
          <w:rFonts w:ascii="Times New Roman" w:eastAsia="Times New Roman" w:hAnsi="Times New Roman" w:cs="Times New Roman"/>
          <w:sz w:val="24"/>
          <w:szCs w:val="24"/>
        </w:rPr>
        <w:t>superoinferiorly</w:t>
      </w:r>
      <w:proofErr w:type="spellEnd"/>
      <w:r>
        <w:rPr>
          <w:rFonts w:ascii="Times New Roman" w:eastAsia="Times New Roman" w:hAnsi="Times New Roman" w:cs="Times New Roman"/>
          <w:sz w:val="24"/>
          <w:szCs w:val="24"/>
        </w:rPr>
        <w:t xml:space="preserve">, and 42.6 mm buccolingually. It exhibited a well-defined corticated margin with scalloped borders and a characteristic "soap bubble" appearance. Notably, there was significant expansion and thinning of both buccal and lingual cortical plates, with perforation evident in the 46 and 47 regions. The inferior border of the mandible was also thinned. External root resorption was noted in teeth 43 through </w:t>
      </w:r>
      <w:proofErr w:type="gramStart"/>
      <w:r>
        <w:rPr>
          <w:rFonts w:ascii="Times New Roman" w:eastAsia="Times New Roman" w:hAnsi="Times New Roman" w:cs="Times New Roman"/>
          <w:sz w:val="24"/>
          <w:szCs w:val="24"/>
        </w:rPr>
        <w:t>48</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Fig. 3 and Fi. 4]</w:t>
      </w:r>
      <w:r>
        <w:rPr>
          <w:rFonts w:ascii="Times New Roman" w:eastAsia="Times New Roman" w:hAnsi="Times New Roman" w:cs="Times New Roman"/>
          <w:sz w:val="24"/>
          <w:szCs w:val="24"/>
        </w:rPr>
        <w:t xml:space="preserve"> These features were highly suggestive of ameloblastoma.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Odontogenic myxoma and central giant cell granuloma were considered as differential diagnosis.</w:t>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extent cx="4784595" cy="2673430"/>
            <wp:effectExtent l="0" t="0" r="0" b="0"/>
            <wp:docPr id="8" name="image7.png" descr="A x-ray of a sku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x-ray of a skull&#10;&#10;AI-generated content may be incorrect."/>
                    <pic:cNvPicPr preferRelativeResize="0"/>
                  </pic:nvPicPr>
                  <pic:blipFill>
                    <a:blip r:embed="rId12"/>
                    <a:srcRect/>
                    <a:stretch>
                      <a:fillRect/>
                    </a:stretch>
                  </pic:blipFill>
                  <pic:spPr>
                    <a:xfrm>
                      <a:off x="0" y="0"/>
                      <a:ext cx="4784595" cy="2673430"/>
                    </a:xfrm>
                    <a:prstGeom prst="rect">
                      <a:avLst/>
                    </a:prstGeom>
                    <a:ln/>
                  </pic:spPr>
                </pic:pic>
              </a:graphicData>
            </a:graphic>
          </wp:inline>
        </w:drawing>
      </w:r>
    </w:p>
    <w:p w:rsidR="007609FD" w:rsidRDefault="00D02F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3-Multilocular radiolucent lesion seen on right posterior mandible</w:t>
      </w:r>
    </w:p>
    <w:p w:rsidR="007609FD" w:rsidRDefault="007609FD">
      <w:pPr>
        <w:jc w:val="center"/>
        <w:rPr>
          <w:rFonts w:ascii="Times New Roman" w:eastAsia="Times New Roman" w:hAnsi="Times New Roman" w:cs="Times New Roman"/>
          <w:b/>
          <w:sz w:val="24"/>
          <w:szCs w:val="24"/>
        </w:rPr>
      </w:pPr>
    </w:p>
    <w:p w:rsidR="007609FD" w:rsidRDefault="00D02FC2">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208148" cy="2170830"/>
            <wp:effectExtent l="0" t="0" r="0" b="0"/>
            <wp:docPr id="7" name="image6.png" descr="A close-up of a sku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skull&#10;&#10;AI-generated content may be incorrect."/>
                    <pic:cNvPicPr preferRelativeResize="0"/>
                  </pic:nvPicPr>
                  <pic:blipFill>
                    <a:blip r:embed="rId13"/>
                    <a:srcRect l="8690"/>
                    <a:stretch>
                      <a:fillRect/>
                    </a:stretch>
                  </pic:blipFill>
                  <pic:spPr>
                    <a:xfrm>
                      <a:off x="0" y="0"/>
                      <a:ext cx="2208148" cy="217083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extent cx="2140457" cy="2192190"/>
            <wp:effectExtent l="0" t="0" r="0" b="0"/>
            <wp:docPr id="10" name="image9.png" descr="A x-ray of a human hea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x-ray of a human head&#10;&#10;AI-generated content may be incorrect."/>
                    <pic:cNvPicPr preferRelativeResize="0"/>
                  </pic:nvPicPr>
                  <pic:blipFill>
                    <a:blip r:embed="rId14"/>
                    <a:srcRect/>
                    <a:stretch>
                      <a:fillRect/>
                    </a:stretch>
                  </pic:blipFill>
                  <pic:spPr>
                    <a:xfrm>
                      <a:off x="0" y="0"/>
                      <a:ext cx="2140457" cy="2192190"/>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2163594" cy="2284246"/>
            <wp:effectExtent l="0" t="0" r="0" b="0"/>
            <wp:docPr id="9" name="image8.png" descr="A x-ray of a person's tee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x-ray of a person's teeth&#10;&#10;AI-generated content may be incorrect."/>
                    <pic:cNvPicPr preferRelativeResize="0"/>
                  </pic:nvPicPr>
                  <pic:blipFill>
                    <a:blip r:embed="rId15"/>
                    <a:srcRect/>
                    <a:stretch>
                      <a:fillRect/>
                    </a:stretch>
                  </pic:blipFill>
                  <pic:spPr>
                    <a:xfrm>
                      <a:off x="0" y="0"/>
                      <a:ext cx="2163594" cy="2284246"/>
                    </a:xfrm>
                    <a:prstGeom prst="rect">
                      <a:avLst/>
                    </a:prstGeom>
                    <a:ln/>
                  </pic:spPr>
                </pic:pic>
              </a:graphicData>
            </a:graphic>
          </wp:inline>
        </w:drawing>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4-3D view, Axial and Sagittal views showing multilocular lesion on right posterior mandible</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HISTOPATHOLOGICAL EVALUATION</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Histopathological examination revealed </w:t>
      </w:r>
      <w:proofErr w:type="spellStart"/>
      <w:r>
        <w:rPr>
          <w:rFonts w:ascii="Times New Roman" w:eastAsia="Times New Roman" w:hAnsi="Times New Roman" w:cs="Times New Roman"/>
          <w:sz w:val="24"/>
          <w:szCs w:val="24"/>
        </w:rPr>
        <w:t>ameloblastomatous</w:t>
      </w:r>
      <w:proofErr w:type="spellEnd"/>
      <w:r>
        <w:rPr>
          <w:rFonts w:ascii="Times New Roman" w:eastAsia="Times New Roman" w:hAnsi="Times New Roman" w:cs="Times New Roman"/>
          <w:sz w:val="24"/>
          <w:szCs w:val="24"/>
        </w:rPr>
        <w:t xml:space="preserve"> epithelial islands with peripheral palisading columnar cells and central stellate reticulum-like cells within a </w:t>
      </w:r>
      <w:proofErr w:type="spellStart"/>
      <w:r>
        <w:rPr>
          <w:rFonts w:ascii="Times New Roman" w:eastAsia="Times New Roman" w:hAnsi="Times New Roman" w:cs="Times New Roman"/>
          <w:sz w:val="24"/>
          <w:szCs w:val="24"/>
        </w:rPr>
        <w:t>fibrocellular</w:t>
      </w:r>
      <w:proofErr w:type="spellEnd"/>
      <w:r>
        <w:rPr>
          <w:rFonts w:ascii="Times New Roman" w:eastAsia="Times New Roman" w:hAnsi="Times New Roman" w:cs="Times New Roman"/>
          <w:sz w:val="24"/>
          <w:szCs w:val="24"/>
        </w:rPr>
        <w:t xml:space="preserve"> stroma, confirming the diagnosis of ameloblastoma. </w:t>
      </w:r>
      <w:r>
        <w:rPr>
          <w:rFonts w:ascii="Times New Roman" w:eastAsia="Times New Roman" w:hAnsi="Times New Roman" w:cs="Times New Roman"/>
          <w:b/>
          <w:sz w:val="24"/>
          <w:szCs w:val="24"/>
        </w:rPr>
        <w:t>[Fig. 5]</w:t>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2078802" cy="2086021"/>
            <wp:effectExtent l="0" t="0" r="0" b="0"/>
            <wp:docPr id="13" name="image12.png" descr="A pink circle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nk circle with a black background&#10;&#10;Description automatically generated"/>
                    <pic:cNvPicPr preferRelativeResize="0"/>
                  </pic:nvPicPr>
                  <pic:blipFill>
                    <a:blip r:embed="rId16"/>
                    <a:srcRect l="13053" t="2692" b="10058"/>
                    <a:stretch>
                      <a:fillRect/>
                    </a:stretch>
                  </pic:blipFill>
                  <pic:spPr>
                    <a:xfrm>
                      <a:off x="0" y="0"/>
                      <a:ext cx="2078802" cy="2086021"/>
                    </a:xfrm>
                    <a:prstGeom prst="rect">
                      <a:avLst/>
                    </a:prstGeom>
                    <a:ln/>
                  </pic:spPr>
                </pic:pic>
              </a:graphicData>
            </a:graphic>
          </wp:inline>
        </w:drawing>
      </w:r>
    </w:p>
    <w:p w:rsidR="007609FD" w:rsidRDefault="007609FD">
      <w:pPr>
        <w:jc w:val="center"/>
        <w:rPr>
          <w:rFonts w:ascii="Times New Roman" w:eastAsia="Times New Roman" w:hAnsi="Times New Roman" w:cs="Times New Roman"/>
          <w:b/>
          <w:sz w:val="24"/>
          <w:szCs w:val="24"/>
        </w:rPr>
      </w:pPr>
    </w:p>
    <w:p w:rsidR="007609FD" w:rsidRDefault="00D02FC2">
      <w:pPr>
        <w:jc w:val="center"/>
        <w:rPr>
          <w:rFonts w:ascii="Times New Roman" w:eastAsia="Times New Roman" w:hAnsi="Times New Roman" w:cs="Times New Roman"/>
          <w:b/>
          <w:sz w:val="32"/>
          <w:szCs w:val="32"/>
        </w:rPr>
      </w:pPr>
      <w:r>
        <w:rPr>
          <w:rFonts w:ascii="Times New Roman" w:eastAsia="Times New Roman" w:hAnsi="Times New Roman" w:cs="Times New Roman"/>
          <w:b/>
          <w:sz w:val="24"/>
          <w:szCs w:val="24"/>
        </w:rPr>
        <w:t xml:space="preserve">Fig 5-Thick and </w:t>
      </w:r>
      <w:proofErr w:type="spellStart"/>
      <w:r>
        <w:rPr>
          <w:rFonts w:ascii="Times New Roman" w:eastAsia="Times New Roman" w:hAnsi="Times New Roman" w:cs="Times New Roman"/>
          <w:b/>
          <w:sz w:val="24"/>
          <w:szCs w:val="24"/>
        </w:rPr>
        <w:t>fibrocellular</w:t>
      </w:r>
      <w:proofErr w:type="spellEnd"/>
      <w:r>
        <w:rPr>
          <w:rFonts w:ascii="Times New Roman" w:eastAsia="Times New Roman" w:hAnsi="Times New Roman" w:cs="Times New Roman"/>
          <w:b/>
          <w:sz w:val="24"/>
          <w:szCs w:val="24"/>
        </w:rPr>
        <w:t xml:space="preserve"> wall with numerous </w:t>
      </w:r>
      <w:proofErr w:type="spellStart"/>
      <w:r>
        <w:rPr>
          <w:rFonts w:ascii="Times New Roman" w:eastAsia="Times New Roman" w:hAnsi="Times New Roman" w:cs="Times New Roman"/>
          <w:b/>
          <w:sz w:val="24"/>
          <w:szCs w:val="24"/>
        </w:rPr>
        <w:t>ameloblastomatous</w:t>
      </w:r>
      <w:proofErr w:type="spellEnd"/>
      <w:r>
        <w:rPr>
          <w:rFonts w:ascii="Times New Roman" w:eastAsia="Times New Roman" w:hAnsi="Times New Roman" w:cs="Times New Roman"/>
          <w:b/>
          <w:sz w:val="24"/>
          <w:szCs w:val="24"/>
        </w:rPr>
        <w:t xml:space="preserve"> islands</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TREATMENT AND OUTCOME</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Segmental resection of the right body of the mandible was performed in the Department of Oral and Maxillofacial Surgery of the same institute after a week of diagnosis</w:t>
      </w:r>
      <w:r>
        <w:rPr>
          <w:rFonts w:ascii="Times New Roman" w:eastAsia="Times New Roman" w:hAnsi="Times New Roman" w:cs="Times New Roman"/>
          <w:b/>
          <w:sz w:val="24"/>
          <w:szCs w:val="24"/>
        </w:rPr>
        <w:t>. [Fig. 6</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Reconstruction</w:t>
      </w:r>
      <w:proofErr w:type="gramEnd"/>
      <w:r>
        <w:rPr>
          <w:rFonts w:ascii="Times New Roman" w:eastAsia="Times New Roman" w:hAnsi="Times New Roman" w:cs="Times New Roman"/>
          <w:sz w:val="24"/>
          <w:szCs w:val="24"/>
        </w:rPr>
        <w:t xml:space="preserve"> was achieved using a titanium reconstruction plate and Fibula Free Flap bone grafting to restore form and function. </w:t>
      </w:r>
      <w:r>
        <w:rPr>
          <w:rFonts w:ascii="Times New Roman" w:eastAsia="Times New Roman" w:hAnsi="Times New Roman" w:cs="Times New Roman"/>
          <w:b/>
          <w:sz w:val="24"/>
          <w:szCs w:val="24"/>
        </w:rPr>
        <w:t>[Fig. 7]</w:t>
      </w:r>
      <w:r>
        <w:rPr>
          <w:rFonts w:ascii="Times New Roman" w:eastAsia="Times New Roman" w:hAnsi="Times New Roman" w:cs="Times New Roman"/>
          <w:sz w:val="24"/>
          <w:szCs w:val="24"/>
        </w:rPr>
        <w:t xml:space="preserve"> </w:t>
      </w:r>
    </w:p>
    <w:p w:rsidR="007609FD" w:rsidRDefault="00D02FC2">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2535241" cy="1608580"/>
            <wp:effectExtent l="0" t="0" r="0" b="0"/>
            <wp:docPr id="11" name="image10.png" descr="X-ray of teeth and jaw&#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X-ray of teeth and jaw&#10;&#10;AI-generated content may be incorrect."/>
                    <pic:cNvPicPr preferRelativeResize="0"/>
                  </pic:nvPicPr>
                  <pic:blipFill>
                    <a:blip r:embed="rId17"/>
                    <a:srcRect l="17199" t="38142" r="38027" b="23965"/>
                    <a:stretch>
                      <a:fillRect/>
                    </a:stretch>
                  </pic:blipFill>
                  <pic:spPr>
                    <a:xfrm>
                      <a:off x="0" y="0"/>
                      <a:ext cx="2535241" cy="1608580"/>
                    </a:xfrm>
                    <a:prstGeom prst="rect">
                      <a:avLst/>
                    </a:prstGeom>
                    <a:ln/>
                  </pic:spPr>
                </pic:pic>
              </a:graphicData>
            </a:graphic>
          </wp:inline>
        </w:drawing>
      </w:r>
    </w:p>
    <w:p w:rsidR="007609FD" w:rsidRDefault="00D02F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6-Resected mandible specimen after surgery</w:t>
      </w:r>
    </w:p>
    <w:p w:rsidR="007609FD" w:rsidRDefault="00D02FC2">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27283" cy="1865863"/>
            <wp:effectExtent l="0" t="0" r="0" b="0"/>
            <wp:docPr id="12" name="image11.png" descr="A person in a blue shi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person in a blue shirt&#10;&#10;AI-generated content may be incorrect."/>
                    <pic:cNvPicPr preferRelativeResize="0"/>
                  </pic:nvPicPr>
                  <pic:blipFill>
                    <a:blip r:embed="rId18"/>
                    <a:srcRect l="17625" t="21013" r="10819" b="24119"/>
                    <a:stretch>
                      <a:fillRect/>
                    </a:stretch>
                  </pic:blipFill>
                  <pic:spPr>
                    <a:xfrm>
                      <a:off x="0" y="0"/>
                      <a:ext cx="1827283" cy="1865863"/>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extent cx="1637647" cy="1841122"/>
            <wp:effectExtent l="0" t="0" r="0" b="0"/>
            <wp:docPr id="14" name="image13.png" descr="A close-up of a person's mou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close-up of a person's mouth&#10;&#10;AI-generated content may be incorrect."/>
                    <pic:cNvPicPr preferRelativeResize="0"/>
                  </pic:nvPicPr>
                  <pic:blipFill>
                    <a:blip r:embed="rId19"/>
                    <a:srcRect l="17511" t="13474" r="32280" b="11356"/>
                    <a:stretch>
                      <a:fillRect/>
                    </a:stretch>
                  </pic:blipFill>
                  <pic:spPr>
                    <a:xfrm>
                      <a:off x="0" y="0"/>
                      <a:ext cx="1637647" cy="1841122"/>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1511300</wp:posOffset>
                </wp:positionH>
                <wp:positionV relativeFrom="paragraph">
                  <wp:posOffset>857885</wp:posOffset>
                </wp:positionV>
                <wp:extent cx="819510" cy="112143"/>
                <wp:effectExtent l="0" t="0" r="19050" b="21590"/>
                <wp:wrapNone/>
                <wp:docPr id="2" name="Rectangle 2"/>
                <wp:cNvGraphicFramePr/>
                <a:graphic xmlns:a="http://schemas.openxmlformats.org/drawingml/2006/main">
                  <a:graphicData uri="http://schemas.microsoft.com/office/word/2010/wordprocessingShape">
                    <wps:wsp>
                      <wps:cNvSpPr/>
                      <wps:spPr>
                        <a:xfrm>
                          <a:off x="0" y="0"/>
                          <a:ext cx="819510" cy="11214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1511300</wp:posOffset>
                </wp:positionH>
                <wp:positionV relativeFrom="paragraph">
                  <wp:posOffset>857885</wp:posOffset>
                </wp:positionV>
                <wp:extent cx="838560" cy="133733"/>
                <wp:effectExtent b="0" l="0" r="0" t="0"/>
                <wp:wrapNone/>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838560" cy="133733"/>
                        </a:xfrm>
                        <a:prstGeom prst="rect"/>
                        <a:ln/>
                      </pic:spPr>
                    </pic:pic>
                  </a:graphicData>
                </a:graphic>
              </wp:anchor>
            </w:drawing>
          </mc:Fallback>
        </mc:AlternateContent>
      </w:r>
    </w:p>
    <w:p w:rsidR="007609FD" w:rsidRDefault="00D02FC2">
      <w:pPr>
        <w:jc w:val="center"/>
        <w:rPr>
          <w:rFonts w:ascii="Times New Roman" w:eastAsia="Times New Roman" w:hAnsi="Times New Roman" w:cs="Times New Roman"/>
          <w:b/>
        </w:rPr>
      </w:pPr>
      <w:r>
        <w:rPr>
          <w:rFonts w:ascii="Times New Roman" w:eastAsia="Times New Roman" w:hAnsi="Times New Roman" w:cs="Times New Roman"/>
          <w:b/>
        </w:rPr>
        <w:t xml:space="preserve">                   Fig 7</w:t>
      </w:r>
      <w:proofErr w:type="gramStart"/>
      <w:r>
        <w:rPr>
          <w:rFonts w:ascii="Times New Roman" w:eastAsia="Times New Roman" w:hAnsi="Times New Roman" w:cs="Times New Roman"/>
          <w:b/>
        </w:rPr>
        <w:t>-  Extraoral</w:t>
      </w:r>
      <w:proofErr w:type="gramEnd"/>
      <w:r>
        <w:rPr>
          <w:rFonts w:ascii="Times New Roman" w:eastAsia="Times New Roman" w:hAnsi="Times New Roman" w:cs="Times New Roman"/>
          <w:b/>
        </w:rPr>
        <w:t xml:space="preserve"> image after surgery </w:t>
      </w:r>
      <w:proofErr w:type="spellStart"/>
      <w:r>
        <w:rPr>
          <w:rFonts w:ascii="Times New Roman" w:eastAsia="Times New Roman" w:hAnsi="Times New Roman" w:cs="Times New Roman"/>
          <w:b/>
        </w:rPr>
        <w:t>Post operative</w:t>
      </w:r>
      <w:proofErr w:type="spellEnd"/>
      <w:r>
        <w:rPr>
          <w:rFonts w:ascii="Times New Roman" w:eastAsia="Times New Roman" w:hAnsi="Times New Roman" w:cs="Times New Roman"/>
          <w:b/>
        </w:rPr>
        <w:t xml:space="preserve"> bone grafting and suturing</w:t>
      </w:r>
    </w:p>
    <w:p w:rsidR="007609FD" w:rsidRDefault="00D02FC2">
      <w:pPr>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Postoperative images revealed successful resection with proper placement of the reconstruction plate and integration of the bone </w:t>
      </w:r>
      <w:proofErr w:type="gramStart"/>
      <w:r>
        <w:rPr>
          <w:rFonts w:ascii="Times New Roman" w:eastAsia="Times New Roman" w:hAnsi="Times New Roman" w:cs="Times New Roman"/>
          <w:sz w:val="24"/>
          <w:szCs w:val="24"/>
        </w:rPr>
        <w:t>graft</w:t>
      </w:r>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Fig. 8]</w:t>
      </w:r>
      <w:r>
        <w:rPr>
          <w:rFonts w:ascii="Times New Roman" w:eastAsia="Times New Roman" w:hAnsi="Times New Roman" w:cs="Times New Roman"/>
          <w:sz w:val="24"/>
          <w:szCs w:val="24"/>
        </w:rPr>
        <w:t xml:space="preserve"> The patient was then placed on a follow-up for 1 year with no recurrence was seen.</w:t>
      </w:r>
    </w:p>
    <w:p w:rsidR="007609FD" w:rsidRDefault="00D02FC2">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388141" cy="2284497"/>
            <wp:effectExtent l="0" t="0" r="0" b="0"/>
            <wp:docPr id="15" name="image14.png" descr="X-ray of teeth and tee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X-ray of teeth and teeth&#10;&#10;AI-generated content may be incorrect."/>
                    <pic:cNvPicPr preferRelativeResize="0"/>
                  </pic:nvPicPr>
                  <pic:blipFill>
                    <a:blip r:embed="rId21"/>
                    <a:srcRect/>
                    <a:stretch>
                      <a:fillRect/>
                    </a:stretch>
                  </pic:blipFill>
                  <pic:spPr>
                    <a:xfrm>
                      <a:off x="0" y="0"/>
                      <a:ext cx="4388141" cy="2284497"/>
                    </a:xfrm>
                    <a:prstGeom prst="rect">
                      <a:avLst/>
                    </a:prstGeom>
                    <a:ln/>
                  </pic:spPr>
                </pic:pic>
              </a:graphicData>
            </a:graphic>
          </wp:inline>
        </w:drawing>
      </w:r>
    </w:p>
    <w:p w:rsidR="007609FD" w:rsidRDefault="00D02F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8-OPG showing bone graft with reconstructed plate on right mandible operative region</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Ameloblastoma presents a unique diagnostic and therapeutic challenge due to its deceptively benign histological appearance and locally invasive </w:t>
      </w:r>
      <w:proofErr w:type="gramStart"/>
      <w:r>
        <w:rPr>
          <w:rFonts w:ascii="Times New Roman" w:eastAsia="Times New Roman" w:hAnsi="Times New Roman" w:cs="Times New Roman"/>
          <w:sz w:val="24"/>
          <w:szCs w:val="24"/>
        </w:rPr>
        <w:t>nature.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While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does not typically metastasize, its potential for significant osseous destruction and high recurrence rate, particularly when inadequately treated, warrants serious clinical consideration.</w:t>
      </w:r>
      <w:r>
        <w:rPr>
          <w:rFonts w:ascii="Times New Roman" w:eastAsia="Times New Roman" w:hAnsi="Times New Roman" w:cs="Times New Roman"/>
          <w:sz w:val="24"/>
          <w:szCs w:val="24"/>
          <w:vertAlign w:val="superscript"/>
        </w:rPr>
        <w:t>[2]</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asymptomatic and slow-growing character of ameloblastoma often delays diagnosis until the lesion reaches a considerable </w:t>
      </w:r>
      <w:proofErr w:type="gramStart"/>
      <w:r>
        <w:rPr>
          <w:rFonts w:ascii="Times New Roman" w:eastAsia="Times New Roman" w:hAnsi="Times New Roman" w:cs="Times New Roman"/>
          <w:sz w:val="24"/>
          <w:szCs w:val="24"/>
        </w:rPr>
        <w:t>size.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Many patients present only after noticing facial swelling, asymmetry, or progressive tooth mobility. The posterior mandible, especially the molar–ramus region, is the most commonly affected site due to the embryological origin of odontogenic tissues in this </w:t>
      </w:r>
      <w:proofErr w:type="gramStart"/>
      <w:r>
        <w:rPr>
          <w:rFonts w:ascii="Times New Roman" w:eastAsia="Times New Roman" w:hAnsi="Times New Roman" w:cs="Times New Roman"/>
          <w:sz w:val="24"/>
          <w:szCs w:val="24"/>
        </w:rPr>
        <w:t>area.</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Radiographically,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exhibit variable appearances depending on the subtype and stage of progression. Multilocular </w:t>
      </w:r>
      <w:proofErr w:type="spellStart"/>
      <w:r>
        <w:rPr>
          <w:rFonts w:ascii="Times New Roman" w:eastAsia="Times New Roman" w:hAnsi="Times New Roman" w:cs="Times New Roman"/>
          <w:sz w:val="24"/>
          <w:szCs w:val="24"/>
        </w:rPr>
        <w:t>radiolucencies</w:t>
      </w:r>
      <w:proofErr w:type="spellEnd"/>
      <w:r>
        <w:rPr>
          <w:rFonts w:ascii="Times New Roman" w:eastAsia="Times New Roman" w:hAnsi="Times New Roman" w:cs="Times New Roman"/>
          <w:sz w:val="24"/>
          <w:szCs w:val="24"/>
        </w:rPr>
        <w:t xml:space="preserve"> with thin, scalloped septa are typical of the conventional solid/</w:t>
      </w:r>
      <w:proofErr w:type="spellStart"/>
      <w:r>
        <w:rPr>
          <w:rFonts w:ascii="Times New Roman" w:eastAsia="Times New Roman" w:hAnsi="Times New Roman" w:cs="Times New Roman"/>
          <w:sz w:val="24"/>
          <w:szCs w:val="24"/>
        </w:rPr>
        <w:t>multicystic</w:t>
      </w:r>
      <w:proofErr w:type="spellEnd"/>
      <w:r>
        <w:rPr>
          <w:rFonts w:ascii="Times New Roman" w:eastAsia="Times New Roman" w:hAnsi="Times New Roman" w:cs="Times New Roman"/>
          <w:sz w:val="24"/>
          <w:szCs w:val="24"/>
        </w:rPr>
        <w:t xml:space="preserve"> variant and often described as having a “soap bubble” or “honeycomb” </w:t>
      </w:r>
      <w:proofErr w:type="gramStart"/>
      <w:r>
        <w:rPr>
          <w:rFonts w:ascii="Times New Roman" w:eastAsia="Times New Roman" w:hAnsi="Times New Roman" w:cs="Times New Roman"/>
          <w:sz w:val="24"/>
          <w:szCs w:val="24"/>
        </w:rPr>
        <w:t>pattern.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In some cases, unilocular appearances may mimic other cystic lesions such as dentigerous cysts or odontogenic </w:t>
      </w:r>
      <w:proofErr w:type="spellStart"/>
      <w:r>
        <w:rPr>
          <w:rFonts w:ascii="Times New Roman" w:eastAsia="Times New Roman" w:hAnsi="Times New Roman" w:cs="Times New Roman"/>
          <w:sz w:val="24"/>
          <w:szCs w:val="24"/>
        </w:rPr>
        <w:t>keratocysts</w:t>
      </w:r>
      <w:proofErr w:type="spellEnd"/>
      <w:r>
        <w:rPr>
          <w:rFonts w:ascii="Times New Roman" w:eastAsia="Times New Roman" w:hAnsi="Times New Roman" w:cs="Times New Roman"/>
          <w:sz w:val="24"/>
          <w:szCs w:val="24"/>
        </w:rPr>
        <w:t xml:space="preserve">, complicating differential diagnosis. Adjunct imaging with cone-beam computed tomography (CBCT) allows for superior evaluation of cortical involvement, extent of the lesion, and planning of surgical resection </w:t>
      </w:r>
      <w:proofErr w:type="gramStart"/>
      <w:r>
        <w:rPr>
          <w:rFonts w:ascii="Times New Roman" w:eastAsia="Times New Roman" w:hAnsi="Times New Roman" w:cs="Times New Roman"/>
          <w:sz w:val="24"/>
          <w:szCs w:val="24"/>
        </w:rPr>
        <w:t>margins.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2,5]</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Histologically,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is composed of odontogenic epithelial islands that mimic the enamel organ, with peripheral palisaded columnar cells showing reverse polarity and centrally arranged stellate reticulum-like </w:t>
      </w:r>
      <w:proofErr w:type="gramStart"/>
      <w:r>
        <w:rPr>
          <w:rFonts w:ascii="Times New Roman" w:eastAsia="Times New Roman" w:hAnsi="Times New Roman" w:cs="Times New Roman"/>
          <w:sz w:val="24"/>
          <w:szCs w:val="24"/>
        </w:rPr>
        <w:t>cells.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Among the histologic subtypes, follicular and plexiform patterns are most frequently encountered, although mixed patterns are also common. The </w:t>
      </w:r>
      <w:proofErr w:type="spellStart"/>
      <w:r>
        <w:rPr>
          <w:rFonts w:ascii="Times New Roman" w:eastAsia="Times New Roman" w:hAnsi="Times New Roman" w:cs="Times New Roman"/>
          <w:sz w:val="24"/>
          <w:szCs w:val="24"/>
        </w:rPr>
        <w:t>acanthomatous</w:t>
      </w:r>
      <w:proofErr w:type="spellEnd"/>
      <w:r>
        <w:rPr>
          <w:rFonts w:ascii="Times New Roman" w:eastAsia="Times New Roman" w:hAnsi="Times New Roman" w:cs="Times New Roman"/>
          <w:sz w:val="24"/>
          <w:szCs w:val="24"/>
        </w:rPr>
        <w:t xml:space="preserve"> variant, in which squamous metaplasia is present, may show more aggressive features. Importantly, histopathologic type does not always correlate with biological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although some evidence suggests the desmoplastic and solid </w:t>
      </w:r>
      <w:proofErr w:type="spellStart"/>
      <w:r>
        <w:rPr>
          <w:rFonts w:ascii="Times New Roman" w:eastAsia="Times New Roman" w:hAnsi="Times New Roman" w:cs="Times New Roman"/>
          <w:sz w:val="24"/>
          <w:szCs w:val="24"/>
        </w:rPr>
        <w:t>multicystic</w:t>
      </w:r>
      <w:proofErr w:type="spellEnd"/>
      <w:r>
        <w:rPr>
          <w:rFonts w:ascii="Times New Roman" w:eastAsia="Times New Roman" w:hAnsi="Times New Roman" w:cs="Times New Roman"/>
          <w:sz w:val="24"/>
          <w:szCs w:val="24"/>
        </w:rPr>
        <w:t xml:space="preserve"> forms are more prone to </w:t>
      </w:r>
      <w:proofErr w:type="gramStart"/>
      <w:r>
        <w:rPr>
          <w:rFonts w:ascii="Times New Roman" w:eastAsia="Times New Roman" w:hAnsi="Times New Roman" w:cs="Times New Roman"/>
          <w:sz w:val="24"/>
          <w:szCs w:val="24"/>
        </w:rPr>
        <w:t>recurrence.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7]</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cornerstone of ameloblastoma management is surgical excision. The choice of surgical technique—ranging from simple enucleation and curettage to marginal or segmental resection—depends on factors such as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size, location, radiologic appearance, cortical involvement, and proximity to vital structures.</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Studies have shown that conservative treatments like enucleation are associated with recurrence rates as high as 55–90%, primarily due to the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tendency to infiltrate cancellous bone beyond the apparent radiographic margins.</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In contrast, wide surgical excision with at least 1 cm of uninvolved bone significantly reduces the risk of recurrence. The location of ameloblastoma significantly affects prognosis and treatment. Mandibular lesions are more common, slow-growing, and usually managed with resection. Maxillary </w:t>
      </w:r>
      <w:proofErr w:type="spellStart"/>
      <w:r>
        <w:rPr>
          <w:rFonts w:ascii="Times New Roman" w:eastAsia="Times New Roman" w:hAnsi="Times New Roman" w:cs="Times New Roman"/>
          <w:sz w:val="24"/>
          <w:szCs w:val="24"/>
        </w:rPr>
        <w:t>ameloblastomas</w:t>
      </w:r>
      <w:proofErr w:type="spellEnd"/>
      <w:r>
        <w:rPr>
          <w:rFonts w:ascii="Times New Roman" w:eastAsia="Times New Roman" w:hAnsi="Times New Roman" w:cs="Times New Roman"/>
          <w:sz w:val="24"/>
          <w:szCs w:val="24"/>
        </w:rPr>
        <w:t xml:space="preserve">, though rare, are more aggressive due to thin bone and proximity to vital structures, leading to earlier invasion, delayed diagnosis, and poorer prognosis. They often require wider resection and complex </w:t>
      </w:r>
      <w:proofErr w:type="gramStart"/>
      <w:r>
        <w:rPr>
          <w:rFonts w:ascii="Times New Roman" w:eastAsia="Times New Roman" w:hAnsi="Times New Roman" w:cs="Times New Roman"/>
          <w:sz w:val="24"/>
          <w:szCs w:val="24"/>
        </w:rPr>
        <w:t>reconstruction.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10,13]</w:t>
      </w:r>
      <w:r>
        <w:rPr>
          <w:rFonts w:ascii="Times New Roman" w:eastAsia="Times New Roman" w:hAnsi="Times New Roman" w:cs="Times New Roman"/>
          <w:sz w:val="24"/>
          <w:szCs w:val="24"/>
        </w:rPr>
        <w:t xml:space="preserve"> </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present case, resection of the involved mandibular segment followed by immediate reconstruction using bone grafting and rigid fixation was successfully employed, restoring both structural integrity and facial symmetry.</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Postoperative care includes prosthetic rehabilitation and long-term follow-up. Given that recurrences can manifest many years after initial treatment, ongoing clinical and radiographic monitoring is essential, ideally for a period extending beyond five </w:t>
      </w:r>
      <w:proofErr w:type="gramStart"/>
      <w:r>
        <w:rPr>
          <w:rFonts w:ascii="Times New Roman" w:eastAsia="Times New Roman" w:hAnsi="Times New Roman" w:cs="Times New Roman"/>
          <w:sz w:val="24"/>
          <w:szCs w:val="24"/>
        </w:rPr>
        <w:t>years.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Advances in molecular biology and immunohistochemistry have recently begun to shed light on the pathogenesis of ameloblastoma, with mutations in genes such as </w:t>
      </w:r>
      <w:r>
        <w:rPr>
          <w:rFonts w:ascii="Times New Roman" w:eastAsia="Times New Roman" w:hAnsi="Times New Roman" w:cs="Times New Roman"/>
          <w:b/>
          <w:sz w:val="24"/>
          <w:szCs w:val="24"/>
        </w:rPr>
        <w:t>BRAF V600E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SMO</w:t>
      </w:r>
      <w:r>
        <w:rPr>
          <w:rFonts w:ascii="Times New Roman" w:eastAsia="Times New Roman" w:hAnsi="Times New Roman" w:cs="Times New Roman"/>
          <w:sz w:val="24"/>
          <w:szCs w:val="24"/>
        </w:rPr>
        <w:t xml:space="preserve"> offering promising avenues for targeted therapy in select cases, especially for recurrent or inoperable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w:t>
      </w:r>
    </w:p>
    <w:p w:rsidR="007609FD" w:rsidRDefault="00D02FC2">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Due to the risk of late recurrence, long-term follow-up is crucial in ameloblastoma patients. Clinical examination and imaging should be done every 3–6 months for the first 2 years, then every 6–12 months up to 5 years. After that, annual follow-up is recommended for life, especially after conservative treatment or previous recurrence. Imaging modalities like panoramic radiographs, CT, or MRI may be used as needed. Patients should be advised to report any new symptoms </w:t>
      </w:r>
      <w:proofErr w:type="gramStart"/>
      <w:r>
        <w:rPr>
          <w:rFonts w:ascii="Times New Roman" w:eastAsia="Times New Roman" w:hAnsi="Times New Roman" w:cs="Times New Roman"/>
          <w:sz w:val="24"/>
          <w:szCs w:val="24"/>
        </w:rPr>
        <w:t>promptly.</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10,11]</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Ameloblastoma, despite being a benign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is known for its locally aggressive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significant potential for recurrence, making it a critical topic of discussion. Understanding its clinical, radiological, and histopathological features is essential for early diagnosis and effective management. This manuscript contributes valuable insights that may help in refining treatment strategies and improving long-term outcomes. Additionally, the potential for malignant transformation and metastasis, though rare, underscores the importance of continuous research in this area.</w:t>
      </w:r>
    </w:p>
    <w:p w:rsidR="007609FD" w:rsidRDefault="00D02FC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CONSENT </w:t>
      </w: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certify that they have obtained all appropriate patient consent forms. In the form the patient(s) has/have given his/her/their consent for his/her/their images and other clinical information to be reported in the journal. The patients understand that their names and initials will not be published and due efforts will be made to conceal their identity, but anonymity cannot be guaranteed. </w:t>
      </w:r>
    </w:p>
    <w:p w:rsidR="007609FD" w:rsidRDefault="00D02FC2">
      <w:pPr>
        <w:rPr>
          <w:rFonts w:ascii="Times New Roman" w:eastAsia="Times New Roman" w:hAnsi="Times New Roman" w:cs="Times New Roman"/>
          <w:b/>
          <w:sz w:val="24"/>
          <w:szCs w:val="24"/>
        </w:rPr>
      </w:pPr>
      <w:bookmarkStart w:id="0" w:name="_l356f0l4518b" w:colFirst="0" w:colLast="0"/>
      <w:bookmarkStart w:id="1" w:name="_GoBack"/>
      <w:bookmarkEnd w:id="0"/>
      <w:bookmarkEnd w:id="1"/>
      <w:r>
        <w:rPr>
          <w:rFonts w:ascii="Times New Roman" w:eastAsia="Times New Roman" w:hAnsi="Times New Roman" w:cs="Times New Roman"/>
          <w:b/>
          <w:sz w:val="24"/>
          <w:szCs w:val="24"/>
        </w:rPr>
        <w:t>DISCLAIMER (ARTIFICIAL INTELLIGENCE)</w:t>
      </w:r>
    </w:p>
    <w:p w:rsidR="007609FD" w:rsidRDefault="00D02FC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609FD" w:rsidRDefault="007609FD">
      <w:pPr>
        <w:jc w:val="both"/>
        <w:rPr>
          <w:rFonts w:ascii="Calibri" w:eastAsia="Calibri" w:hAnsi="Calibri" w:cs="Calibri"/>
        </w:rPr>
      </w:pPr>
    </w:p>
    <w:p w:rsidR="007609FD" w:rsidRDefault="00D02F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rsidR="007609FD" w:rsidRDefault="00D02FC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Suma MS, </w:t>
      </w:r>
      <w:proofErr w:type="spellStart"/>
      <w:r>
        <w:rPr>
          <w:rFonts w:ascii="Times New Roman" w:eastAsia="Times New Roman" w:hAnsi="Times New Roman" w:cs="Times New Roman"/>
          <w:color w:val="000000"/>
          <w:sz w:val="24"/>
          <w:szCs w:val="24"/>
        </w:rPr>
        <w:t>Sundaresh</w:t>
      </w:r>
      <w:proofErr w:type="spellEnd"/>
      <w:r>
        <w:rPr>
          <w:rFonts w:ascii="Times New Roman" w:eastAsia="Times New Roman" w:hAnsi="Times New Roman" w:cs="Times New Roman"/>
          <w:color w:val="000000"/>
          <w:sz w:val="24"/>
          <w:szCs w:val="24"/>
        </w:rPr>
        <w:t xml:space="preserve"> KJ, </w:t>
      </w:r>
      <w:proofErr w:type="spellStart"/>
      <w:r>
        <w:rPr>
          <w:rFonts w:ascii="Times New Roman" w:eastAsia="Times New Roman" w:hAnsi="Times New Roman" w:cs="Times New Roman"/>
          <w:color w:val="000000"/>
          <w:sz w:val="24"/>
          <w:szCs w:val="24"/>
        </w:rPr>
        <w:t>Shruthy</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Mallikarjuna</w:t>
      </w:r>
      <w:proofErr w:type="spellEnd"/>
      <w:r>
        <w:rPr>
          <w:rFonts w:ascii="Times New Roman" w:eastAsia="Times New Roman" w:hAnsi="Times New Roman" w:cs="Times New Roman"/>
          <w:color w:val="000000"/>
          <w:sz w:val="24"/>
          <w:szCs w:val="24"/>
        </w:rPr>
        <w:t xml:space="preserve"> R. Ameloblastoma: an aggressive lesion of the mandible. Case Reports. 2013 Oct 9;</w:t>
      </w:r>
      <w:proofErr w:type="gramStart"/>
      <w:r>
        <w:rPr>
          <w:rFonts w:ascii="Times New Roman" w:eastAsia="Times New Roman" w:hAnsi="Times New Roman" w:cs="Times New Roman"/>
          <w:color w:val="000000"/>
          <w:sz w:val="24"/>
          <w:szCs w:val="24"/>
        </w:rPr>
        <w:t>2013:bcr</w:t>
      </w:r>
      <w:proofErr w:type="gramEnd"/>
      <w:r>
        <w:rPr>
          <w:rFonts w:ascii="Times New Roman" w:eastAsia="Times New Roman" w:hAnsi="Times New Roman" w:cs="Times New Roman"/>
          <w:color w:val="000000"/>
          <w:sz w:val="24"/>
          <w:szCs w:val="24"/>
        </w:rPr>
        <w:t>2013200483.</w:t>
      </w:r>
    </w:p>
    <w:p w:rsidR="007609FD" w:rsidRDefault="00D02FC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Decani S, </w:t>
      </w:r>
      <w:proofErr w:type="spellStart"/>
      <w:r>
        <w:rPr>
          <w:rFonts w:ascii="Times New Roman" w:eastAsia="Times New Roman" w:hAnsi="Times New Roman" w:cs="Times New Roman"/>
          <w:color w:val="000000"/>
          <w:sz w:val="24"/>
          <w:szCs w:val="24"/>
        </w:rPr>
        <w:t>Quatrale</w:t>
      </w:r>
      <w:proofErr w:type="spellEnd"/>
      <w:r>
        <w:rPr>
          <w:rFonts w:ascii="Times New Roman" w:eastAsia="Times New Roman" w:hAnsi="Times New Roman" w:cs="Times New Roman"/>
          <w:color w:val="000000"/>
          <w:sz w:val="24"/>
          <w:szCs w:val="24"/>
        </w:rPr>
        <w:t xml:space="preserve"> M, Caria V, </w:t>
      </w:r>
      <w:proofErr w:type="spellStart"/>
      <w:r>
        <w:rPr>
          <w:rFonts w:ascii="Times New Roman" w:eastAsia="Times New Roman" w:hAnsi="Times New Roman" w:cs="Times New Roman"/>
          <w:color w:val="000000"/>
          <w:sz w:val="24"/>
          <w:szCs w:val="24"/>
        </w:rPr>
        <w:t>Moneghini</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Varoni</w:t>
      </w:r>
      <w:proofErr w:type="spellEnd"/>
      <w:r>
        <w:rPr>
          <w:rFonts w:ascii="Times New Roman" w:eastAsia="Times New Roman" w:hAnsi="Times New Roman" w:cs="Times New Roman"/>
          <w:color w:val="000000"/>
          <w:sz w:val="24"/>
          <w:szCs w:val="24"/>
        </w:rPr>
        <w:t xml:space="preserve"> EM. Peripheral ameloblastoma: a case report and review of literature. Journal of Clinical Medicine. 2024 Nov 8;13(22):6714.</w:t>
      </w:r>
    </w:p>
    <w:p w:rsidR="007609FD" w:rsidRDefault="00D02FC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Urechescu</w:t>
      </w:r>
      <w:proofErr w:type="spellEnd"/>
      <w:r>
        <w:rPr>
          <w:rFonts w:ascii="Times New Roman" w:eastAsia="Times New Roman" w:hAnsi="Times New Roman" w:cs="Times New Roman"/>
          <w:color w:val="000000"/>
          <w:sz w:val="24"/>
          <w:szCs w:val="24"/>
        </w:rPr>
        <w:t xml:space="preserve"> H, Banu A, </w:t>
      </w:r>
      <w:proofErr w:type="spellStart"/>
      <w:r>
        <w:rPr>
          <w:rFonts w:ascii="Times New Roman" w:eastAsia="Times New Roman" w:hAnsi="Times New Roman" w:cs="Times New Roman"/>
          <w:color w:val="000000"/>
          <w:sz w:val="24"/>
          <w:szCs w:val="24"/>
        </w:rPr>
        <w:t>Baderca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Closca</w:t>
      </w:r>
      <w:proofErr w:type="spellEnd"/>
      <w:r>
        <w:rPr>
          <w:rFonts w:ascii="Times New Roman" w:eastAsia="Times New Roman" w:hAnsi="Times New Roman" w:cs="Times New Roman"/>
          <w:color w:val="000000"/>
          <w:sz w:val="24"/>
          <w:szCs w:val="24"/>
        </w:rPr>
        <w:t xml:space="preserve"> RM, </w:t>
      </w:r>
      <w:proofErr w:type="spellStart"/>
      <w:r>
        <w:rPr>
          <w:rFonts w:ascii="Times New Roman" w:eastAsia="Times New Roman" w:hAnsi="Times New Roman" w:cs="Times New Roman"/>
          <w:color w:val="000000"/>
          <w:sz w:val="24"/>
          <w:szCs w:val="24"/>
        </w:rPr>
        <w:t>Ilas</w:t>
      </w:r>
      <w:proofErr w:type="spellEnd"/>
      <w:r>
        <w:rPr>
          <w:rFonts w:ascii="Times New Roman" w:eastAsia="Times New Roman" w:hAnsi="Times New Roman" w:cs="Times New Roman"/>
          <w:color w:val="000000"/>
          <w:sz w:val="24"/>
          <w:szCs w:val="24"/>
        </w:rPr>
        <w:t xml:space="preserve">-Tat MB, </w:t>
      </w:r>
      <w:proofErr w:type="spellStart"/>
      <w:r>
        <w:rPr>
          <w:rFonts w:ascii="Times New Roman" w:eastAsia="Times New Roman" w:hAnsi="Times New Roman" w:cs="Times New Roman"/>
          <w:color w:val="000000"/>
          <w:sz w:val="24"/>
          <w:szCs w:val="24"/>
        </w:rPr>
        <w:t>Urtila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Pricop</w:t>
      </w:r>
      <w:proofErr w:type="spellEnd"/>
      <w:r>
        <w:rPr>
          <w:rFonts w:ascii="Times New Roman" w:eastAsia="Times New Roman" w:hAnsi="Times New Roman" w:cs="Times New Roman"/>
          <w:color w:val="000000"/>
          <w:sz w:val="24"/>
          <w:szCs w:val="24"/>
        </w:rPr>
        <w:t xml:space="preserve"> M. Ameloblastoma of the Mandible in a 16-Year-Old Female—Case Report. </w:t>
      </w:r>
      <w:proofErr w:type="spellStart"/>
      <w:r>
        <w:rPr>
          <w:rFonts w:ascii="Times New Roman" w:eastAsia="Times New Roman" w:hAnsi="Times New Roman" w:cs="Times New Roman"/>
          <w:color w:val="000000"/>
          <w:sz w:val="24"/>
          <w:szCs w:val="24"/>
        </w:rPr>
        <w:t>Medicina</w:t>
      </w:r>
      <w:proofErr w:type="spellEnd"/>
      <w:r>
        <w:rPr>
          <w:rFonts w:ascii="Times New Roman" w:eastAsia="Times New Roman" w:hAnsi="Times New Roman" w:cs="Times New Roman"/>
          <w:color w:val="000000"/>
          <w:sz w:val="24"/>
          <w:szCs w:val="24"/>
        </w:rPr>
        <w:t>. 2023 Dec 29;60(1):66.</w:t>
      </w:r>
    </w:p>
    <w:p w:rsidR="007609FD" w:rsidRDefault="00D02FC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Paikkatt</w:t>
      </w:r>
      <w:proofErr w:type="spellEnd"/>
      <w:r>
        <w:rPr>
          <w:rFonts w:ascii="Times New Roman" w:eastAsia="Times New Roman" w:hAnsi="Times New Roman" w:cs="Times New Roman"/>
          <w:color w:val="000000"/>
          <w:sz w:val="24"/>
          <w:szCs w:val="24"/>
        </w:rPr>
        <w:t xml:space="preserve"> VJ, </w:t>
      </w:r>
      <w:proofErr w:type="spellStart"/>
      <w:r>
        <w:rPr>
          <w:rFonts w:ascii="Times New Roman" w:eastAsia="Times New Roman" w:hAnsi="Times New Roman" w:cs="Times New Roman"/>
          <w:color w:val="000000"/>
          <w:sz w:val="24"/>
          <w:szCs w:val="24"/>
        </w:rPr>
        <w:t>Sreedharan</w:t>
      </w:r>
      <w:proofErr w:type="spellEnd"/>
      <w:r>
        <w:rPr>
          <w:rFonts w:ascii="Times New Roman" w:eastAsia="Times New Roman" w:hAnsi="Times New Roman" w:cs="Times New Roman"/>
          <w:color w:val="000000"/>
          <w:sz w:val="24"/>
          <w:szCs w:val="24"/>
        </w:rPr>
        <w:t xml:space="preserve"> S, Kannan VP. </w:t>
      </w:r>
      <w:proofErr w:type="spellStart"/>
      <w:r>
        <w:rPr>
          <w:rFonts w:ascii="Times New Roman" w:eastAsia="Times New Roman" w:hAnsi="Times New Roman" w:cs="Times New Roman"/>
          <w:color w:val="000000"/>
          <w:sz w:val="24"/>
          <w:szCs w:val="24"/>
        </w:rPr>
        <w:t>Unicystic</w:t>
      </w:r>
      <w:proofErr w:type="spellEnd"/>
      <w:r>
        <w:rPr>
          <w:rFonts w:ascii="Times New Roman" w:eastAsia="Times New Roman" w:hAnsi="Times New Roman" w:cs="Times New Roman"/>
          <w:color w:val="000000"/>
          <w:sz w:val="24"/>
          <w:szCs w:val="24"/>
        </w:rPr>
        <w:t xml:space="preserve"> ameloblastoma of the maxilla: a case report. Journal of Indian society of </w:t>
      </w:r>
      <w:proofErr w:type="spellStart"/>
      <w:r>
        <w:rPr>
          <w:rFonts w:ascii="Times New Roman" w:eastAsia="Times New Roman" w:hAnsi="Times New Roman" w:cs="Times New Roman"/>
          <w:color w:val="000000"/>
          <w:sz w:val="24"/>
          <w:szCs w:val="24"/>
        </w:rPr>
        <w:t>pedodontics</w:t>
      </w:r>
      <w:proofErr w:type="spellEnd"/>
      <w:r>
        <w:rPr>
          <w:rFonts w:ascii="Times New Roman" w:eastAsia="Times New Roman" w:hAnsi="Times New Roman" w:cs="Times New Roman"/>
          <w:color w:val="000000"/>
          <w:sz w:val="24"/>
          <w:szCs w:val="24"/>
        </w:rPr>
        <w:t xml:space="preserve"> and preventive dentistry. 2007 Apr 1;25(2):106-10.</w:t>
      </w:r>
    </w:p>
    <w:p w:rsidR="007609FD" w:rsidRDefault="00D02FC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ELmrini</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Raiteb</w:t>
      </w:r>
      <w:proofErr w:type="spellEnd"/>
      <w:r>
        <w:rPr>
          <w:rFonts w:ascii="Times New Roman" w:eastAsia="Times New Roman" w:hAnsi="Times New Roman" w:cs="Times New Roman"/>
          <w:color w:val="000000"/>
          <w:sz w:val="24"/>
          <w:szCs w:val="24"/>
        </w:rPr>
        <w:t xml:space="preserve"> M, Slimani F. Ameloblastoma giant: diagnosis, treatment and reconstruction: a case report. Annals of Medicine and Surgery. 2021 Aug 1;68.</w:t>
      </w:r>
    </w:p>
    <w:p w:rsidR="007609FD" w:rsidRDefault="00D02FC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Omari F, </w:t>
      </w:r>
      <w:proofErr w:type="spellStart"/>
      <w:r>
        <w:rPr>
          <w:rFonts w:ascii="Times New Roman" w:eastAsia="Times New Roman" w:hAnsi="Times New Roman" w:cs="Times New Roman"/>
          <w:color w:val="000000"/>
          <w:sz w:val="24"/>
          <w:szCs w:val="24"/>
        </w:rPr>
        <w:t>Hakami</w:t>
      </w:r>
      <w:proofErr w:type="spellEnd"/>
      <w:r>
        <w:rPr>
          <w:rFonts w:ascii="Times New Roman" w:eastAsia="Times New Roman" w:hAnsi="Times New Roman" w:cs="Times New Roman"/>
          <w:color w:val="000000"/>
          <w:sz w:val="24"/>
          <w:szCs w:val="24"/>
        </w:rPr>
        <w:t xml:space="preserve"> RM. Multidisciplinary Approach to Mandibular Ameloblastoma: A Case Report on Surgical and Prosthetic Management. The American Journal of Case Reports. 2024 Sep 25;</w:t>
      </w:r>
      <w:proofErr w:type="gramStart"/>
      <w:r>
        <w:rPr>
          <w:rFonts w:ascii="Times New Roman" w:eastAsia="Times New Roman" w:hAnsi="Times New Roman" w:cs="Times New Roman"/>
          <w:color w:val="000000"/>
          <w:sz w:val="24"/>
          <w:szCs w:val="24"/>
        </w:rPr>
        <w:t>25:e</w:t>
      </w:r>
      <w:proofErr w:type="gramEnd"/>
      <w:r>
        <w:rPr>
          <w:rFonts w:ascii="Times New Roman" w:eastAsia="Times New Roman" w:hAnsi="Times New Roman" w:cs="Times New Roman"/>
          <w:color w:val="000000"/>
          <w:sz w:val="24"/>
          <w:szCs w:val="24"/>
        </w:rPr>
        <w:t>944651.</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Belardo</w:t>
      </w:r>
      <w:proofErr w:type="spellEnd"/>
      <w:r>
        <w:rPr>
          <w:rFonts w:ascii="Times New Roman" w:eastAsia="Times New Roman" w:hAnsi="Times New Roman" w:cs="Times New Roman"/>
          <w:color w:val="000000"/>
          <w:sz w:val="24"/>
          <w:szCs w:val="24"/>
        </w:rPr>
        <w:t xml:space="preserve"> E, Velasco I, Guerra A, Rosa E, BELARDO E, VELASCO I, GUERRA A, ROSA E. Mandibular ameloblastoma in a 10-year-old child: case report and review of the literature. Int J </w:t>
      </w:r>
      <w:proofErr w:type="spellStart"/>
      <w:r>
        <w:rPr>
          <w:rFonts w:ascii="Times New Roman" w:eastAsia="Times New Roman" w:hAnsi="Times New Roman" w:cs="Times New Roman"/>
          <w:color w:val="000000"/>
          <w:sz w:val="24"/>
          <w:szCs w:val="24"/>
        </w:rPr>
        <w:t>Odontostomat</w:t>
      </w:r>
      <w:proofErr w:type="spellEnd"/>
      <w:r>
        <w:rPr>
          <w:rFonts w:ascii="Times New Roman" w:eastAsia="Times New Roman" w:hAnsi="Times New Roman" w:cs="Times New Roman"/>
          <w:color w:val="000000"/>
          <w:sz w:val="24"/>
          <w:szCs w:val="24"/>
        </w:rPr>
        <w:t>. 2012 Jun;6(3):331-6.</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Nnko</w:t>
      </w:r>
      <w:proofErr w:type="spellEnd"/>
      <w:r>
        <w:rPr>
          <w:rFonts w:ascii="Times New Roman" w:eastAsia="Times New Roman" w:hAnsi="Times New Roman" w:cs="Times New Roman"/>
          <w:color w:val="000000"/>
          <w:sz w:val="24"/>
          <w:szCs w:val="24"/>
        </w:rPr>
        <w:t xml:space="preserve"> KA, Pima RT, Baraka C, </w:t>
      </w:r>
      <w:proofErr w:type="spellStart"/>
      <w:r>
        <w:rPr>
          <w:rFonts w:ascii="Times New Roman" w:eastAsia="Times New Roman" w:hAnsi="Times New Roman" w:cs="Times New Roman"/>
          <w:color w:val="000000"/>
          <w:sz w:val="24"/>
          <w:szCs w:val="24"/>
        </w:rPr>
        <w:t>Robi</w:t>
      </w:r>
      <w:proofErr w:type="spellEnd"/>
      <w:r>
        <w:rPr>
          <w:rFonts w:ascii="Times New Roman" w:eastAsia="Times New Roman" w:hAnsi="Times New Roman" w:cs="Times New Roman"/>
          <w:color w:val="000000"/>
          <w:sz w:val="24"/>
          <w:szCs w:val="24"/>
        </w:rPr>
        <w:t xml:space="preserve"> EA, </w:t>
      </w:r>
      <w:proofErr w:type="spellStart"/>
      <w:r>
        <w:rPr>
          <w:rFonts w:ascii="Times New Roman" w:eastAsia="Times New Roman" w:hAnsi="Times New Roman" w:cs="Times New Roman"/>
          <w:color w:val="000000"/>
          <w:sz w:val="24"/>
          <w:szCs w:val="24"/>
        </w:rPr>
        <w:t>Rwakatema</w:t>
      </w:r>
      <w:proofErr w:type="spellEnd"/>
      <w:r>
        <w:rPr>
          <w:rFonts w:ascii="Times New Roman" w:eastAsia="Times New Roman" w:hAnsi="Times New Roman" w:cs="Times New Roman"/>
          <w:color w:val="000000"/>
          <w:sz w:val="24"/>
          <w:szCs w:val="24"/>
        </w:rPr>
        <w:t xml:space="preserve"> DS, </w:t>
      </w:r>
      <w:proofErr w:type="spellStart"/>
      <w:r>
        <w:rPr>
          <w:rFonts w:ascii="Times New Roman" w:eastAsia="Times New Roman" w:hAnsi="Times New Roman" w:cs="Times New Roman"/>
          <w:color w:val="000000"/>
          <w:sz w:val="24"/>
          <w:szCs w:val="24"/>
        </w:rPr>
        <w:t>Mremi</w:t>
      </w:r>
      <w:proofErr w:type="spellEnd"/>
      <w:r>
        <w:rPr>
          <w:rFonts w:ascii="Times New Roman" w:eastAsia="Times New Roman" w:hAnsi="Times New Roman" w:cs="Times New Roman"/>
          <w:color w:val="000000"/>
          <w:sz w:val="24"/>
          <w:szCs w:val="24"/>
        </w:rPr>
        <w:t xml:space="preserve"> A. Surgical management of mandibular ameloblastoma and immediate reconstruction with iliac crest and </w:t>
      </w:r>
      <w:proofErr w:type="spellStart"/>
      <w:r>
        <w:rPr>
          <w:rFonts w:ascii="Times New Roman" w:eastAsia="Times New Roman" w:hAnsi="Times New Roman" w:cs="Times New Roman"/>
          <w:color w:val="000000"/>
          <w:sz w:val="24"/>
          <w:szCs w:val="24"/>
        </w:rPr>
        <w:t>costochondrial</w:t>
      </w:r>
      <w:proofErr w:type="spellEnd"/>
      <w:r>
        <w:rPr>
          <w:rFonts w:ascii="Times New Roman" w:eastAsia="Times New Roman" w:hAnsi="Times New Roman" w:cs="Times New Roman"/>
          <w:color w:val="000000"/>
          <w:sz w:val="24"/>
          <w:szCs w:val="24"/>
        </w:rPr>
        <w:t xml:space="preserve"> bone grafts: A case report. International Journal of Surgery Case Reports. 2024 Aug </w:t>
      </w:r>
      <w:proofErr w:type="gramStart"/>
      <w:r>
        <w:rPr>
          <w:rFonts w:ascii="Times New Roman" w:eastAsia="Times New Roman" w:hAnsi="Times New Roman" w:cs="Times New Roman"/>
          <w:color w:val="000000"/>
          <w:sz w:val="24"/>
          <w:szCs w:val="24"/>
        </w:rPr>
        <w:t>1;121:110023</w:t>
      </w:r>
      <w:proofErr w:type="gramEnd"/>
      <w:r>
        <w:rPr>
          <w:rFonts w:ascii="Times New Roman" w:eastAsia="Times New Roman" w:hAnsi="Times New Roman" w:cs="Times New Roman"/>
          <w:color w:val="000000"/>
          <w:sz w:val="24"/>
          <w:szCs w:val="24"/>
        </w:rPr>
        <w:t>.</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w:t>
      </w:r>
      <w:proofErr w:type="spellStart"/>
      <w:r>
        <w:rPr>
          <w:rFonts w:ascii="Times New Roman" w:eastAsia="Times New Roman" w:hAnsi="Times New Roman" w:cs="Times New Roman"/>
          <w:color w:val="000000"/>
          <w:sz w:val="24"/>
          <w:szCs w:val="24"/>
        </w:rPr>
        <w:t>Azawi</w:t>
      </w:r>
      <w:proofErr w:type="spellEnd"/>
      <w:r>
        <w:rPr>
          <w:rFonts w:ascii="Times New Roman" w:eastAsia="Times New Roman" w:hAnsi="Times New Roman" w:cs="Times New Roman"/>
          <w:color w:val="000000"/>
          <w:sz w:val="24"/>
          <w:szCs w:val="24"/>
        </w:rPr>
        <w:t xml:space="preserve"> M, Shinas N, </w:t>
      </w:r>
      <w:proofErr w:type="spellStart"/>
      <w:r>
        <w:rPr>
          <w:rFonts w:ascii="Times New Roman" w:eastAsia="Times New Roman" w:hAnsi="Times New Roman" w:cs="Times New Roman"/>
          <w:color w:val="000000"/>
          <w:sz w:val="24"/>
          <w:szCs w:val="24"/>
        </w:rPr>
        <w:t>Zisis</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Shosho</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Poulopoulos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Kashtwari</w:t>
      </w:r>
      <w:proofErr w:type="spellEnd"/>
      <w:r>
        <w:rPr>
          <w:rFonts w:ascii="Times New Roman" w:eastAsia="Times New Roman" w:hAnsi="Times New Roman" w:cs="Times New Roman"/>
          <w:color w:val="000000"/>
          <w:sz w:val="24"/>
          <w:szCs w:val="24"/>
        </w:rPr>
        <w:t xml:space="preserve"> D. Mural </w:t>
      </w:r>
      <w:proofErr w:type="spellStart"/>
      <w:r>
        <w:rPr>
          <w:rFonts w:ascii="Times New Roman" w:eastAsia="Times New Roman" w:hAnsi="Times New Roman" w:cs="Times New Roman"/>
          <w:color w:val="000000"/>
          <w:sz w:val="24"/>
          <w:szCs w:val="24"/>
        </w:rPr>
        <w:t>Unicystic</w:t>
      </w:r>
      <w:proofErr w:type="spellEnd"/>
      <w:r>
        <w:rPr>
          <w:rFonts w:ascii="Times New Roman" w:eastAsia="Times New Roman" w:hAnsi="Times New Roman" w:cs="Times New Roman"/>
          <w:color w:val="000000"/>
          <w:sz w:val="24"/>
          <w:szCs w:val="24"/>
        </w:rPr>
        <w:t xml:space="preserve"> Ameloblastoma of the Mandible: A Case Report. Reports. 2024 Nov 7;7(4):93.</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Verma S, Das D. Recurrent ameloblastoma of mandible–a case report. International Journal of Applied Dental Sciences. 2022;8(3):29-32.</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Chadwick JW, Huang SR, </w:t>
      </w:r>
      <w:proofErr w:type="spellStart"/>
      <w:r>
        <w:rPr>
          <w:rFonts w:ascii="Times New Roman" w:eastAsia="Times New Roman" w:hAnsi="Times New Roman" w:cs="Times New Roman"/>
          <w:color w:val="000000"/>
          <w:sz w:val="24"/>
          <w:szCs w:val="24"/>
        </w:rPr>
        <w:t>Khadivi</w:t>
      </w:r>
      <w:proofErr w:type="spellEnd"/>
      <w:r>
        <w:rPr>
          <w:rFonts w:ascii="Times New Roman" w:eastAsia="Times New Roman" w:hAnsi="Times New Roman" w:cs="Times New Roman"/>
          <w:color w:val="000000"/>
          <w:sz w:val="24"/>
          <w:szCs w:val="24"/>
        </w:rPr>
        <w:t xml:space="preserve"> A, Cuddy KK. Multidisciplinary management of an advanced mandibular ameloblastoma: Etiopathogenesis, surgical management and prosthetic rehabilitation. Oral and Maxillofacial Surgery Cases. 2023 Jun 1;9(2):100296.</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Ouertani</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Azouzi</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Gargouri</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Tlili</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Khrifi</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Khattech</w:t>
      </w:r>
      <w:proofErr w:type="spellEnd"/>
      <w:r>
        <w:rPr>
          <w:rFonts w:ascii="Times New Roman" w:eastAsia="Times New Roman" w:hAnsi="Times New Roman" w:cs="Times New Roman"/>
          <w:color w:val="000000"/>
          <w:sz w:val="24"/>
          <w:szCs w:val="24"/>
        </w:rPr>
        <w:t xml:space="preserve"> MB. </w:t>
      </w:r>
      <w:proofErr w:type="spellStart"/>
      <w:r>
        <w:rPr>
          <w:rFonts w:ascii="Times New Roman" w:eastAsia="Times New Roman" w:hAnsi="Times New Roman" w:cs="Times New Roman"/>
          <w:color w:val="000000"/>
          <w:sz w:val="24"/>
          <w:szCs w:val="24"/>
        </w:rPr>
        <w:t>Unicystic</w:t>
      </w:r>
      <w:proofErr w:type="spellEnd"/>
      <w:r>
        <w:rPr>
          <w:rFonts w:ascii="Times New Roman" w:eastAsia="Times New Roman" w:hAnsi="Times New Roman" w:cs="Times New Roman"/>
          <w:color w:val="000000"/>
          <w:sz w:val="24"/>
          <w:szCs w:val="24"/>
        </w:rPr>
        <w:t xml:space="preserve"> ameloblastoma: Diagnostic challenges and uncommon treatment strategy: Case report. International Journal of Surgery Case Reports. 2024 Nov </w:t>
      </w:r>
      <w:proofErr w:type="gramStart"/>
      <w:r>
        <w:rPr>
          <w:rFonts w:ascii="Times New Roman" w:eastAsia="Times New Roman" w:hAnsi="Times New Roman" w:cs="Times New Roman"/>
          <w:color w:val="000000"/>
          <w:sz w:val="24"/>
          <w:szCs w:val="24"/>
        </w:rPr>
        <w:t>1;124:110437</w:t>
      </w:r>
      <w:proofErr w:type="gramEnd"/>
      <w:r>
        <w:rPr>
          <w:rFonts w:ascii="Times New Roman" w:eastAsia="Times New Roman" w:hAnsi="Times New Roman" w:cs="Times New Roman"/>
          <w:color w:val="000000"/>
          <w:sz w:val="24"/>
          <w:szCs w:val="24"/>
        </w:rPr>
        <w:t>.</w:t>
      </w:r>
    </w:p>
    <w:p w:rsidR="007609FD" w:rsidRDefault="00D02FC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da Silva YS, </w:t>
      </w:r>
      <w:proofErr w:type="spellStart"/>
      <w:r>
        <w:rPr>
          <w:rFonts w:ascii="Times New Roman" w:eastAsia="Times New Roman" w:hAnsi="Times New Roman" w:cs="Times New Roman"/>
          <w:color w:val="000000"/>
          <w:sz w:val="24"/>
          <w:szCs w:val="24"/>
        </w:rPr>
        <w:t>Sohal</w:t>
      </w:r>
      <w:proofErr w:type="spellEnd"/>
      <w:r>
        <w:rPr>
          <w:rFonts w:ascii="Times New Roman" w:eastAsia="Times New Roman" w:hAnsi="Times New Roman" w:cs="Times New Roman"/>
          <w:color w:val="000000"/>
          <w:sz w:val="24"/>
          <w:szCs w:val="24"/>
        </w:rPr>
        <w:t xml:space="preserve"> KS, </w:t>
      </w:r>
      <w:proofErr w:type="spellStart"/>
      <w:r>
        <w:rPr>
          <w:rFonts w:ascii="Times New Roman" w:eastAsia="Times New Roman" w:hAnsi="Times New Roman" w:cs="Times New Roman"/>
          <w:color w:val="000000"/>
          <w:sz w:val="24"/>
          <w:szCs w:val="24"/>
        </w:rPr>
        <w:t>Stoelinga</w:t>
      </w:r>
      <w:proofErr w:type="spellEnd"/>
      <w:r>
        <w:rPr>
          <w:rFonts w:ascii="Times New Roman" w:eastAsia="Times New Roman" w:hAnsi="Times New Roman" w:cs="Times New Roman"/>
          <w:color w:val="000000"/>
          <w:sz w:val="24"/>
          <w:szCs w:val="24"/>
        </w:rPr>
        <w:t xml:space="preserve"> PJ, Grillo R. A meta-analysis on the presentation of </w:t>
      </w:r>
      <w:proofErr w:type="spellStart"/>
      <w:r>
        <w:rPr>
          <w:rFonts w:ascii="Times New Roman" w:eastAsia="Times New Roman" w:hAnsi="Times New Roman" w:cs="Times New Roman"/>
          <w:color w:val="000000"/>
          <w:sz w:val="24"/>
          <w:szCs w:val="24"/>
        </w:rPr>
        <w:t>Unicystic</w:t>
      </w:r>
      <w:proofErr w:type="spellEnd"/>
      <w:r>
        <w:rPr>
          <w:rFonts w:ascii="Times New Roman" w:eastAsia="Times New Roman" w:hAnsi="Times New Roman" w:cs="Times New Roman"/>
          <w:color w:val="000000"/>
          <w:sz w:val="24"/>
          <w:szCs w:val="24"/>
        </w:rPr>
        <w:t xml:space="preserve"> Ameloblastoma in the jaws and the consequences for their treatment. Journal of Stomatology, Oral and Maxillofacial Surgery. 2022 Oct 1;123(5</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433-8.</w:t>
      </w:r>
    </w:p>
    <w:p w:rsidR="007609FD" w:rsidRDefault="007609FD"/>
    <w:sectPr w:rsidR="007609F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B12F4"/>
    <w:multiLevelType w:val="multilevel"/>
    <w:tmpl w:val="BCA24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FD"/>
    <w:rsid w:val="001257B3"/>
    <w:rsid w:val="007609FD"/>
    <w:rsid w:val="00D0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05A0"/>
  <w15:docId w15:val="{805178D6-11B0-47D7-B7EA-2799BEFE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1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2471</Words>
  <Characters>14090</Characters>
  <Application>Microsoft Office Word</Application>
  <DocSecurity>0</DocSecurity>
  <Lines>117</Lines>
  <Paragraphs>33</Paragraphs>
  <ScaleCrop>false</ScaleCrop>
  <Company/>
  <LinksUpToDate>false</LinksUpToDate>
  <CharactersWithSpaces>16528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3</cp:revision>
  <dcterms:created xsi:type="dcterms:W3CDTF">2025-08-12T13:15:00Z</dcterms:created>
  <dcterms:modified xsi:type="dcterms:W3CDTF">2025-08-14T06:32:00Z</dcterms:modified>
</cp:coreProperties>
</file>