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AA10" w14:textId="77777777" w:rsidR="00754C9A" w:rsidRDefault="00754C9A" w:rsidP="00441B6F">
      <w:pPr>
        <w:pStyle w:val="Title"/>
        <w:spacing w:after="0"/>
        <w:jc w:val="both"/>
        <w:rPr>
          <w:rFonts w:ascii="Arial" w:hAnsi="Arial" w:cs="Arial"/>
        </w:rPr>
      </w:pPr>
    </w:p>
    <w:p w14:paraId="738DE028" w14:textId="2DE09106" w:rsidR="00246FD8" w:rsidRDefault="00246FD8" w:rsidP="00441B6F">
      <w:pPr>
        <w:pStyle w:val="Author"/>
        <w:spacing w:line="240" w:lineRule="auto"/>
        <w:rPr>
          <w:rFonts w:ascii="Arial" w:hAnsi="Arial" w:cs="Arial"/>
          <w:sz w:val="36"/>
          <w:szCs w:val="36"/>
        </w:rPr>
      </w:pPr>
      <w:r w:rsidRPr="00246FD8">
        <w:rPr>
          <w:rFonts w:ascii="Arial" w:hAnsi="Arial" w:cs="Arial"/>
          <w:sz w:val="36"/>
          <w:szCs w:val="36"/>
        </w:rPr>
        <w:t xml:space="preserve">Digital smile design for conservative midline diastema closure with indirect ceramic veneers: </w:t>
      </w:r>
      <w:r w:rsidR="00B15920">
        <w:rPr>
          <w:rFonts w:ascii="Arial" w:hAnsi="Arial" w:cs="Arial"/>
          <w:sz w:val="36"/>
          <w:szCs w:val="36"/>
        </w:rPr>
        <w:t>A</w:t>
      </w:r>
      <w:r w:rsidRPr="00246FD8">
        <w:rPr>
          <w:rFonts w:ascii="Arial" w:hAnsi="Arial" w:cs="Arial"/>
          <w:sz w:val="36"/>
          <w:szCs w:val="36"/>
        </w:rPr>
        <w:t xml:space="preserve"> case report</w:t>
      </w:r>
    </w:p>
    <w:p w14:paraId="24DD4F27" w14:textId="77777777" w:rsidR="00246FD8" w:rsidRDefault="00246FD8" w:rsidP="00441B6F">
      <w:pPr>
        <w:pStyle w:val="Author"/>
        <w:spacing w:line="240" w:lineRule="auto"/>
        <w:rPr>
          <w:rFonts w:ascii="Arial" w:hAnsi="Arial" w:cs="Arial"/>
          <w:sz w:val="36"/>
          <w:szCs w:val="36"/>
        </w:rPr>
      </w:pPr>
    </w:p>
    <w:p w14:paraId="40499DB6" w14:textId="328C3E41" w:rsidR="00790ADA" w:rsidRDefault="00246FD8" w:rsidP="001921CD">
      <w:pPr>
        <w:pStyle w:val="Author"/>
        <w:spacing w:line="240" w:lineRule="auto"/>
        <w:rPr>
          <w:rFonts w:ascii="Arial" w:hAnsi="Arial" w:cs="Arial"/>
        </w:rPr>
      </w:pPr>
      <w:r>
        <w:rPr>
          <w:rFonts w:ascii="Arial" w:hAnsi="Arial" w:cs="Arial"/>
        </w:rPr>
        <w:t xml:space="preserve"> </w:t>
      </w:r>
    </w:p>
    <w:p w14:paraId="2BF9872E" w14:textId="2D6A710B" w:rsidR="00790ADA" w:rsidRDefault="00DB5B79" w:rsidP="00441B6F">
      <w:pPr>
        <w:pStyle w:val="AbstHead"/>
        <w:spacing w:after="0"/>
        <w:jc w:val="both"/>
        <w:rPr>
          <w:rFonts w:ascii="Arial" w:hAnsi="Arial" w:cs="Arial"/>
        </w:rPr>
      </w:pPr>
      <w:r>
        <w:rPr>
          <w:rFonts w:ascii="Arial" w:hAnsi="Arial" w:cs="Arial"/>
        </w:rPr>
        <w:t xml:space="preserve">abstract </w:t>
      </w:r>
    </w:p>
    <w:p w14:paraId="336D8B2F" w14:textId="77777777" w:rsidR="00DB5B79" w:rsidRPr="00FB3A86" w:rsidRDefault="00DB5B7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533D54D" w14:textId="77777777" w:rsidTr="001E44FE">
        <w:tc>
          <w:tcPr>
            <w:tcW w:w="9576" w:type="dxa"/>
            <w:shd w:val="clear" w:color="auto" w:fill="F2F2F2"/>
          </w:tcPr>
          <w:p w14:paraId="1EC3C701" w14:textId="0B7F1E0B" w:rsidR="00246FD8" w:rsidRPr="00401FD2" w:rsidRDefault="007B3A85" w:rsidP="00401FD2">
            <w:pPr>
              <w:pStyle w:val="AbstHead"/>
              <w:spacing w:after="0" w:line="360" w:lineRule="auto"/>
              <w:rPr>
                <w:rFonts w:ascii="Arial" w:hAnsi="Arial" w:cs="Arial"/>
                <w:b w:val="0"/>
              </w:rPr>
            </w:pPr>
            <w:r w:rsidRPr="00401FD2">
              <w:rPr>
                <w:rFonts w:ascii="Arial" w:hAnsi="Arial" w:cs="Arial"/>
                <w:caps w:val="0"/>
              </w:rPr>
              <w:t>Aim:</w:t>
            </w:r>
            <w:r w:rsidRPr="00401FD2">
              <w:rPr>
                <w:rFonts w:ascii="Arial" w:hAnsi="Arial" w:cs="Arial"/>
                <w:b w:val="0"/>
                <w:caps w:val="0"/>
              </w:rPr>
              <w:t xml:space="preserve"> this case report demonstrates a fully digital, single-visit workflow to close a 2.5 mm maxillary midline diastema and correct a tilted lateral incisor using 0.5 mm lithium disilicate veneers.</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Presentation of case:</w:t>
            </w:r>
            <w:r w:rsidRPr="00401FD2">
              <w:rPr>
                <w:rFonts w:ascii="Arial" w:hAnsi="Arial" w:cs="Arial"/>
                <w:b w:val="0"/>
                <w:caps w:val="0"/>
              </w:rPr>
              <w:t xml:space="preserve"> a 27-year-old female sought aesthetic correction for a midline gap and distally tilted lateral incisor. Intraoral scans (</w:t>
            </w:r>
            <w:proofErr w:type="spellStart"/>
            <w:r w:rsidRPr="00401FD2">
              <w:rPr>
                <w:rFonts w:ascii="Arial" w:hAnsi="Arial" w:cs="Arial"/>
                <w:b w:val="0"/>
                <w:caps w:val="0"/>
              </w:rPr>
              <w:t>medit</w:t>
            </w:r>
            <w:proofErr w:type="spellEnd"/>
            <w:r w:rsidRPr="00401FD2">
              <w:rPr>
                <w:rFonts w:ascii="Arial" w:hAnsi="Arial" w:cs="Arial"/>
                <w:b w:val="0"/>
                <w:caps w:val="0"/>
              </w:rPr>
              <w:t xml:space="preserve"> i700), virtual smile design, and </w:t>
            </w:r>
            <w:proofErr w:type="spellStart"/>
            <w:r w:rsidRPr="00401FD2">
              <w:rPr>
                <w:rFonts w:ascii="Arial" w:hAnsi="Arial" w:cs="Arial"/>
                <w:b w:val="0"/>
                <w:caps w:val="0"/>
              </w:rPr>
              <w:t>exocad</w:t>
            </w:r>
            <w:proofErr w:type="spellEnd"/>
            <w:r w:rsidRPr="00401FD2">
              <w:rPr>
                <w:rFonts w:ascii="Arial" w:hAnsi="Arial" w:cs="Arial"/>
                <w:b w:val="0"/>
                <w:caps w:val="0"/>
              </w:rPr>
              <w:t xml:space="preserve">-based </w:t>
            </w:r>
            <w:proofErr w:type="spellStart"/>
            <w:r w:rsidRPr="00401FD2">
              <w:rPr>
                <w:rFonts w:ascii="Arial" w:hAnsi="Arial" w:cs="Arial"/>
                <w:b w:val="0"/>
                <w:caps w:val="0"/>
              </w:rPr>
              <w:t>cad/cam</w:t>
            </w:r>
            <w:proofErr w:type="spellEnd"/>
            <w:r w:rsidRPr="00401FD2">
              <w:rPr>
                <w:rFonts w:ascii="Arial" w:hAnsi="Arial" w:cs="Arial"/>
                <w:b w:val="0"/>
                <w:caps w:val="0"/>
              </w:rPr>
              <w:t xml:space="preserve"> planning guided minimal enamel preparation. Veneers were milled chairside from IPS E.MAX CAD blocks and bonded the same day without temporaries. At 6-month follow-up, veneers showed excellent integration, marginal seal, shade stability, and gingival health.</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Discussion</w:t>
            </w:r>
            <w:r w:rsidR="003657A0">
              <w:rPr>
                <w:rFonts w:ascii="Arial" w:hAnsi="Arial" w:cs="Arial"/>
                <w:b w:val="0"/>
                <w:caps w:val="0"/>
              </w:rPr>
              <w:t>: D</w:t>
            </w:r>
            <w:r w:rsidRPr="00401FD2">
              <w:rPr>
                <w:rFonts w:ascii="Arial" w:hAnsi="Arial" w:cs="Arial"/>
                <w:b w:val="0"/>
                <w:caps w:val="0"/>
              </w:rPr>
              <w:t xml:space="preserve">igital veneer workflows using lithium disilicate allow conservative treatment with reliable, aesthetic outcomes. Literature reports 10-year survival rates over 96% for </w:t>
            </w:r>
            <w:proofErr w:type="spellStart"/>
            <w:r w:rsidRPr="00401FD2">
              <w:rPr>
                <w:rFonts w:ascii="Arial" w:hAnsi="Arial" w:cs="Arial"/>
                <w:b w:val="0"/>
                <w:caps w:val="0"/>
              </w:rPr>
              <w:t>cad/cam</w:t>
            </w:r>
            <w:proofErr w:type="spellEnd"/>
            <w:r w:rsidRPr="00401FD2">
              <w:rPr>
                <w:rFonts w:ascii="Arial" w:hAnsi="Arial" w:cs="Arial"/>
                <w:b w:val="0"/>
                <w:caps w:val="0"/>
              </w:rPr>
              <w:t xml:space="preserve"> veneers. In this case, efficient restoration was achieved without compromising biological or aesthetic principles.</w:t>
            </w:r>
            <w:r w:rsidRPr="00401FD2">
              <w:rPr>
                <w:rFonts w:ascii="Arial" w:hAnsi="Arial" w:cs="Arial"/>
                <w:b w:val="0"/>
                <w:caps w:val="0"/>
              </w:rPr>
              <w:br/>
            </w:r>
            <w:r w:rsidRPr="00401FD2">
              <w:rPr>
                <w:rFonts w:ascii="Arial" w:hAnsi="Arial" w:cs="Arial"/>
                <w:b w:val="0"/>
                <w:caps w:val="0"/>
              </w:rPr>
              <w:br/>
            </w:r>
            <w:r w:rsidRPr="00401FD2">
              <w:rPr>
                <w:rFonts w:ascii="Arial" w:hAnsi="Arial" w:cs="Arial"/>
                <w:caps w:val="0"/>
              </w:rPr>
              <w:t>Conclusion:</w:t>
            </w:r>
            <w:r w:rsidRPr="00401FD2">
              <w:rPr>
                <w:rFonts w:ascii="Arial" w:hAnsi="Arial" w:cs="Arial"/>
                <w:b w:val="0"/>
                <w:caps w:val="0"/>
              </w:rPr>
              <w:t xml:space="preserve"> Single-appointment, digitally fabricated lithium disilicate veneers are an effective and enamel-preserving option for diastema closure and minor anterior corrections</w:t>
            </w:r>
            <w:r w:rsidR="00246FD8" w:rsidRPr="00401FD2">
              <w:rPr>
                <w:rFonts w:ascii="Arial" w:hAnsi="Arial" w:cs="Arial"/>
                <w:b w:val="0"/>
              </w:rPr>
              <w:t>.</w:t>
            </w:r>
            <w:r w:rsidR="00246FD8" w:rsidRPr="00401FD2">
              <w:rPr>
                <w:rFonts w:ascii="Arial" w:hAnsi="Arial" w:cs="Arial"/>
                <w:b w:val="0"/>
              </w:rPr>
              <w:br/>
            </w:r>
          </w:p>
          <w:p w14:paraId="57B63C4A" w14:textId="77777777" w:rsidR="00505F06" w:rsidRPr="00BA1B01" w:rsidRDefault="00505F06" w:rsidP="00441B6F">
            <w:pPr>
              <w:pStyle w:val="Body"/>
              <w:spacing w:after="0"/>
              <w:rPr>
                <w:rFonts w:ascii="Arial" w:eastAsia="Calibri" w:hAnsi="Arial" w:cs="Arial"/>
                <w:szCs w:val="22"/>
              </w:rPr>
            </w:pPr>
          </w:p>
        </w:tc>
      </w:tr>
    </w:tbl>
    <w:p w14:paraId="308AAC76" w14:textId="77777777" w:rsidR="00636EB2" w:rsidRDefault="00636EB2" w:rsidP="00441B6F">
      <w:pPr>
        <w:pStyle w:val="Body"/>
        <w:spacing w:after="0"/>
        <w:rPr>
          <w:rFonts w:ascii="Arial" w:hAnsi="Arial" w:cs="Arial"/>
          <w:i/>
        </w:rPr>
      </w:pPr>
    </w:p>
    <w:p w14:paraId="5306FB44" w14:textId="7B2616DD" w:rsidR="00A24E7E" w:rsidRDefault="00A24E7E" w:rsidP="00441B6F">
      <w:pPr>
        <w:pStyle w:val="Body"/>
        <w:spacing w:after="0"/>
        <w:rPr>
          <w:rFonts w:ascii="Arial" w:hAnsi="Arial" w:cs="Arial"/>
          <w:i/>
        </w:rPr>
      </w:pPr>
      <w:r>
        <w:rPr>
          <w:rFonts w:ascii="Arial" w:hAnsi="Arial" w:cs="Arial"/>
          <w:i/>
        </w:rPr>
        <w:t xml:space="preserve">Keywords: </w:t>
      </w:r>
      <w:r w:rsidR="00B15920">
        <w:rPr>
          <w:rFonts w:ascii="Arial" w:hAnsi="Arial" w:cs="Arial"/>
          <w:i/>
          <w:sz w:val="22"/>
          <w:szCs w:val="22"/>
        </w:rPr>
        <w:t>D</w:t>
      </w:r>
      <w:r w:rsidR="00246FD8" w:rsidRPr="00246FD8">
        <w:rPr>
          <w:rFonts w:ascii="Arial" w:hAnsi="Arial" w:cs="Arial"/>
          <w:i/>
          <w:sz w:val="22"/>
          <w:szCs w:val="22"/>
        </w:rPr>
        <w:t xml:space="preserve">igital workflow, </w:t>
      </w:r>
      <w:r w:rsidR="00246FD8">
        <w:rPr>
          <w:rFonts w:ascii="Arial" w:hAnsi="Arial" w:cs="Arial"/>
          <w:i/>
          <w:sz w:val="22"/>
          <w:szCs w:val="22"/>
        </w:rPr>
        <w:t xml:space="preserve">midline diastema, </w:t>
      </w:r>
      <w:r w:rsidR="003657A0">
        <w:rPr>
          <w:rFonts w:ascii="Arial" w:hAnsi="Arial" w:cs="Arial"/>
          <w:i/>
          <w:sz w:val="22"/>
          <w:szCs w:val="22"/>
        </w:rPr>
        <w:t>CAD/CAM</w:t>
      </w:r>
      <w:r w:rsidR="00246FD8" w:rsidRPr="00246FD8">
        <w:rPr>
          <w:rFonts w:ascii="Arial" w:hAnsi="Arial" w:cs="Arial"/>
          <w:i/>
          <w:sz w:val="22"/>
          <w:szCs w:val="22"/>
        </w:rPr>
        <w:t>, lithium disilicate</w:t>
      </w:r>
      <w:r w:rsidR="00246FD8">
        <w:rPr>
          <w:rFonts w:ascii="Arial" w:hAnsi="Arial" w:cs="Arial"/>
          <w:i/>
          <w:sz w:val="22"/>
          <w:szCs w:val="22"/>
        </w:rPr>
        <w:t xml:space="preserve"> veneer</w:t>
      </w:r>
    </w:p>
    <w:p w14:paraId="4DE235B8" w14:textId="77777777" w:rsidR="00790ADA" w:rsidRDefault="00790ADA" w:rsidP="00441B6F">
      <w:pPr>
        <w:pStyle w:val="Body"/>
        <w:spacing w:after="0"/>
        <w:rPr>
          <w:rFonts w:ascii="Arial" w:hAnsi="Arial" w:cs="Arial"/>
          <w:i/>
        </w:rPr>
      </w:pPr>
    </w:p>
    <w:p w14:paraId="7A33C1C3" w14:textId="77777777" w:rsidR="0024282C" w:rsidRDefault="0024282C" w:rsidP="00441B6F">
      <w:pPr>
        <w:pStyle w:val="Body"/>
        <w:spacing w:after="0"/>
        <w:rPr>
          <w:rFonts w:ascii="Arial" w:hAnsi="Arial" w:cs="Arial"/>
          <w:i/>
          <w:sz w:val="18"/>
        </w:rPr>
      </w:pPr>
    </w:p>
    <w:p w14:paraId="2E9D4197" w14:textId="77777777" w:rsidR="00505F06" w:rsidRPr="00A24E7E" w:rsidRDefault="00505F06" w:rsidP="003E53B4">
      <w:pPr>
        <w:pStyle w:val="Body"/>
        <w:spacing w:after="0"/>
        <w:ind w:firstLine="720"/>
        <w:rPr>
          <w:rFonts w:ascii="Arial" w:hAnsi="Arial" w:cs="Arial"/>
          <w:i/>
        </w:rPr>
      </w:pPr>
    </w:p>
    <w:p w14:paraId="61E9F91F" w14:textId="77777777" w:rsidR="00790ADA" w:rsidRPr="00246FD8" w:rsidRDefault="00902823" w:rsidP="00246FD8">
      <w:pPr>
        <w:pStyle w:val="AbstHead"/>
        <w:spacing w:after="0" w:line="276" w:lineRule="auto"/>
        <w:rPr>
          <w:rFonts w:ascii="Arial" w:hAnsi="Arial" w:cs="Arial"/>
          <w:szCs w:val="22"/>
        </w:rPr>
      </w:pPr>
      <w:r w:rsidRPr="00246FD8">
        <w:rPr>
          <w:rFonts w:ascii="Arial" w:hAnsi="Arial" w:cs="Arial"/>
          <w:szCs w:val="22"/>
        </w:rPr>
        <w:lastRenderedPageBreak/>
        <w:t xml:space="preserve">1. </w:t>
      </w:r>
      <w:r w:rsidR="00B01FCD" w:rsidRPr="00246FD8">
        <w:rPr>
          <w:rFonts w:ascii="Arial" w:hAnsi="Arial" w:cs="Arial"/>
          <w:szCs w:val="22"/>
        </w:rPr>
        <w:t>INTRODUCTION</w:t>
      </w:r>
      <w:r w:rsidR="007F7B32" w:rsidRPr="00246FD8">
        <w:rPr>
          <w:rFonts w:ascii="Arial" w:hAnsi="Arial" w:cs="Arial"/>
          <w:szCs w:val="22"/>
        </w:rPr>
        <w:t xml:space="preserve"> </w:t>
      </w:r>
    </w:p>
    <w:p w14:paraId="68070E19" w14:textId="594E0314" w:rsidR="00246FD8" w:rsidRPr="00246FD8" w:rsidRDefault="007B3A85" w:rsidP="00401FD2">
      <w:pPr>
        <w:spacing w:before="100" w:beforeAutospacing="1" w:after="100" w:afterAutospacing="1" w:line="360" w:lineRule="auto"/>
        <w:rPr>
          <w:rFonts w:ascii="Arial" w:hAnsi="Arial" w:cs="Arial"/>
          <w:sz w:val="22"/>
          <w:szCs w:val="22"/>
          <w:lang w:eastAsia="en-IN"/>
        </w:rPr>
      </w:pPr>
      <w:r w:rsidRPr="00246FD8">
        <w:rPr>
          <w:rFonts w:ascii="Arial" w:hAnsi="Arial" w:cs="Arial"/>
          <w:sz w:val="22"/>
          <w:szCs w:val="22"/>
          <w:lang w:eastAsia="en-IN"/>
        </w:rPr>
        <w:t xml:space="preserve">A confident smile plays a vital role in self-esteem, and the appearance of one’s teeth has become increasingly important in today’s aesthetic-driven society. </w:t>
      </w:r>
      <w:r w:rsidRPr="00246FD8">
        <w:rPr>
          <w:rFonts w:ascii="Arial" w:hAnsi="Arial" w:cs="Arial"/>
          <w:bCs/>
          <w:sz w:val="22"/>
          <w:szCs w:val="22"/>
          <w:lang w:eastAsia="en-IN"/>
        </w:rPr>
        <w:t>Maxillary midline diastema</w:t>
      </w:r>
      <w:r w:rsidRPr="00246FD8">
        <w:rPr>
          <w:rFonts w:ascii="Arial" w:hAnsi="Arial" w:cs="Arial"/>
          <w:sz w:val="22"/>
          <w:szCs w:val="22"/>
          <w:lang w:eastAsia="en-IN"/>
        </w:rPr>
        <w:t>, defined as a 0.5 mm or wider gap between the central incisors, is a common aesthetic concern that can negatively affect facial harmo</w:t>
      </w:r>
      <w:r w:rsidR="006C68CA">
        <w:rPr>
          <w:rFonts w:ascii="Arial" w:hAnsi="Arial" w:cs="Arial"/>
          <w:sz w:val="22"/>
          <w:szCs w:val="22"/>
          <w:lang w:eastAsia="en-IN"/>
        </w:rPr>
        <w:t>ny and personal confidence.[1] T</w:t>
      </w:r>
      <w:r w:rsidRPr="00246FD8">
        <w:rPr>
          <w:rFonts w:ascii="Arial" w:hAnsi="Arial" w:cs="Arial"/>
          <w:sz w:val="22"/>
          <w:szCs w:val="22"/>
          <w:lang w:eastAsia="en-IN"/>
        </w:rPr>
        <w:t>raditional treatments such as orthodontics an</w:t>
      </w:r>
      <w:r w:rsidR="006C68CA">
        <w:rPr>
          <w:rFonts w:ascii="Arial" w:hAnsi="Arial" w:cs="Arial"/>
          <w:sz w:val="22"/>
          <w:szCs w:val="22"/>
          <w:lang w:eastAsia="en-IN"/>
        </w:rPr>
        <w:t xml:space="preserve">d direct composite restorations </w:t>
      </w:r>
      <w:r w:rsidRPr="00246FD8">
        <w:rPr>
          <w:rFonts w:ascii="Arial" w:hAnsi="Arial" w:cs="Arial"/>
          <w:sz w:val="22"/>
          <w:szCs w:val="22"/>
          <w:lang w:eastAsia="en-IN"/>
        </w:rPr>
        <w:t>often involve multiple appointments and can lead to enamel loss, staining, and material shrinkage over time.</w:t>
      </w:r>
    </w:p>
    <w:p w14:paraId="71B4CE3D" w14:textId="74479C76" w:rsidR="00246FD8" w:rsidRPr="00246FD8" w:rsidRDefault="00401FD2" w:rsidP="00401FD2">
      <w:pPr>
        <w:spacing w:before="100" w:beforeAutospacing="1" w:after="100" w:afterAutospacing="1" w:line="360" w:lineRule="auto"/>
        <w:rPr>
          <w:rFonts w:ascii="Arial" w:hAnsi="Arial" w:cs="Arial"/>
          <w:sz w:val="22"/>
          <w:szCs w:val="22"/>
          <w:lang w:eastAsia="en-IN"/>
        </w:rPr>
      </w:pPr>
      <w:r>
        <w:rPr>
          <w:rFonts w:ascii="Arial" w:hAnsi="Arial" w:cs="Arial"/>
          <w:bCs/>
          <w:sz w:val="22"/>
          <w:szCs w:val="22"/>
          <w:lang w:eastAsia="en-IN"/>
        </w:rPr>
        <w:t>Porcelain laminate veneers (PLVS</w:t>
      </w:r>
      <w:r w:rsidR="007B3A85" w:rsidRPr="00246FD8">
        <w:rPr>
          <w:rFonts w:ascii="Arial" w:hAnsi="Arial" w:cs="Arial"/>
          <w:bCs/>
          <w:sz w:val="22"/>
          <w:szCs w:val="22"/>
          <w:lang w:eastAsia="en-IN"/>
        </w:rPr>
        <w:t>)</w:t>
      </w:r>
      <w:r w:rsidR="007B3A85" w:rsidRPr="00246FD8">
        <w:rPr>
          <w:rFonts w:ascii="Arial" w:hAnsi="Arial" w:cs="Arial"/>
          <w:sz w:val="22"/>
          <w:szCs w:val="22"/>
          <w:lang w:eastAsia="en-IN"/>
        </w:rPr>
        <w:t xml:space="preserve"> offer a minimally invasive, durable, and highly aesthetic alternative for diastema closure. These thin ceramic shells preserve tooth structure better than full crowns and demonstrate strong long-term outc</w:t>
      </w:r>
      <w:r w:rsidR="006C68CA">
        <w:rPr>
          <w:rFonts w:ascii="Arial" w:hAnsi="Arial" w:cs="Arial"/>
          <w:sz w:val="22"/>
          <w:szCs w:val="22"/>
          <w:lang w:eastAsia="en-IN"/>
        </w:rPr>
        <w:t xml:space="preserve">omes when bonded to </w:t>
      </w:r>
      <w:proofErr w:type="gramStart"/>
      <w:r w:rsidR="006C68CA">
        <w:rPr>
          <w:rFonts w:ascii="Arial" w:hAnsi="Arial" w:cs="Arial"/>
          <w:sz w:val="22"/>
          <w:szCs w:val="22"/>
          <w:lang w:eastAsia="en-IN"/>
        </w:rPr>
        <w:t>enamel.[</w:t>
      </w:r>
      <w:proofErr w:type="gramEnd"/>
      <w:r w:rsidR="006C68CA">
        <w:rPr>
          <w:rFonts w:ascii="Arial" w:hAnsi="Arial" w:cs="Arial"/>
          <w:sz w:val="22"/>
          <w:szCs w:val="22"/>
          <w:lang w:eastAsia="en-IN"/>
        </w:rPr>
        <w:t>2] T</w:t>
      </w:r>
      <w:r w:rsidR="007B3A85" w:rsidRPr="00246FD8">
        <w:rPr>
          <w:rFonts w:ascii="Arial" w:hAnsi="Arial" w:cs="Arial"/>
          <w:sz w:val="22"/>
          <w:szCs w:val="22"/>
          <w:lang w:eastAsia="en-IN"/>
        </w:rPr>
        <w:t xml:space="preserve">he introduction of </w:t>
      </w:r>
      <w:r w:rsidR="007B3A85" w:rsidRPr="00246FD8">
        <w:rPr>
          <w:rFonts w:ascii="Arial" w:hAnsi="Arial" w:cs="Arial"/>
          <w:bCs/>
          <w:sz w:val="22"/>
          <w:szCs w:val="22"/>
          <w:lang w:eastAsia="en-IN"/>
        </w:rPr>
        <w:t>digital workflows</w:t>
      </w:r>
      <w:r w:rsidR="007B3A85" w:rsidRPr="00246FD8">
        <w:rPr>
          <w:rFonts w:ascii="Arial" w:hAnsi="Arial" w:cs="Arial"/>
          <w:sz w:val="22"/>
          <w:szCs w:val="22"/>
          <w:lang w:eastAsia="en-IN"/>
        </w:rPr>
        <w:t xml:space="preserve"> involving intraoral scanners, virtual smile design, and </w:t>
      </w:r>
      <w:r w:rsidR="003657A0">
        <w:rPr>
          <w:rFonts w:ascii="Arial" w:hAnsi="Arial" w:cs="Arial"/>
          <w:sz w:val="22"/>
          <w:szCs w:val="22"/>
          <w:lang w:eastAsia="en-IN"/>
        </w:rPr>
        <w:t>CAD/CAM</w:t>
      </w:r>
      <w:r w:rsidR="006C68CA" w:rsidRPr="00246FD8">
        <w:rPr>
          <w:rFonts w:ascii="Arial" w:hAnsi="Arial" w:cs="Arial"/>
          <w:sz w:val="22"/>
          <w:szCs w:val="22"/>
          <w:lang w:eastAsia="en-IN"/>
        </w:rPr>
        <w:t xml:space="preserve"> </w:t>
      </w:r>
      <w:r w:rsidR="007B3A85" w:rsidRPr="00246FD8">
        <w:rPr>
          <w:rFonts w:ascii="Arial" w:hAnsi="Arial" w:cs="Arial"/>
          <w:sz w:val="22"/>
          <w:szCs w:val="22"/>
          <w:lang w:eastAsia="en-IN"/>
        </w:rPr>
        <w:t>fabrication has further enhanced the precision, efficiency, and enamel preservation of veneer treatments.[3]</w:t>
      </w:r>
    </w:p>
    <w:p w14:paraId="4058EF59" w14:textId="127A88F1" w:rsidR="00246FD8" w:rsidRPr="00246FD8" w:rsidRDefault="007B3A85" w:rsidP="00401FD2">
      <w:pPr>
        <w:spacing w:before="100" w:beforeAutospacing="1" w:after="100" w:afterAutospacing="1" w:line="360" w:lineRule="auto"/>
        <w:rPr>
          <w:rFonts w:ascii="Arial" w:hAnsi="Arial" w:cs="Arial"/>
          <w:sz w:val="22"/>
          <w:szCs w:val="22"/>
          <w:lang w:eastAsia="en-IN"/>
        </w:rPr>
      </w:pPr>
      <w:r w:rsidRPr="00246FD8">
        <w:rPr>
          <w:rFonts w:ascii="Arial" w:hAnsi="Arial" w:cs="Arial"/>
          <w:sz w:val="22"/>
          <w:szCs w:val="22"/>
          <w:lang w:eastAsia="en-IN"/>
        </w:rPr>
        <w:t xml:space="preserve">Though numerous studies have validated </w:t>
      </w:r>
      <w:r w:rsidR="003657A0">
        <w:rPr>
          <w:rFonts w:ascii="Arial" w:hAnsi="Arial" w:cs="Arial"/>
          <w:sz w:val="22"/>
          <w:szCs w:val="22"/>
          <w:lang w:eastAsia="en-IN"/>
        </w:rPr>
        <w:t>CAD/CAM</w:t>
      </w:r>
      <w:r w:rsidR="006C68CA" w:rsidRPr="00246FD8">
        <w:rPr>
          <w:rFonts w:ascii="Arial" w:hAnsi="Arial" w:cs="Arial"/>
          <w:sz w:val="22"/>
          <w:szCs w:val="22"/>
          <w:lang w:eastAsia="en-IN"/>
        </w:rPr>
        <w:t xml:space="preserve"> </w:t>
      </w:r>
      <w:r w:rsidRPr="00246FD8">
        <w:rPr>
          <w:rFonts w:ascii="Arial" w:hAnsi="Arial" w:cs="Arial"/>
          <w:sz w:val="22"/>
          <w:szCs w:val="22"/>
          <w:lang w:eastAsia="en-IN"/>
        </w:rPr>
        <w:t xml:space="preserve">veneer use in full-arch and multi-unit restorations, there is limited documentation of </w:t>
      </w:r>
      <w:r w:rsidRPr="00246FD8">
        <w:rPr>
          <w:rFonts w:ascii="Arial" w:hAnsi="Arial" w:cs="Arial"/>
          <w:bCs/>
          <w:sz w:val="22"/>
          <w:szCs w:val="22"/>
          <w:lang w:eastAsia="en-IN"/>
        </w:rPr>
        <w:t>single-appointment chairside digital veneer workflows</w:t>
      </w:r>
      <w:r w:rsidRPr="00246FD8">
        <w:rPr>
          <w:rFonts w:ascii="Arial" w:hAnsi="Arial" w:cs="Arial"/>
          <w:sz w:val="22"/>
          <w:szCs w:val="22"/>
          <w:lang w:eastAsia="en-IN"/>
        </w:rPr>
        <w:t xml:space="preserve"> specifically applied to midline diastema cases. Existing case reports predominantly focus on feldspathic veneers, often fabricated in multiple stages.[4]</w:t>
      </w:r>
    </w:p>
    <w:p w14:paraId="2EE30678" w14:textId="77777777" w:rsidR="00246FD8" w:rsidRPr="00246FD8" w:rsidRDefault="007B3A85" w:rsidP="00401FD2">
      <w:pPr>
        <w:spacing w:line="360" w:lineRule="auto"/>
        <w:rPr>
          <w:rStyle w:val="Strong"/>
          <w:rFonts w:ascii="Arial" w:hAnsi="Arial" w:cs="Arial"/>
          <w:sz w:val="22"/>
          <w:szCs w:val="22"/>
        </w:rPr>
      </w:pPr>
      <w:r>
        <w:rPr>
          <w:rStyle w:val="Strong"/>
          <w:rFonts w:ascii="Arial" w:hAnsi="Arial" w:cs="Arial"/>
          <w:sz w:val="22"/>
          <w:szCs w:val="22"/>
        </w:rPr>
        <w:t>AIM</w:t>
      </w:r>
      <w:r w:rsidRPr="00246FD8">
        <w:rPr>
          <w:rStyle w:val="Strong"/>
          <w:rFonts w:ascii="Arial" w:hAnsi="Arial" w:cs="Arial"/>
          <w:sz w:val="22"/>
          <w:szCs w:val="22"/>
        </w:rPr>
        <w:t>:</w:t>
      </w:r>
    </w:p>
    <w:p w14:paraId="567BFAF7" w14:textId="2EBF6CF0" w:rsidR="00246FD8" w:rsidRPr="00246FD8" w:rsidRDefault="007B3A85" w:rsidP="00401FD2">
      <w:pPr>
        <w:spacing w:line="360" w:lineRule="auto"/>
        <w:rPr>
          <w:rFonts w:ascii="Arial" w:hAnsi="Arial" w:cs="Arial"/>
          <w:sz w:val="22"/>
          <w:szCs w:val="22"/>
        </w:rPr>
      </w:pPr>
      <w:r>
        <w:rPr>
          <w:rFonts w:ascii="Arial" w:hAnsi="Arial" w:cs="Arial"/>
          <w:sz w:val="22"/>
          <w:szCs w:val="22"/>
        </w:rPr>
        <w:br/>
        <w:t>T</w:t>
      </w:r>
      <w:r w:rsidRPr="00246FD8">
        <w:rPr>
          <w:rFonts w:ascii="Arial" w:hAnsi="Arial" w:cs="Arial"/>
          <w:sz w:val="22"/>
          <w:szCs w:val="22"/>
        </w:rPr>
        <w:t xml:space="preserve">his case report aims to showcase a single-visit, chairside digital workflow employing intraoral scanning and </w:t>
      </w:r>
      <w:r w:rsidR="003657A0">
        <w:rPr>
          <w:rFonts w:ascii="Arial" w:hAnsi="Arial" w:cs="Arial"/>
          <w:sz w:val="22"/>
          <w:szCs w:val="22"/>
        </w:rPr>
        <w:t>CAD/CAM</w:t>
      </w:r>
      <w:r w:rsidRPr="00246FD8">
        <w:rPr>
          <w:rFonts w:ascii="Arial" w:hAnsi="Arial" w:cs="Arial"/>
          <w:sz w:val="22"/>
          <w:szCs w:val="22"/>
        </w:rPr>
        <w:t xml:space="preserve"> lithium disilicate veneers to conservatively close a 2.5 mm midline diastema and correct a tilted lateral incisor demonstrating an enamel-preserving, efficient, and esthetic approach to smile enhancement.</w:t>
      </w:r>
    </w:p>
    <w:p w14:paraId="6D57B99C" w14:textId="77777777" w:rsidR="00790ADA" w:rsidRPr="00246FD8" w:rsidRDefault="00790ADA" w:rsidP="00401FD2">
      <w:pPr>
        <w:pStyle w:val="Body"/>
        <w:spacing w:after="0" w:line="360" w:lineRule="auto"/>
        <w:jc w:val="left"/>
        <w:rPr>
          <w:rFonts w:ascii="Arial" w:hAnsi="Arial" w:cs="Arial"/>
          <w:sz w:val="22"/>
          <w:szCs w:val="22"/>
        </w:rPr>
      </w:pPr>
    </w:p>
    <w:p w14:paraId="59787461" w14:textId="77777777" w:rsidR="00790ADA" w:rsidRPr="00246FD8" w:rsidRDefault="00790ADA" w:rsidP="00246FD8">
      <w:pPr>
        <w:pStyle w:val="AbstHead"/>
        <w:spacing w:after="0" w:line="276" w:lineRule="auto"/>
        <w:rPr>
          <w:rFonts w:ascii="Arial" w:hAnsi="Arial" w:cs="Arial"/>
          <w:szCs w:val="22"/>
        </w:rPr>
      </w:pPr>
    </w:p>
    <w:p w14:paraId="511FF2E7" w14:textId="77777777" w:rsidR="00D46FCC" w:rsidRDefault="00D46FCC" w:rsidP="007B3A85">
      <w:pPr>
        <w:spacing w:line="480" w:lineRule="auto"/>
        <w:jc w:val="both"/>
        <w:rPr>
          <w:rFonts w:ascii="Arial" w:hAnsi="Arial" w:cs="Arial"/>
          <w:b/>
          <w:sz w:val="22"/>
          <w:szCs w:val="22"/>
        </w:rPr>
      </w:pPr>
    </w:p>
    <w:p w14:paraId="7D159DDA" w14:textId="77777777" w:rsidR="007B3A85" w:rsidRPr="00401FD2" w:rsidRDefault="00401FD2" w:rsidP="007B3A85">
      <w:pPr>
        <w:spacing w:line="480" w:lineRule="auto"/>
        <w:jc w:val="both"/>
        <w:rPr>
          <w:rFonts w:ascii="Arial" w:hAnsi="Arial" w:cs="Arial"/>
          <w:b/>
          <w:sz w:val="22"/>
          <w:szCs w:val="22"/>
        </w:rPr>
      </w:pPr>
      <w:r w:rsidRPr="00401FD2">
        <w:rPr>
          <w:rFonts w:ascii="Arial" w:hAnsi="Arial" w:cs="Arial"/>
          <w:b/>
          <w:sz w:val="22"/>
          <w:szCs w:val="22"/>
        </w:rPr>
        <w:t>2.</w:t>
      </w:r>
      <w:r w:rsidR="007B3A85" w:rsidRPr="00401FD2">
        <w:rPr>
          <w:rFonts w:ascii="Arial" w:hAnsi="Arial" w:cs="Arial"/>
          <w:b/>
          <w:sz w:val="22"/>
          <w:szCs w:val="22"/>
        </w:rPr>
        <w:t>CASE REPORT</w:t>
      </w:r>
    </w:p>
    <w:p w14:paraId="4155B49F" w14:textId="77777777" w:rsidR="007B3A85" w:rsidRPr="00401FD2" w:rsidRDefault="007B3A85" w:rsidP="007B3A85">
      <w:pPr>
        <w:spacing w:line="480" w:lineRule="auto"/>
        <w:jc w:val="both"/>
        <w:rPr>
          <w:rFonts w:ascii="Arial" w:hAnsi="Arial" w:cs="Arial"/>
          <w:b/>
          <w:sz w:val="22"/>
          <w:szCs w:val="22"/>
        </w:rPr>
      </w:pPr>
      <w:r w:rsidRPr="00401FD2">
        <w:rPr>
          <w:rFonts w:ascii="Arial" w:hAnsi="Arial" w:cs="Arial"/>
          <w:b/>
          <w:sz w:val="22"/>
          <w:szCs w:val="22"/>
        </w:rPr>
        <w:lastRenderedPageBreak/>
        <w:t>Dental history/Examination:</w:t>
      </w:r>
    </w:p>
    <w:p w14:paraId="0FFF1E7E" w14:textId="77777777" w:rsidR="007B3A85" w:rsidRPr="00401FD2" w:rsidRDefault="007B3A85" w:rsidP="007B3A85">
      <w:pPr>
        <w:spacing w:line="480" w:lineRule="auto"/>
        <w:jc w:val="both"/>
        <w:rPr>
          <w:rFonts w:ascii="Arial" w:hAnsi="Arial" w:cs="Arial"/>
          <w:b/>
          <w:sz w:val="22"/>
          <w:szCs w:val="22"/>
        </w:rPr>
      </w:pPr>
      <w:r w:rsidRPr="00401FD2">
        <w:rPr>
          <w:rFonts w:ascii="Arial" w:hAnsi="Arial" w:cs="Arial"/>
          <w:sz w:val="22"/>
          <w:szCs w:val="22"/>
        </w:rPr>
        <w:t>A healthy 27</w:t>
      </w:r>
      <w:r w:rsidRPr="00401FD2">
        <w:rPr>
          <w:rFonts w:ascii="Arial" w:hAnsi="Arial" w:cs="Arial"/>
          <w:sz w:val="22"/>
          <w:szCs w:val="22"/>
        </w:rPr>
        <w:noBreakHyphen/>
        <w:t>year</w:t>
      </w:r>
      <w:r w:rsidRPr="00401FD2">
        <w:rPr>
          <w:rFonts w:ascii="Arial" w:hAnsi="Arial" w:cs="Arial"/>
          <w:sz w:val="22"/>
          <w:szCs w:val="22"/>
        </w:rPr>
        <w:noBreakHyphen/>
        <w:t xml:space="preserve">old female presented to the Department of Conservative Dentistry and Endodontics at SJM Dental College and </w:t>
      </w:r>
      <w:proofErr w:type="spellStart"/>
      <w:r w:rsidRPr="00401FD2">
        <w:rPr>
          <w:rFonts w:ascii="Arial" w:hAnsi="Arial" w:cs="Arial"/>
          <w:sz w:val="22"/>
          <w:szCs w:val="22"/>
        </w:rPr>
        <w:t>Hospital,Chitradurga</w:t>
      </w:r>
      <w:proofErr w:type="spellEnd"/>
      <w:r w:rsidRPr="00401FD2">
        <w:rPr>
          <w:rFonts w:ascii="Arial" w:hAnsi="Arial" w:cs="Arial"/>
          <w:sz w:val="22"/>
          <w:szCs w:val="22"/>
        </w:rPr>
        <w:t xml:space="preserve"> with the chief complaint of a noticeable gap between her front teeth(#11 &amp; 21) and an distally tilted left lateral incisor (#22), affecting her smile aesthetics. She had no systemic conditions, was a non-smoker, and denied previous orthodontic or restorative dental treatment.</w:t>
      </w:r>
    </w:p>
    <w:p w14:paraId="49417C5F" w14:textId="77777777" w:rsidR="007B3A85" w:rsidRPr="00401FD2" w:rsidRDefault="007B3A85" w:rsidP="007B3A85">
      <w:pPr>
        <w:spacing w:before="100" w:beforeAutospacing="1" w:after="100" w:afterAutospacing="1" w:line="480" w:lineRule="auto"/>
        <w:rPr>
          <w:rFonts w:ascii="Arial" w:hAnsi="Arial" w:cs="Arial"/>
          <w:sz w:val="22"/>
          <w:szCs w:val="22"/>
          <w:lang w:eastAsia="en-IN"/>
        </w:rPr>
      </w:pPr>
      <w:r w:rsidRPr="00401FD2">
        <w:rPr>
          <w:rFonts w:ascii="Arial" w:hAnsi="Arial" w:cs="Arial"/>
          <w:sz w:val="22"/>
          <w:szCs w:val="22"/>
          <w:lang w:eastAsia="en-IN"/>
        </w:rPr>
        <w:t>The patient avoided smiling due to self-consciousness about her teeth. Although she had been referred for orthodontic treatment, she declined it, preferring a more immediate solution.</w:t>
      </w:r>
    </w:p>
    <w:p w14:paraId="704D35FB" w14:textId="77777777" w:rsidR="007B3A85" w:rsidRPr="00401FD2" w:rsidRDefault="007B3A85" w:rsidP="007B3A85">
      <w:pPr>
        <w:pStyle w:val="NormalWeb"/>
        <w:spacing w:line="480" w:lineRule="auto"/>
        <w:jc w:val="both"/>
        <w:rPr>
          <w:rFonts w:ascii="Arial" w:hAnsi="Arial" w:cs="Arial"/>
          <w:sz w:val="22"/>
          <w:szCs w:val="22"/>
        </w:rPr>
      </w:pPr>
      <w:r w:rsidRPr="00401FD2">
        <w:rPr>
          <w:rFonts w:ascii="Arial" w:hAnsi="Arial" w:cs="Arial"/>
          <w:sz w:val="22"/>
          <w:szCs w:val="22"/>
        </w:rPr>
        <w:t>Clinical examination revealed a 2.5 mm diastema between the maxillary central incisors (#11 and 21) and a mildly distally-inclined right lateral incisor (#22). The dentition exhibited pristine, unblemished enamel, entirely free of carious defects, while the gingival tissues were well-defined, robust, and completely devoid of inflammation. The patient exhibits a Class I molar and canine occlusion, accompanied by a 2 mm horizontal (overjet) and vertical (overbite) overlap between the upper and lower incisors.</w:t>
      </w:r>
    </w:p>
    <w:p w14:paraId="5D1CC67B" w14:textId="77777777" w:rsidR="00246FD8" w:rsidRPr="000E1B8E" w:rsidRDefault="007B3A85" w:rsidP="000E1B8E">
      <w:pPr>
        <w:spacing w:before="100" w:beforeAutospacing="1" w:after="100" w:afterAutospacing="1" w:line="480" w:lineRule="auto"/>
        <w:rPr>
          <w:rFonts w:ascii="Arial" w:hAnsi="Arial" w:cs="Arial"/>
          <w:sz w:val="22"/>
          <w:szCs w:val="22"/>
          <w:lang w:eastAsia="en-IN"/>
        </w:rPr>
      </w:pPr>
      <w:r w:rsidRPr="000E1B8E">
        <w:rPr>
          <w:rFonts w:ascii="Arial" w:hAnsi="Arial" w:cs="Arial"/>
          <w:sz w:val="22"/>
          <w:szCs w:val="22"/>
          <w:lang w:eastAsia="en-IN"/>
        </w:rPr>
        <w:t>The patient avoided smiling due to self-consciousness about her teeth. Although she had been referred for orthodontic treatment, she declined it, preferring a more immediate solution.</w:t>
      </w:r>
    </w:p>
    <w:p w14:paraId="32CD4C7C" w14:textId="77777777" w:rsidR="00246FD8" w:rsidRPr="000E1B8E" w:rsidRDefault="00401FD2" w:rsidP="000E1B8E">
      <w:pPr>
        <w:pStyle w:val="NormalWeb"/>
        <w:spacing w:line="480" w:lineRule="auto"/>
        <w:rPr>
          <w:rFonts w:ascii="Arial" w:hAnsi="Arial" w:cs="Arial"/>
          <w:b/>
          <w:sz w:val="22"/>
          <w:szCs w:val="22"/>
        </w:rPr>
      </w:pPr>
      <w:r>
        <w:rPr>
          <w:rFonts w:ascii="Arial" w:hAnsi="Arial" w:cs="Arial"/>
          <w:b/>
          <w:sz w:val="22"/>
          <w:szCs w:val="22"/>
        </w:rPr>
        <w:t>3.</w:t>
      </w:r>
      <w:r w:rsidR="000E1B8E" w:rsidRPr="000E1B8E">
        <w:rPr>
          <w:rFonts w:ascii="Arial" w:hAnsi="Arial" w:cs="Arial"/>
          <w:b/>
          <w:sz w:val="22"/>
          <w:szCs w:val="22"/>
        </w:rPr>
        <w:t>METHODOLOGY:</w:t>
      </w:r>
    </w:p>
    <w:p w14:paraId="08FBFADB" w14:textId="77777777" w:rsidR="007B3A85" w:rsidRPr="007B3A85" w:rsidRDefault="007B3A85" w:rsidP="007B3A85">
      <w:pPr>
        <w:spacing w:before="100" w:beforeAutospacing="1" w:after="100" w:afterAutospacing="1" w:line="480" w:lineRule="auto"/>
        <w:jc w:val="both"/>
        <w:rPr>
          <w:rFonts w:ascii="Arial" w:hAnsi="Arial" w:cs="Arial"/>
          <w:sz w:val="22"/>
          <w:szCs w:val="22"/>
          <w:lang w:eastAsia="en-IN"/>
        </w:rPr>
      </w:pPr>
      <w:r w:rsidRPr="007B3A85">
        <w:rPr>
          <w:rFonts w:ascii="Arial" w:hAnsi="Arial" w:cs="Arial"/>
          <w:sz w:val="22"/>
          <w:szCs w:val="22"/>
          <w:lang w:eastAsia="en-IN"/>
        </w:rPr>
        <w:lastRenderedPageBreak/>
        <w:t>High resolution intraoral photographs (frontal, occlusal, 45°) captured the preoperative presentation (Fig. 1</w:t>
      </w:r>
      <w:proofErr w:type="gramStart"/>
      <w:r w:rsidRPr="007B3A85">
        <w:rPr>
          <w:rFonts w:ascii="Arial" w:hAnsi="Arial" w:cs="Arial"/>
          <w:sz w:val="22"/>
          <w:szCs w:val="22"/>
          <w:lang w:eastAsia="en-IN"/>
        </w:rPr>
        <w:t>a,b</w:t>
      </w:r>
      <w:proofErr w:type="gramEnd"/>
      <w:r w:rsidRPr="007B3A85">
        <w:rPr>
          <w:rFonts w:ascii="Arial" w:hAnsi="Arial" w:cs="Arial"/>
          <w:sz w:val="22"/>
          <w:szCs w:val="22"/>
          <w:lang w:eastAsia="en-IN"/>
        </w:rPr>
        <w:t>,c). Prior to any tooth preparation, profound anesthesia was achieved via buccal and palatal infiltration of 2% lidocaine with 1:100,000 epinephrine to ensure patient comfort during the procedure. Using a fine grit torpedo shaped diamond bur, depth</w:t>
      </w:r>
      <w:r w:rsidRPr="007B3A85">
        <w:rPr>
          <w:rFonts w:ascii="Arial" w:hAnsi="Arial" w:cs="Arial"/>
          <w:sz w:val="22"/>
          <w:szCs w:val="22"/>
          <w:lang w:eastAsia="en-IN"/>
        </w:rPr>
        <w:noBreakHyphen/>
        <w:t>cuts of 0.3–0.5 mm were placed on the labial surface; these were completed with controlled chamfering to remove approximately 0.6–0.8 mm of facial enamel and 1.0–1.5 mm of incisal structure parameters aligned with conservative yet effective prep protocols for all</w:t>
      </w:r>
      <w:r w:rsidRPr="007B3A85">
        <w:rPr>
          <w:rFonts w:ascii="Arial" w:hAnsi="Arial" w:cs="Arial"/>
          <w:sz w:val="22"/>
          <w:szCs w:val="22"/>
          <w:lang w:eastAsia="en-IN"/>
        </w:rPr>
        <w:noBreakHyphen/>
        <w:t>ceramic veneers. A medium grit round ended diamond bur then joined the depth</w:t>
      </w:r>
      <w:r w:rsidRPr="007B3A85">
        <w:rPr>
          <w:rFonts w:ascii="Arial" w:hAnsi="Arial" w:cs="Arial"/>
          <w:sz w:val="22"/>
          <w:szCs w:val="22"/>
          <w:lang w:eastAsia="en-IN"/>
        </w:rPr>
        <w:noBreakHyphen/>
        <w:t>cuts, establishing uniform reduction and ensuring at least 1.0 mm of ceramic thickness.</w:t>
      </w:r>
    </w:p>
    <w:p w14:paraId="45D353D0" w14:textId="4F76DB52" w:rsidR="00F42077" w:rsidRPr="00F42077" w:rsidRDefault="00F42077" w:rsidP="00F42077">
      <w:pPr>
        <w:spacing w:line="480" w:lineRule="auto"/>
        <w:rPr>
          <w:rFonts w:ascii="Times New Roman" w:hAnsi="Times New Roman"/>
        </w:rPr>
      </w:pPr>
      <w:r>
        <w:rPr>
          <w:noProof/>
          <w:lang w:val="en-IN" w:eastAsia="en-IN"/>
        </w:rPr>
        <w:drawing>
          <wp:inline distT="0" distB="0" distL="0" distR="0" wp14:anchorId="7195C1B2" wp14:editId="1934ACA6">
            <wp:extent cx="5731510" cy="30645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064510"/>
                    </a:xfrm>
                    <a:prstGeom prst="rect">
                      <a:avLst/>
                    </a:prstGeom>
                  </pic:spPr>
                </pic:pic>
              </a:graphicData>
            </a:graphic>
          </wp:inline>
        </w:drawing>
      </w:r>
      <w:r w:rsidRPr="002F7592">
        <w:t xml:space="preserve"> </w:t>
      </w:r>
      <w:r w:rsidRPr="00401FD2">
        <w:rPr>
          <w:rFonts w:ascii="Arial" w:hAnsi="Arial" w:cs="Arial"/>
          <w:sz w:val="22"/>
          <w:szCs w:val="22"/>
        </w:rPr>
        <w:t xml:space="preserve">FIGURE 1: a) Pre-operative frontal view of the patient. b) Intraoral photograph of the patient. c) </w:t>
      </w:r>
      <w:r w:rsidR="006951D4">
        <w:rPr>
          <w:rFonts w:ascii="Arial" w:hAnsi="Arial" w:cs="Arial"/>
          <w:sz w:val="22"/>
          <w:szCs w:val="22"/>
        </w:rPr>
        <w:t>Maxillary o</w:t>
      </w:r>
      <w:r w:rsidRPr="00401FD2">
        <w:rPr>
          <w:rFonts w:ascii="Arial" w:hAnsi="Arial" w:cs="Arial"/>
          <w:sz w:val="22"/>
          <w:szCs w:val="22"/>
        </w:rPr>
        <w:t>cclusal photograph of the patient</w:t>
      </w:r>
    </w:p>
    <w:p w14:paraId="57432B80" w14:textId="77777777" w:rsidR="0071138C" w:rsidRDefault="0071138C" w:rsidP="00401FD2">
      <w:pPr>
        <w:pStyle w:val="Heading1"/>
        <w:spacing w:line="360" w:lineRule="auto"/>
        <w:rPr>
          <w:b w:val="0"/>
          <w:sz w:val="22"/>
          <w:szCs w:val="22"/>
          <w:lang w:eastAsia="en-IN"/>
        </w:rPr>
      </w:pPr>
      <w:r w:rsidRPr="0071138C">
        <w:rPr>
          <w:b w:val="0"/>
          <w:sz w:val="22"/>
          <w:szCs w:val="22"/>
          <w:lang w:eastAsia="en-IN"/>
        </w:rPr>
        <w:t xml:space="preserve">Margin design featured a smooth chamfer finish line approximately 0.3 mm deep, located </w:t>
      </w:r>
      <w:proofErr w:type="spellStart"/>
      <w:r w:rsidRPr="0071138C">
        <w:rPr>
          <w:b w:val="0"/>
          <w:sz w:val="22"/>
          <w:szCs w:val="22"/>
          <w:lang w:eastAsia="en-IN"/>
        </w:rPr>
        <w:t>equi</w:t>
      </w:r>
      <w:proofErr w:type="spellEnd"/>
      <w:r w:rsidRPr="0071138C">
        <w:rPr>
          <w:b w:val="0"/>
          <w:sz w:val="22"/>
          <w:szCs w:val="22"/>
          <w:lang w:eastAsia="en-IN"/>
        </w:rPr>
        <w:t xml:space="preserve"> to slightly </w:t>
      </w:r>
      <w:proofErr w:type="spellStart"/>
      <w:r w:rsidRPr="0071138C">
        <w:rPr>
          <w:b w:val="0"/>
          <w:sz w:val="22"/>
          <w:szCs w:val="22"/>
          <w:lang w:eastAsia="en-IN"/>
        </w:rPr>
        <w:t>subgingivally</w:t>
      </w:r>
      <w:proofErr w:type="spellEnd"/>
      <w:r w:rsidRPr="0071138C">
        <w:rPr>
          <w:b w:val="0"/>
          <w:sz w:val="22"/>
          <w:szCs w:val="22"/>
          <w:lang w:eastAsia="en-IN"/>
        </w:rPr>
        <w:t xml:space="preserve"> (0–0.5 mm), extending seamlessly into the </w:t>
      </w:r>
      <w:r w:rsidRPr="0071138C">
        <w:rPr>
          <w:b w:val="0"/>
          <w:sz w:val="22"/>
          <w:szCs w:val="22"/>
          <w:lang w:eastAsia="en-IN"/>
        </w:rPr>
        <w:lastRenderedPageBreak/>
        <w:t>interproximal areas and following polished gingival contours to optimize emergence profile, marginal seal, and aesthetic integration. Subgingival extension was judiciously employed to conceal potential discoloration and improve esthetic blending. After preparing, margins were inspected, smoothed, and verified with a probe to exclude any undercuts or sharp line angles, and the entire preparation was polished. (Fig. 2a)</w:t>
      </w:r>
    </w:p>
    <w:p w14:paraId="46E8BEA4"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Following meticulous cleaning and isolation, digital impressions of both arches were captured using the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i700 intraoral scanner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Corp., Seoul, South Korea), generating STL files. These files were then imported into Digital Smile Design software (DSD GmbH, Germany) to virtually plan ideal tooth proportions, midline alignment, and the desired inclination of tooth #22 (Fig. 2b)</w:t>
      </w:r>
    </w:p>
    <w:p w14:paraId="69E67E0E" w14:textId="77777777" w:rsidR="0071138C" w:rsidRPr="0071138C" w:rsidRDefault="0071138C" w:rsidP="0071138C">
      <w:pPr>
        <w:rPr>
          <w:lang w:eastAsia="en-IN"/>
        </w:rPr>
      </w:pPr>
    </w:p>
    <w:p w14:paraId="6AF03F97" w14:textId="77777777" w:rsidR="00F42077" w:rsidRDefault="00F42077" w:rsidP="00F42077">
      <w:r>
        <w:rPr>
          <w:noProof/>
          <w:lang w:val="en-IN" w:eastAsia="en-IN"/>
        </w:rPr>
        <w:drawing>
          <wp:inline distT="0" distB="0" distL="0" distR="0" wp14:anchorId="14D00DD6" wp14:editId="5D1C2A75">
            <wp:extent cx="5731510" cy="12141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14120"/>
                    </a:xfrm>
                    <a:prstGeom prst="rect">
                      <a:avLst/>
                    </a:prstGeom>
                  </pic:spPr>
                </pic:pic>
              </a:graphicData>
            </a:graphic>
          </wp:inline>
        </w:drawing>
      </w:r>
    </w:p>
    <w:p w14:paraId="1DC48748" w14:textId="77777777" w:rsidR="00F42077" w:rsidRPr="00401FD2" w:rsidRDefault="00F42077" w:rsidP="00F42077">
      <w:pPr>
        <w:spacing w:line="480" w:lineRule="auto"/>
        <w:rPr>
          <w:rFonts w:ascii="Arial" w:hAnsi="Arial" w:cs="Arial"/>
          <w:noProof/>
          <w:sz w:val="22"/>
          <w:szCs w:val="22"/>
          <w:lang w:eastAsia="en-IN"/>
        </w:rPr>
      </w:pPr>
      <w:r w:rsidRPr="00401FD2">
        <w:rPr>
          <w:rFonts w:ascii="Arial" w:hAnsi="Arial" w:cs="Arial"/>
          <w:sz w:val="22"/>
          <w:szCs w:val="22"/>
        </w:rPr>
        <w:t xml:space="preserve">FIGURE 2: a) Teeth preparation irt11,21,22. b) Recorded </w:t>
      </w:r>
      <w:r w:rsidRPr="00401FD2">
        <w:rPr>
          <w:rFonts w:ascii="Arial" w:hAnsi="Arial" w:cs="Arial"/>
          <w:sz w:val="22"/>
          <w:szCs w:val="22"/>
          <w:lang w:eastAsia="en-IN"/>
        </w:rPr>
        <w:t xml:space="preserve">digital impressions of both arches using the </w:t>
      </w:r>
      <w:proofErr w:type="spellStart"/>
      <w:r w:rsidRPr="00401FD2">
        <w:rPr>
          <w:rFonts w:ascii="Arial" w:hAnsi="Arial" w:cs="Arial"/>
          <w:sz w:val="22"/>
          <w:szCs w:val="22"/>
          <w:lang w:eastAsia="en-IN"/>
        </w:rPr>
        <w:t>Medit</w:t>
      </w:r>
      <w:proofErr w:type="spellEnd"/>
      <w:r w:rsidRPr="00401FD2">
        <w:rPr>
          <w:rFonts w:ascii="Arial" w:hAnsi="Arial" w:cs="Arial"/>
          <w:sz w:val="22"/>
          <w:szCs w:val="22"/>
          <w:lang w:eastAsia="en-IN"/>
        </w:rPr>
        <w:t xml:space="preserve"> i700 intraoral scanner</w:t>
      </w:r>
      <w:r w:rsidRPr="00401FD2">
        <w:rPr>
          <w:rFonts w:ascii="Arial" w:hAnsi="Arial" w:cs="Arial"/>
          <w:noProof/>
          <w:sz w:val="22"/>
          <w:szCs w:val="22"/>
          <w:lang w:eastAsia="en-IN"/>
        </w:rPr>
        <w:t xml:space="preserve"> </w:t>
      </w:r>
    </w:p>
    <w:p w14:paraId="68EAD464" w14:textId="5131A3C2" w:rsidR="0071138C" w:rsidRPr="0071138C" w:rsidRDefault="0071138C" w:rsidP="0071138C">
      <w:pPr>
        <w:pStyle w:val="NormalWeb"/>
        <w:spacing w:line="360" w:lineRule="auto"/>
        <w:jc w:val="both"/>
        <w:rPr>
          <w:rFonts w:ascii="Arial" w:hAnsi="Arial" w:cs="Arial"/>
          <w:sz w:val="22"/>
          <w:szCs w:val="22"/>
        </w:rPr>
      </w:pPr>
      <w:r w:rsidRPr="0071138C">
        <w:rPr>
          <w:rFonts w:ascii="Arial" w:hAnsi="Arial" w:cs="Arial"/>
          <w:sz w:val="22"/>
          <w:szCs w:val="22"/>
        </w:rPr>
        <w:t xml:space="preserve">The digital design outcome was transferred to </w:t>
      </w:r>
      <w:proofErr w:type="spellStart"/>
      <w:r w:rsidRPr="0071138C">
        <w:rPr>
          <w:rFonts w:ascii="Arial" w:hAnsi="Arial" w:cs="Arial"/>
          <w:sz w:val="22"/>
          <w:szCs w:val="22"/>
        </w:rPr>
        <w:t>exocad</w:t>
      </w:r>
      <w:proofErr w:type="spellEnd"/>
      <w:r w:rsidRPr="0071138C">
        <w:rPr>
          <w:rFonts w:ascii="Arial" w:hAnsi="Arial" w:cs="Arial"/>
          <w:sz w:val="22"/>
          <w:szCs w:val="22"/>
        </w:rPr>
        <w:t xml:space="preserve"> </w:t>
      </w:r>
      <w:proofErr w:type="spellStart"/>
      <w:r w:rsidRPr="0071138C">
        <w:rPr>
          <w:rFonts w:ascii="Arial" w:hAnsi="Arial" w:cs="Arial"/>
          <w:sz w:val="22"/>
          <w:szCs w:val="22"/>
        </w:rPr>
        <w:t>DentalCAD</w:t>
      </w:r>
      <w:proofErr w:type="spellEnd"/>
      <w:r w:rsidRPr="0071138C">
        <w:rPr>
          <w:rFonts w:ascii="Arial" w:hAnsi="Arial" w:cs="Arial"/>
          <w:sz w:val="22"/>
          <w:szCs w:val="22"/>
        </w:rPr>
        <w:t xml:space="preserve"> software (</w:t>
      </w:r>
      <w:proofErr w:type="spellStart"/>
      <w:r w:rsidRPr="0071138C">
        <w:rPr>
          <w:rFonts w:ascii="Arial" w:hAnsi="Arial" w:cs="Arial"/>
          <w:sz w:val="22"/>
          <w:szCs w:val="22"/>
        </w:rPr>
        <w:t>exocad</w:t>
      </w:r>
      <w:proofErr w:type="spellEnd"/>
      <w:r w:rsidRPr="0071138C">
        <w:rPr>
          <w:rFonts w:ascii="Arial" w:hAnsi="Arial" w:cs="Arial"/>
          <w:sz w:val="22"/>
          <w:szCs w:val="22"/>
        </w:rPr>
        <w:t xml:space="preserve"> GmbH, Germany), where two lithium disilicate veneer restorations with a thickness of 0.5 mm were crafted to correct both the diastema and the tilt of tooth 22, while preserving maximum enamel. Following tooth preparation, a second intraoral scan captured the prepared teeth and surrounding structures to ensure fit accuracy and complete capture of margin details. Chairside milling of the veneers was then executed using a </w:t>
      </w:r>
      <w:r w:rsidR="003657A0">
        <w:rPr>
          <w:rFonts w:ascii="Arial" w:hAnsi="Arial" w:cs="Arial"/>
          <w:sz w:val="22"/>
          <w:szCs w:val="22"/>
        </w:rPr>
        <w:t>CAD/CAM</w:t>
      </w:r>
      <w:r w:rsidRPr="0071138C">
        <w:rPr>
          <w:rFonts w:ascii="Arial" w:hAnsi="Arial" w:cs="Arial"/>
          <w:sz w:val="22"/>
          <w:szCs w:val="22"/>
        </w:rPr>
        <w:t xml:space="preserve"> milling unit and IPS E</w:t>
      </w:r>
      <w:r w:rsidRPr="0071138C">
        <w:rPr>
          <w:rFonts w:ascii="Arial" w:hAnsi="Arial" w:cs="Arial"/>
          <w:sz w:val="22"/>
          <w:szCs w:val="22"/>
        </w:rPr>
        <w:noBreakHyphen/>
        <w:t>max CAD blocks (</w:t>
      </w:r>
      <w:proofErr w:type="spellStart"/>
      <w:r w:rsidRPr="0071138C">
        <w:rPr>
          <w:rFonts w:ascii="Arial" w:hAnsi="Arial" w:cs="Arial"/>
          <w:sz w:val="22"/>
          <w:szCs w:val="22"/>
        </w:rPr>
        <w:t>Ivoclar</w:t>
      </w:r>
      <w:proofErr w:type="spellEnd"/>
      <w:r w:rsidRPr="0071138C">
        <w:rPr>
          <w:rFonts w:ascii="Arial" w:hAnsi="Arial" w:cs="Arial"/>
          <w:sz w:val="22"/>
          <w:szCs w:val="22"/>
        </w:rPr>
        <w:t xml:space="preserve"> </w:t>
      </w:r>
      <w:proofErr w:type="spellStart"/>
      <w:r w:rsidRPr="0071138C">
        <w:rPr>
          <w:rFonts w:ascii="Arial" w:hAnsi="Arial" w:cs="Arial"/>
          <w:sz w:val="22"/>
          <w:szCs w:val="22"/>
        </w:rPr>
        <w:t>Vivadent</w:t>
      </w:r>
      <w:proofErr w:type="spellEnd"/>
      <w:r w:rsidRPr="0071138C">
        <w:rPr>
          <w:rFonts w:ascii="Arial" w:hAnsi="Arial" w:cs="Arial"/>
          <w:sz w:val="22"/>
          <w:szCs w:val="22"/>
        </w:rPr>
        <w:t xml:space="preserve">, </w:t>
      </w:r>
      <w:proofErr w:type="spellStart"/>
      <w:r w:rsidRPr="0071138C">
        <w:rPr>
          <w:rFonts w:ascii="Arial" w:hAnsi="Arial" w:cs="Arial"/>
          <w:sz w:val="22"/>
          <w:szCs w:val="22"/>
        </w:rPr>
        <w:t>Schaan</w:t>
      </w:r>
      <w:proofErr w:type="spellEnd"/>
      <w:r w:rsidRPr="0071138C">
        <w:rPr>
          <w:rFonts w:ascii="Arial" w:hAnsi="Arial" w:cs="Arial"/>
          <w:sz w:val="22"/>
          <w:szCs w:val="22"/>
        </w:rPr>
        <w:t>, Liechtenstein), followed by crystallization according to the manufacturer’s protocol.</w:t>
      </w:r>
    </w:p>
    <w:p w14:paraId="13E2F538" w14:textId="77777777" w:rsidR="0071138C" w:rsidRPr="0071138C" w:rsidRDefault="0071138C" w:rsidP="0071138C">
      <w:pPr>
        <w:pStyle w:val="NormalWeb"/>
        <w:spacing w:line="480" w:lineRule="auto"/>
        <w:jc w:val="both"/>
        <w:rPr>
          <w:rFonts w:ascii="Arial" w:hAnsi="Arial" w:cs="Arial"/>
          <w:sz w:val="22"/>
          <w:szCs w:val="22"/>
        </w:rPr>
      </w:pPr>
      <w:r w:rsidRPr="0071138C">
        <w:rPr>
          <w:rFonts w:ascii="Arial" w:hAnsi="Arial" w:cs="Arial"/>
          <w:sz w:val="22"/>
          <w:szCs w:val="22"/>
        </w:rPr>
        <w:lastRenderedPageBreak/>
        <w:t xml:space="preserve">For cementation, the enamel surfaces were etched with 37% phosphoric acid for 15 seconds, rinsed, and air-dried. A universal adhesive primer was applied and the veneer interiors were etched with 5% hydrofluoric acid for 20 seconds, rinsed, and </w:t>
      </w:r>
      <w:proofErr w:type="spellStart"/>
      <w:r w:rsidRPr="0071138C">
        <w:rPr>
          <w:rFonts w:ascii="Arial" w:hAnsi="Arial" w:cs="Arial"/>
          <w:sz w:val="22"/>
          <w:szCs w:val="22"/>
        </w:rPr>
        <w:t>silanized</w:t>
      </w:r>
      <w:proofErr w:type="spellEnd"/>
      <w:r w:rsidRPr="0071138C">
        <w:rPr>
          <w:rFonts w:ascii="Arial" w:hAnsi="Arial" w:cs="Arial"/>
          <w:sz w:val="22"/>
          <w:szCs w:val="22"/>
        </w:rPr>
        <w:t xml:space="preserve"> for 60 seconds followed by a </w:t>
      </w:r>
      <w:proofErr w:type="spellStart"/>
      <w:r w:rsidRPr="0071138C">
        <w:rPr>
          <w:rFonts w:ascii="Arial" w:hAnsi="Arial" w:cs="Arial"/>
          <w:sz w:val="22"/>
          <w:szCs w:val="22"/>
        </w:rPr>
        <w:t>sialane</w:t>
      </w:r>
      <w:proofErr w:type="spellEnd"/>
      <w:r w:rsidRPr="0071138C">
        <w:rPr>
          <w:rFonts w:ascii="Arial" w:hAnsi="Arial" w:cs="Arial"/>
          <w:sz w:val="22"/>
          <w:szCs w:val="22"/>
        </w:rPr>
        <w:t xml:space="preserve"> primer for 90 seconds and air-dried. The veneers were seated with </w:t>
      </w:r>
      <w:proofErr w:type="spellStart"/>
      <w:r w:rsidRPr="0071138C">
        <w:rPr>
          <w:rFonts w:ascii="Arial" w:hAnsi="Arial" w:cs="Arial"/>
          <w:sz w:val="22"/>
          <w:szCs w:val="22"/>
        </w:rPr>
        <w:t>RelyX</w:t>
      </w:r>
      <w:proofErr w:type="spellEnd"/>
      <w:r w:rsidRPr="0071138C">
        <w:rPr>
          <w:rFonts w:ascii="Arial" w:hAnsi="Arial" w:cs="Arial"/>
          <w:sz w:val="22"/>
          <w:szCs w:val="22"/>
        </w:rPr>
        <w:t>™ Ultimate dual-cure resin cement (3M, USA), excess cement was removed, and light-curing was performed for 40 seconds each on buccal, palatal, and incisal surfaces.(Fig. 3) Marginal areas were refined using interproximal finishing strips, and surfaces polished using fine-grit diamond paste.</w:t>
      </w:r>
    </w:p>
    <w:p w14:paraId="04E6269C" w14:textId="77777777" w:rsidR="0071138C" w:rsidRPr="0071138C" w:rsidRDefault="0071138C" w:rsidP="0071138C">
      <w:pPr>
        <w:spacing w:line="360" w:lineRule="auto"/>
        <w:rPr>
          <w:rFonts w:ascii="Arial" w:hAnsi="Arial" w:cs="Arial"/>
          <w:sz w:val="22"/>
          <w:szCs w:val="22"/>
        </w:rPr>
      </w:pPr>
    </w:p>
    <w:p w14:paraId="0C63EA2B" w14:textId="77777777" w:rsidR="00F42077" w:rsidRDefault="00F42077" w:rsidP="00F42077">
      <w:r>
        <w:rPr>
          <w:noProof/>
          <w:lang w:val="en-IN" w:eastAsia="en-IN"/>
        </w:rPr>
        <w:drawing>
          <wp:inline distT="0" distB="0" distL="0" distR="0" wp14:anchorId="43E8D7BF" wp14:editId="51F5C890">
            <wp:extent cx="5731510" cy="18415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841500"/>
                    </a:xfrm>
                    <a:prstGeom prst="rect">
                      <a:avLst/>
                    </a:prstGeom>
                  </pic:spPr>
                </pic:pic>
              </a:graphicData>
            </a:graphic>
          </wp:inline>
        </w:drawing>
      </w:r>
    </w:p>
    <w:p w14:paraId="701B2FA3" w14:textId="77777777" w:rsidR="00F42077" w:rsidRPr="00401FD2" w:rsidRDefault="00F42077" w:rsidP="00F42077">
      <w:pPr>
        <w:spacing w:line="480" w:lineRule="auto"/>
        <w:rPr>
          <w:rFonts w:ascii="Arial" w:hAnsi="Arial" w:cs="Arial"/>
          <w:sz w:val="22"/>
          <w:szCs w:val="22"/>
        </w:rPr>
      </w:pPr>
      <w:r w:rsidRPr="00401FD2">
        <w:rPr>
          <w:rFonts w:ascii="Arial" w:hAnsi="Arial" w:cs="Arial"/>
          <w:sz w:val="22"/>
          <w:szCs w:val="22"/>
        </w:rPr>
        <w:t xml:space="preserve">FIGURE 3: </w:t>
      </w:r>
      <w:proofErr w:type="gramStart"/>
      <w:r w:rsidRPr="00401FD2">
        <w:rPr>
          <w:rFonts w:ascii="Arial" w:hAnsi="Arial" w:cs="Arial"/>
          <w:sz w:val="22"/>
          <w:szCs w:val="22"/>
        </w:rPr>
        <w:t>a)enamel</w:t>
      </w:r>
      <w:proofErr w:type="gramEnd"/>
      <w:r w:rsidRPr="00401FD2">
        <w:rPr>
          <w:rFonts w:ascii="Arial" w:hAnsi="Arial" w:cs="Arial"/>
          <w:sz w:val="22"/>
          <w:szCs w:val="22"/>
        </w:rPr>
        <w:t xml:space="preserve"> etching with 37% phosphoric acid. B) adhesive application. c) photograph of porcelain veneer displayed on a neutral background) Hydrofluoric acid etching of the veneer’s intaglio surface e) </w:t>
      </w:r>
      <w:proofErr w:type="spellStart"/>
      <w:r w:rsidRPr="00401FD2">
        <w:rPr>
          <w:rFonts w:ascii="Arial" w:hAnsi="Arial" w:cs="Arial"/>
          <w:sz w:val="22"/>
          <w:szCs w:val="22"/>
        </w:rPr>
        <w:t>Silanization</w:t>
      </w:r>
      <w:proofErr w:type="spellEnd"/>
      <w:r w:rsidRPr="00401FD2">
        <w:rPr>
          <w:rFonts w:ascii="Arial" w:hAnsi="Arial" w:cs="Arial"/>
          <w:sz w:val="22"/>
          <w:szCs w:val="22"/>
        </w:rPr>
        <w:t xml:space="preserve"> of etched veneer. f) Cementation using dual</w:t>
      </w:r>
      <w:r w:rsidRPr="00401FD2">
        <w:rPr>
          <w:rFonts w:ascii="Arial" w:hAnsi="Arial" w:cs="Arial"/>
          <w:sz w:val="22"/>
          <w:szCs w:val="22"/>
        </w:rPr>
        <w:noBreakHyphen/>
        <w:t>cure resin cement, seated and light-cured</w:t>
      </w:r>
    </w:p>
    <w:p w14:paraId="5DFF6D02" w14:textId="77777777" w:rsidR="0071138C" w:rsidRPr="0071138C" w:rsidRDefault="0071138C" w:rsidP="0071138C">
      <w:pPr>
        <w:pStyle w:val="NormalWeb"/>
        <w:spacing w:line="480" w:lineRule="auto"/>
        <w:jc w:val="both"/>
        <w:rPr>
          <w:rFonts w:ascii="Arial" w:hAnsi="Arial" w:cs="Arial"/>
          <w:sz w:val="22"/>
          <w:szCs w:val="22"/>
        </w:rPr>
      </w:pPr>
      <w:r w:rsidRPr="0071138C">
        <w:rPr>
          <w:rFonts w:ascii="Arial" w:hAnsi="Arial" w:cs="Arial"/>
          <w:sz w:val="22"/>
          <w:szCs w:val="22"/>
        </w:rPr>
        <w:t xml:space="preserve">Occlusion, contact integrity, shade match, and </w:t>
      </w:r>
      <w:proofErr w:type="spellStart"/>
      <w:r w:rsidRPr="0071138C">
        <w:rPr>
          <w:rFonts w:ascii="Arial" w:hAnsi="Arial" w:cs="Arial"/>
          <w:sz w:val="22"/>
          <w:szCs w:val="22"/>
        </w:rPr>
        <w:t>esthetics</w:t>
      </w:r>
      <w:proofErr w:type="spellEnd"/>
      <w:r w:rsidRPr="0071138C">
        <w:rPr>
          <w:rFonts w:ascii="Arial" w:hAnsi="Arial" w:cs="Arial"/>
          <w:sz w:val="22"/>
          <w:szCs w:val="22"/>
        </w:rPr>
        <w:t xml:space="preserve"> were evaluated immediately post-placement. The patient was monitored at 1, 3, and 6 months for </w:t>
      </w:r>
      <w:proofErr w:type="spellStart"/>
      <w:r w:rsidRPr="0071138C">
        <w:rPr>
          <w:rFonts w:ascii="Arial" w:hAnsi="Arial" w:cs="Arial"/>
          <w:sz w:val="22"/>
          <w:szCs w:val="22"/>
        </w:rPr>
        <w:t>color</w:t>
      </w:r>
      <w:proofErr w:type="spellEnd"/>
      <w:r w:rsidRPr="0071138C">
        <w:rPr>
          <w:rFonts w:ascii="Arial" w:hAnsi="Arial" w:cs="Arial"/>
          <w:sz w:val="22"/>
          <w:szCs w:val="22"/>
        </w:rPr>
        <w:t xml:space="preserve"> stability, marginal integrity, gingival health, function, and overall satisfaction. At the 6-month recall, restorations showed no loss of retention, fracture, discoloration, </w:t>
      </w:r>
      <w:r w:rsidRPr="0071138C">
        <w:rPr>
          <w:rFonts w:ascii="Arial" w:hAnsi="Arial" w:cs="Arial"/>
          <w:sz w:val="22"/>
          <w:szCs w:val="22"/>
        </w:rPr>
        <w:lastRenderedPageBreak/>
        <w:t xml:space="preserve">or soft tissue complications. The patient was satisfied and had no complaints with the veneer </w:t>
      </w:r>
      <w:proofErr w:type="gramStart"/>
      <w:r w:rsidRPr="0071138C">
        <w:rPr>
          <w:rFonts w:ascii="Arial" w:hAnsi="Arial" w:cs="Arial"/>
          <w:sz w:val="22"/>
          <w:szCs w:val="22"/>
        </w:rPr>
        <w:t>prosthesis.(</w:t>
      </w:r>
      <w:proofErr w:type="gramEnd"/>
      <w:r w:rsidRPr="0071138C">
        <w:rPr>
          <w:rFonts w:ascii="Arial" w:hAnsi="Arial" w:cs="Arial"/>
          <w:sz w:val="22"/>
          <w:szCs w:val="22"/>
        </w:rPr>
        <w:t>Fig. 4)</w:t>
      </w:r>
    </w:p>
    <w:p w14:paraId="2B05DC0A" w14:textId="77777777" w:rsidR="00F42077" w:rsidRDefault="00F42077" w:rsidP="00F42077">
      <w:r>
        <w:rPr>
          <w:noProof/>
          <w:lang w:val="en-IN" w:eastAsia="en-IN"/>
        </w:rPr>
        <w:drawing>
          <wp:inline distT="0" distB="0" distL="0" distR="0" wp14:anchorId="4534C963" wp14:editId="20DCCEC9">
            <wp:extent cx="5731510" cy="29806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ollage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980690"/>
                    </a:xfrm>
                    <a:prstGeom prst="rect">
                      <a:avLst/>
                    </a:prstGeom>
                  </pic:spPr>
                </pic:pic>
              </a:graphicData>
            </a:graphic>
          </wp:inline>
        </w:drawing>
      </w:r>
    </w:p>
    <w:p w14:paraId="1AD73E35" w14:textId="77777777" w:rsidR="00F42077" w:rsidRPr="00F42077" w:rsidRDefault="00F42077" w:rsidP="00F42077">
      <w:pPr>
        <w:spacing w:line="480" w:lineRule="auto"/>
        <w:rPr>
          <w:rFonts w:ascii="Times New Roman" w:hAnsi="Times New Roman"/>
        </w:rPr>
      </w:pPr>
      <w:r w:rsidRPr="00CF4DE8">
        <w:rPr>
          <w:rFonts w:ascii="Times New Roman" w:hAnsi="Times New Roman"/>
        </w:rPr>
        <w:t xml:space="preserve">FIGURE 4: a) Pre-operative frontal view of the patient. </w:t>
      </w:r>
      <w:proofErr w:type="gramStart"/>
      <w:r w:rsidRPr="00CF4DE8">
        <w:rPr>
          <w:rFonts w:ascii="Times New Roman" w:hAnsi="Times New Roman"/>
        </w:rPr>
        <w:t>b )Smile</w:t>
      </w:r>
      <w:proofErr w:type="gramEnd"/>
      <w:r w:rsidRPr="00CF4DE8">
        <w:rPr>
          <w:rFonts w:ascii="Times New Roman" w:hAnsi="Times New Roman"/>
        </w:rPr>
        <w:t xml:space="preserve"> view before the cementation of the veneer prosthesis. c) Smile view after the cementation of the veneer prosthesis.</w:t>
      </w:r>
    </w:p>
    <w:p w14:paraId="4E7A312C" w14:textId="77777777" w:rsidR="0071138C" w:rsidRPr="0071138C" w:rsidRDefault="00401FD2" w:rsidP="0071138C">
      <w:pPr>
        <w:spacing w:line="480" w:lineRule="auto"/>
        <w:jc w:val="both"/>
        <w:rPr>
          <w:rFonts w:ascii="Arial" w:hAnsi="Arial" w:cs="Arial"/>
          <w:b/>
          <w:sz w:val="22"/>
          <w:szCs w:val="22"/>
        </w:rPr>
      </w:pPr>
      <w:r>
        <w:rPr>
          <w:rFonts w:ascii="Arial" w:hAnsi="Arial" w:cs="Arial"/>
          <w:b/>
          <w:sz w:val="22"/>
          <w:szCs w:val="22"/>
        </w:rPr>
        <w:t>4.</w:t>
      </w:r>
      <w:r w:rsidRPr="0071138C">
        <w:rPr>
          <w:rFonts w:ascii="Arial" w:hAnsi="Arial" w:cs="Arial"/>
          <w:b/>
          <w:sz w:val="22"/>
          <w:szCs w:val="22"/>
        </w:rPr>
        <w:t>DISCUSSION:</w:t>
      </w:r>
    </w:p>
    <w:p w14:paraId="40BD4E7C" w14:textId="77777777" w:rsidR="0071138C" w:rsidRPr="0071138C" w:rsidRDefault="0071138C" w:rsidP="0071138C">
      <w:pPr>
        <w:spacing w:line="480" w:lineRule="auto"/>
        <w:jc w:val="both"/>
        <w:rPr>
          <w:rFonts w:ascii="Arial" w:hAnsi="Arial" w:cs="Arial"/>
          <w:b/>
          <w:sz w:val="22"/>
          <w:szCs w:val="22"/>
        </w:rPr>
      </w:pPr>
      <w:r w:rsidRPr="0071138C">
        <w:rPr>
          <w:rFonts w:ascii="Arial" w:hAnsi="Arial" w:cs="Arial"/>
          <w:sz w:val="22"/>
          <w:szCs w:val="22"/>
          <w:lang w:eastAsia="en-IN"/>
        </w:rPr>
        <w:t>The closure of a maxillary anterior diastema represents a significant aesthetic demand in modern dentistry. Alongside creating an appealing smile, treatment must address functional and psychological impacts; comprehensive planning and clear communication between dentist and patient are essential. Diastemas can stem from hereditary causes such as missing teeth, size discrepancies, supernumerary teeth, or aberrant frenal attachments and developmental factors including parafunctional habits, periodontal disease, tooth loss, or bite collapse [5]. Treatment modalities typically involve prosthodontic, orthodontic, and restorative solutions [6].</w:t>
      </w:r>
    </w:p>
    <w:p w14:paraId="3978BB4C"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lastRenderedPageBreak/>
        <w:t>For conservative diastema closure, porcelain laminate veneers (PLVs) and direct composite restorations are the materials of choice. In many adult cases, patients prioritize immediate esthetic results over prolonged orthodontic treatment a preference reflected in this case, where evenly distributed diastema and patient inclination led to a single-visit restorative approach.[7]</w:t>
      </w:r>
    </w:p>
    <w:p w14:paraId="67B61AB0"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Lithium di</w:t>
      </w:r>
      <w:r w:rsidRPr="0071138C">
        <w:rPr>
          <w:rFonts w:ascii="Arial" w:hAnsi="Arial" w:cs="Arial"/>
          <w:sz w:val="22"/>
          <w:szCs w:val="22"/>
          <w:lang w:eastAsia="en-IN"/>
        </w:rPr>
        <w:noBreakHyphen/>
        <w:t>silicate PLVs offer multiple advantages: strong chemical stability, biocompatibility, smooth glazed surfaces that discourage plaque, and durable adhesion to etched enamel via silane coupling and resin-luting systems [8]. They combine superior esthetics with physiological resilience and ease of maintenance. That said, these restorations are prone to failure in parafunctional patients or where unsupported enamel rods are present; bonding over pre-existing composite restorations can also compromise long-term success.[9]</w:t>
      </w:r>
    </w:p>
    <w:p w14:paraId="502AC819" w14:textId="35F648B1"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A single-appointment, chairside digital workflow using intraoral scanning and </w:t>
      </w:r>
      <w:r w:rsidR="003657A0">
        <w:rPr>
          <w:rFonts w:ascii="Arial" w:hAnsi="Arial" w:cs="Arial"/>
          <w:sz w:val="22"/>
          <w:szCs w:val="22"/>
          <w:lang w:eastAsia="en-IN"/>
        </w:rPr>
        <w:t>CAD/CAM</w:t>
      </w:r>
      <w:r w:rsidRPr="0071138C">
        <w:rPr>
          <w:rFonts w:ascii="Arial" w:hAnsi="Arial" w:cs="Arial"/>
          <w:sz w:val="22"/>
          <w:szCs w:val="22"/>
          <w:lang w:eastAsia="en-IN"/>
        </w:rPr>
        <w:t xml:space="preserve"> technology provides a modern, efficient approach. A clinical report on minimally invasive lithium di-silicate veneers fabricated chairside demonstrated successful same day delivery of a thin 0.4 mm restoration in a single visit mirroring the efficiency achieved in our case. Another case report described maxillary anterior PLVs produced in a single session via a digital workflow, showing favorable one-year outcomes.</w:t>
      </w:r>
    </w:p>
    <w:p w14:paraId="144B5215" w14:textId="70B78918"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Long-term data affirm the reliability of lithium di-silicate veneers. A meta-analysis reported a pooled 10-year survival of ~96.8%, outperforming feldspathic and leucite-reinforced ceramics. One retrospective study found a 92.7% survival for </w:t>
      </w:r>
      <w:r w:rsidR="003657A0">
        <w:rPr>
          <w:rFonts w:ascii="Arial" w:hAnsi="Arial" w:cs="Arial"/>
          <w:sz w:val="22"/>
          <w:szCs w:val="22"/>
          <w:lang w:eastAsia="en-IN"/>
        </w:rPr>
        <w:t>CAD/CAM</w:t>
      </w:r>
      <w:r w:rsidRPr="0071138C">
        <w:rPr>
          <w:rFonts w:ascii="Arial" w:hAnsi="Arial" w:cs="Arial"/>
          <w:sz w:val="22"/>
          <w:szCs w:val="22"/>
          <w:lang w:eastAsia="en-IN"/>
        </w:rPr>
        <w:t xml:space="preserve"> E</w:t>
      </w:r>
      <w:r w:rsidRPr="0071138C">
        <w:rPr>
          <w:rFonts w:ascii="Arial" w:hAnsi="Arial" w:cs="Arial"/>
          <w:sz w:val="22"/>
          <w:szCs w:val="22"/>
          <w:lang w:eastAsia="en-IN"/>
        </w:rPr>
        <w:noBreakHyphen/>
        <w:t xml:space="preserve">max veneer systems over ten years. Additionally, randomized clinical trials show </w:t>
      </w:r>
      <w:r w:rsidRPr="0071138C">
        <w:rPr>
          <w:rFonts w:ascii="Arial" w:hAnsi="Arial" w:cs="Arial"/>
          <w:sz w:val="22"/>
          <w:szCs w:val="22"/>
          <w:lang w:eastAsia="en-IN"/>
        </w:rPr>
        <w:lastRenderedPageBreak/>
        <w:t xml:space="preserve">equivalent marginal adaptation and satisfaction for </w:t>
      </w:r>
      <w:r w:rsidR="003657A0">
        <w:rPr>
          <w:rFonts w:ascii="Arial" w:hAnsi="Arial" w:cs="Arial"/>
          <w:sz w:val="22"/>
          <w:szCs w:val="22"/>
          <w:lang w:eastAsia="en-IN"/>
        </w:rPr>
        <w:t>CAD/CAM</w:t>
      </w:r>
      <w:r w:rsidRPr="0071138C">
        <w:rPr>
          <w:rFonts w:ascii="Arial" w:hAnsi="Arial" w:cs="Arial"/>
          <w:sz w:val="22"/>
          <w:szCs w:val="22"/>
          <w:lang w:eastAsia="en-IN"/>
        </w:rPr>
        <w:t xml:space="preserve"> and heat-pressed lithium di-silicate veneers at one </w:t>
      </w:r>
      <w:proofErr w:type="gramStart"/>
      <w:r w:rsidRPr="0071138C">
        <w:rPr>
          <w:rFonts w:ascii="Arial" w:hAnsi="Arial" w:cs="Arial"/>
          <w:sz w:val="22"/>
          <w:szCs w:val="22"/>
          <w:lang w:eastAsia="en-IN"/>
        </w:rPr>
        <w:t>year.[</w:t>
      </w:r>
      <w:proofErr w:type="gramEnd"/>
      <w:r w:rsidRPr="0071138C">
        <w:rPr>
          <w:rFonts w:ascii="Arial" w:hAnsi="Arial" w:cs="Arial"/>
          <w:sz w:val="22"/>
          <w:szCs w:val="22"/>
          <w:lang w:eastAsia="en-IN"/>
        </w:rPr>
        <w:t>10]</w:t>
      </w:r>
    </w:p>
    <w:p w14:paraId="2898B1CB" w14:textId="77777777"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Our case aligns with these findings: same-day chairside delivery enabled by the </w:t>
      </w:r>
      <w:proofErr w:type="spellStart"/>
      <w:r w:rsidRPr="0071138C">
        <w:rPr>
          <w:rFonts w:ascii="Arial" w:hAnsi="Arial" w:cs="Arial"/>
          <w:sz w:val="22"/>
          <w:szCs w:val="22"/>
          <w:lang w:eastAsia="en-IN"/>
        </w:rPr>
        <w:t>Medit</w:t>
      </w:r>
      <w:proofErr w:type="spellEnd"/>
      <w:r w:rsidRPr="0071138C">
        <w:rPr>
          <w:rFonts w:ascii="Arial" w:hAnsi="Arial" w:cs="Arial"/>
          <w:sz w:val="22"/>
          <w:szCs w:val="22"/>
          <w:lang w:eastAsia="en-IN"/>
        </w:rPr>
        <w:t xml:space="preserve"> i700 scanner, DSD planning, </w:t>
      </w:r>
      <w:proofErr w:type="spellStart"/>
      <w:r w:rsidRPr="0071138C">
        <w:rPr>
          <w:rFonts w:ascii="Arial" w:hAnsi="Arial" w:cs="Arial"/>
          <w:sz w:val="22"/>
          <w:szCs w:val="22"/>
          <w:lang w:eastAsia="en-IN"/>
        </w:rPr>
        <w:t>exocad</w:t>
      </w:r>
      <w:proofErr w:type="spellEnd"/>
      <w:r w:rsidRPr="0071138C">
        <w:rPr>
          <w:rFonts w:ascii="Arial" w:hAnsi="Arial" w:cs="Arial"/>
          <w:sz w:val="22"/>
          <w:szCs w:val="22"/>
          <w:lang w:eastAsia="en-IN"/>
        </w:rPr>
        <w:t>/CAD-CAM milling of IPS E</w:t>
      </w:r>
      <w:r w:rsidRPr="0071138C">
        <w:rPr>
          <w:rFonts w:ascii="Arial" w:hAnsi="Arial" w:cs="Arial"/>
          <w:sz w:val="22"/>
          <w:szCs w:val="22"/>
          <w:lang w:eastAsia="en-IN"/>
        </w:rPr>
        <w:noBreakHyphen/>
        <w:t>max ensured efficient, enamel-preserving, and esthetic closure of a 2.5 mm diastema and correction of tooth 22's tilt. No temporization was required, reducing chair time and potential patient discomfort. At 6-month follow-up, restorations exhibited excellent marginal integrity, shade stability, and tissue response, with no fractures, discoloration, debonding, or sensitivity.[11]</w:t>
      </w:r>
    </w:p>
    <w:p w14:paraId="04E97B23" w14:textId="1ACB1DBB" w:rsidR="0071138C" w:rsidRPr="0071138C" w:rsidRDefault="0071138C" w:rsidP="0071138C">
      <w:pPr>
        <w:spacing w:before="100" w:beforeAutospacing="1" w:after="100" w:afterAutospacing="1" w:line="480" w:lineRule="auto"/>
        <w:jc w:val="both"/>
        <w:rPr>
          <w:rFonts w:ascii="Arial" w:hAnsi="Arial" w:cs="Arial"/>
          <w:sz w:val="22"/>
          <w:szCs w:val="22"/>
          <w:lang w:eastAsia="en-IN"/>
        </w:rPr>
      </w:pPr>
      <w:r w:rsidRPr="0071138C">
        <w:rPr>
          <w:rFonts w:ascii="Arial" w:hAnsi="Arial" w:cs="Arial"/>
          <w:sz w:val="22"/>
          <w:szCs w:val="22"/>
          <w:lang w:eastAsia="en-IN"/>
        </w:rPr>
        <w:t xml:space="preserve">These outcomes support the effectiveness of fully digital, single-visit workflows in minimally invasive restorative dentistry. They also align with clinical evidence that speaks to the high long-term performance of chairside </w:t>
      </w:r>
      <w:r w:rsidR="003657A0">
        <w:rPr>
          <w:rFonts w:ascii="Arial" w:hAnsi="Arial" w:cs="Arial"/>
          <w:sz w:val="22"/>
          <w:szCs w:val="22"/>
          <w:lang w:eastAsia="en-IN"/>
        </w:rPr>
        <w:t>CAD/CAM</w:t>
      </w:r>
      <w:r w:rsidRPr="0071138C">
        <w:rPr>
          <w:rFonts w:ascii="Arial" w:hAnsi="Arial" w:cs="Arial"/>
          <w:sz w:val="22"/>
          <w:szCs w:val="22"/>
          <w:lang w:eastAsia="en-IN"/>
        </w:rPr>
        <w:t xml:space="preserve"> lithium di-silicate veneers. Accordingly, such digitally driven, enamel conserving workflows are appropriate for midline diastema cases, combining patient satisfaction with clinical efficiency and longevity.</w:t>
      </w:r>
    </w:p>
    <w:p w14:paraId="0C259EA6" w14:textId="62FE3070" w:rsidR="0071138C" w:rsidRPr="0071138C" w:rsidRDefault="0071138C" w:rsidP="0071138C">
      <w:pPr>
        <w:spacing w:line="480" w:lineRule="auto"/>
        <w:jc w:val="both"/>
        <w:rPr>
          <w:rFonts w:ascii="Arial" w:hAnsi="Arial" w:cs="Arial"/>
          <w:sz w:val="22"/>
          <w:szCs w:val="22"/>
        </w:rPr>
      </w:pPr>
      <w:r w:rsidRPr="0071138C">
        <w:rPr>
          <w:rStyle w:val="relative"/>
          <w:rFonts w:ascii="Arial" w:hAnsi="Arial" w:cs="Arial"/>
          <w:sz w:val="22"/>
          <w:szCs w:val="22"/>
        </w:rPr>
        <w:t>The implementation of a fully digital, chairside workflow anchored by intraoral scanning (</w:t>
      </w:r>
      <w:proofErr w:type="spellStart"/>
      <w:r w:rsidRPr="0071138C">
        <w:rPr>
          <w:rStyle w:val="relative"/>
          <w:rFonts w:ascii="Arial" w:hAnsi="Arial" w:cs="Arial"/>
          <w:sz w:val="22"/>
          <w:szCs w:val="22"/>
        </w:rPr>
        <w:t>Medit</w:t>
      </w:r>
      <w:proofErr w:type="spellEnd"/>
      <w:r w:rsidRPr="0071138C">
        <w:rPr>
          <w:rStyle w:val="relative"/>
          <w:rFonts w:ascii="Arial" w:hAnsi="Arial" w:cs="Arial"/>
          <w:sz w:val="22"/>
          <w:szCs w:val="22"/>
        </w:rPr>
        <w:t xml:space="preserve"> i700), Digital Smile Design (DSD), and </w:t>
      </w:r>
      <w:r w:rsidR="003657A0">
        <w:rPr>
          <w:rStyle w:val="relative"/>
          <w:rFonts w:ascii="Arial" w:hAnsi="Arial" w:cs="Arial"/>
          <w:sz w:val="22"/>
          <w:szCs w:val="22"/>
        </w:rPr>
        <w:t>CAD/CAM</w:t>
      </w:r>
      <w:r w:rsidRPr="0071138C">
        <w:rPr>
          <w:rStyle w:val="relative"/>
          <w:rFonts w:ascii="Arial" w:hAnsi="Arial" w:cs="Arial"/>
          <w:sz w:val="22"/>
          <w:szCs w:val="22"/>
        </w:rPr>
        <w:t xml:space="preserve"> fabrication yielded precise, minimally invasive correction of a 2.5 mm midline diastema with concomitant inclination of tooth 22. The </w:t>
      </w:r>
      <w:proofErr w:type="spellStart"/>
      <w:r w:rsidRPr="0071138C">
        <w:rPr>
          <w:rStyle w:val="relative"/>
          <w:rFonts w:ascii="Arial" w:hAnsi="Arial" w:cs="Arial"/>
          <w:sz w:val="22"/>
          <w:szCs w:val="22"/>
        </w:rPr>
        <w:t>Medit</w:t>
      </w:r>
      <w:proofErr w:type="spellEnd"/>
      <w:r w:rsidRPr="0071138C">
        <w:rPr>
          <w:rStyle w:val="relative"/>
          <w:rFonts w:ascii="Arial" w:hAnsi="Arial" w:cs="Arial"/>
          <w:sz w:val="22"/>
          <w:szCs w:val="22"/>
        </w:rPr>
        <w:t xml:space="preserve"> i700 provided accurate, distortion-free digital impressions, enhancing patient comfort and ensuring meticulous margin capture, consistent with literature demonstrating intraoral scanners’ capability to deliver clinically acceptable precision in veneer restorations </w:t>
      </w:r>
      <w:r w:rsidRPr="0071138C">
        <w:rPr>
          <w:rFonts w:ascii="Arial" w:hAnsi="Arial" w:cs="Arial"/>
          <w:sz w:val="22"/>
          <w:szCs w:val="22"/>
        </w:rPr>
        <w:t xml:space="preserve"> </w:t>
      </w:r>
      <w:r w:rsidRPr="0071138C">
        <w:rPr>
          <w:rStyle w:val="relative"/>
          <w:rFonts w:ascii="Arial" w:hAnsi="Arial" w:cs="Arial"/>
          <w:sz w:val="22"/>
          <w:szCs w:val="22"/>
        </w:rPr>
        <w:t xml:space="preserve">Virtual planning in DSD and </w:t>
      </w:r>
      <w:proofErr w:type="spellStart"/>
      <w:r w:rsidRPr="0071138C">
        <w:rPr>
          <w:rStyle w:val="relative"/>
          <w:rFonts w:ascii="Arial" w:hAnsi="Arial" w:cs="Arial"/>
          <w:sz w:val="22"/>
          <w:szCs w:val="22"/>
        </w:rPr>
        <w:t>exocad</w:t>
      </w:r>
      <w:proofErr w:type="spellEnd"/>
      <w:r w:rsidRPr="0071138C">
        <w:rPr>
          <w:rStyle w:val="relative"/>
          <w:rFonts w:ascii="Arial" w:hAnsi="Arial" w:cs="Arial"/>
          <w:sz w:val="22"/>
          <w:szCs w:val="22"/>
        </w:rPr>
        <w:t xml:space="preserve"> facilitated conservative enamel reduction (0.3–0.5 mm) and the design </w:t>
      </w:r>
      <w:r w:rsidRPr="0071138C">
        <w:rPr>
          <w:rStyle w:val="relative"/>
          <w:rFonts w:ascii="Arial" w:hAnsi="Arial" w:cs="Arial"/>
          <w:sz w:val="22"/>
          <w:szCs w:val="22"/>
        </w:rPr>
        <w:lastRenderedPageBreak/>
        <w:t xml:space="preserve">of 0.5 mm lithium disilicate veneers, aligning with evidence that </w:t>
      </w:r>
      <w:r w:rsidR="003657A0">
        <w:rPr>
          <w:rStyle w:val="relative"/>
          <w:rFonts w:ascii="Arial" w:hAnsi="Arial" w:cs="Arial"/>
          <w:sz w:val="22"/>
          <w:szCs w:val="22"/>
        </w:rPr>
        <w:t>CAD/CAM</w:t>
      </w:r>
      <w:r w:rsidRPr="0071138C">
        <w:rPr>
          <w:rStyle w:val="relative"/>
          <w:rFonts w:ascii="Arial" w:hAnsi="Arial" w:cs="Arial"/>
          <w:sz w:val="22"/>
          <w:szCs w:val="22"/>
        </w:rPr>
        <w:t xml:space="preserve"> workflows preserve enamel and enhance bonding substrate quality </w:t>
      </w:r>
      <w:r w:rsidRPr="0071138C">
        <w:rPr>
          <w:rFonts w:ascii="Arial" w:hAnsi="Arial" w:cs="Arial"/>
          <w:sz w:val="22"/>
          <w:szCs w:val="22"/>
        </w:rPr>
        <w:t xml:space="preserve">. </w:t>
      </w:r>
      <w:r w:rsidRPr="0071138C">
        <w:rPr>
          <w:rStyle w:val="relative"/>
          <w:rFonts w:ascii="Arial" w:hAnsi="Arial" w:cs="Arial"/>
          <w:sz w:val="22"/>
          <w:szCs w:val="22"/>
        </w:rPr>
        <w:t>Chairside milling and crystallization of IPS E</w:t>
      </w:r>
      <w:r w:rsidRPr="0071138C">
        <w:rPr>
          <w:rStyle w:val="relative"/>
          <w:rFonts w:ascii="Arial" w:hAnsi="Arial" w:cs="Arial"/>
          <w:sz w:val="22"/>
          <w:szCs w:val="22"/>
        </w:rPr>
        <w:noBreakHyphen/>
        <w:t xml:space="preserve">max CAD blocks enabled single-appointment delivery without temporization, reducing chair time and streamlining treatment—benefits well documented in </w:t>
      </w:r>
      <w:r w:rsidR="003657A0">
        <w:rPr>
          <w:rStyle w:val="relative"/>
          <w:rFonts w:ascii="Arial" w:hAnsi="Arial" w:cs="Arial"/>
          <w:sz w:val="22"/>
          <w:szCs w:val="22"/>
        </w:rPr>
        <w:t>CAD/CAM</w:t>
      </w:r>
      <w:r w:rsidRPr="0071138C">
        <w:rPr>
          <w:rStyle w:val="relative"/>
          <w:rFonts w:ascii="Arial" w:hAnsi="Arial" w:cs="Arial"/>
          <w:sz w:val="22"/>
          <w:szCs w:val="22"/>
        </w:rPr>
        <w:t xml:space="preserve"> veneer protocols</w:t>
      </w:r>
      <w:r w:rsidRPr="0071138C">
        <w:rPr>
          <w:rFonts w:ascii="Arial" w:hAnsi="Arial" w:cs="Arial"/>
          <w:sz w:val="22"/>
          <w:szCs w:val="22"/>
        </w:rPr>
        <w:t xml:space="preserve">.[12] </w:t>
      </w:r>
      <w:r w:rsidRPr="0071138C">
        <w:rPr>
          <w:rStyle w:val="relative"/>
          <w:rFonts w:ascii="Arial" w:hAnsi="Arial" w:cs="Arial"/>
          <w:sz w:val="22"/>
          <w:szCs w:val="22"/>
        </w:rPr>
        <w:t>Post-cementation assessment revealed ideal marginal adaptation, shade match, occlusion, and soft-tissue integration, with no debonding, discoloration, fracture, or gingival issues observed at 6</w:t>
      </w:r>
      <w:r w:rsidRPr="0071138C">
        <w:rPr>
          <w:rStyle w:val="relative"/>
          <w:rFonts w:ascii="Arial" w:hAnsi="Arial" w:cs="Arial"/>
          <w:sz w:val="22"/>
          <w:szCs w:val="22"/>
        </w:rPr>
        <w:noBreakHyphen/>
        <w:t xml:space="preserve">month follow-up. These outcomes mirror high survival rates (96–99%) for </w:t>
      </w:r>
      <w:r w:rsidR="003657A0">
        <w:rPr>
          <w:rStyle w:val="relative"/>
          <w:rFonts w:ascii="Arial" w:hAnsi="Arial" w:cs="Arial"/>
          <w:sz w:val="22"/>
          <w:szCs w:val="22"/>
        </w:rPr>
        <w:t>CAD/CAM</w:t>
      </w:r>
      <w:r w:rsidRPr="0071138C">
        <w:rPr>
          <w:rStyle w:val="relative"/>
          <w:rFonts w:ascii="Arial" w:hAnsi="Arial" w:cs="Arial"/>
          <w:sz w:val="22"/>
          <w:szCs w:val="22"/>
        </w:rPr>
        <w:t xml:space="preserve"> lithium disilicate veneers reported in long-term clinical studies </w:t>
      </w:r>
      <w:r w:rsidRPr="0071138C">
        <w:rPr>
          <w:rFonts w:ascii="Arial" w:hAnsi="Arial" w:cs="Arial"/>
          <w:sz w:val="22"/>
          <w:szCs w:val="22"/>
        </w:rPr>
        <w:t>. Collectively, this case underscores how an intraoral scanner guided, fully digital veneer workflow can offer superior marginal fit, enamel preservation, expedited treatment, and excellent patient centered results, supporting its growing adoption in minimally invasive restorative dentistry.[13]</w:t>
      </w:r>
    </w:p>
    <w:p w14:paraId="1A43EADF" w14:textId="26F46317" w:rsidR="0071138C" w:rsidRDefault="00401FD2" w:rsidP="0071138C">
      <w:pPr>
        <w:spacing w:line="480" w:lineRule="auto"/>
        <w:jc w:val="both"/>
        <w:rPr>
          <w:rFonts w:ascii="Arial" w:hAnsi="Arial" w:cs="Arial"/>
          <w:sz w:val="22"/>
          <w:szCs w:val="22"/>
        </w:rPr>
      </w:pPr>
      <w:r>
        <w:rPr>
          <w:rStyle w:val="Strong"/>
          <w:rFonts w:ascii="Arial" w:hAnsi="Arial" w:cs="Arial"/>
          <w:sz w:val="22"/>
          <w:szCs w:val="22"/>
        </w:rPr>
        <w:t>5.</w:t>
      </w:r>
      <w:r w:rsidRPr="0071138C">
        <w:rPr>
          <w:rStyle w:val="Strong"/>
          <w:rFonts w:ascii="Arial" w:hAnsi="Arial" w:cs="Arial"/>
          <w:sz w:val="22"/>
          <w:szCs w:val="22"/>
        </w:rPr>
        <w:t>CONCLUSION</w:t>
      </w:r>
      <w:r w:rsidRPr="0071138C">
        <w:rPr>
          <w:rFonts w:ascii="Arial" w:hAnsi="Arial" w:cs="Arial"/>
          <w:sz w:val="22"/>
          <w:szCs w:val="22"/>
        </w:rPr>
        <w:br/>
      </w:r>
      <w:r w:rsidR="0071138C" w:rsidRPr="0071138C">
        <w:rPr>
          <w:rStyle w:val="relative"/>
          <w:rFonts w:ascii="Arial" w:hAnsi="Arial" w:cs="Arial"/>
          <w:sz w:val="22"/>
          <w:szCs w:val="22"/>
        </w:rPr>
        <w:t xml:space="preserve">A single-visit, chairside </w:t>
      </w:r>
      <w:r w:rsidR="003657A0">
        <w:rPr>
          <w:rStyle w:val="relative"/>
          <w:rFonts w:ascii="Arial" w:hAnsi="Arial" w:cs="Arial"/>
          <w:sz w:val="22"/>
          <w:szCs w:val="22"/>
        </w:rPr>
        <w:t>CAD/CAM</w:t>
      </w:r>
      <w:r w:rsidR="0071138C" w:rsidRPr="0071138C">
        <w:rPr>
          <w:rStyle w:val="relative"/>
          <w:rFonts w:ascii="Arial" w:hAnsi="Arial" w:cs="Arial"/>
          <w:sz w:val="22"/>
          <w:szCs w:val="22"/>
        </w:rPr>
        <w:t xml:space="preserve"> workflow using intraoral scanning and lithium disilicate veneers effectively and immediately closed a 2.5 mm midline diastema with excellent esthetic and functional results. Long -term studies report 5</w:t>
      </w:r>
      <w:r w:rsidR="0071138C" w:rsidRPr="0071138C">
        <w:rPr>
          <w:rStyle w:val="relative"/>
          <w:rFonts w:ascii="Arial" w:hAnsi="Arial" w:cs="Arial"/>
          <w:sz w:val="22"/>
          <w:szCs w:val="22"/>
        </w:rPr>
        <w:noBreakHyphen/>
        <w:t>year survival rates of 92–99% for such veneers</w:t>
      </w:r>
      <w:r w:rsidR="0071138C" w:rsidRPr="0071138C">
        <w:rPr>
          <w:rFonts w:ascii="Arial" w:hAnsi="Arial" w:cs="Arial"/>
          <w:sz w:val="22"/>
          <w:szCs w:val="22"/>
        </w:rPr>
        <w:t xml:space="preserve"> This digital, enamel preserving approach offers a predictable and patient friendly alternative to traditional multi-appointment methods.</w:t>
      </w:r>
    </w:p>
    <w:p w14:paraId="7560B0A5" w14:textId="77777777" w:rsidR="008668A8" w:rsidRPr="008668A8" w:rsidRDefault="008668A8" w:rsidP="008668A8">
      <w:pPr>
        <w:spacing w:line="480" w:lineRule="auto"/>
        <w:jc w:val="both"/>
        <w:rPr>
          <w:rFonts w:ascii="Arial" w:hAnsi="Arial" w:cs="Arial"/>
          <w:b/>
          <w:sz w:val="22"/>
          <w:szCs w:val="22"/>
        </w:rPr>
      </w:pPr>
      <w:r w:rsidRPr="008668A8">
        <w:rPr>
          <w:rFonts w:ascii="Arial" w:hAnsi="Arial" w:cs="Arial"/>
          <w:b/>
          <w:sz w:val="22"/>
          <w:szCs w:val="22"/>
        </w:rPr>
        <w:t>Ethical Approval:</w:t>
      </w:r>
    </w:p>
    <w:p w14:paraId="196597F0" w14:textId="77777777" w:rsidR="008668A8" w:rsidRPr="008668A8" w:rsidRDefault="008668A8" w:rsidP="008668A8">
      <w:pPr>
        <w:spacing w:line="480" w:lineRule="auto"/>
        <w:jc w:val="both"/>
        <w:rPr>
          <w:rFonts w:ascii="Arial" w:hAnsi="Arial" w:cs="Arial"/>
          <w:b/>
          <w:sz w:val="22"/>
          <w:szCs w:val="22"/>
        </w:rPr>
      </w:pPr>
    </w:p>
    <w:p w14:paraId="2BD8C8A9" w14:textId="69829E8A" w:rsidR="008668A8" w:rsidRPr="008668A8" w:rsidRDefault="008668A8" w:rsidP="008668A8">
      <w:pPr>
        <w:spacing w:line="480" w:lineRule="auto"/>
        <w:jc w:val="both"/>
        <w:rPr>
          <w:rFonts w:ascii="Arial" w:hAnsi="Arial" w:cs="Arial"/>
          <w:sz w:val="22"/>
          <w:szCs w:val="22"/>
        </w:rPr>
      </w:pPr>
      <w:r w:rsidRPr="008668A8">
        <w:rPr>
          <w:rFonts w:ascii="Arial" w:hAnsi="Arial" w:cs="Arial"/>
          <w:sz w:val="22"/>
          <w:szCs w:val="22"/>
        </w:rPr>
        <w:t>As per international standards or university standards written ethical approval has been collected and preserved by t</w:t>
      </w:r>
      <w:bookmarkStart w:id="0" w:name="_GoBack"/>
      <w:bookmarkEnd w:id="0"/>
      <w:r w:rsidRPr="008668A8">
        <w:rPr>
          <w:rFonts w:ascii="Arial" w:hAnsi="Arial" w:cs="Arial"/>
          <w:sz w:val="22"/>
          <w:szCs w:val="22"/>
        </w:rPr>
        <w:t>he author(s).</w:t>
      </w:r>
    </w:p>
    <w:p w14:paraId="27B338B9" w14:textId="22B2439E" w:rsidR="00B15920" w:rsidRPr="00B15920" w:rsidRDefault="00B15920" w:rsidP="00B15920">
      <w:pPr>
        <w:spacing w:line="480" w:lineRule="auto"/>
        <w:jc w:val="both"/>
        <w:rPr>
          <w:rFonts w:ascii="Arial" w:hAnsi="Arial" w:cs="Arial"/>
          <w:b/>
          <w:sz w:val="22"/>
          <w:szCs w:val="22"/>
        </w:rPr>
      </w:pPr>
      <w:r w:rsidRPr="00B15920">
        <w:rPr>
          <w:rFonts w:ascii="Arial" w:hAnsi="Arial" w:cs="Arial"/>
          <w:b/>
          <w:sz w:val="22"/>
          <w:szCs w:val="22"/>
        </w:rPr>
        <w:lastRenderedPageBreak/>
        <w:t xml:space="preserve">Consent </w:t>
      </w:r>
    </w:p>
    <w:p w14:paraId="088A3D6E" w14:textId="2193CB94" w:rsidR="00B15920" w:rsidRPr="00B15920" w:rsidRDefault="00B15920" w:rsidP="00B15920">
      <w:pPr>
        <w:spacing w:line="480" w:lineRule="auto"/>
        <w:jc w:val="both"/>
        <w:rPr>
          <w:rFonts w:ascii="Arial" w:hAnsi="Arial" w:cs="Arial"/>
          <w:sz w:val="22"/>
          <w:szCs w:val="22"/>
        </w:rPr>
      </w:pPr>
      <w:r w:rsidRPr="00B15920">
        <w:rPr>
          <w:rFonts w:ascii="Arial" w:hAnsi="Arial" w:cs="Arial"/>
          <w:sz w:val="22"/>
          <w:szCs w:val="22"/>
        </w:rPr>
        <w:t>As per international standards or university standards, patient(s) written consent has been collected and preserved by the author(s).</w:t>
      </w:r>
    </w:p>
    <w:p w14:paraId="043E308D" w14:textId="60D93530" w:rsidR="00BA3F95" w:rsidRDefault="00BA3F95" w:rsidP="0071138C">
      <w:pPr>
        <w:spacing w:line="480" w:lineRule="auto"/>
        <w:jc w:val="both"/>
        <w:rPr>
          <w:rFonts w:ascii="Arial" w:hAnsi="Arial" w:cs="Arial"/>
          <w:sz w:val="22"/>
          <w:szCs w:val="22"/>
        </w:rPr>
      </w:pPr>
    </w:p>
    <w:p w14:paraId="5DC1050C" w14:textId="77777777" w:rsidR="00BA3F95" w:rsidRPr="00B15920" w:rsidRDefault="00BA3F95" w:rsidP="00BA3F95">
      <w:pPr>
        <w:rPr>
          <w:rFonts w:ascii="Calibri" w:eastAsia="Calibri" w:hAnsi="Calibri"/>
          <w:b/>
          <w:kern w:val="2"/>
          <w:highlight w:val="yellow"/>
        </w:rPr>
      </w:pPr>
      <w:bookmarkStart w:id="1" w:name="_Hlk201835975"/>
      <w:bookmarkStart w:id="2" w:name="_Hlk193540946"/>
      <w:bookmarkStart w:id="3" w:name="_Hlk180402183"/>
      <w:bookmarkStart w:id="4" w:name="_Hlk183680988"/>
      <w:bookmarkStart w:id="5" w:name="_Hlk197173371"/>
      <w:r w:rsidRPr="00B15920">
        <w:rPr>
          <w:rFonts w:ascii="Calibri" w:eastAsia="Calibri" w:hAnsi="Calibri"/>
          <w:b/>
          <w:kern w:val="2"/>
          <w:highlight w:val="yellow"/>
        </w:rPr>
        <w:t>Disclaimer (Artificial intelligence)</w:t>
      </w:r>
    </w:p>
    <w:p w14:paraId="50EB911F"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 xml:space="preserve">Option 1: </w:t>
      </w:r>
    </w:p>
    <w:p w14:paraId="782B4473"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2EEDE916"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 xml:space="preserve">Option 2: </w:t>
      </w:r>
    </w:p>
    <w:p w14:paraId="7813CDD3"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CC19E1"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3099AE3"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1.</w:t>
      </w:r>
    </w:p>
    <w:p w14:paraId="5287E19D" w14:textId="77777777" w:rsidR="00BA3F95" w:rsidRPr="009C5487" w:rsidRDefault="00BA3F95" w:rsidP="00BA3F95">
      <w:pPr>
        <w:rPr>
          <w:rFonts w:ascii="Calibri" w:eastAsia="Calibri" w:hAnsi="Calibri"/>
          <w:kern w:val="2"/>
          <w:highlight w:val="yellow"/>
        </w:rPr>
      </w:pPr>
      <w:r w:rsidRPr="009C5487">
        <w:rPr>
          <w:rFonts w:ascii="Calibri" w:eastAsia="Calibri" w:hAnsi="Calibri"/>
          <w:kern w:val="2"/>
          <w:highlight w:val="yellow"/>
        </w:rPr>
        <w:t>2.</w:t>
      </w:r>
      <w:bookmarkEnd w:id="1"/>
    </w:p>
    <w:p w14:paraId="41E71449" w14:textId="77777777" w:rsidR="00BA3F95" w:rsidRPr="009C5487" w:rsidRDefault="00BA3F95" w:rsidP="00BA3F95">
      <w:pPr>
        <w:rPr>
          <w:rFonts w:ascii="Calibri" w:eastAsia="Calibri" w:hAnsi="Calibri"/>
          <w:kern w:val="2"/>
        </w:rPr>
      </w:pPr>
      <w:r w:rsidRPr="009C5487">
        <w:rPr>
          <w:rFonts w:ascii="Calibri" w:eastAsia="Calibri" w:hAnsi="Calibri"/>
          <w:kern w:val="2"/>
          <w:highlight w:val="yellow"/>
        </w:rPr>
        <w:t>3.</w:t>
      </w:r>
      <w:bookmarkEnd w:id="2"/>
    </w:p>
    <w:bookmarkEnd w:id="3"/>
    <w:bookmarkEnd w:id="4"/>
    <w:bookmarkEnd w:id="5"/>
    <w:p w14:paraId="07DA5379" w14:textId="77777777" w:rsidR="00BA3F95" w:rsidRPr="0071138C" w:rsidRDefault="00BA3F95" w:rsidP="0071138C">
      <w:pPr>
        <w:spacing w:line="480" w:lineRule="auto"/>
        <w:jc w:val="both"/>
        <w:rPr>
          <w:rFonts w:ascii="Arial" w:hAnsi="Arial" w:cs="Arial"/>
          <w:sz w:val="22"/>
          <w:szCs w:val="22"/>
        </w:rPr>
      </w:pPr>
    </w:p>
    <w:p w14:paraId="3A963911" w14:textId="77777777" w:rsidR="0071138C" w:rsidRPr="0071138C" w:rsidRDefault="00401FD2" w:rsidP="0071138C">
      <w:pPr>
        <w:spacing w:line="480" w:lineRule="auto"/>
        <w:jc w:val="both"/>
        <w:rPr>
          <w:rFonts w:ascii="Arial" w:hAnsi="Arial" w:cs="Arial"/>
          <w:sz w:val="22"/>
          <w:szCs w:val="22"/>
        </w:rPr>
      </w:pPr>
      <w:r w:rsidRPr="0071138C">
        <w:rPr>
          <w:rStyle w:val="Strong"/>
          <w:rFonts w:ascii="Arial" w:hAnsi="Arial" w:cs="Arial"/>
          <w:sz w:val="22"/>
          <w:szCs w:val="22"/>
        </w:rPr>
        <w:t xml:space="preserve">REFERENCES  </w:t>
      </w:r>
    </w:p>
    <w:p w14:paraId="528BB5AE" w14:textId="77777777" w:rsidR="00727CEA" w:rsidRPr="00727CEA" w:rsidRDefault="00727CEA" w:rsidP="0071138C">
      <w:pPr>
        <w:pStyle w:val="ListParagraph"/>
        <w:numPr>
          <w:ilvl w:val="0"/>
          <w:numId w:val="31"/>
        </w:numPr>
        <w:spacing w:line="480" w:lineRule="auto"/>
        <w:jc w:val="both"/>
        <w:rPr>
          <w:rFonts w:ascii="Arial" w:hAnsi="Arial" w:cs="Arial"/>
        </w:rPr>
      </w:pPr>
      <w:proofErr w:type="spellStart"/>
      <w:r>
        <w:t>Nuvvula</w:t>
      </w:r>
      <w:proofErr w:type="spellEnd"/>
      <w:r>
        <w:t xml:space="preserve"> S, </w:t>
      </w:r>
      <w:proofErr w:type="spellStart"/>
      <w:r>
        <w:t>Ega</w:t>
      </w:r>
      <w:proofErr w:type="spellEnd"/>
      <w:r>
        <w:t xml:space="preserve"> S, </w:t>
      </w:r>
      <w:proofErr w:type="spellStart"/>
      <w:r>
        <w:t>Mallineni</w:t>
      </w:r>
      <w:proofErr w:type="spellEnd"/>
      <w:r>
        <w:t xml:space="preserve"> SK, </w:t>
      </w:r>
      <w:proofErr w:type="spellStart"/>
      <w:r>
        <w:t>Almulhim</w:t>
      </w:r>
      <w:proofErr w:type="spellEnd"/>
      <w:r>
        <w:t xml:space="preserve"> B, </w:t>
      </w:r>
      <w:proofErr w:type="spellStart"/>
      <w:r>
        <w:t>Alassaf</w:t>
      </w:r>
      <w:proofErr w:type="spellEnd"/>
      <w:r>
        <w:t xml:space="preserve"> A, Alghamdi SA, et al. Etiological factors of the midline diastema in children: a systematic review. </w:t>
      </w:r>
      <w:r>
        <w:rPr>
          <w:rStyle w:val="Emphasis"/>
        </w:rPr>
        <w:t>Int J Gen Med.</w:t>
      </w:r>
      <w:r>
        <w:t xml:space="preserve"> 2021 </w:t>
      </w:r>
      <w:proofErr w:type="gramStart"/>
      <w:r>
        <w:t>Jun;14:2397</w:t>
      </w:r>
      <w:proofErr w:type="gramEnd"/>
      <w:r>
        <w:t>–2405. doi:10.2147/IJGM.S297462. PMID: 34135623</w:t>
      </w:r>
    </w:p>
    <w:p w14:paraId="242B0428" w14:textId="0A3FF02A" w:rsidR="0071138C" w:rsidRPr="0071138C" w:rsidRDefault="00727CEA" w:rsidP="0071138C">
      <w:pPr>
        <w:pStyle w:val="ListParagraph"/>
        <w:numPr>
          <w:ilvl w:val="0"/>
          <w:numId w:val="31"/>
        </w:numPr>
        <w:spacing w:line="480" w:lineRule="auto"/>
        <w:jc w:val="both"/>
        <w:rPr>
          <w:rFonts w:ascii="Arial" w:hAnsi="Arial" w:cs="Arial"/>
        </w:rPr>
      </w:pPr>
      <w:proofErr w:type="spellStart"/>
      <w:r>
        <w:rPr>
          <w:rStyle w:val="relative"/>
        </w:rPr>
        <w:t>Ahiaku</w:t>
      </w:r>
      <w:proofErr w:type="spellEnd"/>
      <w:r>
        <w:rPr>
          <w:rStyle w:val="relative"/>
        </w:rPr>
        <w:t xml:space="preserve"> S, Millar BJ. Maxillary midline diastemas in West African smiles. </w:t>
      </w:r>
      <w:r>
        <w:rPr>
          <w:rStyle w:val="Emphasis"/>
        </w:rPr>
        <w:t>Int Dent J.</w:t>
      </w:r>
      <w:r>
        <w:rPr>
          <w:rStyle w:val="relative"/>
        </w:rPr>
        <w:t xml:space="preserve"> 2023 Apr;73(2):167–177. doi:10.1016/j.identj.2022.06.020. PMID: 35922369</w:t>
      </w:r>
      <w:r w:rsidR="0071138C" w:rsidRPr="0071138C">
        <w:rPr>
          <w:rFonts w:ascii="Arial" w:hAnsi="Arial" w:cs="Arial"/>
        </w:rPr>
        <w:t>.</w:t>
      </w:r>
    </w:p>
    <w:p w14:paraId="60067351" w14:textId="77777777" w:rsidR="00AB378F" w:rsidRPr="00AB378F" w:rsidRDefault="00AB378F" w:rsidP="0071138C">
      <w:pPr>
        <w:pStyle w:val="ListParagraph"/>
        <w:numPr>
          <w:ilvl w:val="0"/>
          <w:numId w:val="31"/>
        </w:numPr>
        <w:spacing w:line="480" w:lineRule="auto"/>
        <w:jc w:val="both"/>
        <w:rPr>
          <w:rFonts w:ascii="Arial" w:hAnsi="Arial" w:cs="Arial"/>
        </w:rPr>
      </w:pPr>
      <w:proofErr w:type="spellStart"/>
      <w:r>
        <w:t>Bayazıt</w:t>
      </w:r>
      <w:proofErr w:type="spellEnd"/>
      <w:r>
        <w:t xml:space="preserve"> EÖ, </w:t>
      </w:r>
      <w:proofErr w:type="spellStart"/>
      <w:r>
        <w:t>Karabıyık</w:t>
      </w:r>
      <w:proofErr w:type="spellEnd"/>
      <w:r>
        <w:t xml:space="preserve"> M. Chairside restorations of maxillary anterior teeth with CAD/CAM porcelain laminate veneers produced by digital workflow: a case report with a step to facilitate restoration design. </w:t>
      </w:r>
      <w:r>
        <w:rPr>
          <w:rStyle w:val="Emphasis"/>
        </w:rPr>
        <w:t>Case Rep Dent.</w:t>
      </w:r>
      <w:r>
        <w:t xml:space="preserve"> 2019 Apr </w:t>
      </w:r>
      <w:proofErr w:type="gramStart"/>
      <w:r>
        <w:t>4;2019:6731905</w:t>
      </w:r>
      <w:proofErr w:type="gramEnd"/>
      <w:r>
        <w:t>. doi:10.1155/2019/6731905. PMID: 31093382</w:t>
      </w:r>
    </w:p>
    <w:p w14:paraId="672459FF" w14:textId="77777777" w:rsidR="00AB378F" w:rsidRPr="00AB378F" w:rsidRDefault="00AB378F" w:rsidP="0071138C">
      <w:pPr>
        <w:pStyle w:val="ListParagraph"/>
        <w:numPr>
          <w:ilvl w:val="0"/>
          <w:numId w:val="31"/>
        </w:numPr>
        <w:spacing w:line="480" w:lineRule="auto"/>
        <w:jc w:val="both"/>
        <w:rPr>
          <w:rFonts w:ascii="Arial" w:hAnsi="Arial" w:cs="Arial"/>
        </w:rPr>
      </w:pPr>
      <w:r>
        <w:rPr>
          <w:rStyle w:val="relative"/>
        </w:rPr>
        <w:t xml:space="preserve">Durán Ojeda G, </w:t>
      </w:r>
      <w:proofErr w:type="spellStart"/>
      <w:r>
        <w:rPr>
          <w:rStyle w:val="relative"/>
        </w:rPr>
        <w:t>Henríquez</w:t>
      </w:r>
      <w:proofErr w:type="spellEnd"/>
      <w:r>
        <w:rPr>
          <w:rStyle w:val="relative"/>
        </w:rPr>
        <w:t xml:space="preserve"> Gutiérrez I, Guzmán </w:t>
      </w:r>
      <w:proofErr w:type="spellStart"/>
      <w:r>
        <w:rPr>
          <w:rStyle w:val="relative"/>
        </w:rPr>
        <w:t>Marusic</w:t>
      </w:r>
      <w:proofErr w:type="spellEnd"/>
      <w:r>
        <w:rPr>
          <w:rStyle w:val="relative"/>
        </w:rPr>
        <w:t xml:space="preserve"> Á, </w:t>
      </w:r>
      <w:proofErr w:type="spellStart"/>
      <w:r>
        <w:rPr>
          <w:rStyle w:val="relative"/>
        </w:rPr>
        <w:t>Báez</w:t>
      </w:r>
      <w:proofErr w:type="spellEnd"/>
      <w:r>
        <w:rPr>
          <w:rStyle w:val="relative"/>
        </w:rPr>
        <w:t xml:space="preserve"> Rosales A, </w:t>
      </w:r>
      <w:proofErr w:type="spellStart"/>
      <w:r>
        <w:rPr>
          <w:rStyle w:val="relative"/>
        </w:rPr>
        <w:t>Tisi</w:t>
      </w:r>
      <w:proofErr w:type="spellEnd"/>
      <w:r>
        <w:rPr>
          <w:rStyle w:val="relative"/>
        </w:rPr>
        <w:t xml:space="preserve"> </w:t>
      </w:r>
      <w:proofErr w:type="spellStart"/>
      <w:r>
        <w:rPr>
          <w:rStyle w:val="relative"/>
        </w:rPr>
        <w:t>Lanchares</w:t>
      </w:r>
      <w:proofErr w:type="spellEnd"/>
      <w:r>
        <w:rPr>
          <w:rStyle w:val="relative"/>
        </w:rPr>
        <w:t xml:space="preserve"> JP. Hybrid CAD/CAM workflow for diastema closure using a minimal </w:t>
      </w:r>
      <w:r>
        <w:rPr>
          <w:rStyle w:val="relative"/>
        </w:rPr>
        <w:lastRenderedPageBreak/>
        <w:t xml:space="preserve">intervention technique: a case report. </w:t>
      </w:r>
      <w:r>
        <w:rPr>
          <w:rStyle w:val="Emphasis"/>
        </w:rPr>
        <w:t>Case Rep Dent.</w:t>
      </w:r>
      <w:r>
        <w:rPr>
          <w:rStyle w:val="relative"/>
        </w:rPr>
        <w:t xml:space="preserve"> </w:t>
      </w:r>
      <w:proofErr w:type="gramStart"/>
      <w:r>
        <w:rPr>
          <w:rStyle w:val="relative"/>
        </w:rPr>
        <w:t>2017;2017:3801419</w:t>
      </w:r>
      <w:proofErr w:type="gramEnd"/>
      <w:r>
        <w:rPr>
          <w:rStyle w:val="relative"/>
        </w:rPr>
        <w:t>. doi:10.1155/2017/3801419. PMID: 28884029.</w:t>
      </w:r>
      <w:r>
        <w:t xml:space="preserve"> </w:t>
      </w:r>
    </w:p>
    <w:p w14:paraId="6F2F8E0A" w14:textId="789D8C83"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Miranda MI, Rodrigues JC, Valadares Neto JP; et al. Anterior aesthetic rehabilitation for midline diastema closure with veneers: a case report. </w:t>
      </w:r>
      <w:r w:rsidRPr="0071138C">
        <w:rPr>
          <w:rStyle w:val="Emphasis"/>
          <w:rFonts w:ascii="Arial" w:hAnsi="Arial" w:cs="Arial"/>
        </w:rPr>
        <w:t xml:space="preserve">J Clin </w:t>
      </w:r>
      <w:proofErr w:type="spellStart"/>
      <w:r w:rsidRPr="0071138C">
        <w:rPr>
          <w:rStyle w:val="Emphasis"/>
          <w:rFonts w:ascii="Arial" w:hAnsi="Arial" w:cs="Arial"/>
        </w:rPr>
        <w:t>Pediatr</w:t>
      </w:r>
      <w:proofErr w:type="spellEnd"/>
      <w:r w:rsidRPr="0071138C">
        <w:rPr>
          <w:rStyle w:val="Emphasis"/>
          <w:rFonts w:ascii="Arial" w:hAnsi="Arial" w:cs="Arial"/>
        </w:rPr>
        <w:t xml:space="preserve"> Dent.</w:t>
      </w:r>
      <w:r w:rsidRPr="0071138C">
        <w:rPr>
          <w:rFonts w:ascii="Arial" w:hAnsi="Arial" w:cs="Arial"/>
        </w:rPr>
        <w:t xml:space="preserve"> 2002;26(2):165–9.</w:t>
      </w:r>
    </w:p>
    <w:p w14:paraId="0E68F71E" w14:textId="77777777"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Chu CH, Zhang CF, Jin LJ. Treating a maxillary midline diastema in adult patients: a general dentist’s perspective. </w:t>
      </w:r>
      <w:r w:rsidRPr="0071138C">
        <w:rPr>
          <w:rStyle w:val="Emphasis"/>
          <w:rFonts w:ascii="Arial" w:hAnsi="Arial" w:cs="Arial"/>
        </w:rPr>
        <w:t>J Am Dent Assoc.</w:t>
      </w:r>
      <w:r w:rsidRPr="0071138C">
        <w:rPr>
          <w:rFonts w:ascii="Arial" w:hAnsi="Arial" w:cs="Arial"/>
        </w:rPr>
        <w:t xml:space="preserve"> 2011;142(11):1258–64.</w:t>
      </w:r>
    </w:p>
    <w:p w14:paraId="6BDCF983" w14:textId="56E2FCF7" w:rsidR="0071138C" w:rsidRPr="0071138C" w:rsidRDefault="00AD5CA0" w:rsidP="0071138C">
      <w:pPr>
        <w:pStyle w:val="ListParagraph"/>
        <w:numPr>
          <w:ilvl w:val="0"/>
          <w:numId w:val="31"/>
        </w:numPr>
        <w:spacing w:line="480" w:lineRule="auto"/>
        <w:jc w:val="both"/>
        <w:rPr>
          <w:rFonts w:ascii="Arial" w:hAnsi="Arial" w:cs="Arial"/>
        </w:rPr>
      </w:pPr>
      <w:proofErr w:type="spellStart"/>
      <w:r>
        <w:t>Rondon</w:t>
      </w:r>
      <w:proofErr w:type="spellEnd"/>
      <w:r>
        <w:t xml:space="preserve"> RL, da Cunha LF, Gonzaga CC, </w:t>
      </w:r>
      <w:proofErr w:type="spellStart"/>
      <w:r>
        <w:t>Gugelmin</w:t>
      </w:r>
      <w:proofErr w:type="spellEnd"/>
      <w:r>
        <w:t xml:space="preserve"> BP, </w:t>
      </w:r>
      <w:proofErr w:type="spellStart"/>
      <w:r>
        <w:t>Correr</w:t>
      </w:r>
      <w:proofErr w:type="spellEnd"/>
      <w:r>
        <w:t xml:space="preserve"> GM. Direct vs indirect restorations for diastema closure: determining the suitable approach. </w:t>
      </w:r>
      <w:r>
        <w:rPr>
          <w:rStyle w:val="Emphasis"/>
        </w:rPr>
        <w:t xml:space="preserve">Dent Med </w:t>
      </w:r>
      <w:proofErr w:type="spellStart"/>
      <w:r>
        <w:rPr>
          <w:rStyle w:val="Emphasis"/>
        </w:rPr>
        <w:t>Probl</w:t>
      </w:r>
      <w:proofErr w:type="spellEnd"/>
      <w:r>
        <w:t>. 2023;60(4):333–340. doi:10.17219/</w:t>
      </w:r>
      <w:proofErr w:type="spellStart"/>
      <w:r>
        <w:t>dmp</w:t>
      </w:r>
      <w:proofErr w:type="spellEnd"/>
      <w:r>
        <w:t>/153287. PMID: 37595084</w:t>
      </w:r>
      <w:r w:rsidR="0071138C" w:rsidRPr="0071138C">
        <w:rPr>
          <w:rFonts w:ascii="Arial" w:hAnsi="Arial" w:cs="Arial"/>
        </w:rPr>
        <w:t>.</w:t>
      </w:r>
    </w:p>
    <w:p w14:paraId="38EA624F" w14:textId="6BACCDBF" w:rsidR="00727CEA" w:rsidRPr="00727CEA" w:rsidRDefault="00727CEA" w:rsidP="0071138C">
      <w:pPr>
        <w:pStyle w:val="ListParagraph"/>
        <w:numPr>
          <w:ilvl w:val="0"/>
          <w:numId w:val="31"/>
        </w:numPr>
        <w:spacing w:line="480" w:lineRule="auto"/>
        <w:jc w:val="both"/>
        <w:rPr>
          <w:rStyle w:val="relative"/>
          <w:rFonts w:ascii="Arial" w:hAnsi="Arial" w:cs="Arial"/>
        </w:rPr>
      </w:pPr>
      <w:proofErr w:type="spellStart"/>
      <w:r>
        <w:rPr>
          <w:rStyle w:val="Strong"/>
        </w:rPr>
        <w:t>Romanini</w:t>
      </w:r>
      <w:proofErr w:type="spellEnd"/>
      <w:r>
        <w:rPr>
          <w:rStyle w:val="Strong"/>
        </w:rPr>
        <w:noBreakHyphen/>
        <w:t>Junior JC</w:t>
      </w:r>
      <w:r>
        <w:t xml:space="preserve">, </w:t>
      </w:r>
      <w:proofErr w:type="spellStart"/>
      <w:r>
        <w:t>Kumagai</w:t>
      </w:r>
      <w:proofErr w:type="spellEnd"/>
      <w:r>
        <w:t xml:space="preserve"> RY, Ortega LF, Rodrigues JA, Cassoni A. Adhesive/silane application effects on bond strength durability to a lithium disilicate ceramic. </w:t>
      </w:r>
      <w:r>
        <w:rPr>
          <w:rStyle w:val="Emphasis"/>
        </w:rPr>
        <w:t xml:space="preserve">J </w:t>
      </w:r>
      <w:proofErr w:type="spellStart"/>
      <w:r>
        <w:rPr>
          <w:rStyle w:val="Emphasis"/>
        </w:rPr>
        <w:t>Esthet</w:t>
      </w:r>
      <w:proofErr w:type="spellEnd"/>
      <w:r>
        <w:rPr>
          <w:rStyle w:val="Emphasis"/>
        </w:rPr>
        <w:t xml:space="preserve"> </w:t>
      </w:r>
      <w:proofErr w:type="spellStart"/>
      <w:r>
        <w:rPr>
          <w:rStyle w:val="Emphasis"/>
        </w:rPr>
        <w:t>Restor</w:t>
      </w:r>
      <w:proofErr w:type="spellEnd"/>
      <w:r>
        <w:rPr>
          <w:rStyle w:val="Emphasis"/>
        </w:rPr>
        <w:t xml:space="preserve"> Dent.</w:t>
      </w:r>
      <w:r>
        <w:t xml:space="preserve"> 2018 Sep;30(4):346–351. doi:10.1111/jerd.12387. PMID: 29766651</w:t>
      </w:r>
      <w:r>
        <w:rPr>
          <w:rStyle w:val="relative"/>
        </w:rPr>
        <w:t>.</w:t>
      </w:r>
    </w:p>
    <w:p w14:paraId="772272F4" w14:textId="4B093677" w:rsidR="00AD5CA0" w:rsidRPr="00AD5CA0" w:rsidRDefault="00AD5CA0" w:rsidP="0071138C">
      <w:pPr>
        <w:pStyle w:val="ListParagraph"/>
        <w:numPr>
          <w:ilvl w:val="0"/>
          <w:numId w:val="31"/>
        </w:numPr>
        <w:spacing w:line="480" w:lineRule="auto"/>
        <w:jc w:val="both"/>
        <w:rPr>
          <w:rFonts w:ascii="Arial" w:hAnsi="Arial" w:cs="Arial"/>
        </w:rPr>
      </w:pPr>
      <w:proofErr w:type="spellStart"/>
      <w:r>
        <w:rPr>
          <w:rStyle w:val="relative"/>
        </w:rPr>
        <w:t>Peumans</w:t>
      </w:r>
      <w:proofErr w:type="spellEnd"/>
      <w:r>
        <w:rPr>
          <w:rStyle w:val="relative"/>
        </w:rPr>
        <w:t xml:space="preserve"> M, Van </w:t>
      </w:r>
      <w:proofErr w:type="spellStart"/>
      <w:r>
        <w:rPr>
          <w:rStyle w:val="relative"/>
        </w:rPr>
        <w:t>Meerbeek</w:t>
      </w:r>
      <w:proofErr w:type="spellEnd"/>
      <w:r>
        <w:rPr>
          <w:rStyle w:val="relative"/>
        </w:rPr>
        <w:t xml:space="preserve"> B, </w:t>
      </w:r>
      <w:proofErr w:type="spellStart"/>
      <w:r>
        <w:rPr>
          <w:rStyle w:val="relative"/>
        </w:rPr>
        <w:t>Lambrechts</w:t>
      </w:r>
      <w:proofErr w:type="spellEnd"/>
      <w:r>
        <w:rPr>
          <w:rStyle w:val="relative"/>
        </w:rPr>
        <w:t xml:space="preserve"> P, </w:t>
      </w:r>
      <w:proofErr w:type="spellStart"/>
      <w:r>
        <w:rPr>
          <w:rStyle w:val="relative"/>
        </w:rPr>
        <w:t>Vanherle</w:t>
      </w:r>
      <w:proofErr w:type="spellEnd"/>
      <w:r>
        <w:rPr>
          <w:rStyle w:val="relative"/>
        </w:rPr>
        <w:t xml:space="preserve"> G. Porcelain veneers: a review of the literature. </w:t>
      </w:r>
      <w:r>
        <w:rPr>
          <w:rStyle w:val="Emphasis"/>
        </w:rPr>
        <w:t>J Dent</w:t>
      </w:r>
      <w:r>
        <w:rPr>
          <w:rStyle w:val="relative"/>
        </w:rPr>
        <w:t>. 2000 Mar;28(3):163–177. doi:10.1016/S0300</w:t>
      </w:r>
      <w:r>
        <w:rPr>
          <w:rStyle w:val="relative"/>
        </w:rPr>
        <w:noBreakHyphen/>
        <w:t>5712(99)00029</w:t>
      </w:r>
      <w:r>
        <w:rPr>
          <w:rStyle w:val="relative"/>
        </w:rPr>
        <w:noBreakHyphen/>
        <w:t xml:space="preserve">6. PMID: </w:t>
      </w:r>
      <w:r>
        <w:rPr>
          <w:rStyle w:val="Emphasis"/>
        </w:rPr>
        <w:t>11063830</w:t>
      </w:r>
      <w:r>
        <w:t xml:space="preserve"> </w:t>
      </w:r>
    </w:p>
    <w:p w14:paraId="475B9F53" w14:textId="7FA0E6C2" w:rsidR="0071138C" w:rsidRPr="0071138C" w:rsidRDefault="0071138C" w:rsidP="0071138C">
      <w:pPr>
        <w:pStyle w:val="ListParagraph"/>
        <w:numPr>
          <w:ilvl w:val="0"/>
          <w:numId w:val="31"/>
        </w:numPr>
        <w:spacing w:line="480" w:lineRule="auto"/>
        <w:jc w:val="both"/>
        <w:rPr>
          <w:rFonts w:ascii="Arial" w:hAnsi="Arial" w:cs="Arial"/>
        </w:rPr>
      </w:pPr>
      <w:r w:rsidRPr="0071138C">
        <w:rPr>
          <w:rFonts w:ascii="Arial" w:hAnsi="Arial" w:cs="Arial"/>
        </w:rPr>
        <w:t xml:space="preserve">Klein P, </w:t>
      </w:r>
      <w:proofErr w:type="spellStart"/>
      <w:r w:rsidRPr="0071138C">
        <w:rPr>
          <w:rFonts w:ascii="Arial" w:hAnsi="Arial" w:cs="Arial"/>
        </w:rPr>
        <w:t>Spitznagel</w:t>
      </w:r>
      <w:proofErr w:type="spellEnd"/>
      <w:r w:rsidRPr="0071138C">
        <w:rPr>
          <w:rFonts w:ascii="Arial" w:hAnsi="Arial" w:cs="Arial"/>
        </w:rPr>
        <w:t xml:space="preserve"> FA, </w:t>
      </w:r>
      <w:proofErr w:type="spellStart"/>
      <w:r w:rsidRPr="0071138C">
        <w:rPr>
          <w:rFonts w:ascii="Arial" w:hAnsi="Arial" w:cs="Arial"/>
        </w:rPr>
        <w:t>Zembic</w:t>
      </w:r>
      <w:proofErr w:type="spellEnd"/>
      <w:r w:rsidRPr="0071138C">
        <w:rPr>
          <w:rFonts w:ascii="Arial" w:hAnsi="Arial" w:cs="Arial"/>
        </w:rPr>
        <w:t xml:space="preserve"> A, </w:t>
      </w:r>
      <w:proofErr w:type="spellStart"/>
      <w:r w:rsidRPr="0071138C">
        <w:rPr>
          <w:rFonts w:ascii="Arial" w:hAnsi="Arial" w:cs="Arial"/>
        </w:rPr>
        <w:t>Prott</w:t>
      </w:r>
      <w:proofErr w:type="spellEnd"/>
      <w:r w:rsidRPr="0071138C">
        <w:rPr>
          <w:rFonts w:ascii="Arial" w:hAnsi="Arial" w:cs="Arial"/>
        </w:rPr>
        <w:t xml:space="preserve"> LS, </w:t>
      </w:r>
      <w:proofErr w:type="spellStart"/>
      <w:r w:rsidRPr="0071138C">
        <w:rPr>
          <w:rFonts w:ascii="Arial" w:hAnsi="Arial" w:cs="Arial"/>
        </w:rPr>
        <w:t>Pieralli</w:t>
      </w:r>
      <w:proofErr w:type="spellEnd"/>
      <w:r w:rsidRPr="0071138C">
        <w:rPr>
          <w:rFonts w:ascii="Arial" w:hAnsi="Arial" w:cs="Arial"/>
        </w:rPr>
        <w:t xml:space="preserve"> S, </w:t>
      </w:r>
      <w:proofErr w:type="spellStart"/>
      <w:r w:rsidRPr="0071138C">
        <w:rPr>
          <w:rFonts w:ascii="Arial" w:hAnsi="Arial" w:cs="Arial"/>
        </w:rPr>
        <w:t>Bongaerts</w:t>
      </w:r>
      <w:proofErr w:type="spellEnd"/>
      <w:r w:rsidRPr="0071138C">
        <w:rPr>
          <w:rFonts w:ascii="Arial" w:hAnsi="Arial" w:cs="Arial"/>
        </w:rPr>
        <w:t xml:space="preserve"> B, et al. Survival and complication rates of feldspathic, leucite</w:t>
      </w:r>
      <w:r w:rsidRPr="0071138C">
        <w:rPr>
          <w:rFonts w:ascii="Arial" w:hAnsi="Arial" w:cs="Arial"/>
        </w:rPr>
        <w:noBreakHyphen/>
        <w:t>reinforced, lithium disilicate and zirconia ceramic laminate veneers: a systematic review and meta</w:t>
      </w:r>
      <w:r w:rsidRPr="0071138C">
        <w:rPr>
          <w:rFonts w:ascii="Arial" w:hAnsi="Arial" w:cs="Arial"/>
        </w:rPr>
        <w:noBreakHyphen/>
        <w:t xml:space="preserve">analysis. </w:t>
      </w:r>
      <w:r w:rsidRPr="0071138C">
        <w:rPr>
          <w:rStyle w:val="Emphasis"/>
          <w:rFonts w:ascii="Arial" w:hAnsi="Arial" w:cs="Arial"/>
        </w:rPr>
        <w:t xml:space="preserve">J </w:t>
      </w:r>
      <w:proofErr w:type="spellStart"/>
      <w:r w:rsidRPr="0071138C">
        <w:rPr>
          <w:rStyle w:val="Emphasis"/>
          <w:rFonts w:ascii="Arial" w:hAnsi="Arial" w:cs="Arial"/>
        </w:rPr>
        <w:t>Esthet</w:t>
      </w:r>
      <w:proofErr w:type="spellEnd"/>
      <w:r w:rsidRPr="0071138C">
        <w:rPr>
          <w:rStyle w:val="Emphasis"/>
          <w:rFonts w:ascii="Arial" w:hAnsi="Arial" w:cs="Arial"/>
        </w:rPr>
        <w:t xml:space="preserve"> </w:t>
      </w:r>
      <w:proofErr w:type="spellStart"/>
      <w:r w:rsidRPr="0071138C">
        <w:rPr>
          <w:rStyle w:val="Emphasis"/>
          <w:rFonts w:ascii="Arial" w:hAnsi="Arial" w:cs="Arial"/>
        </w:rPr>
        <w:t>Restor</w:t>
      </w:r>
      <w:proofErr w:type="spellEnd"/>
      <w:r w:rsidRPr="0071138C">
        <w:rPr>
          <w:rStyle w:val="Emphasis"/>
          <w:rFonts w:ascii="Arial" w:hAnsi="Arial" w:cs="Arial"/>
        </w:rPr>
        <w:t xml:space="preserve"> Dent.</w:t>
      </w:r>
      <w:r w:rsidRPr="0071138C">
        <w:rPr>
          <w:rFonts w:ascii="Arial" w:hAnsi="Arial" w:cs="Arial"/>
        </w:rPr>
        <w:t xml:space="preserve"> 2025;37(3):601–19.</w:t>
      </w:r>
    </w:p>
    <w:p w14:paraId="20FC03DA" w14:textId="6FB9DD0C" w:rsidR="0071138C" w:rsidRPr="0071138C" w:rsidRDefault="0071138C" w:rsidP="0071138C">
      <w:pPr>
        <w:pStyle w:val="ListParagraph"/>
        <w:numPr>
          <w:ilvl w:val="0"/>
          <w:numId w:val="31"/>
        </w:numPr>
        <w:spacing w:line="480" w:lineRule="auto"/>
        <w:jc w:val="both"/>
        <w:rPr>
          <w:rStyle w:val="relative"/>
          <w:rFonts w:ascii="Arial" w:hAnsi="Arial" w:cs="Arial"/>
        </w:rPr>
      </w:pPr>
      <w:r w:rsidRPr="0071138C">
        <w:rPr>
          <w:rStyle w:val="relative"/>
          <w:rFonts w:ascii="Arial" w:hAnsi="Arial" w:cs="Arial"/>
        </w:rPr>
        <w:t xml:space="preserve">Soares-Rusu IB, Villavicencio-Espinoza CA, de Oliveira NA, Wang L, Honório HM, Rubo JH, et al. Clinical evaluation of lithium disilicate veneers </w:t>
      </w:r>
      <w:r w:rsidRPr="0071138C">
        <w:rPr>
          <w:rStyle w:val="relative"/>
          <w:rFonts w:ascii="Arial" w:hAnsi="Arial" w:cs="Arial"/>
        </w:rPr>
        <w:lastRenderedPageBreak/>
        <w:t xml:space="preserve">manufactured by </w:t>
      </w:r>
      <w:r w:rsidR="003657A0">
        <w:rPr>
          <w:rStyle w:val="relative"/>
          <w:rFonts w:ascii="Arial" w:hAnsi="Arial" w:cs="Arial"/>
        </w:rPr>
        <w:t>CAD/CAM</w:t>
      </w:r>
      <w:r w:rsidRPr="0071138C">
        <w:rPr>
          <w:rStyle w:val="relative"/>
          <w:rFonts w:ascii="Arial" w:hAnsi="Arial" w:cs="Arial"/>
        </w:rPr>
        <w:t xml:space="preserve"> compared with heat</w:t>
      </w:r>
      <w:r w:rsidRPr="0071138C">
        <w:rPr>
          <w:rStyle w:val="relative"/>
          <w:rFonts w:ascii="Arial" w:hAnsi="Arial" w:cs="Arial"/>
        </w:rPr>
        <w:noBreakHyphen/>
        <w:t xml:space="preserve">pressed methods: randomized controlled clinical trial. </w:t>
      </w:r>
      <w:r w:rsidRPr="0071138C">
        <w:rPr>
          <w:rStyle w:val="Emphasis"/>
          <w:rFonts w:ascii="Arial" w:hAnsi="Arial" w:cs="Arial"/>
        </w:rPr>
        <w:t>Oper Dent.</w:t>
      </w:r>
      <w:r w:rsidRPr="0071138C">
        <w:rPr>
          <w:rStyle w:val="relative"/>
          <w:rFonts w:ascii="Arial" w:hAnsi="Arial" w:cs="Arial"/>
        </w:rPr>
        <w:t xml:space="preserve"> 2021;46(1):4–14.</w:t>
      </w:r>
    </w:p>
    <w:p w14:paraId="17D0E40B" w14:textId="77777777" w:rsidR="00727CEA" w:rsidRPr="00727CEA" w:rsidRDefault="00727CEA" w:rsidP="00401FD2">
      <w:pPr>
        <w:pStyle w:val="ListParagraph"/>
        <w:numPr>
          <w:ilvl w:val="0"/>
          <w:numId w:val="31"/>
        </w:numPr>
        <w:spacing w:line="480" w:lineRule="auto"/>
        <w:jc w:val="both"/>
        <w:rPr>
          <w:rFonts w:ascii="Arial" w:hAnsi="Arial" w:cs="Arial"/>
        </w:rPr>
      </w:pPr>
      <w:proofErr w:type="spellStart"/>
      <w:r>
        <w:t>Nejatidanesh</w:t>
      </w:r>
      <w:proofErr w:type="spellEnd"/>
      <w:r>
        <w:t xml:space="preserve"> F, </w:t>
      </w:r>
      <w:proofErr w:type="spellStart"/>
      <w:r>
        <w:t>Savabi</w:t>
      </w:r>
      <w:proofErr w:type="spellEnd"/>
      <w:r>
        <w:t xml:space="preserve"> G, </w:t>
      </w:r>
      <w:proofErr w:type="spellStart"/>
      <w:r>
        <w:t>Amjadi</w:t>
      </w:r>
      <w:proofErr w:type="spellEnd"/>
      <w:r>
        <w:t xml:space="preserve"> M, Abbasi M, </w:t>
      </w:r>
      <w:proofErr w:type="spellStart"/>
      <w:r>
        <w:t>Savabi</w:t>
      </w:r>
      <w:proofErr w:type="spellEnd"/>
      <w:r>
        <w:t xml:space="preserve"> O. Five</w:t>
      </w:r>
      <w:r>
        <w:noBreakHyphen/>
        <w:t xml:space="preserve">year clinical outcomes and survival of chairside CAD/CAM ceramic laminate veneers—a retrospective study. </w:t>
      </w:r>
      <w:r>
        <w:rPr>
          <w:rStyle w:val="Emphasis"/>
        </w:rPr>
        <w:t xml:space="preserve">J </w:t>
      </w:r>
      <w:proofErr w:type="spellStart"/>
      <w:r>
        <w:rPr>
          <w:rStyle w:val="Emphasis"/>
        </w:rPr>
        <w:t>Prosthodont</w:t>
      </w:r>
      <w:proofErr w:type="spellEnd"/>
      <w:r>
        <w:rPr>
          <w:rStyle w:val="Emphasis"/>
        </w:rPr>
        <w:t xml:space="preserve"> Res.</w:t>
      </w:r>
      <w:r>
        <w:t xml:space="preserve"> 2018 Dec;62(4):462–467. doi:10.1016/j.jpor.2018.05.004. PMID: 29936052</w:t>
      </w:r>
    </w:p>
    <w:p w14:paraId="6B45CFA4" w14:textId="52622D7E" w:rsidR="00790ADA" w:rsidRPr="00401FD2" w:rsidRDefault="00727CEA" w:rsidP="00401FD2">
      <w:pPr>
        <w:pStyle w:val="ListParagraph"/>
        <w:numPr>
          <w:ilvl w:val="0"/>
          <w:numId w:val="31"/>
        </w:numPr>
        <w:spacing w:line="480" w:lineRule="auto"/>
        <w:jc w:val="both"/>
        <w:rPr>
          <w:rFonts w:ascii="Arial" w:hAnsi="Arial" w:cs="Arial"/>
        </w:rPr>
      </w:pPr>
      <w:proofErr w:type="spellStart"/>
      <w:r>
        <w:t>Pachiou</w:t>
      </w:r>
      <w:proofErr w:type="spellEnd"/>
      <w:r>
        <w:t xml:space="preserve"> A, </w:t>
      </w:r>
      <w:proofErr w:type="spellStart"/>
      <w:r>
        <w:t>Zervou</w:t>
      </w:r>
      <w:proofErr w:type="spellEnd"/>
      <w:r>
        <w:t xml:space="preserve"> E, </w:t>
      </w:r>
      <w:proofErr w:type="spellStart"/>
      <w:r>
        <w:t>Tsirogiannis</w:t>
      </w:r>
      <w:proofErr w:type="spellEnd"/>
      <w:r>
        <w:t xml:space="preserve"> P, </w:t>
      </w:r>
      <w:proofErr w:type="spellStart"/>
      <w:r>
        <w:t>Sykaras</w:t>
      </w:r>
      <w:proofErr w:type="spellEnd"/>
      <w:r>
        <w:t xml:space="preserve"> N. Evaluation of the marginal fit of lithium disilicate single crowns fabricated with the conventional (IPS </w:t>
      </w:r>
      <w:proofErr w:type="spellStart"/>
      <w:r>
        <w:t>e.max</w:t>
      </w:r>
      <w:proofErr w:type="spellEnd"/>
      <w:r>
        <w:t xml:space="preserve"> Press) and CAD/CAM (IPS </w:t>
      </w:r>
      <w:proofErr w:type="spellStart"/>
      <w:r>
        <w:t>e.max</w:t>
      </w:r>
      <w:proofErr w:type="spellEnd"/>
      <w:r>
        <w:t xml:space="preserve"> CAD) methods: a systematic review and meta-analysis. </w:t>
      </w:r>
      <w:r>
        <w:rPr>
          <w:rStyle w:val="Emphasis"/>
        </w:rPr>
        <w:t xml:space="preserve">Int J </w:t>
      </w:r>
      <w:proofErr w:type="spellStart"/>
      <w:r>
        <w:rPr>
          <w:rStyle w:val="Emphasis"/>
        </w:rPr>
        <w:t>Comput</w:t>
      </w:r>
      <w:proofErr w:type="spellEnd"/>
      <w:r>
        <w:rPr>
          <w:rStyle w:val="Emphasis"/>
        </w:rPr>
        <w:t xml:space="preserve"> Dent.</w:t>
      </w:r>
      <w:r>
        <w:t xml:space="preserve"> 2024;27(4):365–377. doi:10.3290/j.ijcd.b4224643. PMID: 37477084.</w:t>
      </w:r>
      <w:r w:rsidR="0071138C" w:rsidRPr="0071138C">
        <w:rPr>
          <w:rStyle w:val="Emphasis"/>
          <w:rFonts w:ascii="Arial" w:hAnsi="Arial" w:cs="Arial"/>
        </w:rPr>
        <w:t xml:space="preserve">Joral </w:t>
      </w:r>
      <w:proofErr w:type="spellStart"/>
      <w:r w:rsidR="0071138C" w:rsidRPr="0071138C">
        <w:rPr>
          <w:rStyle w:val="Emphasis"/>
          <w:rFonts w:ascii="Arial" w:hAnsi="Arial" w:cs="Arial"/>
        </w:rPr>
        <w:t>Rehabil</w:t>
      </w:r>
      <w:proofErr w:type="spellEnd"/>
      <w:r w:rsidR="0071138C" w:rsidRPr="0071138C">
        <w:rPr>
          <w:rStyle w:val="Emphasis"/>
          <w:rFonts w:ascii="Arial" w:hAnsi="Arial" w:cs="Arial"/>
        </w:rPr>
        <w:t>.</w:t>
      </w:r>
      <w:r w:rsidR="0071138C" w:rsidRPr="0071138C">
        <w:rPr>
          <w:rFonts w:ascii="Arial" w:hAnsi="Arial" w:cs="Arial"/>
        </w:rPr>
        <w:t xml:space="preserve"> 2019;46(3):306–14.</w:t>
      </w:r>
    </w:p>
    <w:p w14:paraId="23D19360" w14:textId="493D022E" w:rsidR="005C784C" w:rsidRPr="00401FD2" w:rsidRDefault="005C784C" w:rsidP="00401FD2">
      <w:pPr>
        <w:pStyle w:val="ReferHead"/>
        <w:spacing w:after="0" w:line="360" w:lineRule="auto"/>
        <w:jc w:val="both"/>
        <w:rPr>
          <w:rFonts w:ascii="Arial" w:hAnsi="Arial" w:cs="Arial"/>
          <w:b w:val="0"/>
          <w:caps w:val="0"/>
          <w:szCs w:val="22"/>
        </w:rPr>
      </w:pPr>
    </w:p>
    <w:sectPr w:rsidR="005C784C" w:rsidRPr="00401FD2" w:rsidSect="001921C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9841" w14:textId="77777777" w:rsidR="00840E67" w:rsidRDefault="00840E67" w:rsidP="00C37E61">
      <w:r>
        <w:separator/>
      </w:r>
    </w:p>
  </w:endnote>
  <w:endnote w:type="continuationSeparator" w:id="0">
    <w:p w14:paraId="548E63B5" w14:textId="77777777" w:rsidR="00840E67" w:rsidRDefault="00840E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33BB4" w14:textId="77777777" w:rsidR="002C03DC" w:rsidRDefault="002C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DF2B" w14:textId="77777777" w:rsidR="002C03DC" w:rsidRDefault="002C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515B" w14:textId="77777777" w:rsidR="009E048A" w:rsidRDefault="009E048A">
    <w:pPr>
      <w:pStyle w:val="Footer"/>
      <w:rPr>
        <w:rFonts w:ascii="Arial" w:hAnsi="Arial" w:cs="Arial"/>
        <w:sz w:val="16"/>
      </w:rPr>
    </w:pPr>
  </w:p>
  <w:p w14:paraId="532116B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770E0F7" w14:textId="77777777" w:rsidR="009E048A" w:rsidRDefault="009E048A">
    <w:pPr>
      <w:pStyle w:val="Footer"/>
      <w:rPr>
        <w:rFonts w:ascii="Arial" w:hAnsi="Arial" w:cs="Arial"/>
        <w:sz w:val="16"/>
      </w:rPr>
    </w:pPr>
  </w:p>
  <w:p w14:paraId="00733A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DCD3" w14:textId="77777777" w:rsidR="00840E67" w:rsidRDefault="00840E67" w:rsidP="00C37E61">
      <w:r>
        <w:separator/>
      </w:r>
    </w:p>
  </w:footnote>
  <w:footnote w:type="continuationSeparator" w:id="0">
    <w:p w14:paraId="0B11B686" w14:textId="77777777" w:rsidR="00840E67" w:rsidRDefault="00840E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791E" w14:textId="2E7F7C3E" w:rsidR="002C03DC" w:rsidRDefault="00840E67">
    <w:pPr>
      <w:pStyle w:val="Header"/>
    </w:pPr>
    <w:r>
      <w:rPr>
        <w:noProof/>
      </w:rPr>
      <w:pict w14:anchorId="71178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CF92" w14:textId="6486DBC8" w:rsidR="002C03DC" w:rsidRDefault="00840E67">
    <w:pPr>
      <w:pStyle w:val="Header"/>
    </w:pPr>
    <w:r>
      <w:rPr>
        <w:noProof/>
      </w:rPr>
      <w:pict w14:anchorId="41AEA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D2D9" w14:textId="3996E2D7" w:rsidR="00296529" w:rsidRPr="00296529" w:rsidRDefault="00840E67" w:rsidP="00296529">
    <w:pPr>
      <w:ind w:left="2160"/>
      <w:jc w:val="center"/>
      <w:rPr>
        <w:rFonts w:ascii="Times New Roman" w:eastAsia="Calibri" w:hAnsi="Times New Roman"/>
        <w:i/>
        <w:sz w:val="18"/>
        <w:szCs w:val="22"/>
      </w:rPr>
    </w:pPr>
    <w:r>
      <w:rPr>
        <w:noProof/>
      </w:rPr>
      <w:pict w14:anchorId="104E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64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034A4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A7E6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4749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D73C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4526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E95AE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87193E"/>
    <w:multiLevelType w:val="hybridMultilevel"/>
    <w:tmpl w:val="1666C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92239"/>
    <w:rsid w:val="000A47FA"/>
    <w:rsid w:val="000A65D3"/>
    <w:rsid w:val="000B1E33"/>
    <w:rsid w:val="000D689F"/>
    <w:rsid w:val="000E1B8E"/>
    <w:rsid w:val="000E7B7B"/>
    <w:rsid w:val="000E7D62"/>
    <w:rsid w:val="00103357"/>
    <w:rsid w:val="00123C9F"/>
    <w:rsid w:val="00126190"/>
    <w:rsid w:val="00130F17"/>
    <w:rsid w:val="001320BF"/>
    <w:rsid w:val="00163BC4"/>
    <w:rsid w:val="00191062"/>
    <w:rsid w:val="001921CD"/>
    <w:rsid w:val="00192B72"/>
    <w:rsid w:val="001A29D8"/>
    <w:rsid w:val="001A5CAA"/>
    <w:rsid w:val="001B0427"/>
    <w:rsid w:val="001D3A51"/>
    <w:rsid w:val="001E10D2"/>
    <w:rsid w:val="001E25B4"/>
    <w:rsid w:val="001E32FE"/>
    <w:rsid w:val="001E44FE"/>
    <w:rsid w:val="00200595"/>
    <w:rsid w:val="00204835"/>
    <w:rsid w:val="00231920"/>
    <w:rsid w:val="0023195C"/>
    <w:rsid w:val="0024282C"/>
    <w:rsid w:val="002460DC"/>
    <w:rsid w:val="00246FD8"/>
    <w:rsid w:val="00250985"/>
    <w:rsid w:val="002556F6"/>
    <w:rsid w:val="002640C9"/>
    <w:rsid w:val="00283105"/>
    <w:rsid w:val="00284C4C"/>
    <w:rsid w:val="00287E68"/>
    <w:rsid w:val="00296529"/>
    <w:rsid w:val="002B27FB"/>
    <w:rsid w:val="002B685A"/>
    <w:rsid w:val="002C03DC"/>
    <w:rsid w:val="002C57D2"/>
    <w:rsid w:val="002E0D56"/>
    <w:rsid w:val="00310BFD"/>
    <w:rsid w:val="00315186"/>
    <w:rsid w:val="0033343E"/>
    <w:rsid w:val="003512C2"/>
    <w:rsid w:val="003657A0"/>
    <w:rsid w:val="00371FB6"/>
    <w:rsid w:val="003763C1"/>
    <w:rsid w:val="00376BBE"/>
    <w:rsid w:val="0039224F"/>
    <w:rsid w:val="003A43A4"/>
    <w:rsid w:val="003A7E18"/>
    <w:rsid w:val="003C4C86"/>
    <w:rsid w:val="003C6258"/>
    <w:rsid w:val="003E2904"/>
    <w:rsid w:val="003E53B4"/>
    <w:rsid w:val="00401927"/>
    <w:rsid w:val="00401FD2"/>
    <w:rsid w:val="0041027F"/>
    <w:rsid w:val="00412475"/>
    <w:rsid w:val="00423789"/>
    <w:rsid w:val="00440F43"/>
    <w:rsid w:val="004417A8"/>
    <w:rsid w:val="00441B6F"/>
    <w:rsid w:val="00446221"/>
    <w:rsid w:val="00450E62"/>
    <w:rsid w:val="004539DB"/>
    <w:rsid w:val="00471A80"/>
    <w:rsid w:val="004B6171"/>
    <w:rsid w:val="004D17D2"/>
    <w:rsid w:val="004D305E"/>
    <w:rsid w:val="004D4277"/>
    <w:rsid w:val="00502516"/>
    <w:rsid w:val="00505F06"/>
    <w:rsid w:val="00506828"/>
    <w:rsid w:val="0053056E"/>
    <w:rsid w:val="00535E76"/>
    <w:rsid w:val="00554FDA"/>
    <w:rsid w:val="005C784C"/>
    <w:rsid w:val="005D17F6"/>
    <w:rsid w:val="005E5539"/>
    <w:rsid w:val="00602BF5"/>
    <w:rsid w:val="00615EAA"/>
    <w:rsid w:val="00617FDD"/>
    <w:rsid w:val="00633614"/>
    <w:rsid w:val="00633F68"/>
    <w:rsid w:val="00636EB2"/>
    <w:rsid w:val="006375B8"/>
    <w:rsid w:val="0066510A"/>
    <w:rsid w:val="00673F9F"/>
    <w:rsid w:val="00686953"/>
    <w:rsid w:val="00687DEA"/>
    <w:rsid w:val="00687E67"/>
    <w:rsid w:val="006951D4"/>
    <w:rsid w:val="006967F7"/>
    <w:rsid w:val="006A250C"/>
    <w:rsid w:val="006B21D3"/>
    <w:rsid w:val="006B57D0"/>
    <w:rsid w:val="006C68CA"/>
    <w:rsid w:val="006D30FF"/>
    <w:rsid w:val="006D6940"/>
    <w:rsid w:val="006F11EC"/>
    <w:rsid w:val="0070082C"/>
    <w:rsid w:val="00707A29"/>
    <w:rsid w:val="0071138C"/>
    <w:rsid w:val="00727CEA"/>
    <w:rsid w:val="007369E6"/>
    <w:rsid w:val="00746E59"/>
    <w:rsid w:val="00754C9A"/>
    <w:rsid w:val="0075599A"/>
    <w:rsid w:val="00761D52"/>
    <w:rsid w:val="0077749E"/>
    <w:rsid w:val="00790ADA"/>
    <w:rsid w:val="007B3A85"/>
    <w:rsid w:val="007D2288"/>
    <w:rsid w:val="007E088F"/>
    <w:rsid w:val="007F6E54"/>
    <w:rsid w:val="007F7B32"/>
    <w:rsid w:val="00804BC2"/>
    <w:rsid w:val="0081431A"/>
    <w:rsid w:val="0083216F"/>
    <w:rsid w:val="00840E67"/>
    <w:rsid w:val="00860000"/>
    <w:rsid w:val="00863BD3"/>
    <w:rsid w:val="008641ED"/>
    <w:rsid w:val="008668A8"/>
    <w:rsid w:val="00866D66"/>
    <w:rsid w:val="008671C6"/>
    <w:rsid w:val="00875803"/>
    <w:rsid w:val="00896C81"/>
    <w:rsid w:val="008B459E"/>
    <w:rsid w:val="008E13AE"/>
    <w:rsid w:val="008E1506"/>
    <w:rsid w:val="008E710C"/>
    <w:rsid w:val="008F69D6"/>
    <w:rsid w:val="00902823"/>
    <w:rsid w:val="00915CA6"/>
    <w:rsid w:val="0091659C"/>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378F"/>
    <w:rsid w:val="00AB703F"/>
    <w:rsid w:val="00AC2C31"/>
    <w:rsid w:val="00AC36D6"/>
    <w:rsid w:val="00AC6BB8"/>
    <w:rsid w:val="00AD5CA0"/>
    <w:rsid w:val="00AE008F"/>
    <w:rsid w:val="00B01FCD"/>
    <w:rsid w:val="00B15920"/>
    <w:rsid w:val="00B1776C"/>
    <w:rsid w:val="00B504C0"/>
    <w:rsid w:val="00B52583"/>
    <w:rsid w:val="00B52896"/>
    <w:rsid w:val="00B95236"/>
    <w:rsid w:val="00B96BD9"/>
    <w:rsid w:val="00BA1B01"/>
    <w:rsid w:val="00BA2641"/>
    <w:rsid w:val="00BA3F95"/>
    <w:rsid w:val="00BB37AA"/>
    <w:rsid w:val="00BC53A0"/>
    <w:rsid w:val="00BD1943"/>
    <w:rsid w:val="00BE62AD"/>
    <w:rsid w:val="00BF121F"/>
    <w:rsid w:val="00BF1F80"/>
    <w:rsid w:val="00C166EF"/>
    <w:rsid w:val="00C17EB0"/>
    <w:rsid w:val="00C27F5F"/>
    <w:rsid w:val="00C30A0F"/>
    <w:rsid w:val="00C37E61"/>
    <w:rsid w:val="00C70F1B"/>
    <w:rsid w:val="00C71A47"/>
    <w:rsid w:val="00C7464C"/>
    <w:rsid w:val="00C85588"/>
    <w:rsid w:val="00CD2D00"/>
    <w:rsid w:val="00CD6755"/>
    <w:rsid w:val="00CD6856"/>
    <w:rsid w:val="00CE0089"/>
    <w:rsid w:val="00CE793C"/>
    <w:rsid w:val="00CF193C"/>
    <w:rsid w:val="00D173F1"/>
    <w:rsid w:val="00D46FCC"/>
    <w:rsid w:val="00D74CB0"/>
    <w:rsid w:val="00D8295D"/>
    <w:rsid w:val="00D87FF0"/>
    <w:rsid w:val="00DB5B79"/>
    <w:rsid w:val="00DC2A65"/>
    <w:rsid w:val="00DE15F0"/>
    <w:rsid w:val="00DE2306"/>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5C2A"/>
    <w:rsid w:val="00EE52CB"/>
    <w:rsid w:val="00EF581D"/>
    <w:rsid w:val="00EF7FD8"/>
    <w:rsid w:val="00F06F59"/>
    <w:rsid w:val="00F17988"/>
    <w:rsid w:val="00F42077"/>
    <w:rsid w:val="00F469F0"/>
    <w:rsid w:val="00F53273"/>
    <w:rsid w:val="00F755E4"/>
    <w:rsid w:val="00F77D02"/>
    <w:rsid w:val="00FA104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29AB58"/>
  <w15:docId w15:val="{A910440E-6848-4587-BA64-EE70FF0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46FD8"/>
    <w:rPr>
      <w:b/>
      <w:bCs/>
    </w:rPr>
  </w:style>
  <w:style w:type="paragraph" w:styleId="NormalWeb">
    <w:name w:val="Normal (Web)"/>
    <w:basedOn w:val="Normal"/>
    <w:uiPriority w:val="99"/>
    <w:unhideWhenUsed/>
    <w:rsid w:val="00246FD8"/>
    <w:pPr>
      <w:spacing w:before="100" w:beforeAutospacing="1" w:after="100" w:afterAutospacing="1"/>
    </w:pPr>
    <w:rPr>
      <w:rFonts w:ascii="Times New Roman" w:hAnsi="Times New Roman"/>
      <w:sz w:val="24"/>
      <w:szCs w:val="24"/>
      <w:lang w:val="en-IN" w:eastAsia="en-IN"/>
    </w:rPr>
  </w:style>
  <w:style w:type="character" w:customStyle="1" w:styleId="relative">
    <w:name w:val="relative"/>
    <w:basedOn w:val="DefaultParagraphFont"/>
    <w:rsid w:val="00246FD8"/>
  </w:style>
  <w:style w:type="paragraph" w:styleId="ListParagraph">
    <w:name w:val="List Paragraph"/>
    <w:basedOn w:val="Normal"/>
    <w:uiPriority w:val="34"/>
    <w:qFormat/>
    <w:rsid w:val="00246FD8"/>
    <w:pPr>
      <w:spacing w:after="200" w:line="276" w:lineRule="auto"/>
      <w:ind w:left="720"/>
      <w:contextualSpacing/>
    </w:pPr>
    <w:rPr>
      <w:rFonts w:asciiTheme="minorHAnsi" w:eastAsiaTheme="minorHAnsi" w:hAnsiTheme="minorHAnsi" w:cstheme="minorBidi"/>
      <w:kern w:val="2"/>
      <w:sz w:val="22"/>
      <w:szCs w:val="22"/>
      <w:lang w:val="en-IN"/>
    </w:rPr>
  </w:style>
  <w:style w:type="character" w:customStyle="1" w:styleId="UnresolvedMention2">
    <w:name w:val="Unresolved Mention2"/>
    <w:basedOn w:val="DefaultParagraphFont"/>
    <w:uiPriority w:val="99"/>
    <w:semiHidden/>
    <w:unhideWhenUsed/>
    <w:rsid w:val="00ED5C2A"/>
    <w:rPr>
      <w:color w:val="605E5C"/>
      <w:shd w:val="clear" w:color="auto" w:fill="E1DFDD"/>
    </w:rPr>
  </w:style>
  <w:style w:type="character" w:customStyle="1" w:styleId="ms-1">
    <w:name w:val="ms-1"/>
    <w:basedOn w:val="DefaultParagraphFont"/>
    <w:rsid w:val="00727CEA"/>
  </w:style>
  <w:style w:type="character" w:customStyle="1" w:styleId="max-w-full">
    <w:name w:val="max-w-full"/>
    <w:basedOn w:val="DefaultParagraphFont"/>
    <w:rsid w:val="00727CEA"/>
  </w:style>
  <w:style w:type="character" w:customStyle="1" w:styleId="-me-1">
    <w:name w:val="-me-1"/>
    <w:basedOn w:val="DefaultParagraphFont"/>
    <w:rsid w:val="0072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BDEE-713F-4FAB-B578-523B4D5A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13</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18247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2025-07-27T18:24:00Z</dcterms:created>
  <dcterms:modified xsi:type="dcterms:W3CDTF">2025-08-04T11:44:00Z</dcterms:modified>
</cp:coreProperties>
</file>