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00B6D" w14:textId="77777777" w:rsidR="002B122C" w:rsidRDefault="002B122C" w:rsidP="000965A6">
      <w:pPr>
        <w:pStyle w:val="paragraph"/>
        <w:spacing w:before="0" w:beforeAutospacing="0" w:after="0" w:afterAutospacing="0"/>
        <w:jc w:val="right"/>
        <w:textAlignment w:val="baseline"/>
        <w:rPr>
          <w:rStyle w:val="normaltextrun"/>
          <w:rFonts w:ascii="Arial" w:eastAsiaTheme="majorEastAsia" w:hAnsi="Arial" w:cs="Arial"/>
          <w:b/>
          <w:bCs/>
          <w:sz w:val="36"/>
          <w:szCs w:val="36"/>
        </w:rPr>
      </w:pPr>
      <w:r w:rsidRPr="002B122C">
        <w:rPr>
          <w:rStyle w:val="normaltextrun"/>
          <w:rFonts w:ascii="Arial" w:eastAsiaTheme="majorEastAsia" w:hAnsi="Arial" w:cs="Arial"/>
          <w:b/>
          <w:bCs/>
          <w:sz w:val="36"/>
          <w:szCs w:val="36"/>
        </w:rPr>
        <w:t xml:space="preserve">Original Research Article </w:t>
      </w:r>
    </w:p>
    <w:p w14:paraId="5128E8DC" w14:textId="77777777" w:rsidR="002B122C" w:rsidRDefault="002B122C" w:rsidP="000965A6">
      <w:pPr>
        <w:pStyle w:val="paragraph"/>
        <w:spacing w:before="0" w:beforeAutospacing="0" w:after="0" w:afterAutospacing="0"/>
        <w:jc w:val="right"/>
        <w:textAlignment w:val="baseline"/>
        <w:rPr>
          <w:rStyle w:val="normaltextrun"/>
          <w:rFonts w:ascii="Arial" w:eastAsiaTheme="majorEastAsia" w:hAnsi="Arial" w:cs="Arial"/>
          <w:b/>
          <w:bCs/>
          <w:sz w:val="36"/>
          <w:szCs w:val="36"/>
        </w:rPr>
      </w:pPr>
    </w:p>
    <w:p w14:paraId="219B90F4" w14:textId="5123455D" w:rsidR="000965A6" w:rsidRDefault="000965A6" w:rsidP="000965A6">
      <w:pPr>
        <w:pStyle w:val="paragraph"/>
        <w:spacing w:before="0" w:beforeAutospacing="0" w:after="0" w:afterAutospacing="0"/>
        <w:jc w:val="right"/>
        <w:textAlignment w:val="baseline"/>
        <w:rPr>
          <w:rFonts w:ascii="Segoe UI" w:hAnsi="Segoe UI" w:cs="Segoe UI"/>
          <w:b/>
          <w:bCs/>
          <w:sz w:val="18"/>
          <w:szCs w:val="18"/>
        </w:rPr>
      </w:pPr>
      <w:r>
        <w:rPr>
          <w:rStyle w:val="normaltextrun"/>
          <w:rFonts w:ascii="Arial" w:eastAsiaTheme="majorEastAsia" w:hAnsi="Arial" w:cs="Arial"/>
          <w:b/>
          <w:bCs/>
          <w:sz w:val="36"/>
          <w:szCs w:val="36"/>
        </w:rPr>
        <w:t>Evaluation of Lead Concentrations in Blood Samples from Donors in a Tertiary Hospital Located in the Niger Delta, Nigeria</w:t>
      </w:r>
      <w:r>
        <w:rPr>
          <w:rStyle w:val="eop"/>
          <w:rFonts w:ascii="Arial" w:eastAsiaTheme="majorEastAsia" w:hAnsi="Arial" w:cs="Arial"/>
          <w:b/>
          <w:bCs/>
          <w:sz w:val="36"/>
          <w:szCs w:val="36"/>
        </w:rPr>
        <w:t> </w:t>
      </w:r>
    </w:p>
    <w:p w14:paraId="68149730" w14:textId="77777777" w:rsidR="000965A6" w:rsidRDefault="000965A6" w:rsidP="000965A6">
      <w:pPr>
        <w:pStyle w:val="paragraph"/>
        <w:spacing w:before="0" w:beforeAutospacing="0" w:after="0" w:afterAutospacing="0"/>
        <w:jc w:val="right"/>
        <w:textAlignment w:val="baseline"/>
        <w:rPr>
          <w:rFonts w:ascii="Segoe UI" w:hAnsi="Segoe UI" w:cs="Segoe UI"/>
          <w:b/>
          <w:bCs/>
          <w:sz w:val="18"/>
          <w:szCs w:val="18"/>
        </w:rPr>
      </w:pPr>
      <w:r>
        <w:rPr>
          <w:rStyle w:val="normaltextrun"/>
          <w:rFonts w:ascii="Arial" w:eastAsiaTheme="majorEastAsia" w:hAnsi="Arial" w:cs="Arial"/>
          <w:b/>
          <w:bCs/>
          <w:sz w:val="36"/>
          <w:szCs w:val="36"/>
        </w:rPr>
        <w:t> </w:t>
      </w:r>
      <w:r>
        <w:rPr>
          <w:rStyle w:val="eop"/>
          <w:rFonts w:ascii="Arial" w:eastAsiaTheme="majorEastAsia" w:hAnsi="Arial" w:cs="Arial"/>
          <w:b/>
          <w:bCs/>
          <w:sz w:val="36"/>
          <w:szCs w:val="36"/>
        </w:rPr>
        <w:t> </w:t>
      </w:r>
    </w:p>
    <w:p w14:paraId="78F8EF44" w14:textId="77777777" w:rsidR="000965A6" w:rsidRDefault="000965A6" w:rsidP="000965A6">
      <w:pPr>
        <w:pStyle w:val="paragraph"/>
        <w:spacing w:before="0" w:beforeAutospacing="0" w:after="0" w:afterAutospacing="0"/>
        <w:jc w:val="both"/>
        <w:textAlignment w:val="baseline"/>
        <w:rPr>
          <w:rFonts w:ascii="Segoe UI" w:hAnsi="Segoe UI" w:cs="Segoe UI"/>
          <w:b/>
          <w:bCs/>
          <w:sz w:val="18"/>
          <w:szCs w:val="18"/>
        </w:rPr>
      </w:pPr>
      <w:r>
        <w:rPr>
          <w:rStyle w:val="eop"/>
          <w:rFonts w:ascii="Arial" w:eastAsiaTheme="majorEastAsia" w:hAnsi="Arial" w:cs="Arial"/>
          <w:b/>
          <w:bCs/>
          <w:sz w:val="36"/>
          <w:szCs w:val="36"/>
        </w:rPr>
        <w:t> </w:t>
      </w:r>
    </w:p>
    <w:p w14:paraId="2869F200" w14:textId="20FB0219" w:rsidR="000965A6" w:rsidRDefault="000965A6" w:rsidP="000965A6">
      <w:pPr>
        <w:pStyle w:val="paragraph"/>
        <w:spacing w:before="0" w:beforeAutospacing="0" w:after="0" w:afterAutospacing="0"/>
        <w:jc w:val="right"/>
        <w:textAlignment w:val="baseline"/>
        <w:rPr>
          <w:rFonts w:ascii="Segoe UI" w:hAnsi="Segoe UI" w:cs="Segoe UI"/>
          <w:sz w:val="18"/>
          <w:szCs w:val="18"/>
        </w:rPr>
      </w:pPr>
    </w:p>
    <w:p w14:paraId="0375A99E"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53F8CE0A"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227D7362" w14:textId="77777777" w:rsidR="000965A6" w:rsidRDefault="000965A6" w:rsidP="000965A6">
      <w:pPr>
        <w:pStyle w:val="paragraph"/>
        <w:spacing w:before="0" w:beforeAutospacing="0" w:after="0" w:afterAutospacing="0"/>
        <w:jc w:val="both"/>
        <w:textAlignment w:val="baseline"/>
        <w:rPr>
          <w:rFonts w:ascii="Segoe UI" w:hAnsi="Segoe UI" w:cs="Segoe UI"/>
          <w:b/>
          <w:bCs/>
          <w:caps/>
          <w:sz w:val="18"/>
          <w:szCs w:val="18"/>
        </w:rPr>
      </w:pPr>
      <w:r>
        <w:rPr>
          <w:rStyle w:val="normaltextrun"/>
          <w:rFonts w:ascii="Arial" w:eastAsiaTheme="majorEastAsia" w:hAnsi="Arial" w:cs="Arial"/>
          <w:b/>
          <w:bCs/>
          <w:caps/>
          <w:sz w:val="22"/>
          <w:szCs w:val="22"/>
        </w:rPr>
        <w:t>ABSTRACT</w:t>
      </w:r>
      <w:r>
        <w:rPr>
          <w:rStyle w:val="eop"/>
          <w:rFonts w:ascii="Arial" w:eastAsiaTheme="majorEastAsia" w:hAnsi="Arial" w:cs="Arial"/>
          <w:b/>
          <w:bCs/>
          <w:caps/>
          <w:sz w:val="22"/>
          <w:szCs w:val="22"/>
        </w:rPr>
        <w:t> </w:t>
      </w:r>
    </w:p>
    <w:p w14:paraId="41C03F95" w14:textId="77777777" w:rsidR="000965A6" w:rsidRDefault="000965A6" w:rsidP="000965A6">
      <w:pPr>
        <w:pStyle w:val="paragraph"/>
        <w:spacing w:before="0" w:beforeAutospacing="0" w:after="0" w:afterAutospacing="0"/>
        <w:jc w:val="both"/>
        <w:textAlignment w:val="baseline"/>
        <w:rPr>
          <w:rFonts w:ascii="Segoe UI" w:hAnsi="Segoe UI" w:cs="Segoe UI"/>
          <w:b/>
          <w:bCs/>
          <w:caps/>
          <w:sz w:val="18"/>
          <w:szCs w:val="18"/>
        </w:rPr>
      </w:pPr>
      <w:r>
        <w:rPr>
          <w:rStyle w:val="eop"/>
          <w:rFonts w:ascii="Arial" w:eastAsiaTheme="majorEastAsia" w:hAnsi="Arial" w:cs="Arial"/>
          <w:b/>
          <w:bCs/>
          <w:caps/>
          <w:sz w:val="22"/>
          <w:szCs w:val="22"/>
        </w:rPr>
        <w:t> </w:t>
      </w:r>
    </w:p>
    <w:p w14:paraId="3EA31133"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bookmarkStart w:id="0" w:name="_GoBack"/>
      <w:bookmarkEnd w:id="0"/>
      <w:r>
        <w:rPr>
          <w:rStyle w:val="normaltextrun"/>
          <w:rFonts w:ascii="Arial" w:eastAsiaTheme="majorEastAsia" w:hAnsi="Arial" w:cs="Arial"/>
          <w:sz w:val="20"/>
          <w:szCs w:val="20"/>
        </w:rPr>
        <w:t>Background</w:t>
      </w:r>
      <w:r>
        <w:rPr>
          <w:rStyle w:val="eop"/>
          <w:rFonts w:ascii="Arial" w:eastAsiaTheme="majorEastAsia" w:hAnsi="Arial" w:cs="Arial"/>
          <w:sz w:val="20"/>
          <w:szCs w:val="20"/>
        </w:rPr>
        <w:t> </w:t>
      </w:r>
    </w:p>
    <w:p w14:paraId="10D79830"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The Niger Delta region of Nigeria has been plagued by decades of environmental pollution due to oil exploration and exploitation activities, as well as illegal artisanal oil refining. This has led to increased levels of heavy metals, including lead, in the soil, water, and air. Blood donors in this region may have elevated blood lead levels, posing a risk to recipients of their blood. This study aimed to determine the blood lead levels in blood donors at the University of Port Harcourt Teaching Hospital.</w:t>
      </w:r>
      <w:r>
        <w:rPr>
          <w:rStyle w:val="eop"/>
          <w:rFonts w:ascii="Arial" w:eastAsiaTheme="majorEastAsia" w:hAnsi="Arial" w:cs="Arial"/>
          <w:sz w:val="20"/>
          <w:szCs w:val="20"/>
        </w:rPr>
        <w:t> </w:t>
      </w:r>
    </w:p>
    <w:p w14:paraId="39F627EE"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Methodology</w:t>
      </w:r>
      <w:r>
        <w:rPr>
          <w:rStyle w:val="eop"/>
          <w:rFonts w:ascii="Arial" w:eastAsiaTheme="majorEastAsia" w:hAnsi="Arial" w:cs="Arial"/>
          <w:sz w:val="20"/>
          <w:szCs w:val="20"/>
        </w:rPr>
        <w:t> </w:t>
      </w:r>
    </w:p>
    <w:p w14:paraId="33669BAB"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A cross-sectional study was conducted among 246 male blood donors in the University of Port Harcourt Teaching Hospital using systematic random sampling. The blood samples were analyzed for lead using atomic spectrophotometry. A structured questionnaire was used to obtain socio-demographic data of the study participants. Descriptive and inferential statistics were employed to analyze the data.</w:t>
      </w:r>
      <w:r>
        <w:rPr>
          <w:rStyle w:val="eop"/>
          <w:rFonts w:ascii="Arial" w:eastAsiaTheme="majorEastAsia" w:hAnsi="Arial" w:cs="Arial"/>
          <w:sz w:val="20"/>
          <w:szCs w:val="20"/>
        </w:rPr>
        <w:t> </w:t>
      </w:r>
    </w:p>
    <w:p w14:paraId="026ED088"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Results</w:t>
      </w:r>
      <w:r>
        <w:rPr>
          <w:rStyle w:val="eop"/>
          <w:rFonts w:ascii="Arial" w:eastAsiaTheme="majorEastAsia" w:hAnsi="Arial" w:cs="Arial"/>
          <w:sz w:val="20"/>
          <w:szCs w:val="20"/>
        </w:rPr>
        <w:t> </w:t>
      </w:r>
    </w:p>
    <w:p w14:paraId="7042A9F9"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 xml:space="preserve">The mean blood lead level was 35.94 ± 19.09 </w:t>
      </w:r>
      <w:proofErr w:type="spellStart"/>
      <w:r>
        <w:rPr>
          <w:rStyle w:val="normaltextrun"/>
          <w:rFonts w:ascii="Arial" w:eastAsiaTheme="majorEastAsia" w:hAnsi="Arial" w:cs="Arial"/>
          <w:sz w:val="20"/>
          <w:szCs w:val="20"/>
        </w:rPr>
        <w:t>μg</w:t>
      </w:r>
      <w:proofErr w:type="spellEnd"/>
      <w:r>
        <w:rPr>
          <w:rStyle w:val="normaltextrun"/>
          <w:rFonts w:ascii="Arial" w:eastAsiaTheme="majorEastAsia" w:hAnsi="Arial" w:cs="Arial"/>
          <w:sz w:val="20"/>
          <w:szCs w:val="20"/>
        </w:rPr>
        <w:t xml:space="preserve">/dL, with 94.7% of donors having levels above the recommended 5 </w:t>
      </w:r>
      <w:proofErr w:type="spellStart"/>
      <w:r>
        <w:rPr>
          <w:rStyle w:val="normaltextrun"/>
          <w:rFonts w:ascii="Arial" w:eastAsiaTheme="majorEastAsia" w:hAnsi="Arial" w:cs="Arial"/>
          <w:sz w:val="20"/>
          <w:szCs w:val="20"/>
        </w:rPr>
        <w:t>μg</w:t>
      </w:r>
      <w:proofErr w:type="spellEnd"/>
      <w:r>
        <w:rPr>
          <w:rStyle w:val="normaltextrun"/>
          <w:rFonts w:ascii="Arial" w:eastAsiaTheme="majorEastAsia" w:hAnsi="Arial" w:cs="Arial"/>
          <w:sz w:val="20"/>
          <w:szCs w:val="20"/>
        </w:rPr>
        <w:t xml:space="preserve">/dL. Age and non-smoking status were significantly associated with blood lead concentration (p = 0.03 and p = 0.021, respectively). </w:t>
      </w:r>
      <w:r>
        <w:rPr>
          <w:rStyle w:val="eop"/>
          <w:rFonts w:ascii="Arial" w:eastAsiaTheme="majorEastAsia" w:hAnsi="Arial" w:cs="Arial"/>
          <w:sz w:val="20"/>
          <w:szCs w:val="20"/>
        </w:rPr>
        <w:t> </w:t>
      </w:r>
    </w:p>
    <w:p w14:paraId="487FBAFB"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Conclusion</w:t>
      </w:r>
      <w:r>
        <w:rPr>
          <w:rStyle w:val="eop"/>
          <w:rFonts w:ascii="Arial" w:eastAsiaTheme="majorEastAsia" w:hAnsi="Arial" w:cs="Arial"/>
          <w:sz w:val="20"/>
          <w:szCs w:val="20"/>
        </w:rPr>
        <w:t> </w:t>
      </w:r>
    </w:p>
    <w:p w14:paraId="673513F6"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The pervasive environmental pollution in the Niger Delta region likely contributes to the elevated blood lead levels in residents, including blood donors. This poses a significant public health risk, particularly for recipients of blood transfusions. The findings of this study highlight the need for regular monitoring of blood lead levels in blood donors and recipients, as well as implementation of strategies to reduce lead exposure in the Niger Delta region.</w:t>
      </w:r>
      <w:r>
        <w:rPr>
          <w:rStyle w:val="eop"/>
          <w:rFonts w:ascii="Arial" w:eastAsiaTheme="majorEastAsia" w:hAnsi="Arial" w:cs="Arial"/>
          <w:sz w:val="20"/>
          <w:szCs w:val="20"/>
        </w:rPr>
        <w:t> </w:t>
      </w:r>
    </w:p>
    <w:p w14:paraId="7A4BA9F7" w14:textId="77777777" w:rsidR="000965A6" w:rsidRDefault="000965A6" w:rsidP="000965A6">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2603317F"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i/>
          <w:iCs/>
          <w:kern w:val="0"/>
          <w:sz w:val="20"/>
          <w:szCs w:val="20"/>
          <w14:ligatures w14:val="none"/>
        </w:rPr>
        <w:t>Keywords: Blood Lead levels, blood donors, blood bank, environmental pollution, Niger Delta</w:t>
      </w:r>
      <w:r w:rsidRPr="0079704C">
        <w:rPr>
          <w:rFonts w:ascii="Arial" w:eastAsia="Times New Roman" w:hAnsi="Arial" w:cs="Arial"/>
          <w:kern w:val="0"/>
          <w:sz w:val="20"/>
          <w:szCs w:val="20"/>
          <w14:ligatures w14:val="none"/>
        </w:rPr>
        <w:t> </w:t>
      </w:r>
    </w:p>
    <w:p w14:paraId="638E895C"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w:t>
      </w:r>
    </w:p>
    <w:p w14:paraId="6E387F69" w14:textId="77777777" w:rsidR="0079704C" w:rsidRPr="0079704C" w:rsidRDefault="0079704C" w:rsidP="0079704C">
      <w:pPr>
        <w:spacing w:after="0" w:line="240" w:lineRule="auto"/>
        <w:jc w:val="both"/>
        <w:textAlignment w:val="baseline"/>
        <w:rPr>
          <w:rFonts w:ascii="Segoe UI" w:eastAsia="Times New Roman" w:hAnsi="Segoe UI" w:cs="Segoe UI"/>
          <w:b/>
          <w:bCs/>
          <w:caps/>
          <w:kern w:val="0"/>
          <w:sz w:val="18"/>
          <w:szCs w:val="18"/>
          <w14:ligatures w14:val="none"/>
        </w:rPr>
      </w:pPr>
      <w:r w:rsidRPr="0079704C">
        <w:rPr>
          <w:rFonts w:ascii="Arial" w:eastAsia="Times New Roman" w:hAnsi="Arial" w:cs="Arial"/>
          <w:b/>
          <w:bCs/>
          <w:caps/>
          <w:kern w:val="0"/>
          <w:sz w:val="22"/>
          <w:szCs w:val="22"/>
          <w14:ligatures w14:val="none"/>
        </w:rPr>
        <w:t>1. INTRODUCTION </w:t>
      </w:r>
    </w:p>
    <w:p w14:paraId="087CDC0E" w14:textId="77777777" w:rsidR="0079704C" w:rsidRPr="0079704C" w:rsidRDefault="0079704C" w:rsidP="0079704C">
      <w:pPr>
        <w:spacing w:after="0" w:line="240" w:lineRule="auto"/>
        <w:jc w:val="both"/>
        <w:textAlignment w:val="baseline"/>
        <w:rPr>
          <w:rFonts w:ascii="Segoe UI" w:eastAsia="Times New Roman" w:hAnsi="Segoe UI" w:cs="Segoe UI"/>
          <w:b/>
          <w:bCs/>
          <w:caps/>
          <w:kern w:val="0"/>
          <w:sz w:val="18"/>
          <w:szCs w:val="18"/>
          <w14:ligatures w14:val="none"/>
        </w:rPr>
      </w:pPr>
      <w:r w:rsidRPr="0079704C">
        <w:rPr>
          <w:rFonts w:ascii="Arial" w:eastAsia="Times New Roman" w:hAnsi="Arial" w:cs="Arial"/>
          <w:b/>
          <w:bCs/>
          <w:caps/>
          <w:kern w:val="0"/>
          <w:sz w:val="22"/>
          <w:szCs w:val="22"/>
          <w14:ligatures w14:val="none"/>
        </w:rPr>
        <w:t> </w:t>
      </w:r>
    </w:p>
    <w:p w14:paraId="3912B0C5" w14:textId="11283BD1"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Human blood, a specialized connective tissue, comprises cellular components suspended in plasma. Plasma not only serves as a medium for nutrient and gas exchange but also acts as a carrier for exogenous substances, including environmental toxicants. In regions with high levels of industrial activity, such as oil exploration and exploitation, the risk of contamination by heavy metals—particularly lead—is increased. Lead, a naturally occurring element, has been extensively utilized in various industrial and domestic applications, leading to its widespread environmental presence. Exposure can occur through air, water, soil, food, and occupational contact (Fu &amp; Zi, 2020), resulting in its bioaccumulation in human tissues, including the bloodstream. </w:t>
      </w:r>
    </w:p>
    <w:p w14:paraId="1D144B70"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xml:space="preserve">There is growing concern regarding the public health implications of lead exposure, as even low levels have been associated with adverse outcomes. The United States Environmental Protection Agency and other regulatory bodies have emphasized that there is no safe blood lead concentration, especially in children, with evidence suggesting neurotoxicity at levels below 5 µg/dL (US-EPA, 2006). In adults, levels exceeding 10 µg/dL (0.48 µmol/L) are considered elevated, while for children, the threshold is lower at 5 µg/dL (0.24 µmol/L). Chronic exposure has been shown to affect the central and peripheral nervous systems, hematopoietic pathways, and renal function (Aktepe et al., 2022; </w:t>
      </w:r>
      <w:proofErr w:type="spellStart"/>
      <w:r w:rsidRPr="0079704C">
        <w:rPr>
          <w:rFonts w:ascii="Arial" w:eastAsia="Times New Roman" w:hAnsi="Arial" w:cs="Arial"/>
          <w:kern w:val="0"/>
          <w:sz w:val="20"/>
          <w:szCs w:val="20"/>
          <w14:ligatures w14:val="none"/>
        </w:rPr>
        <w:t>Ugwuja</w:t>
      </w:r>
      <w:proofErr w:type="spellEnd"/>
      <w:r w:rsidRPr="0079704C">
        <w:rPr>
          <w:rFonts w:ascii="Arial" w:eastAsia="Times New Roman" w:hAnsi="Arial" w:cs="Arial"/>
          <w:kern w:val="0"/>
          <w:sz w:val="20"/>
          <w:szCs w:val="20"/>
          <w14:ligatures w14:val="none"/>
        </w:rPr>
        <w:t xml:space="preserve"> et al., 2020). </w:t>
      </w:r>
    </w:p>
    <w:p w14:paraId="2E9EC14F"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lastRenderedPageBreak/>
        <w:t>Particularly at risk are vulnerable populations such as fetuses, neonates, and infants—especially those born preterm or with low birth weight. These groups can acquire lead through transplacental transfer, breastfeeding, and notably, blood transfusion (Agyemang et al., 2020). Given their developing organ systems and limited detoxification capacity, the effects of even minimal lead exposure can be profound and irreversible. </w:t>
      </w:r>
    </w:p>
    <w:p w14:paraId="1B6AC154" w14:textId="3D7E2914"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xml:space="preserve">In many low- and middle-income countries, including Nigeria, blood transfusion remains a critical therapeutic intervention in neonatal and pediatric care. In Port Harcourt, a city with documented environmental pollution, most blood donors are under 50 years old, with a significant proportion below 30 (Ogar et al., 2022; Ugwu et al., 2019). This age group </w:t>
      </w:r>
      <w:r w:rsidR="00B60D19">
        <w:rPr>
          <w:rFonts w:ascii="Arial" w:eastAsia="Times New Roman" w:hAnsi="Arial" w:cs="Arial"/>
          <w:kern w:val="0"/>
          <w:sz w:val="20"/>
          <w:szCs w:val="20"/>
          <w14:ligatures w14:val="none"/>
        </w:rPr>
        <w:t>is</w:t>
      </w:r>
      <w:r w:rsidRPr="0079704C">
        <w:rPr>
          <w:rFonts w:ascii="Arial" w:eastAsia="Times New Roman" w:hAnsi="Arial" w:cs="Arial"/>
          <w:kern w:val="0"/>
          <w:sz w:val="20"/>
          <w:szCs w:val="20"/>
          <w14:ligatures w14:val="none"/>
        </w:rPr>
        <w:t xml:space="preserve"> likely to frequently engage in occupations associated with increased lead exposure. Also, elevated blood lead levels have also been documented among individuals without known occupational exposure, suggesting possible environmental contamination, likely through polluted air, water, and food—especially seafood, which is widely consumed in the Niger Delta region (</w:t>
      </w:r>
      <w:proofErr w:type="spellStart"/>
      <w:r w:rsidRPr="0079704C">
        <w:rPr>
          <w:rFonts w:ascii="Arial" w:eastAsia="Times New Roman" w:hAnsi="Arial" w:cs="Arial"/>
          <w:kern w:val="0"/>
          <w:sz w:val="20"/>
          <w:szCs w:val="20"/>
          <w14:ligatures w14:val="none"/>
        </w:rPr>
        <w:t>Umeoguaju</w:t>
      </w:r>
      <w:proofErr w:type="spellEnd"/>
      <w:r w:rsidRPr="0079704C">
        <w:rPr>
          <w:rFonts w:ascii="Arial" w:eastAsia="Times New Roman" w:hAnsi="Arial" w:cs="Arial"/>
          <w:kern w:val="0"/>
          <w:sz w:val="20"/>
          <w:szCs w:val="20"/>
          <w14:ligatures w14:val="none"/>
        </w:rPr>
        <w:t xml:space="preserve"> et al., 2023; </w:t>
      </w:r>
      <w:proofErr w:type="spellStart"/>
      <w:r w:rsidRPr="0079704C">
        <w:rPr>
          <w:rFonts w:ascii="Arial" w:eastAsia="Times New Roman" w:hAnsi="Arial" w:cs="Arial"/>
          <w:kern w:val="0"/>
          <w:sz w:val="20"/>
          <w:szCs w:val="20"/>
          <w14:ligatures w14:val="none"/>
        </w:rPr>
        <w:t>Orajiaka-Uchegbu</w:t>
      </w:r>
      <w:proofErr w:type="spellEnd"/>
      <w:r w:rsidRPr="0079704C">
        <w:rPr>
          <w:rFonts w:ascii="Arial" w:eastAsia="Times New Roman" w:hAnsi="Arial" w:cs="Arial"/>
          <w:kern w:val="0"/>
          <w:sz w:val="20"/>
          <w:szCs w:val="20"/>
          <w14:ligatures w14:val="none"/>
        </w:rPr>
        <w:t xml:space="preserve"> et al., 2020; </w:t>
      </w:r>
      <w:proofErr w:type="spellStart"/>
      <w:r w:rsidRPr="0079704C">
        <w:rPr>
          <w:rFonts w:ascii="Arial" w:eastAsia="Times New Roman" w:hAnsi="Arial" w:cs="Arial"/>
          <w:kern w:val="0"/>
          <w:sz w:val="20"/>
          <w:szCs w:val="20"/>
          <w14:ligatures w14:val="none"/>
        </w:rPr>
        <w:t>Nkwunonwo</w:t>
      </w:r>
      <w:proofErr w:type="spellEnd"/>
      <w:r w:rsidRPr="0079704C">
        <w:rPr>
          <w:rFonts w:ascii="Arial" w:eastAsia="Times New Roman" w:hAnsi="Arial" w:cs="Arial"/>
          <w:kern w:val="0"/>
          <w:sz w:val="20"/>
          <w:szCs w:val="20"/>
          <w14:ligatures w14:val="none"/>
        </w:rPr>
        <w:t xml:space="preserve"> et al., 2020). </w:t>
      </w:r>
    </w:p>
    <w:p w14:paraId="69876DE2"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Despite these findings, there is a paucity of research specifically investigating lead concentrations in donor blood used for transfusions in neonates, pregnant women, and young children. This represents a critical gap in current public health knowledge and transfusion safety protocols in high-risk environments. Existing literature has established the sources and systemic impacts of lead, but limited attention has been given to its potential transmission through transfused blood, especially in vulnerable populations. </w:t>
      </w:r>
    </w:p>
    <w:p w14:paraId="0B8F640D"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This study is therefore designed to assess blood lead concentrations among donors in Port Harcourt and evaluate the potential risks posed to recipients in sensitive demographic groups. By addressing this gap, the findings aim to inform blood screening policies and enhance transfusion safety. The outcomes have significant implications for maternal and child health, particularly in regions where environmental exposure to heavy metals is prevalent and transfusion services are a cornerstone of emergency and routine clinical care. </w:t>
      </w:r>
    </w:p>
    <w:p w14:paraId="16FDFE3F"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w:t>
      </w:r>
    </w:p>
    <w:p w14:paraId="290F8138" w14:textId="77777777" w:rsidR="0079704C" w:rsidRPr="0079704C" w:rsidRDefault="0079704C" w:rsidP="0079704C">
      <w:pPr>
        <w:spacing w:after="0" w:line="240" w:lineRule="auto"/>
        <w:jc w:val="both"/>
        <w:textAlignment w:val="baseline"/>
        <w:rPr>
          <w:rFonts w:ascii="Segoe UI" w:eastAsia="Times New Roman" w:hAnsi="Segoe UI" w:cs="Segoe UI"/>
          <w:b/>
          <w:bCs/>
          <w:caps/>
          <w:kern w:val="0"/>
          <w:sz w:val="18"/>
          <w:szCs w:val="18"/>
          <w14:ligatures w14:val="none"/>
        </w:rPr>
      </w:pPr>
      <w:r w:rsidRPr="0079704C">
        <w:rPr>
          <w:rFonts w:ascii="Arial" w:eastAsia="Times New Roman" w:hAnsi="Arial" w:cs="Arial"/>
          <w:b/>
          <w:bCs/>
          <w:caps/>
          <w:kern w:val="0"/>
          <w:sz w:val="22"/>
          <w:szCs w:val="22"/>
          <w14:ligatures w14:val="none"/>
        </w:rPr>
        <w:t>2. material and methods </w:t>
      </w:r>
    </w:p>
    <w:p w14:paraId="52DCFC03" w14:textId="77777777" w:rsidR="0079704C" w:rsidRPr="0079704C" w:rsidRDefault="0079704C" w:rsidP="0079704C">
      <w:pPr>
        <w:spacing w:after="0" w:line="240" w:lineRule="auto"/>
        <w:jc w:val="both"/>
        <w:textAlignment w:val="baseline"/>
        <w:rPr>
          <w:rFonts w:ascii="Segoe UI" w:eastAsia="Times New Roman" w:hAnsi="Segoe UI" w:cs="Segoe UI"/>
          <w:b/>
          <w:bCs/>
          <w:caps/>
          <w:kern w:val="0"/>
          <w:sz w:val="18"/>
          <w:szCs w:val="18"/>
          <w14:ligatures w14:val="none"/>
        </w:rPr>
      </w:pPr>
      <w:r w:rsidRPr="0079704C">
        <w:rPr>
          <w:rFonts w:ascii="Arial" w:eastAsia="Times New Roman" w:hAnsi="Arial" w:cs="Arial"/>
          <w:b/>
          <w:bCs/>
          <w:caps/>
          <w:kern w:val="0"/>
          <w:sz w:val="22"/>
          <w:szCs w:val="22"/>
          <w14:ligatures w14:val="none"/>
        </w:rPr>
        <w:t> </w:t>
      </w:r>
    </w:p>
    <w:p w14:paraId="02BCE18D"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This was a cross-sectional study conducted among eligible blood donors who presented to the Blood Bank of the haematology unit of the University of Port Harcourt Teaching Hospital, Rivers State. Informed consent was obtained from the study participants and all collected data were treated with utmost confidentiality. A total of 246 donors were recruited into the study using systematic sampling, and a semi-structured questionnaire was administered to each donor to obtain relevant data Routine aseptic measures were applied following collection of about 5mls of blood from the antecubital vein into a duly labelled tri-potassium ethylenediamine tetra-acetic acid bottle (K</w:t>
      </w:r>
      <w:r w:rsidRPr="0079704C">
        <w:rPr>
          <w:rFonts w:ascii="Arial" w:eastAsia="Times New Roman" w:hAnsi="Arial" w:cs="Arial"/>
          <w:kern w:val="0"/>
          <w:sz w:val="16"/>
          <w:szCs w:val="16"/>
          <w:vertAlign w:val="subscript"/>
          <w14:ligatures w14:val="none"/>
        </w:rPr>
        <w:t>3</w:t>
      </w:r>
      <w:r w:rsidRPr="0079704C">
        <w:rPr>
          <w:rFonts w:ascii="Arial" w:eastAsia="Times New Roman" w:hAnsi="Arial" w:cs="Arial"/>
          <w:kern w:val="0"/>
          <w:sz w:val="20"/>
          <w:szCs w:val="20"/>
          <w14:ligatures w14:val="none"/>
        </w:rPr>
        <w:t xml:space="preserve">EDTA), after tourniquet application. The specimens were pooled and transported in a cold chain for analysis using </w:t>
      </w:r>
      <w:proofErr w:type="spellStart"/>
      <w:r w:rsidRPr="0079704C">
        <w:rPr>
          <w:rFonts w:ascii="Arial" w:eastAsia="Times New Roman" w:hAnsi="Arial" w:cs="Arial"/>
          <w:kern w:val="0"/>
          <w:sz w:val="20"/>
          <w:szCs w:val="20"/>
          <w14:ligatures w14:val="none"/>
        </w:rPr>
        <w:t>Solaar</w:t>
      </w:r>
      <w:proofErr w:type="spellEnd"/>
      <w:r w:rsidRPr="0079704C">
        <w:rPr>
          <w:rFonts w:ascii="Arial" w:eastAsia="Times New Roman" w:hAnsi="Arial" w:cs="Arial"/>
          <w:kern w:val="0"/>
          <w:sz w:val="20"/>
          <w:szCs w:val="20"/>
          <w14:ligatures w14:val="none"/>
        </w:rPr>
        <w:t xml:space="preserve"> thermo elemental atomic absorption spectrophotometer. The results obtained from the analysis were entered on data extraction forms indicating the heavy metal analyzed, the methods used, data of analysis, concentrations of the heavy metal detected, and the detection limit. Data entry was done using Microsoft Excel and analyzed using the Statistical Package for Social Sciences (SPSS) version 21 (Ref) The socio-demographic variables were presented in tabular forms. The mean age, mean lead concentrations and their standard deviations for the study population were calculated. Chi square (</w:t>
      </w:r>
      <w:r w:rsidRPr="0079704C">
        <w:rPr>
          <w:rFonts w:ascii="Arial" w:eastAsia="Times New Roman" w:hAnsi="Arial" w:cs="Arial"/>
          <w:i/>
          <w:iCs/>
          <w:kern w:val="0"/>
          <w:sz w:val="20"/>
          <w:szCs w:val="20"/>
          <w14:ligatures w14:val="none"/>
        </w:rPr>
        <w:t>X</w:t>
      </w:r>
      <w:r w:rsidRPr="0079704C">
        <w:rPr>
          <w:rFonts w:ascii="Arial" w:eastAsia="Times New Roman" w:hAnsi="Arial" w:cs="Arial"/>
          <w:kern w:val="0"/>
          <w:sz w:val="16"/>
          <w:szCs w:val="16"/>
          <w:vertAlign w:val="superscript"/>
          <w14:ligatures w14:val="none"/>
        </w:rPr>
        <w:t>2</w:t>
      </w:r>
      <w:r w:rsidRPr="0079704C">
        <w:rPr>
          <w:rFonts w:ascii="Arial" w:eastAsia="Times New Roman" w:hAnsi="Arial" w:cs="Arial"/>
          <w:kern w:val="0"/>
          <w:sz w:val="20"/>
          <w:szCs w:val="20"/>
          <w14:ligatures w14:val="none"/>
        </w:rPr>
        <w:t>) test was used to determine the association between socio-demographics and blood lead levels in the study population. The level of statistical significance was set at p&lt;0.05. </w:t>
      </w:r>
    </w:p>
    <w:p w14:paraId="23258543"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w:t>
      </w:r>
    </w:p>
    <w:p w14:paraId="7176272B"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w:t>
      </w:r>
    </w:p>
    <w:p w14:paraId="5CC98691" w14:textId="77777777" w:rsidR="0079704C" w:rsidRPr="0079704C" w:rsidRDefault="0079704C" w:rsidP="0079704C">
      <w:pPr>
        <w:spacing w:after="0" w:line="240" w:lineRule="auto"/>
        <w:jc w:val="both"/>
        <w:textAlignment w:val="baseline"/>
        <w:rPr>
          <w:rFonts w:ascii="Segoe UI" w:eastAsia="Times New Roman" w:hAnsi="Segoe UI" w:cs="Segoe UI"/>
          <w:b/>
          <w:bCs/>
          <w:caps/>
          <w:kern w:val="0"/>
          <w:sz w:val="18"/>
          <w:szCs w:val="18"/>
          <w14:ligatures w14:val="none"/>
        </w:rPr>
      </w:pPr>
      <w:r w:rsidRPr="0079704C">
        <w:rPr>
          <w:rFonts w:ascii="Arial" w:eastAsia="Times New Roman" w:hAnsi="Arial" w:cs="Arial"/>
          <w:b/>
          <w:bCs/>
          <w:caps/>
          <w:kern w:val="0"/>
          <w:sz w:val="22"/>
          <w:szCs w:val="22"/>
          <w14:ligatures w14:val="none"/>
        </w:rPr>
        <w:t>3. results </w:t>
      </w:r>
    </w:p>
    <w:p w14:paraId="3A3C62E2" w14:textId="77777777" w:rsidR="0079704C" w:rsidRPr="0079704C" w:rsidRDefault="0079704C" w:rsidP="0079704C">
      <w:pPr>
        <w:spacing w:after="0" w:line="240" w:lineRule="auto"/>
        <w:jc w:val="both"/>
        <w:textAlignment w:val="baseline"/>
        <w:rPr>
          <w:rFonts w:ascii="Segoe UI" w:eastAsia="Times New Roman" w:hAnsi="Segoe UI" w:cs="Segoe UI"/>
          <w:b/>
          <w:bCs/>
          <w:caps/>
          <w:kern w:val="0"/>
          <w:sz w:val="18"/>
          <w:szCs w:val="18"/>
          <w14:ligatures w14:val="none"/>
        </w:rPr>
      </w:pPr>
      <w:r w:rsidRPr="0079704C">
        <w:rPr>
          <w:rFonts w:ascii="Arial" w:eastAsia="Times New Roman" w:hAnsi="Arial" w:cs="Arial"/>
          <w:b/>
          <w:bCs/>
          <w:caps/>
          <w:kern w:val="0"/>
          <w:sz w:val="22"/>
          <w:szCs w:val="22"/>
          <w14:ligatures w14:val="none"/>
        </w:rPr>
        <w:t> </w:t>
      </w:r>
    </w:p>
    <w:p w14:paraId="39AA5BC2"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A total of two hundred and forty-six (246) donors were sampled all of whom were males and had a form of formal education with 93.1% of donors either having or were enrolled in tertiary education. The most donors were aged 18 – 25 years, making a percentage of 65.4%; 25.2% of donors were aged 26 – 35 years, donors aged 36 – 45 years were 8.1%., while three (3) donors were aged between 46 – 55 years and made up 1.3%. </w:t>
      </w:r>
      <w:r w:rsidRPr="0079704C">
        <w:rPr>
          <w:rFonts w:ascii="Arial" w:eastAsia="Times New Roman" w:hAnsi="Arial" w:cs="Arial"/>
          <w:kern w:val="0"/>
          <w:sz w:val="20"/>
          <w:szCs w:val="20"/>
          <w14:ligatures w14:val="none"/>
        </w:rPr>
        <w:br/>
        <w:t> </w:t>
      </w:r>
    </w:p>
    <w:p w14:paraId="578EEB48"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b/>
          <w:bCs/>
          <w:kern w:val="0"/>
          <w:sz w:val="20"/>
          <w:szCs w:val="20"/>
          <w14:ligatures w14:val="none"/>
        </w:rPr>
        <w:t>Table 1. Sociodemographic characteristics of donors</w:t>
      </w:r>
      <w:r w:rsidRPr="0079704C">
        <w:rPr>
          <w:rFonts w:ascii="Arial" w:eastAsia="Times New Roman" w:hAnsi="Arial" w:cs="Arial"/>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2"/>
        <w:gridCol w:w="2984"/>
        <w:gridCol w:w="2990"/>
      </w:tblGrid>
      <w:tr w:rsidR="0079704C" w:rsidRPr="0079704C" w14:paraId="435909DD" w14:textId="77777777">
        <w:trPr>
          <w:trHeight w:val="300"/>
        </w:trPr>
        <w:tc>
          <w:tcPr>
            <w:tcW w:w="3090" w:type="dxa"/>
            <w:tcBorders>
              <w:top w:val="single" w:sz="6" w:space="0" w:color="auto"/>
              <w:left w:val="nil"/>
              <w:bottom w:val="single" w:sz="6" w:space="0" w:color="auto"/>
              <w:right w:val="nil"/>
            </w:tcBorders>
            <w:hideMark/>
          </w:tcPr>
          <w:p w14:paraId="20E4FFC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Variables</w:t>
            </w: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single" w:sz="6" w:space="0" w:color="auto"/>
              <w:right w:val="nil"/>
            </w:tcBorders>
            <w:hideMark/>
          </w:tcPr>
          <w:p w14:paraId="0C3527E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Frequency (n=246)</w:t>
            </w: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single" w:sz="6" w:space="0" w:color="auto"/>
              <w:right w:val="nil"/>
            </w:tcBorders>
            <w:hideMark/>
          </w:tcPr>
          <w:p w14:paraId="6E4760C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Percentage</w:t>
            </w:r>
            <w:r w:rsidRPr="0079704C">
              <w:rPr>
                <w:rFonts w:ascii="Arial" w:eastAsia="Times New Roman" w:hAnsi="Arial" w:cs="Arial"/>
                <w:kern w:val="0"/>
                <w:sz w:val="22"/>
                <w:szCs w:val="22"/>
                <w14:ligatures w14:val="none"/>
              </w:rPr>
              <w:t> </w:t>
            </w:r>
          </w:p>
        </w:tc>
      </w:tr>
      <w:tr w:rsidR="0079704C" w:rsidRPr="0079704C" w14:paraId="76D061D5" w14:textId="77777777">
        <w:trPr>
          <w:trHeight w:val="300"/>
        </w:trPr>
        <w:tc>
          <w:tcPr>
            <w:tcW w:w="3090" w:type="dxa"/>
            <w:tcBorders>
              <w:top w:val="single" w:sz="6" w:space="0" w:color="auto"/>
              <w:left w:val="nil"/>
              <w:bottom w:val="nil"/>
              <w:right w:val="nil"/>
            </w:tcBorders>
            <w:hideMark/>
          </w:tcPr>
          <w:p w14:paraId="49DC2D1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Age</w:t>
            </w: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1EBAA1F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78E4A66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45A28DC8" w14:textId="77777777">
        <w:trPr>
          <w:trHeight w:val="300"/>
        </w:trPr>
        <w:tc>
          <w:tcPr>
            <w:tcW w:w="3090" w:type="dxa"/>
            <w:tcBorders>
              <w:top w:val="nil"/>
              <w:left w:val="nil"/>
              <w:bottom w:val="nil"/>
              <w:right w:val="nil"/>
            </w:tcBorders>
            <w:hideMark/>
          </w:tcPr>
          <w:p w14:paraId="33460D0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18-25 years </w:t>
            </w:r>
          </w:p>
        </w:tc>
        <w:tc>
          <w:tcPr>
            <w:tcW w:w="3060" w:type="dxa"/>
            <w:tcBorders>
              <w:top w:val="nil"/>
              <w:left w:val="nil"/>
              <w:bottom w:val="nil"/>
              <w:right w:val="nil"/>
            </w:tcBorders>
            <w:hideMark/>
          </w:tcPr>
          <w:p w14:paraId="216DDD7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161 </w:t>
            </w:r>
          </w:p>
        </w:tc>
        <w:tc>
          <w:tcPr>
            <w:tcW w:w="3060" w:type="dxa"/>
            <w:tcBorders>
              <w:top w:val="nil"/>
              <w:left w:val="nil"/>
              <w:bottom w:val="nil"/>
              <w:right w:val="nil"/>
            </w:tcBorders>
            <w:hideMark/>
          </w:tcPr>
          <w:p w14:paraId="0ED612F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65.4 </w:t>
            </w:r>
          </w:p>
        </w:tc>
      </w:tr>
      <w:tr w:rsidR="0079704C" w:rsidRPr="0079704C" w14:paraId="7143A914" w14:textId="77777777">
        <w:trPr>
          <w:trHeight w:val="300"/>
        </w:trPr>
        <w:tc>
          <w:tcPr>
            <w:tcW w:w="3090" w:type="dxa"/>
            <w:tcBorders>
              <w:top w:val="nil"/>
              <w:left w:val="nil"/>
              <w:bottom w:val="nil"/>
              <w:right w:val="nil"/>
            </w:tcBorders>
            <w:hideMark/>
          </w:tcPr>
          <w:p w14:paraId="08261BC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lastRenderedPageBreak/>
              <w:t>26-35 years </w:t>
            </w:r>
          </w:p>
        </w:tc>
        <w:tc>
          <w:tcPr>
            <w:tcW w:w="3060" w:type="dxa"/>
            <w:tcBorders>
              <w:top w:val="nil"/>
              <w:left w:val="nil"/>
              <w:bottom w:val="nil"/>
              <w:right w:val="nil"/>
            </w:tcBorders>
            <w:hideMark/>
          </w:tcPr>
          <w:p w14:paraId="39039CB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62 </w:t>
            </w:r>
          </w:p>
        </w:tc>
        <w:tc>
          <w:tcPr>
            <w:tcW w:w="3060" w:type="dxa"/>
            <w:tcBorders>
              <w:top w:val="nil"/>
              <w:left w:val="nil"/>
              <w:bottom w:val="nil"/>
              <w:right w:val="nil"/>
            </w:tcBorders>
            <w:hideMark/>
          </w:tcPr>
          <w:p w14:paraId="5AA118D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25.2 </w:t>
            </w:r>
          </w:p>
        </w:tc>
      </w:tr>
      <w:tr w:rsidR="0079704C" w:rsidRPr="0079704C" w14:paraId="7964E422" w14:textId="77777777">
        <w:trPr>
          <w:trHeight w:val="300"/>
        </w:trPr>
        <w:tc>
          <w:tcPr>
            <w:tcW w:w="3090" w:type="dxa"/>
            <w:tcBorders>
              <w:top w:val="nil"/>
              <w:left w:val="nil"/>
              <w:bottom w:val="nil"/>
              <w:right w:val="nil"/>
            </w:tcBorders>
            <w:hideMark/>
          </w:tcPr>
          <w:p w14:paraId="4BBA597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36-45 years </w:t>
            </w:r>
          </w:p>
        </w:tc>
        <w:tc>
          <w:tcPr>
            <w:tcW w:w="3060" w:type="dxa"/>
            <w:tcBorders>
              <w:top w:val="nil"/>
              <w:left w:val="nil"/>
              <w:bottom w:val="nil"/>
              <w:right w:val="nil"/>
            </w:tcBorders>
            <w:hideMark/>
          </w:tcPr>
          <w:p w14:paraId="4706944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20 </w:t>
            </w:r>
          </w:p>
        </w:tc>
        <w:tc>
          <w:tcPr>
            <w:tcW w:w="3060" w:type="dxa"/>
            <w:tcBorders>
              <w:top w:val="nil"/>
              <w:left w:val="nil"/>
              <w:bottom w:val="nil"/>
              <w:right w:val="nil"/>
            </w:tcBorders>
            <w:hideMark/>
          </w:tcPr>
          <w:p w14:paraId="6273392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8.1 </w:t>
            </w:r>
          </w:p>
        </w:tc>
      </w:tr>
      <w:tr w:rsidR="0079704C" w:rsidRPr="0079704C" w14:paraId="6F3B278D" w14:textId="77777777">
        <w:trPr>
          <w:trHeight w:val="300"/>
        </w:trPr>
        <w:tc>
          <w:tcPr>
            <w:tcW w:w="3090" w:type="dxa"/>
            <w:tcBorders>
              <w:top w:val="nil"/>
              <w:left w:val="nil"/>
              <w:bottom w:val="nil"/>
              <w:right w:val="nil"/>
            </w:tcBorders>
            <w:hideMark/>
          </w:tcPr>
          <w:p w14:paraId="2E90F16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46-55 years </w:t>
            </w:r>
          </w:p>
        </w:tc>
        <w:tc>
          <w:tcPr>
            <w:tcW w:w="3060" w:type="dxa"/>
            <w:tcBorders>
              <w:top w:val="nil"/>
              <w:left w:val="nil"/>
              <w:bottom w:val="nil"/>
              <w:right w:val="nil"/>
            </w:tcBorders>
            <w:hideMark/>
          </w:tcPr>
          <w:p w14:paraId="098AACD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w:t>
            </w:r>
          </w:p>
        </w:tc>
        <w:tc>
          <w:tcPr>
            <w:tcW w:w="3060" w:type="dxa"/>
            <w:tcBorders>
              <w:top w:val="nil"/>
              <w:left w:val="nil"/>
              <w:bottom w:val="nil"/>
              <w:right w:val="nil"/>
            </w:tcBorders>
            <w:hideMark/>
          </w:tcPr>
          <w:p w14:paraId="2816014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1.3 </w:t>
            </w:r>
          </w:p>
        </w:tc>
      </w:tr>
      <w:tr w:rsidR="0079704C" w:rsidRPr="0079704C" w14:paraId="78CE4F0E" w14:textId="77777777">
        <w:trPr>
          <w:trHeight w:val="300"/>
        </w:trPr>
        <w:tc>
          <w:tcPr>
            <w:tcW w:w="3090" w:type="dxa"/>
            <w:tcBorders>
              <w:top w:val="single" w:sz="6" w:space="0" w:color="auto"/>
              <w:left w:val="nil"/>
              <w:bottom w:val="nil"/>
              <w:right w:val="nil"/>
            </w:tcBorders>
            <w:hideMark/>
          </w:tcPr>
          <w:p w14:paraId="4B693F9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Level of education</w:t>
            </w: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1FBA396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46384C2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10309380" w14:textId="77777777">
        <w:trPr>
          <w:trHeight w:val="300"/>
        </w:trPr>
        <w:tc>
          <w:tcPr>
            <w:tcW w:w="3090" w:type="dxa"/>
            <w:tcBorders>
              <w:top w:val="nil"/>
              <w:left w:val="nil"/>
              <w:bottom w:val="nil"/>
              <w:right w:val="nil"/>
            </w:tcBorders>
            <w:hideMark/>
          </w:tcPr>
          <w:p w14:paraId="1DBBB29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Primary </w:t>
            </w:r>
          </w:p>
        </w:tc>
        <w:tc>
          <w:tcPr>
            <w:tcW w:w="3060" w:type="dxa"/>
            <w:tcBorders>
              <w:top w:val="nil"/>
              <w:left w:val="nil"/>
              <w:bottom w:val="nil"/>
              <w:right w:val="nil"/>
            </w:tcBorders>
            <w:hideMark/>
          </w:tcPr>
          <w:p w14:paraId="44BF10E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nil"/>
              <w:right w:val="nil"/>
            </w:tcBorders>
            <w:hideMark/>
          </w:tcPr>
          <w:p w14:paraId="70F8B47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2EAE6521" w14:textId="77777777">
        <w:trPr>
          <w:trHeight w:val="300"/>
        </w:trPr>
        <w:tc>
          <w:tcPr>
            <w:tcW w:w="3090" w:type="dxa"/>
            <w:tcBorders>
              <w:top w:val="nil"/>
              <w:left w:val="nil"/>
              <w:bottom w:val="nil"/>
              <w:right w:val="nil"/>
            </w:tcBorders>
            <w:hideMark/>
          </w:tcPr>
          <w:p w14:paraId="32974D9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Secondary </w:t>
            </w:r>
          </w:p>
        </w:tc>
        <w:tc>
          <w:tcPr>
            <w:tcW w:w="3060" w:type="dxa"/>
            <w:tcBorders>
              <w:top w:val="nil"/>
              <w:left w:val="nil"/>
              <w:bottom w:val="nil"/>
              <w:right w:val="nil"/>
            </w:tcBorders>
            <w:hideMark/>
          </w:tcPr>
          <w:p w14:paraId="7189A87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w:t>
            </w:r>
          </w:p>
        </w:tc>
        <w:tc>
          <w:tcPr>
            <w:tcW w:w="3060" w:type="dxa"/>
            <w:tcBorders>
              <w:top w:val="nil"/>
              <w:left w:val="nil"/>
              <w:bottom w:val="nil"/>
              <w:right w:val="nil"/>
            </w:tcBorders>
            <w:hideMark/>
          </w:tcPr>
          <w:p w14:paraId="4911106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6.5 </w:t>
            </w:r>
          </w:p>
        </w:tc>
      </w:tr>
      <w:tr w:rsidR="0079704C" w:rsidRPr="0079704C" w14:paraId="6B4DE862" w14:textId="77777777">
        <w:trPr>
          <w:trHeight w:val="300"/>
        </w:trPr>
        <w:tc>
          <w:tcPr>
            <w:tcW w:w="3090" w:type="dxa"/>
            <w:tcBorders>
              <w:top w:val="nil"/>
              <w:left w:val="nil"/>
              <w:bottom w:val="single" w:sz="6" w:space="0" w:color="auto"/>
              <w:right w:val="nil"/>
            </w:tcBorders>
            <w:hideMark/>
          </w:tcPr>
          <w:p w14:paraId="736A818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Tertiary </w:t>
            </w:r>
          </w:p>
        </w:tc>
        <w:tc>
          <w:tcPr>
            <w:tcW w:w="3060" w:type="dxa"/>
            <w:tcBorders>
              <w:top w:val="nil"/>
              <w:left w:val="nil"/>
              <w:bottom w:val="single" w:sz="6" w:space="0" w:color="auto"/>
              <w:right w:val="nil"/>
            </w:tcBorders>
            <w:hideMark/>
          </w:tcPr>
          <w:p w14:paraId="57F8BA8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229 </w:t>
            </w:r>
          </w:p>
        </w:tc>
        <w:tc>
          <w:tcPr>
            <w:tcW w:w="3060" w:type="dxa"/>
            <w:tcBorders>
              <w:top w:val="nil"/>
              <w:left w:val="nil"/>
              <w:bottom w:val="single" w:sz="6" w:space="0" w:color="auto"/>
              <w:right w:val="nil"/>
            </w:tcBorders>
            <w:hideMark/>
          </w:tcPr>
          <w:p w14:paraId="7C19228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93.1 </w:t>
            </w:r>
          </w:p>
        </w:tc>
      </w:tr>
      <w:tr w:rsidR="0079704C" w:rsidRPr="0079704C" w14:paraId="3BBA11E6" w14:textId="77777777">
        <w:trPr>
          <w:trHeight w:val="300"/>
        </w:trPr>
        <w:tc>
          <w:tcPr>
            <w:tcW w:w="3090" w:type="dxa"/>
            <w:tcBorders>
              <w:top w:val="single" w:sz="6" w:space="0" w:color="auto"/>
              <w:left w:val="nil"/>
              <w:bottom w:val="nil"/>
              <w:right w:val="nil"/>
            </w:tcBorders>
            <w:hideMark/>
          </w:tcPr>
          <w:p w14:paraId="26D8EDE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Occupation</w:t>
            </w: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6B2BFCA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118879E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779384B" w14:textId="77777777">
        <w:trPr>
          <w:trHeight w:val="300"/>
        </w:trPr>
        <w:tc>
          <w:tcPr>
            <w:tcW w:w="3090" w:type="dxa"/>
            <w:tcBorders>
              <w:top w:val="nil"/>
              <w:left w:val="nil"/>
              <w:bottom w:val="nil"/>
              <w:right w:val="nil"/>
            </w:tcBorders>
            <w:hideMark/>
          </w:tcPr>
          <w:p w14:paraId="6C4D831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Civil servant </w:t>
            </w:r>
          </w:p>
        </w:tc>
        <w:tc>
          <w:tcPr>
            <w:tcW w:w="3060" w:type="dxa"/>
            <w:tcBorders>
              <w:top w:val="nil"/>
              <w:left w:val="nil"/>
              <w:bottom w:val="nil"/>
              <w:right w:val="nil"/>
            </w:tcBorders>
            <w:hideMark/>
          </w:tcPr>
          <w:p w14:paraId="74ABD23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27 </w:t>
            </w:r>
          </w:p>
        </w:tc>
        <w:tc>
          <w:tcPr>
            <w:tcW w:w="3060" w:type="dxa"/>
            <w:tcBorders>
              <w:top w:val="nil"/>
              <w:left w:val="nil"/>
              <w:bottom w:val="nil"/>
              <w:right w:val="nil"/>
            </w:tcBorders>
            <w:hideMark/>
          </w:tcPr>
          <w:p w14:paraId="7EAC6A5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11.0 </w:t>
            </w:r>
          </w:p>
        </w:tc>
      </w:tr>
      <w:tr w:rsidR="0079704C" w:rsidRPr="0079704C" w14:paraId="50FBAF53" w14:textId="77777777">
        <w:trPr>
          <w:trHeight w:val="300"/>
        </w:trPr>
        <w:tc>
          <w:tcPr>
            <w:tcW w:w="3090" w:type="dxa"/>
            <w:tcBorders>
              <w:top w:val="nil"/>
              <w:left w:val="nil"/>
              <w:bottom w:val="nil"/>
              <w:right w:val="nil"/>
            </w:tcBorders>
            <w:hideMark/>
          </w:tcPr>
          <w:p w14:paraId="40716C3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Electrician </w:t>
            </w:r>
          </w:p>
        </w:tc>
        <w:tc>
          <w:tcPr>
            <w:tcW w:w="3060" w:type="dxa"/>
            <w:tcBorders>
              <w:top w:val="nil"/>
              <w:left w:val="nil"/>
              <w:bottom w:val="nil"/>
              <w:right w:val="nil"/>
            </w:tcBorders>
            <w:hideMark/>
          </w:tcPr>
          <w:p w14:paraId="5A52359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w:t>
            </w:r>
          </w:p>
        </w:tc>
        <w:tc>
          <w:tcPr>
            <w:tcW w:w="3060" w:type="dxa"/>
            <w:tcBorders>
              <w:top w:val="nil"/>
              <w:left w:val="nil"/>
              <w:bottom w:val="nil"/>
              <w:right w:val="nil"/>
            </w:tcBorders>
            <w:hideMark/>
          </w:tcPr>
          <w:p w14:paraId="1EDE4B4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1.2 </w:t>
            </w:r>
          </w:p>
        </w:tc>
      </w:tr>
      <w:tr w:rsidR="0079704C" w:rsidRPr="0079704C" w14:paraId="11326923" w14:textId="77777777">
        <w:trPr>
          <w:trHeight w:val="300"/>
        </w:trPr>
        <w:tc>
          <w:tcPr>
            <w:tcW w:w="3090" w:type="dxa"/>
            <w:tcBorders>
              <w:top w:val="nil"/>
              <w:left w:val="nil"/>
              <w:bottom w:val="nil"/>
              <w:right w:val="nil"/>
            </w:tcBorders>
            <w:hideMark/>
          </w:tcPr>
          <w:p w14:paraId="6281E1A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Fisherman </w:t>
            </w:r>
          </w:p>
        </w:tc>
        <w:tc>
          <w:tcPr>
            <w:tcW w:w="3060" w:type="dxa"/>
            <w:tcBorders>
              <w:top w:val="nil"/>
              <w:left w:val="nil"/>
              <w:bottom w:val="nil"/>
              <w:right w:val="nil"/>
            </w:tcBorders>
            <w:hideMark/>
          </w:tcPr>
          <w:p w14:paraId="2BBA05E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nil"/>
              <w:right w:val="nil"/>
            </w:tcBorders>
            <w:hideMark/>
          </w:tcPr>
          <w:p w14:paraId="1A823B8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5C959179" w14:textId="77777777">
        <w:trPr>
          <w:trHeight w:val="300"/>
        </w:trPr>
        <w:tc>
          <w:tcPr>
            <w:tcW w:w="3090" w:type="dxa"/>
            <w:tcBorders>
              <w:top w:val="nil"/>
              <w:left w:val="nil"/>
              <w:bottom w:val="nil"/>
              <w:right w:val="nil"/>
            </w:tcBorders>
            <w:hideMark/>
          </w:tcPr>
          <w:p w14:paraId="55F814F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Masonry laborer </w:t>
            </w:r>
          </w:p>
        </w:tc>
        <w:tc>
          <w:tcPr>
            <w:tcW w:w="3060" w:type="dxa"/>
            <w:tcBorders>
              <w:top w:val="nil"/>
              <w:left w:val="nil"/>
              <w:bottom w:val="nil"/>
              <w:right w:val="nil"/>
            </w:tcBorders>
            <w:hideMark/>
          </w:tcPr>
          <w:p w14:paraId="2948485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nil"/>
              <w:right w:val="nil"/>
            </w:tcBorders>
            <w:hideMark/>
          </w:tcPr>
          <w:p w14:paraId="550C86A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1C1BEFBC" w14:textId="77777777">
        <w:trPr>
          <w:trHeight w:val="300"/>
        </w:trPr>
        <w:tc>
          <w:tcPr>
            <w:tcW w:w="3090" w:type="dxa"/>
            <w:tcBorders>
              <w:top w:val="nil"/>
              <w:left w:val="nil"/>
              <w:bottom w:val="nil"/>
              <w:right w:val="nil"/>
            </w:tcBorders>
            <w:hideMark/>
          </w:tcPr>
          <w:p w14:paraId="70FAB7A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Medical practitioner </w:t>
            </w:r>
          </w:p>
        </w:tc>
        <w:tc>
          <w:tcPr>
            <w:tcW w:w="3060" w:type="dxa"/>
            <w:tcBorders>
              <w:top w:val="nil"/>
              <w:left w:val="nil"/>
              <w:bottom w:val="nil"/>
              <w:right w:val="nil"/>
            </w:tcBorders>
            <w:hideMark/>
          </w:tcPr>
          <w:p w14:paraId="5D63922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nil"/>
              <w:right w:val="nil"/>
            </w:tcBorders>
            <w:hideMark/>
          </w:tcPr>
          <w:p w14:paraId="4FEB976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18B6B8EB" w14:textId="77777777">
        <w:trPr>
          <w:trHeight w:val="300"/>
        </w:trPr>
        <w:tc>
          <w:tcPr>
            <w:tcW w:w="3090" w:type="dxa"/>
            <w:tcBorders>
              <w:top w:val="nil"/>
              <w:left w:val="nil"/>
              <w:bottom w:val="nil"/>
              <w:right w:val="nil"/>
            </w:tcBorders>
            <w:hideMark/>
          </w:tcPr>
          <w:p w14:paraId="76C8C44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Rig worker </w:t>
            </w:r>
          </w:p>
        </w:tc>
        <w:tc>
          <w:tcPr>
            <w:tcW w:w="3060" w:type="dxa"/>
            <w:tcBorders>
              <w:top w:val="nil"/>
              <w:left w:val="nil"/>
              <w:bottom w:val="nil"/>
              <w:right w:val="nil"/>
            </w:tcBorders>
            <w:hideMark/>
          </w:tcPr>
          <w:p w14:paraId="0F1FC95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w:t>
            </w:r>
          </w:p>
        </w:tc>
        <w:tc>
          <w:tcPr>
            <w:tcW w:w="3060" w:type="dxa"/>
            <w:tcBorders>
              <w:top w:val="nil"/>
              <w:left w:val="nil"/>
              <w:bottom w:val="nil"/>
              <w:right w:val="nil"/>
            </w:tcBorders>
            <w:hideMark/>
          </w:tcPr>
          <w:p w14:paraId="517BE2C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1.2 </w:t>
            </w:r>
          </w:p>
        </w:tc>
      </w:tr>
      <w:tr w:rsidR="0079704C" w:rsidRPr="0079704C" w14:paraId="3CE601A8" w14:textId="77777777">
        <w:trPr>
          <w:trHeight w:val="300"/>
        </w:trPr>
        <w:tc>
          <w:tcPr>
            <w:tcW w:w="3090" w:type="dxa"/>
            <w:tcBorders>
              <w:top w:val="nil"/>
              <w:left w:val="nil"/>
              <w:bottom w:val="nil"/>
              <w:right w:val="nil"/>
            </w:tcBorders>
            <w:hideMark/>
          </w:tcPr>
          <w:p w14:paraId="34E0C8B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Sailor </w:t>
            </w:r>
          </w:p>
        </w:tc>
        <w:tc>
          <w:tcPr>
            <w:tcW w:w="3060" w:type="dxa"/>
            <w:tcBorders>
              <w:top w:val="nil"/>
              <w:left w:val="nil"/>
              <w:bottom w:val="nil"/>
              <w:right w:val="nil"/>
            </w:tcBorders>
            <w:hideMark/>
          </w:tcPr>
          <w:p w14:paraId="2E80066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nil"/>
              <w:right w:val="nil"/>
            </w:tcBorders>
            <w:hideMark/>
          </w:tcPr>
          <w:p w14:paraId="008301B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00DD197C" w14:textId="77777777">
        <w:trPr>
          <w:trHeight w:val="300"/>
        </w:trPr>
        <w:tc>
          <w:tcPr>
            <w:tcW w:w="3090" w:type="dxa"/>
            <w:tcBorders>
              <w:top w:val="nil"/>
              <w:left w:val="nil"/>
              <w:bottom w:val="nil"/>
              <w:right w:val="nil"/>
            </w:tcBorders>
            <w:hideMark/>
          </w:tcPr>
          <w:p w14:paraId="5EDA4FA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Self employed </w:t>
            </w:r>
          </w:p>
        </w:tc>
        <w:tc>
          <w:tcPr>
            <w:tcW w:w="3060" w:type="dxa"/>
            <w:tcBorders>
              <w:top w:val="nil"/>
              <w:left w:val="nil"/>
              <w:bottom w:val="nil"/>
              <w:right w:val="nil"/>
            </w:tcBorders>
            <w:hideMark/>
          </w:tcPr>
          <w:p w14:paraId="782E221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17 </w:t>
            </w:r>
          </w:p>
        </w:tc>
        <w:tc>
          <w:tcPr>
            <w:tcW w:w="3060" w:type="dxa"/>
            <w:tcBorders>
              <w:top w:val="nil"/>
              <w:left w:val="nil"/>
              <w:bottom w:val="nil"/>
              <w:right w:val="nil"/>
            </w:tcBorders>
            <w:hideMark/>
          </w:tcPr>
          <w:p w14:paraId="1CDDB7B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6.9 </w:t>
            </w:r>
          </w:p>
        </w:tc>
      </w:tr>
      <w:tr w:rsidR="0079704C" w:rsidRPr="0079704C" w14:paraId="13C2724F" w14:textId="77777777">
        <w:trPr>
          <w:trHeight w:val="300"/>
        </w:trPr>
        <w:tc>
          <w:tcPr>
            <w:tcW w:w="3090" w:type="dxa"/>
            <w:tcBorders>
              <w:top w:val="nil"/>
              <w:left w:val="nil"/>
              <w:bottom w:val="nil"/>
              <w:right w:val="nil"/>
            </w:tcBorders>
            <w:hideMark/>
          </w:tcPr>
          <w:p w14:paraId="3D275A2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Student </w:t>
            </w:r>
          </w:p>
        </w:tc>
        <w:tc>
          <w:tcPr>
            <w:tcW w:w="3060" w:type="dxa"/>
            <w:tcBorders>
              <w:top w:val="nil"/>
              <w:left w:val="nil"/>
              <w:bottom w:val="nil"/>
              <w:right w:val="nil"/>
            </w:tcBorders>
            <w:hideMark/>
          </w:tcPr>
          <w:p w14:paraId="29BA552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187 </w:t>
            </w:r>
          </w:p>
        </w:tc>
        <w:tc>
          <w:tcPr>
            <w:tcW w:w="3060" w:type="dxa"/>
            <w:tcBorders>
              <w:top w:val="nil"/>
              <w:left w:val="nil"/>
              <w:bottom w:val="nil"/>
              <w:right w:val="nil"/>
            </w:tcBorders>
            <w:hideMark/>
          </w:tcPr>
          <w:p w14:paraId="6C62577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74.8 </w:t>
            </w:r>
          </w:p>
        </w:tc>
      </w:tr>
      <w:tr w:rsidR="0079704C" w:rsidRPr="0079704C" w14:paraId="5063CA8B" w14:textId="77777777">
        <w:trPr>
          <w:trHeight w:val="300"/>
        </w:trPr>
        <w:tc>
          <w:tcPr>
            <w:tcW w:w="3090" w:type="dxa"/>
            <w:tcBorders>
              <w:top w:val="nil"/>
              <w:left w:val="nil"/>
              <w:bottom w:val="nil"/>
              <w:right w:val="nil"/>
            </w:tcBorders>
            <w:hideMark/>
          </w:tcPr>
          <w:p w14:paraId="25A800C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Trader </w:t>
            </w:r>
          </w:p>
        </w:tc>
        <w:tc>
          <w:tcPr>
            <w:tcW w:w="3060" w:type="dxa"/>
            <w:tcBorders>
              <w:top w:val="nil"/>
              <w:left w:val="nil"/>
              <w:bottom w:val="nil"/>
              <w:right w:val="nil"/>
            </w:tcBorders>
            <w:hideMark/>
          </w:tcPr>
          <w:p w14:paraId="39321E4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2 </w:t>
            </w:r>
          </w:p>
        </w:tc>
        <w:tc>
          <w:tcPr>
            <w:tcW w:w="3060" w:type="dxa"/>
            <w:tcBorders>
              <w:top w:val="nil"/>
              <w:left w:val="nil"/>
              <w:bottom w:val="nil"/>
              <w:right w:val="nil"/>
            </w:tcBorders>
            <w:hideMark/>
          </w:tcPr>
          <w:p w14:paraId="52C0FAD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0.8 </w:t>
            </w:r>
          </w:p>
        </w:tc>
      </w:tr>
      <w:tr w:rsidR="0079704C" w:rsidRPr="0079704C" w14:paraId="52DA9341" w14:textId="77777777">
        <w:trPr>
          <w:trHeight w:val="300"/>
        </w:trPr>
        <w:tc>
          <w:tcPr>
            <w:tcW w:w="3090" w:type="dxa"/>
            <w:tcBorders>
              <w:top w:val="nil"/>
              <w:left w:val="nil"/>
              <w:bottom w:val="nil"/>
              <w:right w:val="nil"/>
            </w:tcBorders>
            <w:hideMark/>
          </w:tcPr>
          <w:p w14:paraId="1F5E186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Transporter </w:t>
            </w:r>
          </w:p>
        </w:tc>
        <w:tc>
          <w:tcPr>
            <w:tcW w:w="3060" w:type="dxa"/>
            <w:tcBorders>
              <w:top w:val="nil"/>
              <w:left w:val="nil"/>
              <w:bottom w:val="nil"/>
              <w:right w:val="nil"/>
            </w:tcBorders>
            <w:hideMark/>
          </w:tcPr>
          <w:p w14:paraId="77DBF6F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nil"/>
              <w:right w:val="nil"/>
            </w:tcBorders>
            <w:hideMark/>
          </w:tcPr>
          <w:p w14:paraId="4C9D8A9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15EFD987" w14:textId="77777777">
        <w:trPr>
          <w:trHeight w:val="300"/>
        </w:trPr>
        <w:tc>
          <w:tcPr>
            <w:tcW w:w="3090" w:type="dxa"/>
            <w:tcBorders>
              <w:top w:val="nil"/>
              <w:left w:val="nil"/>
              <w:bottom w:val="nil"/>
              <w:right w:val="nil"/>
            </w:tcBorders>
            <w:hideMark/>
          </w:tcPr>
          <w:p w14:paraId="264FFAA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Unemployed </w:t>
            </w:r>
          </w:p>
        </w:tc>
        <w:tc>
          <w:tcPr>
            <w:tcW w:w="3060" w:type="dxa"/>
            <w:tcBorders>
              <w:top w:val="nil"/>
              <w:left w:val="nil"/>
              <w:bottom w:val="nil"/>
              <w:right w:val="nil"/>
            </w:tcBorders>
            <w:hideMark/>
          </w:tcPr>
          <w:p w14:paraId="654EE06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4 </w:t>
            </w:r>
          </w:p>
        </w:tc>
        <w:tc>
          <w:tcPr>
            <w:tcW w:w="3060" w:type="dxa"/>
            <w:tcBorders>
              <w:top w:val="nil"/>
              <w:left w:val="nil"/>
              <w:bottom w:val="nil"/>
              <w:right w:val="nil"/>
            </w:tcBorders>
            <w:hideMark/>
          </w:tcPr>
          <w:p w14:paraId="1E03E18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w:t>
            </w:r>
          </w:p>
        </w:tc>
      </w:tr>
      <w:tr w:rsidR="0079704C" w:rsidRPr="0079704C" w14:paraId="07E665D9" w14:textId="77777777">
        <w:trPr>
          <w:trHeight w:val="300"/>
        </w:trPr>
        <w:tc>
          <w:tcPr>
            <w:tcW w:w="3090" w:type="dxa"/>
            <w:tcBorders>
              <w:top w:val="nil"/>
              <w:left w:val="nil"/>
              <w:bottom w:val="single" w:sz="6" w:space="0" w:color="auto"/>
              <w:right w:val="nil"/>
            </w:tcBorders>
            <w:hideMark/>
          </w:tcPr>
          <w:p w14:paraId="2D78CF9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Welder </w:t>
            </w:r>
          </w:p>
        </w:tc>
        <w:tc>
          <w:tcPr>
            <w:tcW w:w="3060" w:type="dxa"/>
            <w:tcBorders>
              <w:top w:val="nil"/>
              <w:left w:val="nil"/>
              <w:bottom w:val="single" w:sz="6" w:space="0" w:color="auto"/>
              <w:right w:val="nil"/>
            </w:tcBorders>
            <w:hideMark/>
          </w:tcPr>
          <w:p w14:paraId="0EC0622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060" w:type="dxa"/>
            <w:tcBorders>
              <w:top w:val="nil"/>
              <w:left w:val="nil"/>
              <w:bottom w:val="single" w:sz="6" w:space="0" w:color="auto"/>
              <w:right w:val="nil"/>
            </w:tcBorders>
            <w:hideMark/>
          </w:tcPr>
          <w:p w14:paraId="0582D9B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1D8A02F0" w14:textId="77777777">
        <w:trPr>
          <w:trHeight w:val="300"/>
        </w:trPr>
        <w:tc>
          <w:tcPr>
            <w:tcW w:w="3090" w:type="dxa"/>
            <w:tcBorders>
              <w:top w:val="single" w:sz="6" w:space="0" w:color="auto"/>
              <w:left w:val="nil"/>
              <w:bottom w:val="nil"/>
              <w:right w:val="nil"/>
            </w:tcBorders>
            <w:hideMark/>
          </w:tcPr>
          <w:p w14:paraId="2CDDE3B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Employment status</w:t>
            </w: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5774B71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060" w:type="dxa"/>
            <w:tcBorders>
              <w:top w:val="single" w:sz="6" w:space="0" w:color="auto"/>
              <w:left w:val="nil"/>
              <w:bottom w:val="nil"/>
              <w:right w:val="nil"/>
            </w:tcBorders>
            <w:hideMark/>
          </w:tcPr>
          <w:p w14:paraId="33A0091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540C08A7" w14:textId="77777777">
        <w:trPr>
          <w:trHeight w:val="300"/>
        </w:trPr>
        <w:tc>
          <w:tcPr>
            <w:tcW w:w="3090" w:type="dxa"/>
            <w:tcBorders>
              <w:top w:val="nil"/>
              <w:left w:val="nil"/>
              <w:bottom w:val="nil"/>
              <w:right w:val="nil"/>
            </w:tcBorders>
            <w:hideMark/>
          </w:tcPr>
          <w:p w14:paraId="529F788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Unemployed/Student </w:t>
            </w:r>
          </w:p>
        </w:tc>
        <w:tc>
          <w:tcPr>
            <w:tcW w:w="3060" w:type="dxa"/>
            <w:tcBorders>
              <w:top w:val="nil"/>
              <w:left w:val="nil"/>
              <w:bottom w:val="nil"/>
              <w:right w:val="nil"/>
            </w:tcBorders>
            <w:hideMark/>
          </w:tcPr>
          <w:p w14:paraId="4ADF5D2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188 </w:t>
            </w:r>
          </w:p>
        </w:tc>
        <w:tc>
          <w:tcPr>
            <w:tcW w:w="3060" w:type="dxa"/>
            <w:tcBorders>
              <w:top w:val="nil"/>
              <w:left w:val="nil"/>
              <w:bottom w:val="nil"/>
              <w:right w:val="nil"/>
            </w:tcBorders>
            <w:hideMark/>
          </w:tcPr>
          <w:p w14:paraId="7605B56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76.4 </w:t>
            </w:r>
          </w:p>
        </w:tc>
      </w:tr>
      <w:tr w:rsidR="0079704C" w:rsidRPr="0079704C" w14:paraId="169A3641" w14:textId="77777777">
        <w:trPr>
          <w:trHeight w:val="300"/>
        </w:trPr>
        <w:tc>
          <w:tcPr>
            <w:tcW w:w="3090" w:type="dxa"/>
            <w:tcBorders>
              <w:top w:val="nil"/>
              <w:left w:val="nil"/>
              <w:bottom w:val="single" w:sz="6" w:space="0" w:color="auto"/>
              <w:right w:val="nil"/>
            </w:tcBorders>
            <w:hideMark/>
          </w:tcPr>
          <w:p w14:paraId="6CB4D45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Employed/Self employed </w:t>
            </w:r>
          </w:p>
        </w:tc>
        <w:tc>
          <w:tcPr>
            <w:tcW w:w="3060" w:type="dxa"/>
            <w:tcBorders>
              <w:top w:val="nil"/>
              <w:left w:val="nil"/>
              <w:bottom w:val="single" w:sz="6" w:space="0" w:color="auto"/>
              <w:right w:val="nil"/>
            </w:tcBorders>
            <w:hideMark/>
          </w:tcPr>
          <w:p w14:paraId="7043207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58 </w:t>
            </w:r>
          </w:p>
        </w:tc>
        <w:tc>
          <w:tcPr>
            <w:tcW w:w="3060" w:type="dxa"/>
            <w:tcBorders>
              <w:top w:val="nil"/>
              <w:left w:val="nil"/>
              <w:bottom w:val="single" w:sz="6" w:space="0" w:color="auto"/>
              <w:right w:val="nil"/>
            </w:tcBorders>
            <w:hideMark/>
          </w:tcPr>
          <w:p w14:paraId="5A414FA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23.6 </w:t>
            </w:r>
          </w:p>
        </w:tc>
      </w:tr>
    </w:tbl>
    <w:p w14:paraId="35201B01"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b/>
          <w:bCs/>
          <w:kern w:val="0"/>
          <w:sz w:val="20"/>
          <w:szCs w:val="20"/>
          <w14:ligatures w14:val="none"/>
        </w:rPr>
        <w:t> </w:t>
      </w:r>
      <w:r w:rsidRPr="0079704C">
        <w:rPr>
          <w:rFonts w:ascii="Arial" w:eastAsia="Times New Roman" w:hAnsi="Arial" w:cs="Arial"/>
          <w:kern w:val="0"/>
          <w:sz w:val="20"/>
          <w:szCs w:val="20"/>
          <w14:ligatures w14:val="none"/>
        </w:rPr>
        <w:t> </w:t>
      </w:r>
    </w:p>
    <w:p w14:paraId="2BB8C277"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b/>
          <w:bCs/>
          <w:kern w:val="0"/>
          <w:sz w:val="20"/>
          <w:szCs w:val="20"/>
          <w14:ligatures w14:val="none"/>
        </w:rPr>
        <w:t>Table 2: Association between sociodemographic characteristics and lead level of participants</w:t>
      </w:r>
      <w:r w:rsidRPr="0079704C">
        <w:rPr>
          <w:rFonts w:ascii="Arial" w:eastAsia="Times New Roman" w:hAnsi="Arial" w:cs="Arial"/>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1"/>
        <w:gridCol w:w="1248"/>
        <w:gridCol w:w="1363"/>
        <w:gridCol w:w="1099"/>
        <w:gridCol w:w="1212"/>
        <w:gridCol w:w="1013"/>
      </w:tblGrid>
      <w:tr w:rsidR="0079704C" w:rsidRPr="0079704C" w14:paraId="5002BDD9" w14:textId="77777777">
        <w:trPr>
          <w:trHeight w:val="300"/>
        </w:trPr>
        <w:tc>
          <w:tcPr>
            <w:tcW w:w="6270" w:type="dxa"/>
            <w:tcBorders>
              <w:top w:val="single" w:sz="6" w:space="0" w:color="auto"/>
              <w:left w:val="nil"/>
              <w:bottom w:val="nil"/>
              <w:right w:val="nil"/>
            </w:tcBorders>
            <w:hideMark/>
          </w:tcPr>
          <w:p w14:paraId="6A09258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Variables</w:t>
            </w:r>
            <w:r w:rsidRPr="0079704C">
              <w:rPr>
                <w:rFonts w:ascii="Arial" w:eastAsia="Times New Roman" w:hAnsi="Arial" w:cs="Arial"/>
                <w:kern w:val="0"/>
                <w:sz w:val="22"/>
                <w:szCs w:val="22"/>
                <w14:ligatures w14:val="none"/>
              </w:rPr>
              <w:t> </w:t>
            </w:r>
          </w:p>
        </w:tc>
        <w:tc>
          <w:tcPr>
            <w:tcW w:w="5145" w:type="dxa"/>
            <w:gridSpan w:val="2"/>
            <w:tcBorders>
              <w:top w:val="single" w:sz="6" w:space="0" w:color="auto"/>
              <w:left w:val="nil"/>
              <w:bottom w:val="nil"/>
              <w:right w:val="nil"/>
            </w:tcBorders>
            <w:hideMark/>
          </w:tcPr>
          <w:p w14:paraId="7BF24F4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 Lead Levels</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9D8A52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Total</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27445F9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Chi square</w:t>
            </w:r>
            <w:r w:rsidRPr="0079704C">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051349C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i/>
                <w:iCs/>
                <w:kern w:val="0"/>
                <w:sz w:val="22"/>
                <w:szCs w:val="22"/>
                <w14:ligatures w14:val="none"/>
              </w:rPr>
              <w:t xml:space="preserve">P </w:t>
            </w:r>
            <w:r w:rsidRPr="0079704C">
              <w:rPr>
                <w:rFonts w:ascii="Arial" w:eastAsia="Times New Roman" w:hAnsi="Arial" w:cs="Arial"/>
                <w:b/>
                <w:bCs/>
                <w:kern w:val="0"/>
                <w:sz w:val="22"/>
                <w:szCs w:val="22"/>
                <w14:ligatures w14:val="none"/>
              </w:rPr>
              <w:t>value</w:t>
            </w:r>
            <w:r w:rsidRPr="0079704C">
              <w:rPr>
                <w:rFonts w:ascii="Arial" w:eastAsia="Times New Roman" w:hAnsi="Arial" w:cs="Arial"/>
                <w:kern w:val="0"/>
                <w:sz w:val="22"/>
                <w:szCs w:val="22"/>
                <w14:ligatures w14:val="none"/>
              </w:rPr>
              <w:t> </w:t>
            </w:r>
          </w:p>
        </w:tc>
      </w:tr>
      <w:tr w:rsidR="0079704C" w:rsidRPr="0079704C" w14:paraId="22C0871A" w14:textId="77777777">
        <w:trPr>
          <w:trHeight w:val="300"/>
        </w:trPr>
        <w:tc>
          <w:tcPr>
            <w:tcW w:w="6270" w:type="dxa"/>
            <w:tcBorders>
              <w:top w:val="nil"/>
              <w:left w:val="nil"/>
              <w:bottom w:val="single" w:sz="6" w:space="0" w:color="auto"/>
              <w:right w:val="nil"/>
            </w:tcBorders>
            <w:hideMark/>
          </w:tcPr>
          <w:p w14:paraId="143A042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 </w:t>
            </w:r>
            <w:r w:rsidRPr="0079704C">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10BE093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&lt;5µg/dl</w:t>
            </w:r>
            <w:r w:rsidRPr="0079704C">
              <w:rPr>
                <w:rFonts w:ascii="Arial" w:eastAsia="Times New Roman" w:hAnsi="Arial" w:cs="Arial"/>
                <w:kern w:val="0"/>
                <w:sz w:val="22"/>
                <w:szCs w:val="22"/>
                <w14:ligatures w14:val="none"/>
              </w:rPr>
              <w:t> </w:t>
            </w:r>
          </w:p>
          <w:p w14:paraId="65751E0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gramStart"/>
            <w:r w:rsidRPr="0079704C">
              <w:rPr>
                <w:rFonts w:ascii="Arial" w:eastAsia="Times New Roman" w:hAnsi="Arial" w:cs="Arial"/>
                <w:b/>
                <w:bCs/>
                <w:kern w:val="0"/>
                <w:sz w:val="22"/>
                <w:szCs w:val="22"/>
                <w14:ligatures w14:val="none"/>
              </w:rPr>
              <w:t>n(</w:t>
            </w:r>
            <w:proofErr w:type="gramEnd"/>
            <w:r w:rsidRPr="0079704C">
              <w:rPr>
                <w:rFonts w:ascii="Arial" w:eastAsia="Times New Roman" w:hAnsi="Arial" w:cs="Arial"/>
                <w:b/>
                <w:bCs/>
                <w:kern w:val="0"/>
                <w:sz w:val="22"/>
                <w:szCs w:val="22"/>
                <w14:ligatures w14:val="none"/>
              </w:rPr>
              <w:t>%)</w:t>
            </w:r>
            <w:r w:rsidRPr="0079704C">
              <w:rPr>
                <w:rFonts w:ascii="Arial" w:eastAsia="Times New Roman" w:hAnsi="Arial" w:cs="Arial"/>
                <w:kern w:val="0"/>
                <w:sz w:val="22"/>
                <w:szCs w:val="22"/>
                <w14:ligatures w14:val="none"/>
              </w:rPr>
              <w:t> </w:t>
            </w:r>
          </w:p>
        </w:tc>
        <w:tc>
          <w:tcPr>
            <w:tcW w:w="2325" w:type="dxa"/>
            <w:tcBorders>
              <w:top w:val="nil"/>
              <w:left w:val="nil"/>
              <w:bottom w:val="single" w:sz="6" w:space="0" w:color="auto"/>
              <w:right w:val="nil"/>
            </w:tcBorders>
            <w:hideMark/>
          </w:tcPr>
          <w:p w14:paraId="590F086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&gt;5µg/dl</w:t>
            </w:r>
            <w:r w:rsidRPr="0079704C">
              <w:rPr>
                <w:rFonts w:ascii="Arial" w:eastAsia="Times New Roman" w:hAnsi="Arial" w:cs="Arial"/>
                <w:kern w:val="0"/>
                <w:sz w:val="22"/>
                <w:szCs w:val="22"/>
                <w14:ligatures w14:val="none"/>
              </w:rPr>
              <w:t> </w:t>
            </w:r>
          </w:p>
          <w:p w14:paraId="30C33BC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gramStart"/>
            <w:r w:rsidRPr="0079704C">
              <w:rPr>
                <w:rFonts w:ascii="Arial" w:eastAsia="Times New Roman" w:hAnsi="Arial" w:cs="Arial"/>
                <w:b/>
                <w:bCs/>
                <w:kern w:val="0"/>
                <w:sz w:val="22"/>
                <w:szCs w:val="22"/>
                <w14:ligatures w14:val="none"/>
              </w:rPr>
              <w:t>n(</w:t>
            </w:r>
            <w:proofErr w:type="gramEnd"/>
            <w:r w:rsidRPr="0079704C">
              <w:rPr>
                <w:rFonts w:ascii="Arial" w:eastAsia="Times New Roman" w:hAnsi="Arial" w:cs="Arial"/>
                <w:b/>
                <w:bCs/>
                <w:kern w:val="0"/>
                <w:sz w:val="22"/>
                <w:szCs w:val="22"/>
                <w14:ligatures w14:val="none"/>
              </w:rPr>
              <w:t>%)</w:t>
            </w:r>
            <w:r w:rsidRPr="0079704C">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4CD916A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N (%)</w:t>
            </w:r>
            <w:r w:rsidRPr="0079704C">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3F4640C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 </w:t>
            </w:r>
            <w:r w:rsidRPr="0079704C">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0530232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 </w:t>
            </w:r>
            <w:r w:rsidRPr="0079704C">
              <w:rPr>
                <w:rFonts w:ascii="Arial" w:eastAsia="Times New Roman" w:hAnsi="Arial" w:cs="Arial"/>
                <w:kern w:val="0"/>
                <w:sz w:val="22"/>
                <w:szCs w:val="22"/>
                <w14:ligatures w14:val="none"/>
              </w:rPr>
              <w:t> </w:t>
            </w:r>
          </w:p>
        </w:tc>
      </w:tr>
      <w:tr w:rsidR="0079704C" w:rsidRPr="0079704C" w14:paraId="3097D56A" w14:textId="77777777">
        <w:trPr>
          <w:trHeight w:val="300"/>
        </w:trPr>
        <w:tc>
          <w:tcPr>
            <w:tcW w:w="6270" w:type="dxa"/>
            <w:tcBorders>
              <w:top w:val="single" w:sz="6" w:space="0" w:color="auto"/>
              <w:left w:val="nil"/>
              <w:bottom w:val="nil"/>
              <w:right w:val="nil"/>
            </w:tcBorders>
            <w:hideMark/>
          </w:tcPr>
          <w:p w14:paraId="4F0BA95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Age group</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0D6B5D1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6ADF454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2725DD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4885A8F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4AAED7C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1B62E744" w14:textId="77777777">
        <w:trPr>
          <w:trHeight w:val="300"/>
        </w:trPr>
        <w:tc>
          <w:tcPr>
            <w:tcW w:w="6270" w:type="dxa"/>
            <w:tcBorders>
              <w:top w:val="nil"/>
              <w:left w:val="nil"/>
              <w:bottom w:val="nil"/>
              <w:right w:val="nil"/>
            </w:tcBorders>
            <w:hideMark/>
          </w:tcPr>
          <w:p w14:paraId="4BE3163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18-25 years </w:t>
            </w:r>
          </w:p>
        </w:tc>
        <w:tc>
          <w:tcPr>
            <w:tcW w:w="2610" w:type="dxa"/>
            <w:tcBorders>
              <w:top w:val="nil"/>
              <w:left w:val="nil"/>
              <w:bottom w:val="nil"/>
              <w:right w:val="nil"/>
            </w:tcBorders>
            <w:hideMark/>
          </w:tcPr>
          <w:p w14:paraId="61D89D4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 (46.2) </w:t>
            </w:r>
          </w:p>
        </w:tc>
        <w:tc>
          <w:tcPr>
            <w:tcW w:w="2325" w:type="dxa"/>
            <w:tcBorders>
              <w:top w:val="nil"/>
              <w:left w:val="nil"/>
              <w:bottom w:val="nil"/>
              <w:right w:val="nil"/>
            </w:tcBorders>
            <w:hideMark/>
          </w:tcPr>
          <w:p w14:paraId="4E17012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155(66.5) </w:t>
            </w:r>
          </w:p>
        </w:tc>
        <w:tc>
          <w:tcPr>
            <w:tcW w:w="2610" w:type="dxa"/>
            <w:tcBorders>
              <w:top w:val="nil"/>
              <w:left w:val="nil"/>
              <w:bottom w:val="nil"/>
              <w:right w:val="nil"/>
            </w:tcBorders>
            <w:hideMark/>
          </w:tcPr>
          <w:p w14:paraId="6393931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161 (65.4) </w:t>
            </w:r>
          </w:p>
        </w:tc>
        <w:tc>
          <w:tcPr>
            <w:tcW w:w="2610" w:type="dxa"/>
            <w:tcBorders>
              <w:top w:val="nil"/>
              <w:left w:val="nil"/>
              <w:bottom w:val="nil"/>
              <w:right w:val="nil"/>
            </w:tcBorders>
            <w:hideMark/>
          </w:tcPr>
          <w:p w14:paraId="2F7E274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12.622 </w:t>
            </w:r>
          </w:p>
        </w:tc>
        <w:tc>
          <w:tcPr>
            <w:tcW w:w="2040" w:type="dxa"/>
            <w:tcBorders>
              <w:top w:val="nil"/>
              <w:left w:val="nil"/>
              <w:bottom w:val="nil"/>
              <w:right w:val="nil"/>
            </w:tcBorders>
            <w:hideMark/>
          </w:tcPr>
          <w:p w14:paraId="15B6A84A" w14:textId="12C014FD" w:rsidR="0079704C" w:rsidRPr="0079704C" w:rsidRDefault="00675E21" w:rsidP="0079704C">
            <w:pPr>
              <w:spacing w:after="0" w:line="240" w:lineRule="auto"/>
              <w:jc w:val="both"/>
              <w:textAlignment w:val="baseline"/>
              <w:rPr>
                <w:rFonts w:ascii="Times New Roman" w:eastAsia="Times New Roman" w:hAnsi="Times New Roman" w:cs="Times New Roman"/>
                <w:kern w:val="0"/>
                <w14:ligatures w14:val="none"/>
              </w:rPr>
            </w:pPr>
            <w:r>
              <w:rPr>
                <w:rFonts w:ascii="Arial" w:eastAsia="Times New Roman" w:hAnsi="Arial" w:cs="Arial"/>
                <w:kern w:val="0"/>
                <w:sz w:val="22"/>
                <w:szCs w:val="22"/>
                <w14:ligatures w14:val="none"/>
              </w:rPr>
              <w:t>0</w:t>
            </w:r>
            <w:r w:rsidR="0079704C" w:rsidRPr="0079704C">
              <w:rPr>
                <w:rFonts w:ascii="Arial" w:eastAsia="Times New Roman" w:hAnsi="Arial" w:cs="Arial"/>
                <w:kern w:val="0"/>
                <w:sz w:val="22"/>
                <w:szCs w:val="22"/>
                <w14:ligatures w14:val="none"/>
              </w:rPr>
              <w:t>.013* </w:t>
            </w:r>
          </w:p>
        </w:tc>
      </w:tr>
      <w:tr w:rsidR="0079704C" w:rsidRPr="0079704C" w14:paraId="500B487F" w14:textId="77777777">
        <w:trPr>
          <w:trHeight w:val="300"/>
        </w:trPr>
        <w:tc>
          <w:tcPr>
            <w:tcW w:w="6270" w:type="dxa"/>
            <w:tcBorders>
              <w:top w:val="nil"/>
              <w:left w:val="nil"/>
              <w:bottom w:val="nil"/>
              <w:right w:val="nil"/>
            </w:tcBorders>
            <w:hideMark/>
          </w:tcPr>
          <w:p w14:paraId="3C4EE10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26-35 years </w:t>
            </w:r>
          </w:p>
        </w:tc>
        <w:tc>
          <w:tcPr>
            <w:tcW w:w="2610" w:type="dxa"/>
            <w:tcBorders>
              <w:top w:val="nil"/>
              <w:left w:val="nil"/>
              <w:bottom w:val="nil"/>
              <w:right w:val="nil"/>
            </w:tcBorders>
            <w:hideMark/>
          </w:tcPr>
          <w:p w14:paraId="391B0A9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(23.1) </w:t>
            </w:r>
          </w:p>
        </w:tc>
        <w:tc>
          <w:tcPr>
            <w:tcW w:w="2325" w:type="dxa"/>
            <w:tcBorders>
              <w:top w:val="nil"/>
              <w:left w:val="nil"/>
              <w:bottom w:val="nil"/>
              <w:right w:val="nil"/>
            </w:tcBorders>
            <w:hideMark/>
          </w:tcPr>
          <w:p w14:paraId="5D729FF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59 (25.3) </w:t>
            </w:r>
          </w:p>
        </w:tc>
        <w:tc>
          <w:tcPr>
            <w:tcW w:w="2610" w:type="dxa"/>
            <w:tcBorders>
              <w:top w:val="nil"/>
              <w:left w:val="nil"/>
              <w:bottom w:val="nil"/>
              <w:right w:val="nil"/>
            </w:tcBorders>
            <w:hideMark/>
          </w:tcPr>
          <w:p w14:paraId="116FC7C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62 (25.2) </w:t>
            </w:r>
          </w:p>
        </w:tc>
        <w:tc>
          <w:tcPr>
            <w:tcW w:w="2610" w:type="dxa"/>
            <w:tcBorders>
              <w:top w:val="nil"/>
              <w:left w:val="nil"/>
              <w:bottom w:val="nil"/>
              <w:right w:val="nil"/>
            </w:tcBorders>
            <w:hideMark/>
          </w:tcPr>
          <w:p w14:paraId="084F2F1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60CDBE5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436D92EE" w14:textId="77777777">
        <w:trPr>
          <w:trHeight w:val="300"/>
        </w:trPr>
        <w:tc>
          <w:tcPr>
            <w:tcW w:w="6270" w:type="dxa"/>
            <w:tcBorders>
              <w:top w:val="nil"/>
              <w:left w:val="nil"/>
              <w:bottom w:val="nil"/>
              <w:right w:val="nil"/>
            </w:tcBorders>
            <w:hideMark/>
          </w:tcPr>
          <w:p w14:paraId="5BE921E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36-45 years </w:t>
            </w:r>
          </w:p>
        </w:tc>
        <w:tc>
          <w:tcPr>
            <w:tcW w:w="2610" w:type="dxa"/>
            <w:tcBorders>
              <w:top w:val="nil"/>
              <w:left w:val="nil"/>
              <w:bottom w:val="nil"/>
              <w:right w:val="nil"/>
            </w:tcBorders>
            <w:hideMark/>
          </w:tcPr>
          <w:p w14:paraId="19C5843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(23.1) </w:t>
            </w:r>
          </w:p>
        </w:tc>
        <w:tc>
          <w:tcPr>
            <w:tcW w:w="2325" w:type="dxa"/>
            <w:tcBorders>
              <w:top w:val="nil"/>
              <w:left w:val="nil"/>
              <w:bottom w:val="nil"/>
              <w:right w:val="nil"/>
            </w:tcBorders>
            <w:hideMark/>
          </w:tcPr>
          <w:p w14:paraId="496EE74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 (7.3) </w:t>
            </w:r>
          </w:p>
        </w:tc>
        <w:tc>
          <w:tcPr>
            <w:tcW w:w="2610" w:type="dxa"/>
            <w:tcBorders>
              <w:top w:val="nil"/>
              <w:left w:val="nil"/>
              <w:bottom w:val="nil"/>
              <w:right w:val="nil"/>
            </w:tcBorders>
            <w:hideMark/>
          </w:tcPr>
          <w:p w14:paraId="3EABAE2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20 (8.1) </w:t>
            </w:r>
          </w:p>
        </w:tc>
        <w:tc>
          <w:tcPr>
            <w:tcW w:w="2610" w:type="dxa"/>
            <w:tcBorders>
              <w:top w:val="nil"/>
              <w:left w:val="nil"/>
              <w:bottom w:val="nil"/>
              <w:right w:val="nil"/>
            </w:tcBorders>
            <w:hideMark/>
          </w:tcPr>
          <w:p w14:paraId="5B45688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10C7289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50E1F12F" w14:textId="77777777">
        <w:trPr>
          <w:trHeight w:val="300"/>
        </w:trPr>
        <w:tc>
          <w:tcPr>
            <w:tcW w:w="6270" w:type="dxa"/>
            <w:tcBorders>
              <w:top w:val="nil"/>
              <w:left w:val="nil"/>
              <w:bottom w:val="single" w:sz="6" w:space="0" w:color="auto"/>
              <w:right w:val="nil"/>
            </w:tcBorders>
            <w:hideMark/>
          </w:tcPr>
          <w:p w14:paraId="5DAA9F6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46-55 years </w:t>
            </w:r>
          </w:p>
        </w:tc>
        <w:tc>
          <w:tcPr>
            <w:tcW w:w="2610" w:type="dxa"/>
            <w:tcBorders>
              <w:top w:val="nil"/>
              <w:left w:val="nil"/>
              <w:bottom w:val="single" w:sz="6" w:space="0" w:color="auto"/>
              <w:right w:val="nil"/>
            </w:tcBorders>
            <w:hideMark/>
          </w:tcPr>
          <w:p w14:paraId="75B1542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(7.7) </w:t>
            </w:r>
          </w:p>
        </w:tc>
        <w:tc>
          <w:tcPr>
            <w:tcW w:w="2325" w:type="dxa"/>
            <w:tcBorders>
              <w:top w:val="nil"/>
              <w:left w:val="nil"/>
              <w:bottom w:val="single" w:sz="6" w:space="0" w:color="auto"/>
              <w:right w:val="nil"/>
            </w:tcBorders>
            <w:hideMark/>
          </w:tcPr>
          <w:p w14:paraId="2EF66F6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single" w:sz="6" w:space="0" w:color="auto"/>
              <w:right w:val="nil"/>
            </w:tcBorders>
            <w:hideMark/>
          </w:tcPr>
          <w:p w14:paraId="3F1C996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 (0.8) </w:t>
            </w:r>
          </w:p>
        </w:tc>
        <w:tc>
          <w:tcPr>
            <w:tcW w:w="2610" w:type="dxa"/>
            <w:tcBorders>
              <w:top w:val="nil"/>
              <w:left w:val="nil"/>
              <w:bottom w:val="single" w:sz="6" w:space="0" w:color="auto"/>
              <w:right w:val="nil"/>
            </w:tcBorders>
            <w:hideMark/>
          </w:tcPr>
          <w:p w14:paraId="4736269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03723ED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0B42D1AD" w14:textId="77777777">
        <w:trPr>
          <w:trHeight w:val="300"/>
        </w:trPr>
        <w:tc>
          <w:tcPr>
            <w:tcW w:w="6270" w:type="dxa"/>
            <w:tcBorders>
              <w:top w:val="single" w:sz="6" w:space="0" w:color="auto"/>
              <w:left w:val="nil"/>
              <w:bottom w:val="nil"/>
              <w:right w:val="nil"/>
            </w:tcBorders>
            <w:hideMark/>
          </w:tcPr>
          <w:p w14:paraId="06EE769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Education level</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054727A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15C964D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6A2DB1B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76089D9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439376D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4C26511" w14:textId="77777777">
        <w:trPr>
          <w:trHeight w:val="300"/>
        </w:trPr>
        <w:tc>
          <w:tcPr>
            <w:tcW w:w="6270" w:type="dxa"/>
            <w:tcBorders>
              <w:top w:val="nil"/>
              <w:left w:val="nil"/>
              <w:bottom w:val="nil"/>
              <w:right w:val="nil"/>
            </w:tcBorders>
            <w:hideMark/>
          </w:tcPr>
          <w:p w14:paraId="1D729CD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Primary </w:t>
            </w:r>
          </w:p>
        </w:tc>
        <w:tc>
          <w:tcPr>
            <w:tcW w:w="2610" w:type="dxa"/>
            <w:tcBorders>
              <w:top w:val="nil"/>
              <w:left w:val="nil"/>
              <w:bottom w:val="nil"/>
              <w:right w:val="nil"/>
            </w:tcBorders>
            <w:hideMark/>
          </w:tcPr>
          <w:p w14:paraId="50F7800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41F8696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71F0B03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39A439D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1.608 </w:t>
            </w:r>
          </w:p>
        </w:tc>
        <w:tc>
          <w:tcPr>
            <w:tcW w:w="2040" w:type="dxa"/>
            <w:tcBorders>
              <w:top w:val="nil"/>
              <w:left w:val="nil"/>
              <w:bottom w:val="nil"/>
              <w:right w:val="nil"/>
            </w:tcBorders>
            <w:hideMark/>
          </w:tcPr>
          <w:p w14:paraId="6C4BD8A0" w14:textId="6DF1F17E" w:rsidR="0079704C" w:rsidRPr="0079704C" w:rsidRDefault="00675E21" w:rsidP="0079704C">
            <w:pPr>
              <w:spacing w:after="0" w:line="240" w:lineRule="auto"/>
              <w:jc w:val="both"/>
              <w:textAlignment w:val="baseline"/>
              <w:rPr>
                <w:rFonts w:ascii="Times New Roman" w:eastAsia="Times New Roman" w:hAnsi="Times New Roman" w:cs="Times New Roman"/>
                <w:kern w:val="0"/>
                <w14:ligatures w14:val="none"/>
              </w:rPr>
            </w:pPr>
            <w:r>
              <w:rPr>
                <w:rFonts w:ascii="Arial" w:eastAsia="Times New Roman" w:hAnsi="Arial" w:cs="Arial"/>
                <w:kern w:val="0"/>
                <w:sz w:val="22"/>
                <w:szCs w:val="22"/>
                <w14:ligatures w14:val="none"/>
              </w:rPr>
              <w:t>0</w:t>
            </w:r>
            <w:r w:rsidR="0079704C" w:rsidRPr="0079704C">
              <w:rPr>
                <w:rFonts w:ascii="Arial" w:eastAsia="Times New Roman" w:hAnsi="Arial" w:cs="Arial"/>
                <w:kern w:val="0"/>
                <w:sz w:val="22"/>
                <w:szCs w:val="22"/>
                <w14:ligatures w14:val="none"/>
              </w:rPr>
              <w:t>.615 </w:t>
            </w:r>
          </w:p>
        </w:tc>
      </w:tr>
      <w:tr w:rsidR="0079704C" w:rsidRPr="0079704C" w14:paraId="0E26F667" w14:textId="77777777">
        <w:trPr>
          <w:trHeight w:val="300"/>
        </w:trPr>
        <w:tc>
          <w:tcPr>
            <w:tcW w:w="6270" w:type="dxa"/>
            <w:tcBorders>
              <w:top w:val="nil"/>
              <w:left w:val="nil"/>
              <w:bottom w:val="nil"/>
              <w:right w:val="nil"/>
            </w:tcBorders>
            <w:hideMark/>
          </w:tcPr>
          <w:p w14:paraId="20AC093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Secondary </w:t>
            </w:r>
          </w:p>
        </w:tc>
        <w:tc>
          <w:tcPr>
            <w:tcW w:w="2610" w:type="dxa"/>
            <w:tcBorders>
              <w:top w:val="nil"/>
              <w:left w:val="nil"/>
              <w:bottom w:val="nil"/>
              <w:right w:val="nil"/>
            </w:tcBorders>
            <w:hideMark/>
          </w:tcPr>
          <w:p w14:paraId="02EADDE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(7.1) </w:t>
            </w:r>
          </w:p>
        </w:tc>
        <w:tc>
          <w:tcPr>
            <w:tcW w:w="2325" w:type="dxa"/>
            <w:tcBorders>
              <w:top w:val="nil"/>
              <w:left w:val="nil"/>
              <w:bottom w:val="nil"/>
              <w:right w:val="nil"/>
            </w:tcBorders>
            <w:hideMark/>
          </w:tcPr>
          <w:p w14:paraId="0750772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15 (6.4) </w:t>
            </w:r>
          </w:p>
        </w:tc>
        <w:tc>
          <w:tcPr>
            <w:tcW w:w="2610" w:type="dxa"/>
            <w:tcBorders>
              <w:top w:val="nil"/>
              <w:left w:val="nil"/>
              <w:bottom w:val="nil"/>
              <w:right w:val="nil"/>
            </w:tcBorders>
            <w:hideMark/>
          </w:tcPr>
          <w:p w14:paraId="34F7295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(6.5) </w:t>
            </w:r>
          </w:p>
        </w:tc>
        <w:tc>
          <w:tcPr>
            <w:tcW w:w="2610" w:type="dxa"/>
            <w:tcBorders>
              <w:top w:val="nil"/>
              <w:left w:val="nil"/>
              <w:bottom w:val="nil"/>
              <w:right w:val="nil"/>
            </w:tcBorders>
            <w:hideMark/>
          </w:tcPr>
          <w:p w14:paraId="08FB001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203E393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291129C2" w14:textId="77777777">
        <w:trPr>
          <w:trHeight w:val="300"/>
        </w:trPr>
        <w:tc>
          <w:tcPr>
            <w:tcW w:w="6270" w:type="dxa"/>
            <w:tcBorders>
              <w:top w:val="nil"/>
              <w:left w:val="nil"/>
              <w:bottom w:val="single" w:sz="6" w:space="0" w:color="auto"/>
              <w:right w:val="nil"/>
            </w:tcBorders>
            <w:hideMark/>
          </w:tcPr>
          <w:p w14:paraId="07C7745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Tertiary </w:t>
            </w:r>
          </w:p>
        </w:tc>
        <w:tc>
          <w:tcPr>
            <w:tcW w:w="2610" w:type="dxa"/>
            <w:tcBorders>
              <w:top w:val="nil"/>
              <w:left w:val="nil"/>
              <w:bottom w:val="single" w:sz="6" w:space="0" w:color="auto"/>
              <w:right w:val="nil"/>
            </w:tcBorders>
            <w:hideMark/>
          </w:tcPr>
          <w:p w14:paraId="09C7288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12 (92.3) </w:t>
            </w:r>
          </w:p>
        </w:tc>
        <w:tc>
          <w:tcPr>
            <w:tcW w:w="2325" w:type="dxa"/>
            <w:tcBorders>
              <w:top w:val="nil"/>
              <w:left w:val="nil"/>
              <w:bottom w:val="single" w:sz="6" w:space="0" w:color="auto"/>
              <w:right w:val="nil"/>
            </w:tcBorders>
            <w:hideMark/>
          </w:tcPr>
          <w:p w14:paraId="386A88F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217(93.1) </w:t>
            </w:r>
          </w:p>
        </w:tc>
        <w:tc>
          <w:tcPr>
            <w:tcW w:w="2610" w:type="dxa"/>
            <w:tcBorders>
              <w:top w:val="nil"/>
              <w:left w:val="nil"/>
              <w:bottom w:val="single" w:sz="6" w:space="0" w:color="auto"/>
              <w:right w:val="nil"/>
            </w:tcBorders>
            <w:hideMark/>
          </w:tcPr>
          <w:p w14:paraId="6A162E1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229 (93.1) </w:t>
            </w:r>
          </w:p>
        </w:tc>
        <w:tc>
          <w:tcPr>
            <w:tcW w:w="2610" w:type="dxa"/>
            <w:tcBorders>
              <w:top w:val="nil"/>
              <w:left w:val="nil"/>
              <w:bottom w:val="single" w:sz="6" w:space="0" w:color="auto"/>
              <w:right w:val="nil"/>
            </w:tcBorders>
            <w:hideMark/>
          </w:tcPr>
          <w:p w14:paraId="6FF3C26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75751E1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11DE0FD0" w14:textId="77777777">
        <w:trPr>
          <w:trHeight w:val="300"/>
        </w:trPr>
        <w:tc>
          <w:tcPr>
            <w:tcW w:w="6270" w:type="dxa"/>
            <w:tcBorders>
              <w:top w:val="single" w:sz="6" w:space="0" w:color="auto"/>
              <w:left w:val="nil"/>
              <w:bottom w:val="nil"/>
              <w:right w:val="nil"/>
            </w:tcBorders>
            <w:hideMark/>
          </w:tcPr>
          <w:p w14:paraId="127BCE9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Occupation</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32B266C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011CCE6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492752E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04A37F8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0F60DBD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4E42A735" w14:textId="77777777">
        <w:trPr>
          <w:trHeight w:val="300"/>
        </w:trPr>
        <w:tc>
          <w:tcPr>
            <w:tcW w:w="6270" w:type="dxa"/>
            <w:tcBorders>
              <w:top w:val="nil"/>
              <w:left w:val="nil"/>
              <w:bottom w:val="nil"/>
              <w:right w:val="nil"/>
            </w:tcBorders>
            <w:hideMark/>
          </w:tcPr>
          <w:p w14:paraId="0F11501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Civil servant </w:t>
            </w:r>
          </w:p>
        </w:tc>
        <w:tc>
          <w:tcPr>
            <w:tcW w:w="2610" w:type="dxa"/>
            <w:tcBorders>
              <w:top w:val="nil"/>
              <w:left w:val="nil"/>
              <w:bottom w:val="nil"/>
              <w:right w:val="nil"/>
            </w:tcBorders>
            <w:hideMark/>
          </w:tcPr>
          <w:p w14:paraId="263A5EA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 (30.8) </w:t>
            </w:r>
          </w:p>
        </w:tc>
        <w:tc>
          <w:tcPr>
            <w:tcW w:w="2325" w:type="dxa"/>
            <w:tcBorders>
              <w:top w:val="nil"/>
              <w:left w:val="nil"/>
              <w:bottom w:val="nil"/>
              <w:right w:val="nil"/>
            </w:tcBorders>
            <w:hideMark/>
          </w:tcPr>
          <w:p w14:paraId="284E979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23 (9.9) </w:t>
            </w:r>
          </w:p>
        </w:tc>
        <w:tc>
          <w:tcPr>
            <w:tcW w:w="2610" w:type="dxa"/>
            <w:tcBorders>
              <w:top w:val="nil"/>
              <w:left w:val="nil"/>
              <w:bottom w:val="nil"/>
              <w:right w:val="nil"/>
            </w:tcBorders>
            <w:hideMark/>
          </w:tcPr>
          <w:p w14:paraId="6A19808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27 (11.0) </w:t>
            </w:r>
          </w:p>
        </w:tc>
        <w:tc>
          <w:tcPr>
            <w:tcW w:w="2610" w:type="dxa"/>
            <w:tcBorders>
              <w:top w:val="nil"/>
              <w:left w:val="nil"/>
              <w:bottom w:val="nil"/>
              <w:right w:val="nil"/>
            </w:tcBorders>
            <w:hideMark/>
          </w:tcPr>
          <w:p w14:paraId="6F646F4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17.443 </w:t>
            </w:r>
          </w:p>
        </w:tc>
        <w:tc>
          <w:tcPr>
            <w:tcW w:w="2040" w:type="dxa"/>
            <w:tcBorders>
              <w:top w:val="nil"/>
              <w:left w:val="nil"/>
              <w:bottom w:val="nil"/>
              <w:right w:val="nil"/>
            </w:tcBorders>
            <w:hideMark/>
          </w:tcPr>
          <w:p w14:paraId="7B0D74B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0.268 </w:t>
            </w:r>
          </w:p>
        </w:tc>
      </w:tr>
      <w:tr w:rsidR="0079704C" w:rsidRPr="0079704C" w14:paraId="632AAF43" w14:textId="77777777">
        <w:trPr>
          <w:trHeight w:val="300"/>
        </w:trPr>
        <w:tc>
          <w:tcPr>
            <w:tcW w:w="6270" w:type="dxa"/>
            <w:tcBorders>
              <w:top w:val="nil"/>
              <w:left w:val="nil"/>
              <w:bottom w:val="nil"/>
              <w:right w:val="nil"/>
            </w:tcBorders>
            <w:hideMark/>
          </w:tcPr>
          <w:p w14:paraId="6E156E4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Electrician </w:t>
            </w:r>
          </w:p>
        </w:tc>
        <w:tc>
          <w:tcPr>
            <w:tcW w:w="2610" w:type="dxa"/>
            <w:tcBorders>
              <w:top w:val="nil"/>
              <w:left w:val="nil"/>
              <w:bottom w:val="nil"/>
              <w:right w:val="nil"/>
            </w:tcBorders>
            <w:hideMark/>
          </w:tcPr>
          <w:p w14:paraId="473555D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642AF93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(1.3) </w:t>
            </w:r>
          </w:p>
        </w:tc>
        <w:tc>
          <w:tcPr>
            <w:tcW w:w="2610" w:type="dxa"/>
            <w:tcBorders>
              <w:top w:val="nil"/>
              <w:left w:val="nil"/>
              <w:bottom w:val="nil"/>
              <w:right w:val="nil"/>
            </w:tcBorders>
            <w:hideMark/>
          </w:tcPr>
          <w:p w14:paraId="5FA874B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(1.2) </w:t>
            </w:r>
          </w:p>
        </w:tc>
        <w:tc>
          <w:tcPr>
            <w:tcW w:w="2610" w:type="dxa"/>
            <w:tcBorders>
              <w:top w:val="nil"/>
              <w:left w:val="nil"/>
              <w:bottom w:val="nil"/>
              <w:right w:val="nil"/>
            </w:tcBorders>
            <w:hideMark/>
          </w:tcPr>
          <w:p w14:paraId="5C92B5B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03515B5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1E22B142" w14:textId="77777777">
        <w:trPr>
          <w:trHeight w:val="300"/>
        </w:trPr>
        <w:tc>
          <w:tcPr>
            <w:tcW w:w="6270" w:type="dxa"/>
            <w:tcBorders>
              <w:top w:val="nil"/>
              <w:left w:val="nil"/>
              <w:bottom w:val="nil"/>
              <w:right w:val="nil"/>
            </w:tcBorders>
            <w:hideMark/>
          </w:tcPr>
          <w:p w14:paraId="77928B2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Fisherman </w:t>
            </w:r>
          </w:p>
        </w:tc>
        <w:tc>
          <w:tcPr>
            <w:tcW w:w="2610" w:type="dxa"/>
            <w:tcBorders>
              <w:top w:val="nil"/>
              <w:left w:val="nil"/>
              <w:bottom w:val="nil"/>
              <w:right w:val="nil"/>
            </w:tcBorders>
            <w:hideMark/>
          </w:tcPr>
          <w:p w14:paraId="4BF285D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3205FF1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2B18221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57DFEB0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444820E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7E67AF41" w14:textId="77777777">
        <w:trPr>
          <w:trHeight w:val="300"/>
        </w:trPr>
        <w:tc>
          <w:tcPr>
            <w:tcW w:w="6270" w:type="dxa"/>
            <w:tcBorders>
              <w:top w:val="nil"/>
              <w:left w:val="nil"/>
              <w:bottom w:val="nil"/>
              <w:right w:val="nil"/>
            </w:tcBorders>
            <w:hideMark/>
          </w:tcPr>
          <w:p w14:paraId="33F6F01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Masonry laborer </w:t>
            </w:r>
          </w:p>
        </w:tc>
        <w:tc>
          <w:tcPr>
            <w:tcW w:w="2610" w:type="dxa"/>
            <w:tcBorders>
              <w:top w:val="nil"/>
              <w:left w:val="nil"/>
              <w:bottom w:val="nil"/>
              <w:right w:val="nil"/>
            </w:tcBorders>
            <w:hideMark/>
          </w:tcPr>
          <w:p w14:paraId="236493C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6485AD0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774AE14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0EB1E39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5975270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7C2C5854" w14:textId="77777777">
        <w:trPr>
          <w:trHeight w:val="300"/>
        </w:trPr>
        <w:tc>
          <w:tcPr>
            <w:tcW w:w="6270" w:type="dxa"/>
            <w:tcBorders>
              <w:top w:val="nil"/>
              <w:left w:val="nil"/>
              <w:bottom w:val="nil"/>
              <w:right w:val="nil"/>
            </w:tcBorders>
            <w:hideMark/>
          </w:tcPr>
          <w:p w14:paraId="6ABB3DC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Medical practitioner </w:t>
            </w:r>
          </w:p>
        </w:tc>
        <w:tc>
          <w:tcPr>
            <w:tcW w:w="2610" w:type="dxa"/>
            <w:tcBorders>
              <w:top w:val="nil"/>
              <w:left w:val="nil"/>
              <w:bottom w:val="nil"/>
              <w:right w:val="nil"/>
            </w:tcBorders>
            <w:hideMark/>
          </w:tcPr>
          <w:p w14:paraId="2C3E148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64A61D9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53CAEE1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2B1C00C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6C57B7A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2F7E9E77" w14:textId="77777777">
        <w:trPr>
          <w:trHeight w:val="300"/>
        </w:trPr>
        <w:tc>
          <w:tcPr>
            <w:tcW w:w="6270" w:type="dxa"/>
            <w:tcBorders>
              <w:top w:val="nil"/>
              <w:left w:val="nil"/>
              <w:bottom w:val="nil"/>
              <w:right w:val="nil"/>
            </w:tcBorders>
            <w:hideMark/>
          </w:tcPr>
          <w:p w14:paraId="4C457B3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Rig worker </w:t>
            </w:r>
          </w:p>
        </w:tc>
        <w:tc>
          <w:tcPr>
            <w:tcW w:w="2610" w:type="dxa"/>
            <w:tcBorders>
              <w:top w:val="nil"/>
              <w:left w:val="nil"/>
              <w:bottom w:val="nil"/>
              <w:right w:val="nil"/>
            </w:tcBorders>
            <w:hideMark/>
          </w:tcPr>
          <w:p w14:paraId="20959C3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2696C7A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(1.3) </w:t>
            </w:r>
          </w:p>
        </w:tc>
        <w:tc>
          <w:tcPr>
            <w:tcW w:w="2610" w:type="dxa"/>
            <w:tcBorders>
              <w:top w:val="nil"/>
              <w:left w:val="nil"/>
              <w:bottom w:val="nil"/>
              <w:right w:val="nil"/>
            </w:tcBorders>
            <w:hideMark/>
          </w:tcPr>
          <w:p w14:paraId="0175BA5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(1.2) </w:t>
            </w:r>
          </w:p>
        </w:tc>
        <w:tc>
          <w:tcPr>
            <w:tcW w:w="2610" w:type="dxa"/>
            <w:tcBorders>
              <w:top w:val="nil"/>
              <w:left w:val="nil"/>
              <w:bottom w:val="nil"/>
              <w:right w:val="nil"/>
            </w:tcBorders>
            <w:hideMark/>
          </w:tcPr>
          <w:p w14:paraId="1C7B6F2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4665190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0145981" w14:textId="77777777">
        <w:trPr>
          <w:trHeight w:val="300"/>
        </w:trPr>
        <w:tc>
          <w:tcPr>
            <w:tcW w:w="6270" w:type="dxa"/>
            <w:tcBorders>
              <w:top w:val="nil"/>
              <w:left w:val="nil"/>
              <w:bottom w:val="nil"/>
              <w:right w:val="nil"/>
            </w:tcBorders>
            <w:hideMark/>
          </w:tcPr>
          <w:p w14:paraId="279206C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Sailor </w:t>
            </w:r>
          </w:p>
        </w:tc>
        <w:tc>
          <w:tcPr>
            <w:tcW w:w="2610" w:type="dxa"/>
            <w:tcBorders>
              <w:top w:val="nil"/>
              <w:left w:val="nil"/>
              <w:bottom w:val="nil"/>
              <w:right w:val="nil"/>
            </w:tcBorders>
            <w:hideMark/>
          </w:tcPr>
          <w:p w14:paraId="281A1DE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0CFA60E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7C63DE3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1E5110E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2702C38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0AF27F73" w14:textId="77777777">
        <w:trPr>
          <w:trHeight w:val="300"/>
        </w:trPr>
        <w:tc>
          <w:tcPr>
            <w:tcW w:w="6270" w:type="dxa"/>
            <w:tcBorders>
              <w:top w:val="nil"/>
              <w:left w:val="nil"/>
              <w:bottom w:val="nil"/>
              <w:right w:val="nil"/>
            </w:tcBorders>
            <w:hideMark/>
          </w:tcPr>
          <w:p w14:paraId="17BA719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lastRenderedPageBreak/>
              <w:t>Self employed </w:t>
            </w:r>
          </w:p>
        </w:tc>
        <w:tc>
          <w:tcPr>
            <w:tcW w:w="2610" w:type="dxa"/>
            <w:tcBorders>
              <w:top w:val="nil"/>
              <w:left w:val="nil"/>
              <w:bottom w:val="nil"/>
              <w:right w:val="nil"/>
            </w:tcBorders>
            <w:hideMark/>
          </w:tcPr>
          <w:p w14:paraId="66A3C15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333DBFA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(6.9) </w:t>
            </w:r>
          </w:p>
        </w:tc>
        <w:tc>
          <w:tcPr>
            <w:tcW w:w="2610" w:type="dxa"/>
            <w:tcBorders>
              <w:top w:val="nil"/>
              <w:left w:val="nil"/>
              <w:bottom w:val="nil"/>
              <w:right w:val="nil"/>
            </w:tcBorders>
            <w:hideMark/>
          </w:tcPr>
          <w:p w14:paraId="62EE9D0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 (6.9) </w:t>
            </w:r>
          </w:p>
        </w:tc>
        <w:tc>
          <w:tcPr>
            <w:tcW w:w="2610" w:type="dxa"/>
            <w:tcBorders>
              <w:top w:val="nil"/>
              <w:left w:val="nil"/>
              <w:bottom w:val="nil"/>
              <w:right w:val="nil"/>
            </w:tcBorders>
            <w:hideMark/>
          </w:tcPr>
          <w:p w14:paraId="770BA95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156CD34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1A579B3D" w14:textId="77777777">
        <w:trPr>
          <w:trHeight w:val="300"/>
        </w:trPr>
        <w:tc>
          <w:tcPr>
            <w:tcW w:w="6270" w:type="dxa"/>
            <w:tcBorders>
              <w:top w:val="nil"/>
              <w:left w:val="nil"/>
              <w:bottom w:val="nil"/>
              <w:right w:val="nil"/>
            </w:tcBorders>
            <w:hideMark/>
          </w:tcPr>
          <w:p w14:paraId="14100FC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Student </w:t>
            </w:r>
          </w:p>
        </w:tc>
        <w:tc>
          <w:tcPr>
            <w:tcW w:w="2610" w:type="dxa"/>
            <w:tcBorders>
              <w:top w:val="nil"/>
              <w:left w:val="nil"/>
              <w:bottom w:val="nil"/>
              <w:right w:val="nil"/>
            </w:tcBorders>
            <w:hideMark/>
          </w:tcPr>
          <w:p w14:paraId="473A3D8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7 (53.8) </w:t>
            </w:r>
          </w:p>
        </w:tc>
        <w:tc>
          <w:tcPr>
            <w:tcW w:w="2325" w:type="dxa"/>
            <w:tcBorders>
              <w:top w:val="nil"/>
              <w:left w:val="nil"/>
              <w:bottom w:val="nil"/>
              <w:right w:val="nil"/>
            </w:tcBorders>
            <w:hideMark/>
          </w:tcPr>
          <w:p w14:paraId="2058388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177(76.0) </w:t>
            </w:r>
          </w:p>
        </w:tc>
        <w:tc>
          <w:tcPr>
            <w:tcW w:w="2610" w:type="dxa"/>
            <w:tcBorders>
              <w:top w:val="nil"/>
              <w:left w:val="nil"/>
              <w:bottom w:val="nil"/>
              <w:right w:val="nil"/>
            </w:tcBorders>
            <w:hideMark/>
          </w:tcPr>
          <w:p w14:paraId="737D082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184 (74.8) </w:t>
            </w:r>
          </w:p>
        </w:tc>
        <w:tc>
          <w:tcPr>
            <w:tcW w:w="2610" w:type="dxa"/>
            <w:tcBorders>
              <w:top w:val="nil"/>
              <w:left w:val="nil"/>
              <w:bottom w:val="nil"/>
              <w:right w:val="nil"/>
            </w:tcBorders>
            <w:hideMark/>
          </w:tcPr>
          <w:p w14:paraId="1EAF999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51A3F76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0C5FCDF" w14:textId="77777777">
        <w:trPr>
          <w:trHeight w:val="300"/>
        </w:trPr>
        <w:tc>
          <w:tcPr>
            <w:tcW w:w="6270" w:type="dxa"/>
            <w:tcBorders>
              <w:top w:val="nil"/>
              <w:left w:val="nil"/>
              <w:bottom w:val="nil"/>
              <w:right w:val="nil"/>
            </w:tcBorders>
            <w:hideMark/>
          </w:tcPr>
          <w:p w14:paraId="2DEB450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Trader </w:t>
            </w:r>
          </w:p>
        </w:tc>
        <w:tc>
          <w:tcPr>
            <w:tcW w:w="2610" w:type="dxa"/>
            <w:tcBorders>
              <w:top w:val="nil"/>
              <w:left w:val="nil"/>
              <w:bottom w:val="nil"/>
              <w:right w:val="nil"/>
            </w:tcBorders>
            <w:hideMark/>
          </w:tcPr>
          <w:p w14:paraId="35C5186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6545297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 (0.9) </w:t>
            </w:r>
          </w:p>
        </w:tc>
        <w:tc>
          <w:tcPr>
            <w:tcW w:w="2610" w:type="dxa"/>
            <w:tcBorders>
              <w:top w:val="nil"/>
              <w:left w:val="nil"/>
              <w:bottom w:val="nil"/>
              <w:right w:val="nil"/>
            </w:tcBorders>
            <w:hideMark/>
          </w:tcPr>
          <w:p w14:paraId="2954871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 (0.9) </w:t>
            </w:r>
          </w:p>
        </w:tc>
        <w:tc>
          <w:tcPr>
            <w:tcW w:w="2610" w:type="dxa"/>
            <w:tcBorders>
              <w:top w:val="nil"/>
              <w:left w:val="nil"/>
              <w:bottom w:val="nil"/>
              <w:right w:val="nil"/>
            </w:tcBorders>
            <w:hideMark/>
          </w:tcPr>
          <w:p w14:paraId="2ACFFE9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086689E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3DDF63B" w14:textId="77777777">
        <w:trPr>
          <w:trHeight w:val="300"/>
        </w:trPr>
        <w:tc>
          <w:tcPr>
            <w:tcW w:w="6270" w:type="dxa"/>
            <w:tcBorders>
              <w:top w:val="nil"/>
              <w:left w:val="nil"/>
              <w:bottom w:val="nil"/>
              <w:right w:val="nil"/>
            </w:tcBorders>
            <w:hideMark/>
          </w:tcPr>
          <w:p w14:paraId="2682E48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Transporter </w:t>
            </w:r>
          </w:p>
        </w:tc>
        <w:tc>
          <w:tcPr>
            <w:tcW w:w="2610" w:type="dxa"/>
            <w:tcBorders>
              <w:top w:val="nil"/>
              <w:left w:val="nil"/>
              <w:bottom w:val="nil"/>
              <w:right w:val="nil"/>
            </w:tcBorders>
            <w:hideMark/>
          </w:tcPr>
          <w:p w14:paraId="06870AD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05B8434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08FA053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nil"/>
              <w:right w:val="nil"/>
            </w:tcBorders>
            <w:hideMark/>
          </w:tcPr>
          <w:p w14:paraId="7AA5C8B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4512233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49C8A055" w14:textId="77777777">
        <w:trPr>
          <w:trHeight w:val="300"/>
        </w:trPr>
        <w:tc>
          <w:tcPr>
            <w:tcW w:w="6270" w:type="dxa"/>
            <w:tcBorders>
              <w:top w:val="nil"/>
              <w:left w:val="nil"/>
              <w:bottom w:val="nil"/>
              <w:right w:val="nil"/>
            </w:tcBorders>
            <w:hideMark/>
          </w:tcPr>
          <w:p w14:paraId="553C1BE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Unemployed </w:t>
            </w:r>
          </w:p>
        </w:tc>
        <w:tc>
          <w:tcPr>
            <w:tcW w:w="2610" w:type="dxa"/>
            <w:tcBorders>
              <w:top w:val="nil"/>
              <w:left w:val="nil"/>
              <w:bottom w:val="nil"/>
              <w:right w:val="nil"/>
            </w:tcBorders>
            <w:hideMark/>
          </w:tcPr>
          <w:p w14:paraId="7E088C3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28F9205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 (1.3) </w:t>
            </w:r>
          </w:p>
        </w:tc>
        <w:tc>
          <w:tcPr>
            <w:tcW w:w="2610" w:type="dxa"/>
            <w:tcBorders>
              <w:top w:val="nil"/>
              <w:left w:val="nil"/>
              <w:bottom w:val="nil"/>
              <w:right w:val="nil"/>
            </w:tcBorders>
            <w:hideMark/>
          </w:tcPr>
          <w:p w14:paraId="785B2A6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 (1.6) </w:t>
            </w:r>
          </w:p>
        </w:tc>
        <w:tc>
          <w:tcPr>
            <w:tcW w:w="2610" w:type="dxa"/>
            <w:tcBorders>
              <w:top w:val="nil"/>
              <w:left w:val="nil"/>
              <w:bottom w:val="nil"/>
              <w:right w:val="nil"/>
            </w:tcBorders>
            <w:hideMark/>
          </w:tcPr>
          <w:p w14:paraId="5C75DDF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30D07FE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09D7B7D3" w14:textId="77777777">
        <w:trPr>
          <w:trHeight w:val="300"/>
        </w:trPr>
        <w:tc>
          <w:tcPr>
            <w:tcW w:w="6270" w:type="dxa"/>
            <w:tcBorders>
              <w:top w:val="nil"/>
              <w:left w:val="nil"/>
              <w:bottom w:val="single" w:sz="6" w:space="0" w:color="auto"/>
              <w:right w:val="nil"/>
            </w:tcBorders>
            <w:hideMark/>
          </w:tcPr>
          <w:p w14:paraId="30BBB2A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Welder </w:t>
            </w:r>
          </w:p>
        </w:tc>
        <w:tc>
          <w:tcPr>
            <w:tcW w:w="2610" w:type="dxa"/>
            <w:tcBorders>
              <w:top w:val="nil"/>
              <w:left w:val="nil"/>
              <w:bottom w:val="single" w:sz="6" w:space="0" w:color="auto"/>
              <w:right w:val="nil"/>
            </w:tcBorders>
            <w:hideMark/>
          </w:tcPr>
          <w:p w14:paraId="2BC2498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single" w:sz="6" w:space="0" w:color="auto"/>
              <w:right w:val="nil"/>
            </w:tcBorders>
            <w:hideMark/>
          </w:tcPr>
          <w:p w14:paraId="578A853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single" w:sz="6" w:space="0" w:color="auto"/>
              <w:right w:val="nil"/>
            </w:tcBorders>
            <w:hideMark/>
          </w:tcPr>
          <w:p w14:paraId="7826A23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(0.4) </w:t>
            </w:r>
          </w:p>
        </w:tc>
        <w:tc>
          <w:tcPr>
            <w:tcW w:w="2610" w:type="dxa"/>
            <w:tcBorders>
              <w:top w:val="nil"/>
              <w:left w:val="nil"/>
              <w:bottom w:val="single" w:sz="6" w:space="0" w:color="auto"/>
              <w:right w:val="nil"/>
            </w:tcBorders>
            <w:hideMark/>
          </w:tcPr>
          <w:p w14:paraId="7D2B14F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78D1207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7AF4A89" w14:textId="77777777">
        <w:trPr>
          <w:trHeight w:val="300"/>
        </w:trPr>
        <w:tc>
          <w:tcPr>
            <w:tcW w:w="6270" w:type="dxa"/>
            <w:tcBorders>
              <w:top w:val="single" w:sz="6" w:space="0" w:color="auto"/>
              <w:left w:val="nil"/>
              <w:bottom w:val="nil"/>
              <w:right w:val="nil"/>
            </w:tcBorders>
            <w:hideMark/>
          </w:tcPr>
          <w:p w14:paraId="33B3C27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Employment status</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2390F0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32023C5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AD0887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4D0F973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6A29FBD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331A56A" w14:textId="77777777">
        <w:trPr>
          <w:trHeight w:val="300"/>
        </w:trPr>
        <w:tc>
          <w:tcPr>
            <w:tcW w:w="6270" w:type="dxa"/>
            <w:tcBorders>
              <w:top w:val="nil"/>
              <w:left w:val="nil"/>
              <w:bottom w:val="nil"/>
              <w:right w:val="nil"/>
            </w:tcBorders>
            <w:hideMark/>
          </w:tcPr>
          <w:p w14:paraId="4ACB450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Unemployed/Student </w:t>
            </w:r>
          </w:p>
        </w:tc>
        <w:tc>
          <w:tcPr>
            <w:tcW w:w="2610" w:type="dxa"/>
            <w:tcBorders>
              <w:top w:val="nil"/>
              <w:left w:val="nil"/>
              <w:bottom w:val="nil"/>
              <w:right w:val="nil"/>
            </w:tcBorders>
            <w:hideMark/>
          </w:tcPr>
          <w:p w14:paraId="732426E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8 (61.5) </w:t>
            </w:r>
          </w:p>
        </w:tc>
        <w:tc>
          <w:tcPr>
            <w:tcW w:w="2325" w:type="dxa"/>
            <w:tcBorders>
              <w:top w:val="nil"/>
              <w:left w:val="nil"/>
              <w:bottom w:val="nil"/>
              <w:right w:val="nil"/>
            </w:tcBorders>
            <w:hideMark/>
          </w:tcPr>
          <w:p w14:paraId="4CF4AA4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180(77.3) </w:t>
            </w:r>
          </w:p>
        </w:tc>
        <w:tc>
          <w:tcPr>
            <w:tcW w:w="2610" w:type="dxa"/>
            <w:tcBorders>
              <w:top w:val="nil"/>
              <w:left w:val="nil"/>
              <w:bottom w:val="nil"/>
              <w:right w:val="nil"/>
            </w:tcBorders>
            <w:hideMark/>
          </w:tcPr>
          <w:p w14:paraId="6135617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188 (76.4) </w:t>
            </w:r>
          </w:p>
        </w:tc>
        <w:tc>
          <w:tcPr>
            <w:tcW w:w="2610" w:type="dxa"/>
            <w:tcBorders>
              <w:top w:val="nil"/>
              <w:left w:val="nil"/>
              <w:bottom w:val="nil"/>
              <w:right w:val="nil"/>
            </w:tcBorders>
            <w:hideMark/>
          </w:tcPr>
          <w:p w14:paraId="57EA411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1.688 </w:t>
            </w:r>
          </w:p>
        </w:tc>
        <w:tc>
          <w:tcPr>
            <w:tcW w:w="2040" w:type="dxa"/>
            <w:tcBorders>
              <w:top w:val="nil"/>
              <w:left w:val="nil"/>
              <w:bottom w:val="nil"/>
              <w:right w:val="nil"/>
            </w:tcBorders>
            <w:hideMark/>
          </w:tcPr>
          <w:p w14:paraId="50CF13A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0.194 </w:t>
            </w:r>
          </w:p>
        </w:tc>
      </w:tr>
      <w:tr w:rsidR="0079704C" w:rsidRPr="0079704C" w14:paraId="13BA5110" w14:textId="77777777">
        <w:trPr>
          <w:trHeight w:val="300"/>
        </w:trPr>
        <w:tc>
          <w:tcPr>
            <w:tcW w:w="6270" w:type="dxa"/>
            <w:tcBorders>
              <w:top w:val="nil"/>
              <w:left w:val="nil"/>
              <w:bottom w:val="single" w:sz="6" w:space="0" w:color="auto"/>
              <w:right w:val="nil"/>
            </w:tcBorders>
            <w:hideMark/>
          </w:tcPr>
          <w:p w14:paraId="12A3B2B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Employed/Self Employed </w:t>
            </w:r>
          </w:p>
        </w:tc>
        <w:tc>
          <w:tcPr>
            <w:tcW w:w="2610" w:type="dxa"/>
            <w:tcBorders>
              <w:top w:val="nil"/>
              <w:left w:val="nil"/>
              <w:bottom w:val="single" w:sz="6" w:space="0" w:color="auto"/>
              <w:right w:val="nil"/>
            </w:tcBorders>
            <w:hideMark/>
          </w:tcPr>
          <w:p w14:paraId="2D0CF7B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5 (38.5) </w:t>
            </w:r>
          </w:p>
        </w:tc>
        <w:tc>
          <w:tcPr>
            <w:tcW w:w="2325" w:type="dxa"/>
            <w:tcBorders>
              <w:top w:val="nil"/>
              <w:left w:val="nil"/>
              <w:bottom w:val="single" w:sz="6" w:space="0" w:color="auto"/>
              <w:right w:val="nil"/>
            </w:tcBorders>
            <w:hideMark/>
          </w:tcPr>
          <w:p w14:paraId="658724E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53 (22.7) </w:t>
            </w:r>
          </w:p>
        </w:tc>
        <w:tc>
          <w:tcPr>
            <w:tcW w:w="2610" w:type="dxa"/>
            <w:tcBorders>
              <w:top w:val="nil"/>
              <w:left w:val="nil"/>
              <w:bottom w:val="single" w:sz="6" w:space="0" w:color="auto"/>
              <w:right w:val="nil"/>
            </w:tcBorders>
            <w:hideMark/>
          </w:tcPr>
          <w:p w14:paraId="0C9EB4F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58 (23.6) </w:t>
            </w:r>
          </w:p>
        </w:tc>
        <w:tc>
          <w:tcPr>
            <w:tcW w:w="2610" w:type="dxa"/>
            <w:tcBorders>
              <w:top w:val="nil"/>
              <w:left w:val="nil"/>
              <w:bottom w:val="single" w:sz="6" w:space="0" w:color="auto"/>
              <w:right w:val="nil"/>
            </w:tcBorders>
            <w:hideMark/>
          </w:tcPr>
          <w:p w14:paraId="3F9035E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1A719DA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2782AE0A" w14:textId="77777777">
        <w:trPr>
          <w:trHeight w:val="300"/>
        </w:trPr>
        <w:tc>
          <w:tcPr>
            <w:tcW w:w="6270" w:type="dxa"/>
            <w:tcBorders>
              <w:top w:val="single" w:sz="6" w:space="0" w:color="auto"/>
              <w:left w:val="nil"/>
              <w:bottom w:val="nil"/>
              <w:right w:val="nil"/>
            </w:tcBorders>
            <w:hideMark/>
          </w:tcPr>
          <w:p w14:paraId="6DC47F2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Address</w:t>
            </w: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264F82D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535B537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719CC7A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26A434F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04901BA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6BE4CDA" w14:textId="77777777">
        <w:trPr>
          <w:trHeight w:val="300"/>
        </w:trPr>
        <w:tc>
          <w:tcPr>
            <w:tcW w:w="6270" w:type="dxa"/>
            <w:tcBorders>
              <w:top w:val="nil"/>
              <w:left w:val="nil"/>
              <w:bottom w:val="nil"/>
              <w:right w:val="nil"/>
            </w:tcBorders>
            <w:hideMark/>
          </w:tcPr>
          <w:p w14:paraId="5B5B889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spellStart"/>
            <w:r w:rsidRPr="0079704C">
              <w:rPr>
                <w:rFonts w:ascii="Arial" w:eastAsia="Times New Roman" w:hAnsi="Arial" w:cs="Arial"/>
                <w:kern w:val="0"/>
                <w:sz w:val="22"/>
                <w:szCs w:val="22"/>
                <w14:ligatures w14:val="none"/>
              </w:rPr>
              <w:t>Alakahia</w:t>
            </w:r>
            <w:proofErr w:type="spellEnd"/>
            <w:r w:rsidRPr="0079704C">
              <w:rPr>
                <w:rFonts w:ascii="Arial" w:eastAsia="Times New Roman" w:hAnsi="Arial" w:cs="Arial"/>
                <w:kern w:val="0"/>
                <w:sz w:val="22"/>
                <w:szCs w:val="22"/>
                <w14:ligatures w14:val="none"/>
              </w:rPr>
              <w:t> </w:t>
            </w:r>
          </w:p>
        </w:tc>
        <w:tc>
          <w:tcPr>
            <w:tcW w:w="2610" w:type="dxa"/>
            <w:tcBorders>
              <w:top w:val="nil"/>
              <w:left w:val="nil"/>
              <w:bottom w:val="nil"/>
              <w:right w:val="nil"/>
            </w:tcBorders>
            <w:hideMark/>
          </w:tcPr>
          <w:p w14:paraId="6193728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8 (6.15) </w:t>
            </w:r>
          </w:p>
        </w:tc>
        <w:tc>
          <w:tcPr>
            <w:tcW w:w="2325" w:type="dxa"/>
            <w:tcBorders>
              <w:top w:val="nil"/>
              <w:left w:val="nil"/>
              <w:bottom w:val="nil"/>
              <w:right w:val="nil"/>
            </w:tcBorders>
            <w:hideMark/>
          </w:tcPr>
          <w:p w14:paraId="709D79E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131(56.2) </w:t>
            </w:r>
          </w:p>
        </w:tc>
        <w:tc>
          <w:tcPr>
            <w:tcW w:w="2610" w:type="dxa"/>
            <w:tcBorders>
              <w:top w:val="nil"/>
              <w:left w:val="nil"/>
              <w:bottom w:val="nil"/>
              <w:right w:val="nil"/>
            </w:tcBorders>
            <w:hideMark/>
          </w:tcPr>
          <w:p w14:paraId="645BBE4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139 (56.5) </w:t>
            </w:r>
          </w:p>
        </w:tc>
        <w:tc>
          <w:tcPr>
            <w:tcW w:w="2610" w:type="dxa"/>
            <w:tcBorders>
              <w:top w:val="nil"/>
              <w:left w:val="nil"/>
              <w:bottom w:val="nil"/>
              <w:right w:val="nil"/>
            </w:tcBorders>
            <w:hideMark/>
          </w:tcPr>
          <w:p w14:paraId="2EA0B98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3.299 </w:t>
            </w:r>
          </w:p>
        </w:tc>
        <w:tc>
          <w:tcPr>
            <w:tcW w:w="2040" w:type="dxa"/>
            <w:tcBorders>
              <w:top w:val="nil"/>
              <w:left w:val="nil"/>
              <w:bottom w:val="nil"/>
              <w:right w:val="nil"/>
            </w:tcBorders>
            <w:hideMark/>
          </w:tcPr>
          <w:p w14:paraId="66FA98A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0.803 </w:t>
            </w:r>
          </w:p>
        </w:tc>
      </w:tr>
      <w:tr w:rsidR="0079704C" w:rsidRPr="0079704C" w14:paraId="6105C2F7" w14:textId="77777777">
        <w:trPr>
          <w:trHeight w:val="300"/>
        </w:trPr>
        <w:tc>
          <w:tcPr>
            <w:tcW w:w="6270" w:type="dxa"/>
            <w:tcBorders>
              <w:top w:val="nil"/>
              <w:left w:val="nil"/>
              <w:bottom w:val="nil"/>
              <w:right w:val="nil"/>
            </w:tcBorders>
            <w:hideMark/>
          </w:tcPr>
          <w:p w14:paraId="3D97246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spellStart"/>
            <w:r w:rsidRPr="0079704C">
              <w:rPr>
                <w:rFonts w:ascii="Arial" w:eastAsia="Times New Roman" w:hAnsi="Arial" w:cs="Arial"/>
                <w:kern w:val="0"/>
                <w:sz w:val="22"/>
                <w:szCs w:val="22"/>
                <w14:ligatures w14:val="none"/>
              </w:rPr>
              <w:t>Aluu</w:t>
            </w:r>
            <w:proofErr w:type="spellEnd"/>
            <w:r w:rsidRPr="0079704C">
              <w:rPr>
                <w:rFonts w:ascii="Arial" w:eastAsia="Times New Roman" w:hAnsi="Arial" w:cs="Arial"/>
                <w:kern w:val="0"/>
                <w:sz w:val="22"/>
                <w:szCs w:val="22"/>
                <w14:ligatures w14:val="none"/>
              </w:rPr>
              <w:t> </w:t>
            </w:r>
          </w:p>
        </w:tc>
        <w:tc>
          <w:tcPr>
            <w:tcW w:w="2610" w:type="dxa"/>
            <w:tcBorders>
              <w:top w:val="nil"/>
              <w:left w:val="nil"/>
              <w:bottom w:val="nil"/>
              <w:right w:val="nil"/>
            </w:tcBorders>
            <w:hideMark/>
          </w:tcPr>
          <w:p w14:paraId="6A5C821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79F8BF0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19 (8.2) </w:t>
            </w:r>
          </w:p>
        </w:tc>
        <w:tc>
          <w:tcPr>
            <w:tcW w:w="2610" w:type="dxa"/>
            <w:tcBorders>
              <w:top w:val="nil"/>
              <w:left w:val="nil"/>
              <w:bottom w:val="nil"/>
              <w:right w:val="nil"/>
            </w:tcBorders>
            <w:hideMark/>
          </w:tcPr>
          <w:p w14:paraId="56C501E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20 (8.1) </w:t>
            </w:r>
          </w:p>
        </w:tc>
        <w:tc>
          <w:tcPr>
            <w:tcW w:w="2610" w:type="dxa"/>
            <w:tcBorders>
              <w:top w:val="nil"/>
              <w:left w:val="nil"/>
              <w:bottom w:val="nil"/>
              <w:right w:val="nil"/>
            </w:tcBorders>
            <w:hideMark/>
          </w:tcPr>
          <w:p w14:paraId="5EE6C1B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55A2C8F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6EE4663" w14:textId="77777777">
        <w:trPr>
          <w:trHeight w:val="300"/>
        </w:trPr>
        <w:tc>
          <w:tcPr>
            <w:tcW w:w="6270" w:type="dxa"/>
            <w:tcBorders>
              <w:top w:val="nil"/>
              <w:left w:val="nil"/>
              <w:bottom w:val="nil"/>
              <w:right w:val="nil"/>
            </w:tcBorders>
            <w:hideMark/>
          </w:tcPr>
          <w:p w14:paraId="35155FE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spellStart"/>
            <w:r w:rsidRPr="0079704C">
              <w:rPr>
                <w:rFonts w:ascii="Arial" w:eastAsia="Times New Roman" w:hAnsi="Arial" w:cs="Arial"/>
                <w:kern w:val="0"/>
                <w:sz w:val="22"/>
                <w:szCs w:val="22"/>
                <w14:ligatures w14:val="none"/>
              </w:rPr>
              <w:t>Choba</w:t>
            </w:r>
            <w:proofErr w:type="spellEnd"/>
            <w:r w:rsidRPr="0079704C">
              <w:rPr>
                <w:rFonts w:ascii="Arial" w:eastAsia="Times New Roman" w:hAnsi="Arial" w:cs="Arial"/>
                <w:kern w:val="0"/>
                <w:sz w:val="22"/>
                <w:szCs w:val="22"/>
                <w14:ligatures w14:val="none"/>
              </w:rPr>
              <w:t> </w:t>
            </w:r>
          </w:p>
        </w:tc>
        <w:tc>
          <w:tcPr>
            <w:tcW w:w="2610" w:type="dxa"/>
            <w:tcBorders>
              <w:top w:val="nil"/>
              <w:left w:val="nil"/>
              <w:bottom w:val="nil"/>
              <w:right w:val="nil"/>
            </w:tcBorders>
            <w:hideMark/>
          </w:tcPr>
          <w:p w14:paraId="100C5F5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45B3025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(6.9) </w:t>
            </w:r>
          </w:p>
        </w:tc>
        <w:tc>
          <w:tcPr>
            <w:tcW w:w="2610" w:type="dxa"/>
            <w:tcBorders>
              <w:top w:val="nil"/>
              <w:left w:val="nil"/>
              <w:bottom w:val="nil"/>
              <w:right w:val="nil"/>
            </w:tcBorders>
            <w:hideMark/>
          </w:tcPr>
          <w:p w14:paraId="7F6EC7F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(6.5) </w:t>
            </w:r>
          </w:p>
        </w:tc>
        <w:tc>
          <w:tcPr>
            <w:tcW w:w="2610" w:type="dxa"/>
            <w:tcBorders>
              <w:top w:val="nil"/>
              <w:left w:val="nil"/>
              <w:bottom w:val="nil"/>
              <w:right w:val="nil"/>
            </w:tcBorders>
            <w:hideMark/>
          </w:tcPr>
          <w:p w14:paraId="57F9ECD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2A0041E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68F08A8" w14:textId="77777777">
        <w:trPr>
          <w:trHeight w:val="300"/>
        </w:trPr>
        <w:tc>
          <w:tcPr>
            <w:tcW w:w="6270" w:type="dxa"/>
            <w:tcBorders>
              <w:top w:val="nil"/>
              <w:left w:val="nil"/>
              <w:bottom w:val="nil"/>
              <w:right w:val="nil"/>
            </w:tcBorders>
            <w:hideMark/>
          </w:tcPr>
          <w:p w14:paraId="5E0F38A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spellStart"/>
            <w:r w:rsidRPr="0079704C">
              <w:rPr>
                <w:rFonts w:ascii="Arial" w:eastAsia="Times New Roman" w:hAnsi="Arial" w:cs="Arial"/>
                <w:kern w:val="0"/>
                <w:sz w:val="22"/>
                <w:szCs w:val="22"/>
                <w14:ligatures w14:val="none"/>
              </w:rPr>
              <w:t>Rumokoro</w:t>
            </w:r>
            <w:proofErr w:type="spellEnd"/>
            <w:r w:rsidRPr="0079704C">
              <w:rPr>
                <w:rFonts w:ascii="Arial" w:eastAsia="Times New Roman" w:hAnsi="Arial" w:cs="Arial"/>
                <w:kern w:val="0"/>
                <w:sz w:val="22"/>
                <w:szCs w:val="22"/>
                <w14:ligatures w14:val="none"/>
              </w:rPr>
              <w:t> </w:t>
            </w:r>
          </w:p>
        </w:tc>
        <w:tc>
          <w:tcPr>
            <w:tcW w:w="2610" w:type="dxa"/>
            <w:tcBorders>
              <w:top w:val="nil"/>
              <w:left w:val="nil"/>
              <w:bottom w:val="nil"/>
              <w:right w:val="nil"/>
            </w:tcBorders>
            <w:hideMark/>
          </w:tcPr>
          <w:p w14:paraId="08FC4B3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51DE1E7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 (3.9) </w:t>
            </w:r>
          </w:p>
        </w:tc>
        <w:tc>
          <w:tcPr>
            <w:tcW w:w="2610" w:type="dxa"/>
            <w:tcBorders>
              <w:top w:val="nil"/>
              <w:left w:val="nil"/>
              <w:bottom w:val="nil"/>
              <w:right w:val="nil"/>
            </w:tcBorders>
            <w:hideMark/>
          </w:tcPr>
          <w:p w14:paraId="5143E93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10 (4.1) </w:t>
            </w:r>
          </w:p>
        </w:tc>
        <w:tc>
          <w:tcPr>
            <w:tcW w:w="2610" w:type="dxa"/>
            <w:tcBorders>
              <w:top w:val="nil"/>
              <w:left w:val="nil"/>
              <w:bottom w:val="nil"/>
              <w:right w:val="nil"/>
            </w:tcBorders>
            <w:hideMark/>
          </w:tcPr>
          <w:p w14:paraId="3556B3F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5A43653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2ECAF731" w14:textId="77777777">
        <w:trPr>
          <w:trHeight w:val="300"/>
        </w:trPr>
        <w:tc>
          <w:tcPr>
            <w:tcW w:w="6270" w:type="dxa"/>
            <w:tcBorders>
              <w:top w:val="nil"/>
              <w:left w:val="nil"/>
              <w:bottom w:val="nil"/>
              <w:right w:val="nil"/>
            </w:tcBorders>
            <w:hideMark/>
          </w:tcPr>
          <w:p w14:paraId="184C03C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proofErr w:type="spellStart"/>
            <w:r w:rsidRPr="0079704C">
              <w:rPr>
                <w:rFonts w:ascii="Arial" w:eastAsia="Times New Roman" w:hAnsi="Arial" w:cs="Arial"/>
                <w:kern w:val="0"/>
                <w:sz w:val="22"/>
                <w:szCs w:val="22"/>
                <w14:ligatures w14:val="none"/>
              </w:rPr>
              <w:t>Rumuosi</w:t>
            </w:r>
            <w:proofErr w:type="spellEnd"/>
            <w:r w:rsidRPr="0079704C">
              <w:rPr>
                <w:rFonts w:ascii="Arial" w:eastAsia="Times New Roman" w:hAnsi="Arial" w:cs="Arial"/>
                <w:kern w:val="0"/>
                <w:sz w:val="22"/>
                <w:szCs w:val="22"/>
                <w14:ligatures w14:val="none"/>
              </w:rPr>
              <w:t> </w:t>
            </w:r>
          </w:p>
        </w:tc>
        <w:tc>
          <w:tcPr>
            <w:tcW w:w="2610" w:type="dxa"/>
            <w:tcBorders>
              <w:top w:val="nil"/>
              <w:left w:val="nil"/>
              <w:bottom w:val="nil"/>
              <w:right w:val="nil"/>
            </w:tcBorders>
            <w:hideMark/>
          </w:tcPr>
          <w:p w14:paraId="3739AE9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(0.0) </w:t>
            </w:r>
          </w:p>
        </w:tc>
        <w:tc>
          <w:tcPr>
            <w:tcW w:w="2325" w:type="dxa"/>
            <w:tcBorders>
              <w:top w:val="nil"/>
              <w:left w:val="nil"/>
              <w:bottom w:val="nil"/>
              <w:right w:val="nil"/>
            </w:tcBorders>
            <w:hideMark/>
          </w:tcPr>
          <w:p w14:paraId="3AEC247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 (7.3) </w:t>
            </w:r>
          </w:p>
        </w:tc>
        <w:tc>
          <w:tcPr>
            <w:tcW w:w="2610" w:type="dxa"/>
            <w:tcBorders>
              <w:top w:val="nil"/>
              <w:left w:val="nil"/>
              <w:bottom w:val="nil"/>
              <w:right w:val="nil"/>
            </w:tcBorders>
            <w:hideMark/>
          </w:tcPr>
          <w:p w14:paraId="103F868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17 (6.9) </w:t>
            </w:r>
          </w:p>
        </w:tc>
        <w:tc>
          <w:tcPr>
            <w:tcW w:w="2610" w:type="dxa"/>
            <w:tcBorders>
              <w:top w:val="nil"/>
              <w:left w:val="nil"/>
              <w:bottom w:val="nil"/>
              <w:right w:val="nil"/>
            </w:tcBorders>
            <w:hideMark/>
          </w:tcPr>
          <w:p w14:paraId="7018C3B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0118C85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B44AD01" w14:textId="77777777">
        <w:trPr>
          <w:trHeight w:val="300"/>
        </w:trPr>
        <w:tc>
          <w:tcPr>
            <w:tcW w:w="6270" w:type="dxa"/>
            <w:tcBorders>
              <w:top w:val="nil"/>
              <w:left w:val="nil"/>
              <w:bottom w:val="nil"/>
              <w:right w:val="nil"/>
            </w:tcBorders>
            <w:hideMark/>
          </w:tcPr>
          <w:p w14:paraId="3B79EC1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Town </w:t>
            </w:r>
          </w:p>
        </w:tc>
        <w:tc>
          <w:tcPr>
            <w:tcW w:w="2610" w:type="dxa"/>
            <w:tcBorders>
              <w:top w:val="nil"/>
              <w:left w:val="nil"/>
              <w:bottom w:val="nil"/>
              <w:right w:val="nil"/>
            </w:tcBorders>
            <w:hideMark/>
          </w:tcPr>
          <w:p w14:paraId="4F640DA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4C6CC49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23 (9.9) </w:t>
            </w:r>
          </w:p>
        </w:tc>
        <w:tc>
          <w:tcPr>
            <w:tcW w:w="2610" w:type="dxa"/>
            <w:tcBorders>
              <w:top w:val="nil"/>
              <w:left w:val="nil"/>
              <w:bottom w:val="nil"/>
              <w:right w:val="nil"/>
            </w:tcBorders>
            <w:hideMark/>
          </w:tcPr>
          <w:p w14:paraId="03BEB78A"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24 (9.8) </w:t>
            </w:r>
          </w:p>
        </w:tc>
        <w:tc>
          <w:tcPr>
            <w:tcW w:w="2610" w:type="dxa"/>
            <w:tcBorders>
              <w:top w:val="nil"/>
              <w:left w:val="nil"/>
              <w:bottom w:val="nil"/>
              <w:right w:val="nil"/>
            </w:tcBorders>
            <w:hideMark/>
          </w:tcPr>
          <w:p w14:paraId="4693E51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32C7EFB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F09CE70" w14:textId="77777777">
        <w:trPr>
          <w:trHeight w:val="300"/>
        </w:trPr>
        <w:tc>
          <w:tcPr>
            <w:tcW w:w="6270" w:type="dxa"/>
            <w:tcBorders>
              <w:top w:val="nil"/>
              <w:left w:val="nil"/>
              <w:bottom w:val="single" w:sz="6" w:space="0" w:color="auto"/>
              <w:right w:val="nil"/>
            </w:tcBorders>
            <w:hideMark/>
          </w:tcPr>
          <w:p w14:paraId="54ADD18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Others </w:t>
            </w:r>
          </w:p>
        </w:tc>
        <w:tc>
          <w:tcPr>
            <w:tcW w:w="2610" w:type="dxa"/>
            <w:tcBorders>
              <w:top w:val="nil"/>
              <w:left w:val="nil"/>
              <w:bottom w:val="single" w:sz="6" w:space="0" w:color="auto"/>
              <w:right w:val="nil"/>
            </w:tcBorders>
            <w:hideMark/>
          </w:tcPr>
          <w:p w14:paraId="2B4D3EC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 (15.4) </w:t>
            </w:r>
          </w:p>
        </w:tc>
        <w:tc>
          <w:tcPr>
            <w:tcW w:w="2325" w:type="dxa"/>
            <w:tcBorders>
              <w:top w:val="nil"/>
              <w:left w:val="nil"/>
              <w:bottom w:val="single" w:sz="6" w:space="0" w:color="auto"/>
              <w:right w:val="nil"/>
            </w:tcBorders>
            <w:hideMark/>
          </w:tcPr>
          <w:p w14:paraId="4D6D49D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18 (7.7) </w:t>
            </w:r>
          </w:p>
        </w:tc>
        <w:tc>
          <w:tcPr>
            <w:tcW w:w="2610" w:type="dxa"/>
            <w:tcBorders>
              <w:top w:val="nil"/>
              <w:left w:val="nil"/>
              <w:bottom w:val="single" w:sz="6" w:space="0" w:color="auto"/>
              <w:right w:val="nil"/>
            </w:tcBorders>
            <w:hideMark/>
          </w:tcPr>
          <w:p w14:paraId="74B724E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20 (8.1) </w:t>
            </w:r>
          </w:p>
        </w:tc>
        <w:tc>
          <w:tcPr>
            <w:tcW w:w="2610" w:type="dxa"/>
            <w:tcBorders>
              <w:top w:val="nil"/>
              <w:left w:val="nil"/>
              <w:bottom w:val="single" w:sz="6" w:space="0" w:color="auto"/>
              <w:right w:val="nil"/>
            </w:tcBorders>
            <w:hideMark/>
          </w:tcPr>
          <w:p w14:paraId="3110BE8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6A6991C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bl>
    <w:p w14:paraId="66418E67"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b/>
          <w:bCs/>
          <w:kern w:val="0"/>
          <w:sz w:val="20"/>
          <w:szCs w:val="20"/>
          <w14:ligatures w14:val="none"/>
        </w:rPr>
        <w:t> </w:t>
      </w:r>
      <w:r w:rsidRPr="0079704C">
        <w:rPr>
          <w:rFonts w:ascii="Arial" w:eastAsia="Times New Roman" w:hAnsi="Arial" w:cs="Arial"/>
          <w:kern w:val="0"/>
          <w:sz w:val="20"/>
          <w:szCs w:val="20"/>
          <w14:ligatures w14:val="none"/>
        </w:rPr>
        <w:t> </w:t>
      </w:r>
    </w:p>
    <w:p w14:paraId="7C00FF06"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b/>
          <w:bCs/>
          <w:kern w:val="0"/>
          <w:sz w:val="20"/>
          <w:szCs w:val="20"/>
          <w14:ligatures w14:val="none"/>
        </w:rPr>
        <w:t>Table 3. Summary of environmental information of donors</w:t>
      </w:r>
      <w:r w:rsidRPr="0079704C">
        <w:rPr>
          <w:rFonts w:ascii="Arial" w:eastAsia="Times New Roman" w:hAnsi="Arial" w:cs="Arial"/>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7"/>
        <w:gridCol w:w="2996"/>
        <w:gridCol w:w="3003"/>
      </w:tblGrid>
      <w:tr w:rsidR="0079704C" w:rsidRPr="0079704C" w14:paraId="470FA9D1" w14:textId="77777777">
        <w:trPr>
          <w:trHeight w:val="300"/>
        </w:trPr>
        <w:tc>
          <w:tcPr>
            <w:tcW w:w="3105" w:type="dxa"/>
            <w:tcBorders>
              <w:top w:val="single" w:sz="6" w:space="0" w:color="auto"/>
              <w:left w:val="nil"/>
              <w:bottom w:val="single" w:sz="6" w:space="0" w:color="auto"/>
              <w:right w:val="nil"/>
            </w:tcBorders>
            <w:hideMark/>
          </w:tcPr>
          <w:p w14:paraId="4D4481D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Variables</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single" w:sz="6" w:space="0" w:color="auto"/>
              <w:right w:val="nil"/>
            </w:tcBorders>
            <w:hideMark/>
          </w:tcPr>
          <w:p w14:paraId="5834F37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Frequency (n=246)</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single" w:sz="6" w:space="0" w:color="auto"/>
              <w:right w:val="nil"/>
            </w:tcBorders>
            <w:hideMark/>
          </w:tcPr>
          <w:p w14:paraId="026DBD9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Percentage</w:t>
            </w:r>
            <w:r w:rsidRPr="0079704C">
              <w:rPr>
                <w:rFonts w:ascii="Arial" w:eastAsia="Times New Roman" w:hAnsi="Arial" w:cs="Arial"/>
                <w:kern w:val="0"/>
                <w:sz w:val="22"/>
                <w:szCs w:val="22"/>
                <w14:ligatures w14:val="none"/>
              </w:rPr>
              <w:t> </w:t>
            </w:r>
          </w:p>
        </w:tc>
      </w:tr>
      <w:tr w:rsidR="0079704C" w:rsidRPr="0079704C" w14:paraId="515FF407" w14:textId="77777777">
        <w:trPr>
          <w:trHeight w:val="300"/>
        </w:trPr>
        <w:tc>
          <w:tcPr>
            <w:tcW w:w="3105" w:type="dxa"/>
            <w:tcBorders>
              <w:top w:val="single" w:sz="6" w:space="0" w:color="auto"/>
              <w:left w:val="nil"/>
              <w:bottom w:val="nil"/>
              <w:right w:val="nil"/>
            </w:tcBorders>
            <w:hideMark/>
          </w:tcPr>
          <w:p w14:paraId="3EF28DD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Source of drinking water</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7A387CE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641D415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55A27845" w14:textId="77777777">
        <w:trPr>
          <w:trHeight w:val="300"/>
        </w:trPr>
        <w:tc>
          <w:tcPr>
            <w:tcW w:w="3105" w:type="dxa"/>
            <w:tcBorders>
              <w:top w:val="nil"/>
              <w:left w:val="nil"/>
              <w:bottom w:val="nil"/>
              <w:right w:val="nil"/>
            </w:tcBorders>
            <w:hideMark/>
          </w:tcPr>
          <w:p w14:paraId="6921997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Bottled/Sachet </w:t>
            </w:r>
          </w:p>
        </w:tc>
        <w:tc>
          <w:tcPr>
            <w:tcW w:w="3105" w:type="dxa"/>
            <w:tcBorders>
              <w:top w:val="nil"/>
              <w:left w:val="nil"/>
              <w:bottom w:val="nil"/>
              <w:right w:val="nil"/>
            </w:tcBorders>
            <w:hideMark/>
          </w:tcPr>
          <w:p w14:paraId="4908694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16 </w:t>
            </w:r>
          </w:p>
        </w:tc>
        <w:tc>
          <w:tcPr>
            <w:tcW w:w="3105" w:type="dxa"/>
            <w:tcBorders>
              <w:top w:val="nil"/>
              <w:left w:val="nil"/>
              <w:bottom w:val="nil"/>
              <w:right w:val="nil"/>
            </w:tcBorders>
            <w:hideMark/>
          </w:tcPr>
          <w:p w14:paraId="62BBB1D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6.5 </w:t>
            </w:r>
          </w:p>
        </w:tc>
      </w:tr>
      <w:tr w:rsidR="0079704C" w:rsidRPr="0079704C" w14:paraId="25B38AFE" w14:textId="77777777">
        <w:trPr>
          <w:trHeight w:val="300"/>
        </w:trPr>
        <w:tc>
          <w:tcPr>
            <w:tcW w:w="3105" w:type="dxa"/>
            <w:tcBorders>
              <w:top w:val="nil"/>
              <w:left w:val="nil"/>
              <w:bottom w:val="nil"/>
              <w:right w:val="nil"/>
            </w:tcBorders>
            <w:hideMark/>
          </w:tcPr>
          <w:p w14:paraId="54ECCFD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Sachet </w:t>
            </w:r>
          </w:p>
        </w:tc>
        <w:tc>
          <w:tcPr>
            <w:tcW w:w="3105" w:type="dxa"/>
            <w:tcBorders>
              <w:top w:val="nil"/>
              <w:left w:val="nil"/>
              <w:bottom w:val="nil"/>
              <w:right w:val="nil"/>
            </w:tcBorders>
            <w:hideMark/>
          </w:tcPr>
          <w:p w14:paraId="1BEF91E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219 </w:t>
            </w:r>
          </w:p>
        </w:tc>
        <w:tc>
          <w:tcPr>
            <w:tcW w:w="3105" w:type="dxa"/>
            <w:tcBorders>
              <w:top w:val="nil"/>
              <w:left w:val="nil"/>
              <w:bottom w:val="nil"/>
              <w:right w:val="nil"/>
            </w:tcBorders>
            <w:hideMark/>
          </w:tcPr>
          <w:p w14:paraId="50BE0AD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89.0 </w:t>
            </w:r>
          </w:p>
        </w:tc>
      </w:tr>
      <w:tr w:rsidR="0079704C" w:rsidRPr="0079704C" w14:paraId="4410F228" w14:textId="77777777">
        <w:trPr>
          <w:trHeight w:val="300"/>
        </w:trPr>
        <w:tc>
          <w:tcPr>
            <w:tcW w:w="3105" w:type="dxa"/>
            <w:tcBorders>
              <w:top w:val="nil"/>
              <w:left w:val="nil"/>
              <w:bottom w:val="nil"/>
              <w:right w:val="nil"/>
            </w:tcBorders>
            <w:hideMark/>
          </w:tcPr>
          <w:p w14:paraId="73E7E96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Sachet and bottled  </w:t>
            </w:r>
          </w:p>
        </w:tc>
        <w:tc>
          <w:tcPr>
            <w:tcW w:w="3105" w:type="dxa"/>
            <w:tcBorders>
              <w:top w:val="nil"/>
              <w:left w:val="nil"/>
              <w:bottom w:val="nil"/>
              <w:right w:val="nil"/>
            </w:tcBorders>
            <w:hideMark/>
          </w:tcPr>
          <w:p w14:paraId="22F2A21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10 </w:t>
            </w:r>
          </w:p>
        </w:tc>
        <w:tc>
          <w:tcPr>
            <w:tcW w:w="3105" w:type="dxa"/>
            <w:tcBorders>
              <w:top w:val="nil"/>
              <w:left w:val="nil"/>
              <w:bottom w:val="nil"/>
              <w:right w:val="nil"/>
            </w:tcBorders>
            <w:hideMark/>
          </w:tcPr>
          <w:p w14:paraId="5140F55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4.1 </w:t>
            </w:r>
          </w:p>
        </w:tc>
      </w:tr>
      <w:tr w:rsidR="0079704C" w:rsidRPr="0079704C" w14:paraId="3242A24C" w14:textId="77777777">
        <w:trPr>
          <w:trHeight w:val="300"/>
        </w:trPr>
        <w:tc>
          <w:tcPr>
            <w:tcW w:w="3105" w:type="dxa"/>
            <w:tcBorders>
              <w:top w:val="nil"/>
              <w:left w:val="nil"/>
              <w:bottom w:val="single" w:sz="6" w:space="0" w:color="auto"/>
              <w:right w:val="nil"/>
            </w:tcBorders>
            <w:hideMark/>
          </w:tcPr>
          <w:p w14:paraId="5926C36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Sachet/Borehole </w:t>
            </w:r>
          </w:p>
        </w:tc>
        <w:tc>
          <w:tcPr>
            <w:tcW w:w="3105" w:type="dxa"/>
            <w:tcBorders>
              <w:top w:val="nil"/>
              <w:left w:val="nil"/>
              <w:bottom w:val="single" w:sz="6" w:space="0" w:color="auto"/>
              <w:right w:val="nil"/>
            </w:tcBorders>
            <w:hideMark/>
          </w:tcPr>
          <w:p w14:paraId="3F23C66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1 </w:t>
            </w:r>
          </w:p>
        </w:tc>
        <w:tc>
          <w:tcPr>
            <w:tcW w:w="3105" w:type="dxa"/>
            <w:tcBorders>
              <w:top w:val="nil"/>
              <w:left w:val="nil"/>
              <w:bottom w:val="single" w:sz="6" w:space="0" w:color="auto"/>
              <w:right w:val="nil"/>
            </w:tcBorders>
            <w:hideMark/>
          </w:tcPr>
          <w:p w14:paraId="5A7E16E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0.4 </w:t>
            </w:r>
          </w:p>
        </w:tc>
      </w:tr>
      <w:tr w:rsidR="0079704C" w:rsidRPr="0079704C" w14:paraId="2174E520" w14:textId="77777777">
        <w:trPr>
          <w:trHeight w:val="300"/>
        </w:trPr>
        <w:tc>
          <w:tcPr>
            <w:tcW w:w="3105" w:type="dxa"/>
            <w:tcBorders>
              <w:top w:val="single" w:sz="6" w:space="0" w:color="auto"/>
              <w:left w:val="nil"/>
              <w:bottom w:val="nil"/>
              <w:right w:val="nil"/>
            </w:tcBorders>
            <w:hideMark/>
          </w:tcPr>
          <w:p w14:paraId="4158FE6C"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Smoke</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0E2553A6"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4906B5A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A87FA98" w14:textId="77777777">
        <w:trPr>
          <w:trHeight w:val="300"/>
        </w:trPr>
        <w:tc>
          <w:tcPr>
            <w:tcW w:w="3105" w:type="dxa"/>
            <w:tcBorders>
              <w:top w:val="nil"/>
              <w:left w:val="nil"/>
              <w:bottom w:val="nil"/>
              <w:right w:val="nil"/>
            </w:tcBorders>
            <w:hideMark/>
          </w:tcPr>
          <w:p w14:paraId="1C86BB5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No </w:t>
            </w:r>
          </w:p>
        </w:tc>
        <w:tc>
          <w:tcPr>
            <w:tcW w:w="3105" w:type="dxa"/>
            <w:tcBorders>
              <w:top w:val="nil"/>
              <w:left w:val="nil"/>
              <w:bottom w:val="nil"/>
              <w:right w:val="nil"/>
            </w:tcBorders>
            <w:hideMark/>
          </w:tcPr>
          <w:p w14:paraId="77CDD3B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237 </w:t>
            </w:r>
          </w:p>
        </w:tc>
        <w:tc>
          <w:tcPr>
            <w:tcW w:w="3105" w:type="dxa"/>
            <w:tcBorders>
              <w:top w:val="nil"/>
              <w:left w:val="nil"/>
              <w:bottom w:val="nil"/>
              <w:right w:val="nil"/>
            </w:tcBorders>
            <w:hideMark/>
          </w:tcPr>
          <w:p w14:paraId="2E400EE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96.3 </w:t>
            </w:r>
          </w:p>
        </w:tc>
      </w:tr>
      <w:tr w:rsidR="0079704C" w:rsidRPr="0079704C" w14:paraId="7A27AF3E" w14:textId="77777777">
        <w:trPr>
          <w:trHeight w:val="300"/>
        </w:trPr>
        <w:tc>
          <w:tcPr>
            <w:tcW w:w="3105" w:type="dxa"/>
            <w:tcBorders>
              <w:top w:val="nil"/>
              <w:left w:val="nil"/>
              <w:bottom w:val="single" w:sz="6" w:space="0" w:color="auto"/>
              <w:right w:val="nil"/>
            </w:tcBorders>
            <w:hideMark/>
          </w:tcPr>
          <w:p w14:paraId="7DA59B2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Yes </w:t>
            </w:r>
          </w:p>
        </w:tc>
        <w:tc>
          <w:tcPr>
            <w:tcW w:w="3105" w:type="dxa"/>
            <w:tcBorders>
              <w:top w:val="nil"/>
              <w:left w:val="nil"/>
              <w:bottom w:val="single" w:sz="6" w:space="0" w:color="auto"/>
              <w:right w:val="nil"/>
            </w:tcBorders>
            <w:hideMark/>
          </w:tcPr>
          <w:p w14:paraId="553DB2E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9 </w:t>
            </w:r>
          </w:p>
        </w:tc>
        <w:tc>
          <w:tcPr>
            <w:tcW w:w="3105" w:type="dxa"/>
            <w:tcBorders>
              <w:top w:val="nil"/>
              <w:left w:val="nil"/>
              <w:bottom w:val="single" w:sz="6" w:space="0" w:color="auto"/>
              <w:right w:val="nil"/>
            </w:tcBorders>
            <w:hideMark/>
          </w:tcPr>
          <w:p w14:paraId="3B06423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3.7 </w:t>
            </w:r>
          </w:p>
        </w:tc>
      </w:tr>
      <w:tr w:rsidR="0079704C" w:rsidRPr="0079704C" w14:paraId="39F34D4B" w14:textId="77777777">
        <w:trPr>
          <w:trHeight w:val="300"/>
        </w:trPr>
        <w:tc>
          <w:tcPr>
            <w:tcW w:w="3105" w:type="dxa"/>
            <w:tcBorders>
              <w:top w:val="single" w:sz="6" w:space="0" w:color="auto"/>
              <w:left w:val="nil"/>
              <w:bottom w:val="nil"/>
              <w:right w:val="nil"/>
            </w:tcBorders>
            <w:hideMark/>
          </w:tcPr>
          <w:p w14:paraId="5F7AC73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Proximity to refuse dump</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043AA11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5843BE9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4526DEE3" w14:textId="77777777">
        <w:trPr>
          <w:trHeight w:val="300"/>
        </w:trPr>
        <w:tc>
          <w:tcPr>
            <w:tcW w:w="3105" w:type="dxa"/>
            <w:tcBorders>
              <w:top w:val="nil"/>
              <w:left w:val="nil"/>
              <w:bottom w:val="nil"/>
              <w:right w:val="nil"/>
            </w:tcBorders>
            <w:hideMark/>
          </w:tcPr>
          <w:p w14:paraId="45E9170E"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No </w:t>
            </w:r>
          </w:p>
        </w:tc>
        <w:tc>
          <w:tcPr>
            <w:tcW w:w="3105" w:type="dxa"/>
            <w:tcBorders>
              <w:top w:val="nil"/>
              <w:left w:val="nil"/>
              <w:bottom w:val="nil"/>
              <w:right w:val="nil"/>
            </w:tcBorders>
            <w:hideMark/>
          </w:tcPr>
          <w:p w14:paraId="1A2641A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222 </w:t>
            </w:r>
          </w:p>
        </w:tc>
        <w:tc>
          <w:tcPr>
            <w:tcW w:w="3105" w:type="dxa"/>
            <w:tcBorders>
              <w:top w:val="nil"/>
              <w:left w:val="nil"/>
              <w:bottom w:val="nil"/>
              <w:right w:val="nil"/>
            </w:tcBorders>
            <w:hideMark/>
          </w:tcPr>
          <w:p w14:paraId="48B0E3F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90.2 </w:t>
            </w:r>
          </w:p>
        </w:tc>
      </w:tr>
      <w:tr w:rsidR="0079704C" w:rsidRPr="0079704C" w14:paraId="57B9FAEE" w14:textId="77777777">
        <w:trPr>
          <w:trHeight w:val="300"/>
        </w:trPr>
        <w:tc>
          <w:tcPr>
            <w:tcW w:w="3105" w:type="dxa"/>
            <w:tcBorders>
              <w:top w:val="nil"/>
              <w:left w:val="nil"/>
              <w:bottom w:val="single" w:sz="6" w:space="0" w:color="auto"/>
              <w:right w:val="nil"/>
            </w:tcBorders>
            <w:hideMark/>
          </w:tcPr>
          <w:p w14:paraId="7F4187F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Yes </w:t>
            </w:r>
          </w:p>
        </w:tc>
        <w:tc>
          <w:tcPr>
            <w:tcW w:w="3105" w:type="dxa"/>
            <w:tcBorders>
              <w:top w:val="nil"/>
              <w:left w:val="nil"/>
              <w:bottom w:val="single" w:sz="6" w:space="0" w:color="auto"/>
              <w:right w:val="nil"/>
            </w:tcBorders>
            <w:hideMark/>
          </w:tcPr>
          <w:p w14:paraId="100A4FA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24 </w:t>
            </w:r>
          </w:p>
        </w:tc>
        <w:tc>
          <w:tcPr>
            <w:tcW w:w="3105" w:type="dxa"/>
            <w:tcBorders>
              <w:top w:val="nil"/>
              <w:left w:val="nil"/>
              <w:bottom w:val="single" w:sz="6" w:space="0" w:color="auto"/>
              <w:right w:val="nil"/>
            </w:tcBorders>
            <w:hideMark/>
          </w:tcPr>
          <w:p w14:paraId="769F48D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9.8 </w:t>
            </w:r>
          </w:p>
        </w:tc>
      </w:tr>
      <w:tr w:rsidR="0079704C" w:rsidRPr="0079704C" w14:paraId="54231659" w14:textId="77777777">
        <w:trPr>
          <w:trHeight w:val="300"/>
        </w:trPr>
        <w:tc>
          <w:tcPr>
            <w:tcW w:w="3105" w:type="dxa"/>
            <w:tcBorders>
              <w:top w:val="single" w:sz="6" w:space="0" w:color="auto"/>
              <w:left w:val="nil"/>
              <w:bottom w:val="nil"/>
              <w:right w:val="nil"/>
            </w:tcBorders>
            <w:hideMark/>
          </w:tcPr>
          <w:p w14:paraId="14DC578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Proximity to paint factory</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6415979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2B64C69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3B1FD37E" w14:textId="77777777">
        <w:trPr>
          <w:trHeight w:val="300"/>
        </w:trPr>
        <w:tc>
          <w:tcPr>
            <w:tcW w:w="3105" w:type="dxa"/>
            <w:tcBorders>
              <w:top w:val="nil"/>
              <w:left w:val="nil"/>
              <w:bottom w:val="nil"/>
              <w:right w:val="nil"/>
            </w:tcBorders>
            <w:hideMark/>
          </w:tcPr>
          <w:p w14:paraId="611D3477"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No </w:t>
            </w:r>
          </w:p>
        </w:tc>
        <w:tc>
          <w:tcPr>
            <w:tcW w:w="3105" w:type="dxa"/>
            <w:tcBorders>
              <w:top w:val="nil"/>
              <w:left w:val="nil"/>
              <w:bottom w:val="nil"/>
              <w:right w:val="nil"/>
            </w:tcBorders>
            <w:hideMark/>
          </w:tcPr>
          <w:p w14:paraId="387294C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235 </w:t>
            </w:r>
          </w:p>
        </w:tc>
        <w:tc>
          <w:tcPr>
            <w:tcW w:w="3105" w:type="dxa"/>
            <w:tcBorders>
              <w:top w:val="nil"/>
              <w:left w:val="nil"/>
              <w:bottom w:val="nil"/>
              <w:right w:val="nil"/>
            </w:tcBorders>
            <w:hideMark/>
          </w:tcPr>
          <w:p w14:paraId="1EC3083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95.5 </w:t>
            </w:r>
          </w:p>
        </w:tc>
      </w:tr>
      <w:tr w:rsidR="0079704C" w:rsidRPr="0079704C" w14:paraId="15B94890" w14:textId="77777777">
        <w:trPr>
          <w:trHeight w:val="300"/>
        </w:trPr>
        <w:tc>
          <w:tcPr>
            <w:tcW w:w="3105" w:type="dxa"/>
            <w:tcBorders>
              <w:top w:val="nil"/>
              <w:left w:val="nil"/>
              <w:bottom w:val="single" w:sz="6" w:space="0" w:color="auto"/>
              <w:right w:val="nil"/>
            </w:tcBorders>
            <w:hideMark/>
          </w:tcPr>
          <w:p w14:paraId="4F015F9D"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Yes </w:t>
            </w:r>
          </w:p>
        </w:tc>
        <w:tc>
          <w:tcPr>
            <w:tcW w:w="3105" w:type="dxa"/>
            <w:tcBorders>
              <w:top w:val="nil"/>
              <w:left w:val="nil"/>
              <w:bottom w:val="single" w:sz="6" w:space="0" w:color="auto"/>
              <w:right w:val="nil"/>
            </w:tcBorders>
            <w:hideMark/>
          </w:tcPr>
          <w:p w14:paraId="02BDF7E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11 </w:t>
            </w:r>
          </w:p>
        </w:tc>
        <w:tc>
          <w:tcPr>
            <w:tcW w:w="3105" w:type="dxa"/>
            <w:tcBorders>
              <w:top w:val="nil"/>
              <w:left w:val="nil"/>
              <w:bottom w:val="single" w:sz="6" w:space="0" w:color="auto"/>
              <w:right w:val="nil"/>
            </w:tcBorders>
            <w:hideMark/>
          </w:tcPr>
          <w:p w14:paraId="4CDB578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4.5 </w:t>
            </w:r>
          </w:p>
        </w:tc>
      </w:tr>
      <w:tr w:rsidR="0079704C" w:rsidRPr="0079704C" w14:paraId="700CEEFE" w14:textId="77777777">
        <w:trPr>
          <w:trHeight w:val="300"/>
        </w:trPr>
        <w:tc>
          <w:tcPr>
            <w:tcW w:w="3105" w:type="dxa"/>
            <w:tcBorders>
              <w:top w:val="single" w:sz="6" w:space="0" w:color="auto"/>
              <w:left w:val="nil"/>
              <w:bottom w:val="nil"/>
              <w:right w:val="nil"/>
            </w:tcBorders>
            <w:hideMark/>
          </w:tcPr>
          <w:p w14:paraId="00216C1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Artisanal refining</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1D3D906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5DD92FD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645BF05F" w14:textId="77777777">
        <w:trPr>
          <w:trHeight w:val="300"/>
        </w:trPr>
        <w:tc>
          <w:tcPr>
            <w:tcW w:w="3105" w:type="dxa"/>
            <w:tcBorders>
              <w:top w:val="nil"/>
              <w:left w:val="nil"/>
              <w:bottom w:val="nil"/>
              <w:right w:val="nil"/>
            </w:tcBorders>
            <w:hideMark/>
          </w:tcPr>
          <w:p w14:paraId="3B3986B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No </w:t>
            </w:r>
          </w:p>
        </w:tc>
        <w:tc>
          <w:tcPr>
            <w:tcW w:w="3105" w:type="dxa"/>
            <w:tcBorders>
              <w:top w:val="nil"/>
              <w:left w:val="nil"/>
              <w:bottom w:val="nil"/>
              <w:right w:val="nil"/>
            </w:tcBorders>
            <w:hideMark/>
          </w:tcPr>
          <w:p w14:paraId="28F167C1"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241 </w:t>
            </w:r>
          </w:p>
        </w:tc>
        <w:tc>
          <w:tcPr>
            <w:tcW w:w="3105" w:type="dxa"/>
            <w:tcBorders>
              <w:top w:val="nil"/>
              <w:left w:val="nil"/>
              <w:bottom w:val="nil"/>
              <w:right w:val="nil"/>
            </w:tcBorders>
            <w:hideMark/>
          </w:tcPr>
          <w:p w14:paraId="50263213"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98.0 </w:t>
            </w:r>
          </w:p>
        </w:tc>
      </w:tr>
      <w:tr w:rsidR="0079704C" w:rsidRPr="0079704C" w14:paraId="1480627F" w14:textId="77777777">
        <w:trPr>
          <w:trHeight w:val="300"/>
        </w:trPr>
        <w:tc>
          <w:tcPr>
            <w:tcW w:w="3105" w:type="dxa"/>
            <w:tcBorders>
              <w:top w:val="nil"/>
              <w:left w:val="nil"/>
              <w:bottom w:val="single" w:sz="6" w:space="0" w:color="auto"/>
              <w:right w:val="nil"/>
            </w:tcBorders>
            <w:hideMark/>
          </w:tcPr>
          <w:p w14:paraId="362154D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Yes </w:t>
            </w:r>
          </w:p>
        </w:tc>
        <w:tc>
          <w:tcPr>
            <w:tcW w:w="3105" w:type="dxa"/>
            <w:tcBorders>
              <w:top w:val="nil"/>
              <w:left w:val="nil"/>
              <w:bottom w:val="single" w:sz="6" w:space="0" w:color="auto"/>
              <w:right w:val="nil"/>
            </w:tcBorders>
            <w:hideMark/>
          </w:tcPr>
          <w:p w14:paraId="37BF836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5 </w:t>
            </w:r>
          </w:p>
        </w:tc>
        <w:tc>
          <w:tcPr>
            <w:tcW w:w="3105" w:type="dxa"/>
            <w:tcBorders>
              <w:top w:val="nil"/>
              <w:left w:val="nil"/>
              <w:bottom w:val="single" w:sz="6" w:space="0" w:color="auto"/>
              <w:right w:val="nil"/>
            </w:tcBorders>
            <w:hideMark/>
          </w:tcPr>
          <w:p w14:paraId="4921107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2.0 </w:t>
            </w:r>
          </w:p>
        </w:tc>
      </w:tr>
      <w:tr w:rsidR="0079704C" w:rsidRPr="0079704C" w14:paraId="3D3216F3" w14:textId="77777777">
        <w:trPr>
          <w:trHeight w:val="300"/>
        </w:trPr>
        <w:tc>
          <w:tcPr>
            <w:tcW w:w="3105" w:type="dxa"/>
            <w:tcBorders>
              <w:top w:val="single" w:sz="6" w:space="0" w:color="auto"/>
              <w:left w:val="nil"/>
              <w:bottom w:val="nil"/>
              <w:right w:val="nil"/>
            </w:tcBorders>
            <w:hideMark/>
          </w:tcPr>
          <w:p w14:paraId="1C4F526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b/>
                <w:bCs/>
                <w:kern w:val="0"/>
                <w:sz w:val="22"/>
                <w:szCs w:val="22"/>
                <w14:ligatures w14:val="none"/>
              </w:rPr>
              <w:t>Eating sea food</w:t>
            </w: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2A189F45"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c>
          <w:tcPr>
            <w:tcW w:w="3105" w:type="dxa"/>
            <w:tcBorders>
              <w:top w:val="single" w:sz="6" w:space="0" w:color="auto"/>
              <w:left w:val="nil"/>
              <w:bottom w:val="nil"/>
              <w:right w:val="nil"/>
            </w:tcBorders>
            <w:hideMark/>
          </w:tcPr>
          <w:p w14:paraId="0DA2E4D9"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  </w:t>
            </w:r>
          </w:p>
        </w:tc>
      </w:tr>
      <w:tr w:rsidR="0079704C" w:rsidRPr="0079704C" w14:paraId="7FBB9A96" w14:textId="77777777">
        <w:trPr>
          <w:trHeight w:val="300"/>
        </w:trPr>
        <w:tc>
          <w:tcPr>
            <w:tcW w:w="3105" w:type="dxa"/>
            <w:tcBorders>
              <w:top w:val="nil"/>
              <w:left w:val="nil"/>
              <w:bottom w:val="nil"/>
              <w:right w:val="nil"/>
            </w:tcBorders>
            <w:hideMark/>
          </w:tcPr>
          <w:p w14:paraId="45A73202"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Yes </w:t>
            </w:r>
          </w:p>
        </w:tc>
        <w:tc>
          <w:tcPr>
            <w:tcW w:w="3105" w:type="dxa"/>
            <w:tcBorders>
              <w:top w:val="nil"/>
              <w:left w:val="nil"/>
              <w:bottom w:val="nil"/>
              <w:right w:val="nil"/>
            </w:tcBorders>
            <w:hideMark/>
          </w:tcPr>
          <w:p w14:paraId="3A364660"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246 </w:t>
            </w:r>
          </w:p>
        </w:tc>
        <w:tc>
          <w:tcPr>
            <w:tcW w:w="3105" w:type="dxa"/>
            <w:tcBorders>
              <w:top w:val="nil"/>
              <w:left w:val="nil"/>
              <w:bottom w:val="nil"/>
              <w:right w:val="nil"/>
            </w:tcBorders>
            <w:hideMark/>
          </w:tcPr>
          <w:p w14:paraId="4F36ADEF"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100.0 </w:t>
            </w:r>
          </w:p>
        </w:tc>
      </w:tr>
      <w:tr w:rsidR="0079704C" w:rsidRPr="0079704C" w14:paraId="00E5A18E" w14:textId="77777777">
        <w:trPr>
          <w:trHeight w:val="300"/>
        </w:trPr>
        <w:tc>
          <w:tcPr>
            <w:tcW w:w="3105" w:type="dxa"/>
            <w:tcBorders>
              <w:top w:val="nil"/>
              <w:left w:val="nil"/>
              <w:bottom w:val="single" w:sz="6" w:space="0" w:color="auto"/>
              <w:right w:val="nil"/>
            </w:tcBorders>
            <w:hideMark/>
          </w:tcPr>
          <w:p w14:paraId="5B267ADB"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No </w:t>
            </w:r>
          </w:p>
        </w:tc>
        <w:tc>
          <w:tcPr>
            <w:tcW w:w="3105" w:type="dxa"/>
            <w:tcBorders>
              <w:top w:val="nil"/>
              <w:left w:val="nil"/>
              <w:bottom w:val="single" w:sz="6" w:space="0" w:color="auto"/>
              <w:right w:val="nil"/>
            </w:tcBorders>
            <w:hideMark/>
          </w:tcPr>
          <w:p w14:paraId="6E4401E4"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0 </w:t>
            </w:r>
          </w:p>
        </w:tc>
        <w:tc>
          <w:tcPr>
            <w:tcW w:w="3105" w:type="dxa"/>
            <w:tcBorders>
              <w:top w:val="nil"/>
              <w:left w:val="nil"/>
              <w:bottom w:val="single" w:sz="6" w:space="0" w:color="auto"/>
              <w:right w:val="nil"/>
            </w:tcBorders>
            <w:hideMark/>
          </w:tcPr>
          <w:p w14:paraId="42097BF8" w14:textId="77777777" w:rsidR="0079704C" w:rsidRPr="0079704C" w:rsidRDefault="0079704C" w:rsidP="0079704C">
            <w:pPr>
              <w:spacing w:after="0" w:line="240" w:lineRule="auto"/>
              <w:jc w:val="both"/>
              <w:textAlignment w:val="baseline"/>
              <w:rPr>
                <w:rFonts w:ascii="Times New Roman" w:eastAsia="Times New Roman" w:hAnsi="Times New Roman" w:cs="Times New Roman"/>
                <w:kern w:val="0"/>
                <w14:ligatures w14:val="none"/>
              </w:rPr>
            </w:pPr>
            <w:r w:rsidRPr="0079704C">
              <w:rPr>
                <w:rFonts w:ascii="Arial" w:eastAsia="Times New Roman" w:hAnsi="Arial" w:cs="Arial"/>
                <w:kern w:val="0"/>
                <w:sz w:val="22"/>
                <w:szCs w:val="22"/>
                <w14:ligatures w14:val="none"/>
              </w:rPr>
              <w:t>0.0 </w:t>
            </w:r>
          </w:p>
        </w:tc>
      </w:tr>
    </w:tbl>
    <w:p w14:paraId="04736A81"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  </w:t>
      </w:r>
    </w:p>
    <w:p w14:paraId="5AC986E4"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Most donors (96.3%) did not smoke, nor lived close to places with paint manufacturing activities (95.5%) or refuse dump site (90.2%) and were not involved in artisanal refining activities (98%); however, 100% of donors identified sea foods as a major component of their meals. </w:t>
      </w:r>
    </w:p>
    <w:p w14:paraId="0048CEBA" w14:textId="77777777" w:rsidR="0079704C" w:rsidRPr="0079704C" w:rsidRDefault="0079704C" w:rsidP="0079704C">
      <w:pPr>
        <w:spacing w:after="0" w:line="240" w:lineRule="auto"/>
        <w:jc w:val="both"/>
        <w:textAlignment w:val="baseline"/>
        <w:rPr>
          <w:rFonts w:ascii="Segoe UI" w:eastAsia="Times New Roman" w:hAnsi="Segoe UI" w:cs="Segoe UI"/>
          <w:kern w:val="0"/>
          <w:sz w:val="18"/>
          <w:szCs w:val="18"/>
          <w14:ligatures w14:val="none"/>
        </w:rPr>
      </w:pPr>
      <w:r w:rsidRPr="0079704C">
        <w:rPr>
          <w:rFonts w:ascii="Arial" w:eastAsia="Times New Roman" w:hAnsi="Arial" w:cs="Arial"/>
          <w:kern w:val="0"/>
          <w:sz w:val="20"/>
          <w:szCs w:val="20"/>
          <w14:ligatures w14:val="none"/>
        </w:rPr>
        <w:t>An overwhelming majority of the donors (94.7%) had blood lead levels &gt;5µg/dl; this is higher than the acceptable value above which toxicity from poisoning is possible in adults; only 5.3% of donors had blood lead values of &lt;5µg/dl. </w:t>
      </w:r>
    </w:p>
    <w:p w14:paraId="5B3508D8" w14:textId="77777777"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Segoe UI" w:eastAsia="Times New Roman" w:hAnsi="Segoe UI" w:cs="Segoe UI"/>
          <w:noProof/>
          <w:kern w:val="0"/>
          <w:sz w:val="18"/>
          <w:szCs w:val="18"/>
          <w14:ligatures w14:val="none"/>
        </w:rPr>
        <w:lastRenderedPageBreak/>
        <w:drawing>
          <wp:inline distT="0" distB="0" distL="0" distR="0" wp14:anchorId="40F2C1AB" wp14:editId="3BFC9802">
            <wp:extent cx="5210175" cy="51625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175" cy="5162550"/>
                    </a:xfrm>
                    <a:prstGeom prst="rect">
                      <a:avLst/>
                    </a:prstGeom>
                    <a:noFill/>
                    <a:ln>
                      <a:noFill/>
                    </a:ln>
                  </pic:spPr>
                </pic:pic>
              </a:graphicData>
            </a:graphic>
          </wp:inline>
        </w:drawing>
      </w:r>
      <w:r w:rsidRPr="00BA0C04">
        <w:rPr>
          <w:rFonts w:ascii="Arial" w:eastAsia="Times New Roman" w:hAnsi="Arial" w:cs="Arial"/>
          <w:kern w:val="0"/>
          <w:sz w:val="20"/>
          <w:szCs w:val="20"/>
          <w14:ligatures w14:val="none"/>
        </w:rPr>
        <w:t> </w:t>
      </w:r>
    </w:p>
    <w:p w14:paraId="1CA125EE" w14:textId="1D48B96E"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Arial" w:eastAsia="Times New Roman" w:hAnsi="Arial" w:cs="Arial"/>
          <w:b/>
          <w:bCs/>
          <w:kern w:val="0"/>
          <w:sz w:val="20"/>
          <w:szCs w:val="20"/>
          <w14:ligatures w14:val="none"/>
        </w:rPr>
        <w:t>Figure 1: Pie chart showing distribution of normal and toxic lead levels among study participants (&lt;</w:t>
      </w:r>
      <w:r w:rsidR="003353BF">
        <w:rPr>
          <w:rFonts w:ascii="Arial" w:eastAsia="Times New Roman" w:hAnsi="Arial" w:cs="Arial"/>
          <w:b/>
          <w:bCs/>
          <w:kern w:val="0"/>
          <w:sz w:val="20"/>
          <w:szCs w:val="20"/>
          <w14:ligatures w14:val="none"/>
        </w:rPr>
        <w:t>5</w:t>
      </w:r>
      <w:r w:rsidRPr="00BA0C04">
        <w:rPr>
          <w:rFonts w:ascii="Arial" w:eastAsia="Times New Roman" w:hAnsi="Arial" w:cs="Arial"/>
          <w:b/>
          <w:bCs/>
          <w:kern w:val="0"/>
          <w:sz w:val="20"/>
          <w:szCs w:val="20"/>
          <w14:ligatures w14:val="none"/>
        </w:rPr>
        <w:t>µg/dl denotes lead level within normal limits while &gt;5µg/dl denotes toxic lead levels)</w:t>
      </w:r>
      <w:r w:rsidRPr="00BA0C04">
        <w:rPr>
          <w:rFonts w:ascii="Arial" w:eastAsia="Times New Roman" w:hAnsi="Arial" w:cs="Arial"/>
          <w:kern w:val="0"/>
          <w:sz w:val="20"/>
          <w:szCs w:val="20"/>
          <w14:ligatures w14:val="none"/>
        </w:rPr>
        <w:t> </w:t>
      </w:r>
    </w:p>
    <w:p w14:paraId="6D38EC4E" w14:textId="77777777"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Arial" w:eastAsia="Times New Roman" w:hAnsi="Arial" w:cs="Arial"/>
          <w:b/>
          <w:bCs/>
          <w:kern w:val="0"/>
          <w:sz w:val="20"/>
          <w:szCs w:val="20"/>
          <w14:ligatures w14:val="none"/>
        </w:rPr>
        <w:t> </w:t>
      </w:r>
      <w:r w:rsidRPr="00BA0C04">
        <w:rPr>
          <w:rFonts w:ascii="Arial" w:eastAsia="Times New Roman" w:hAnsi="Arial" w:cs="Arial"/>
          <w:kern w:val="0"/>
          <w:sz w:val="20"/>
          <w:szCs w:val="20"/>
          <w14:ligatures w14:val="none"/>
        </w:rPr>
        <w:t> </w:t>
      </w:r>
    </w:p>
    <w:p w14:paraId="3BCE6C2A" w14:textId="0CA49126"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Arial" w:eastAsia="Times New Roman" w:hAnsi="Arial" w:cs="Arial"/>
          <w:kern w:val="0"/>
          <w:sz w:val="20"/>
          <w:szCs w:val="20"/>
          <w14:ligatures w14:val="none"/>
        </w:rPr>
        <w:t>The relationship between age and blood lead concentration was statistically significant with a</w:t>
      </w:r>
      <w:r w:rsidRPr="0066645C">
        <w:rPr>
          <w:rFonts w:ascii="Arial" w:eastAsia="Times New Roman" w:hAnsi="Arial" w:cs="Arial"/>
          <w:i/>
          <w:iCs/>
          <w:kern w:val="0"/>
          <w:sz w:val="20"/>
          <w:szCs w:val="20"/>
          <w14:ligatures w14:val="none"/>
        </w:rPr>
        <w:t xml:space="preserve"> </w:t>
      </w:r>
      <w:r w:rsidR="0066645C" w:rsidRPr="0066645C">
        <w:rPr>
          <w:rFonts w:ascii="Arial" w:eastAsia="Times New Roman" w:hAnsi="Arial" w:cs="Arial"/>
          <w:i/>
          <w:iCs/>
          <w:kern w:val="0"/>
          <w:sz w:val="20"/>
          <w:szCs w:val="20"/>
          <w14:ligatures w14:val="none"/>
        </w:rPr>
        <w:t>P</w:t>
      </w:r>
      <w:r w:rsidR="0066645C">
        <w:rPr>
          <w:rFonts w:ascii="Arial" w:eastAsia="Times New Roman" w:hAnsi="Arial" w:cs="Arial"/>
          <w:kern w:val="0"/>
          <w:sz w:val="20"/>
          <w:szCs w:val="20"/>
          <w14:ligatures w14:val="none"/>
        </w:rPr>
        <w:t xml:space="preserve"> =</w:t>
      </w:r>
      <w:r w:rsidRPr="00BA0C04">
        <w:rPr>
          <w:rFonts w:ascii="Arial" w:eastAsia="Times New Roman" w:hAnsi="Arial" w:cs="Arial"/>
          <w:kern w:val="0"/>
          <w:sz w:val="20"/>
          <w:szCs w:val="20"/>
          <w14:ligatures w14:val="none"/>
        </w:rPr>
        <w:t xml:space="preserve"> .01; smoking also showed significant relationship with blood lead levels with </w:t>
      </w:r>
      <w:r w:rsidR="00433DC4" w:rsidRPr="00433DC4">
        <w:rPr>
          <w:rFonts w:ascii="Arial" w:eastAsia="Times New Roman" w:hAnsi="Arial" w:cs="Arial"/>
          <w:i/>
          <w:iCs/>
          <w:kern w:val="0"/>
          <w:sz w:val="20"/>
          <w:szCs w:val="20"/>
          <w14:ligatures w14:val="none"/>
        </w:rPr>
        <w:t>P</w:t>
      </w:r>
      <w:r w:rsidR="00433DC4">
        <w:rPr>
          <w:rFonts w:ascii="Arial" w:eastAsia="Times New Roman" w:hAnsi="Arial" w:cs="Arial"/>
          <w:kern w:val="0"/>
          <w:sz w:val="20"/>
          <w:szCs w:val="20"/>
          <w14:ligatures w14:val="none"/>
        </w:rPr>
        <w:t xml:space="preserve"> = </w:t>
      </w:r>
      <w:r w:rsidRPr="00BA0C04">
        <w:rPr>
          <w:rFonts w:ascii="Arial" w:eastAsia="Times New Roman" w:hAnsi="Arial" w:cs="Arial"/>
          <w:kern w:val="0"/>
          <w:sz w:val="20"/>
          <w:szCs w:val="20"/>
          <w14:ligatures w14:val="none"/>
        </w:rPr>
        <w:t>.02. </w:t>
      </w:r>
    </w:p>
    <w:p w14:paraId="79185C99" w14:textId="77777777"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Arial" w:eastAsia="Times New Roman" w:hAnsi="Arial" w:cs="Arial"/>
          <w:b/>
          <w:bCs/>
          <w:kern w:val="0"/>
          <w:sz w:val="20"/>
          <w:szCs w:val="20"/>
          <w14:ligatures w14:val="none"/>
        </w:rPr>
        <w:t> </w:t>
      </w:r>
      <w:r w:rsidRPr="00BA0C04">
        <w:rPr>
          <w:rFonts w:ascii="Arial" w:eastAsia="Times New Roman" w:hAnsi="Arial" w:cs="Arial"/>
          <w:kern w:val="0"/>
          <w:sz w:val="20"/>
          <w:szCs w:val="20"/>
          <w14:ligatures w14:val="none"/>
        </w:rPr>
        <w:t> </w:t>
      </w:r>
    </w:p>
    <w:p w14:paraId="36A55584" w14:textId="77777777"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Arial" w:eastAsia="Times New Roman" w:hAnsi="Arial" w:cs="Arial"/>
          <w:b/>
          <w:bCs/>
          <w:kern w:val="0"/>
          <w:sz w:val="20"/>
          <w:szCs w:val="20"/>
          <w14:ligatures w14:val="none"/>
        </w:rPr>
        <w:t> </w:t>
      </w:r>
      <w:r w:rsidRPr="00BA0C04">
        <w:rPr>
          <w:rFonts w:ascii="Arial" w:eastAsia="Times New Roman" w:hAnsi="Arial" w:cs="Arial"/>
          <w:kern w:val="0"/>
          <w:sz w:val="20"/>
          <w:szCs w:val="20"/>
          <w14:ligatures w14:val="none"/>
        </w:rPr>
        <w:t> </w:t>
      </w:r>
    </w:p>
    <w:p w14:paraId="7FCE6D36" w14:textId="77777777" w:rsidR="00BA0C04" w:rsidRPr="00BA0C04" w:rsidRDefault="00BA0C04" w:rsidP="00BA0C04">
      <w:pPr>
        <w:spacing w:after="0" w:line="240" w:lineRule="auto"/>
        <w:jc w:val="both"/>
        <w:textAlignment w:val="baseline"/>
        <w:rPr>
          <w:rFonts w:ascii="Segoe UI" w:eastAsia="Times New Roman" w:hAnsi="Segoe UI" w:cs="Segoe UI"/>
          <w:kern w:val="0"/>
          <w:sz w:val="18"/>
          <w:szCs w:val="18"/>
          <w14:ligatures w14:val="none"/>
        </w:rPr>
      </w:pPr>
      <w:r w:rsidRPr="00BA0C04">
        <w:rPr>
          <w:rFonts w:ascii="Arial" w:eastAsia="Times New Roman" w:hAnsi="Arial" w:cs="Arial"/>
          <w:b/>
          <w:bCs/>
          <w:kern w:val="0"/>
          <w:sz w:val="20"/>
          <w:szCs w:val="20"/>
          <w14:ligatures w14:val="none"/>
        </w:rPr>
        <w:t xml:space="preserve">Table 4 Association between Environmental characteristics and lead levels of donors: </w:t>
      </w:r>
      <w:r w:rsidRPr="00BA0C04">
        <w:rPr>
          <w:rFonts w:ascii="Arial" w:eastAsia="Times New Roman" w:hAnsi="Arial" w:cs="Arial"/>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2"/>
        <w:gridCol w:w="1310"/>
        <w:gridCol w:w="1290"/>
        <w:gridCol w:w="1168"/>
        <w:gridCol w:w="1276"/>
        <w:gridCol w:w="1060"/>
      </w:tblGrid>
      <w:tr w:rsidR="00BA0C04" w:rsidRPr="00BA0C04" w14:paraId="3EA34053" w14:textId="77777777">
        <w:trPr>
          <w:trHeight w:val="300"/>
        </w:trPr>
        <w:tc>
          <w:tcPr>
            <w:tcW w:w="6270" w:type="dxa"/>
            <w:tcBorders>
              <w:top w:val="single" w:sz="6" w:space="0" w:color="auto"/>
              <w:left w:val="nil"/>
              <w:bottom w:val="nil"/>
              <w:right w:val="nil"/>
            </w:tcBorders>
            <w:hideMark/>
          </w:tcPr>
          <w:p w14:paraId="2D409CA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Variables</w:t>
            </w:r>
            <w:r w:rsidRPr="00BA0C04">
              <w:rPr>
                <w:rFonts w:ascii="Arial" w:eastAsia="Times New Roman" w:hAnsi="Arial" w:cs="Arial"/>
                <w:kern w:val="0"/>
                <w:sz w:val="22"/>
                <w:szCs w:val="22"/>
                <w14:ligatures w14:val="none"/>
              </w:rPr>
              <w:t> </w:t>
            </w:r>
          </w:p>
        </w:tc>
        <w:tc>
          <w:tcPr>
            <w:tcW w:w="5145" w:type="dxa"/>
            <w:gridSpan w:val="2"/>
            <w:tcBorders>
              <w:top w:val="single" w:sz="6" w:space="0" w:color="auto"/>
              <w:left w:val="nil"/>
              <w:bottom w:val="nil"/>
              <w:right w:val="nil"/>
            </w:tcBorders>
            <w:hideMark/>
          </w:tcPr>
          <w:p w14:paraId="22C6FCE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Lead Levels</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46E0E6E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Total</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3D074CF0"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Chi square</w:t>
            </w:r>
            <w:r w:rsidRPr="00BA0C04">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5C1F7A4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i/>
                <w:iCs/>
                <w:kern w:val="0"/>
                <w:sz w:val="22"/>
                <w:szCs w:val="22"/>
                <w14:ligatures w14:val="none"/>
              </w:rPr>
              <w:t xml:space="preserve">P </w:t>
            </w:r>
            <w:r w:rsidRPr="00BA0C04">
              <w:rPr>
                <w:rFonts w:ascii="Arial" w:eastAsia="Times New Roman" w:hAnsi="Arial" w:cs="Arial"/>
                <w:b/>
                <w:bCs/>
                <w:kern w:val="0"/>
                <w:sz w:val="22"/>
                <w:szCs w:val="22"/>
                <w14:ligatures w14:val="none"/>
              </w:rPr>
              <w:t>value</w:t>
            </w:r>
            <w:r w:rsidRPr="00BA0C04">
              <w:rPr>
                <w:rFonts w:ascii="Arial" w:eastAsia="Times New Roman" w:hAnsi="Arial" w:cs="Arial"/>
                <w:kern w:val="0"/>
                <w:sz w:val="22"/>
                <w:szCs w:val="22"/>
                <w14:ligatures w14:val="none"/>
              </w:rPr>
              <w:t> </w:t>
            </w:r>
          </w:p>
        </w:tc>
      </w:tr>
      <w:tr w:rsidR="00BA0C04" w:rsidRPr="00BA0C04" w14:paraId="51AD31DE" w14:textId="77777777">
        <w:trPr>
          <w:trHeight w:val="300"/>
        </w:trPr>
        <w:tc>
          <w:tcPr>
            <w:tcW w:w="6270" w:type="dxa"/>
            <w:tcBorders>
              <w:top w:val="nil"/>
              <w:left w:val="nil"/>
              <w:bottom w:val="single" w:sz="6" w:space="0" w:color="auto"/>
              <w:right w:val="nil"/>
            </w:tcBorders>
            <w:hideMark/>
          </w:tcPr>
          <w:p w14:paraId="17E7890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w:t>
            </w:r>
            <w:r w:rsidRPr="00BA0C04">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288048A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&lt;5µg/dl</w:t>
            </w:r>
            <w:r w:rsidRPr="00BA0C04">
              <w:rPr>
                <w:rFonts w:ascii="Arial" w:eastAsia="Times New Roman" w:hAnsi="Arial" w:cs="Arial"/>
                <w:kern w:val="0"/>
                <w:sz w:val="22"/>
                <w:szCs w:val="22"/>
                <w14:ligatures w14:val="none"/>
              </w:rPr>
              <w:t> </w:t>
            </w:r>
          </w:p>
          <w:p w14:paraId="5C6F0AB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proofErr w:type="gramStart"/>
            <w:r w:rsidRPr="00BA0C04">
              <w:rPr>
                <w:rFonts w:ascii="Arial" w:eastAsia="Times New Roman" w:hAnsi="Arial" w:cs="Arial"/>
                <w:b/>
                <w:bCs/>
                <w:kern w:val="0"/>
                <w:sz w:val="22"/>
                <w:szCs w:val="22"/>
                <w14:ligatures w14:val="none"/>
              </w:rPr>
              <w:t>n(</w:t>
            </w:r>
            <w:proofErr w:type="gramEnd"/>
            <w:r w:rsidRPr="00BA0C04">
              <w:rPr>
                <w:rFonts w:ascii="Arial" w:eastAsia="Times New Roman" w:hAnsi="Arial" w:cs="Arial"/>
                <w:b/>
                <w:bCs/>
                <w:kern w:val="0"/>
                <w:sz w:val="22"/>
                <w:szCs w:val="22"/>
                <w14:ligatures w14:val="none"/>
              </w:rPr>
              <w:t>%)</w:t>
            </w:r>
            <w:r w:rsidRPr="00BA0C04">
              <w:rPr>
                <w:rFonts w:ascii="Arial" w:eastAsia="Times New Roman" w:hAnsi="Arial" w:cs="Arial"/>
                <w:kern w:val="0"/>
                <w:sz w:val="22"/>
                <w:szCs w:val="22"/>
                <w14:ligatures w14:val="none"/>
              </w:rPr>
              <w:t> </w:t>
            </w:r>
          </w:p>
        </w:tc>
        <w:tc>
          <w:tcPr>
            <w:tcW w:w="2325" w:type="dxa"/>
            <w:tcBorders>
              <w:top w:val="nil"/>
              <w:left w:val="nil"/>
              <w:bottom w:val="single" w:sz="6" w:space="0" w:color="auto"/>
              <w:right w:val="nil"/>
            </w:tcBorders>
            <w:hideMark/>
          </w:tcPr>
          <w:p w14:paraId="2AFB4AED"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&gt;5µg/dl</w:t>
            </w:r>
            <w:r w:rsidRPr="00BA0C04">
              <w:rPr>
                <w:rFonts w:ascii="Arial" w:eastAsia="Times New Roman" w:hAnsi="Arial" w:cs="Arial"/>
                <w:kern w:val="0"/>
                <w:sz w:val="22"/>
                <w:szCs w:val="22"/>
                <w14:ligatures w14:val="none"/>
              </w:rPr>
              <w:t> </w:t>
            </w:r>
          </w:p>
          <w:p w14:paraId="0576394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proofErr w:type="gramStart"/>
            <w:r w:rsidRPr="00BA0C04">
              <w:rPr>
                <w:rFonts w:ascii="Arial" w:eastAsia="Times New Roman" w:hAnsi="Arial" w:cs="Arial"/>
                <w:b/>
                <w:bCs/>
                <w:kern w:val="0"/>
                <w:sz w:val="22"/>
                <w:szCs w:val="22"/>
                <w14:ligatures w14:val="none"/>
              </w:rPr>
              <w:t>n(</w:t>
            </w:r>
            <w:proofErr w:type="gramEnd"/>
            <w:r w:rsidRPr="00BA0C04">
              <w:rPr>
                <w:rFonts w:ascii="Arial" w:eastAsia="Times New Roman" w:hAnsi="Arial" w:cs="Arial"/>
                <w:b/>
                <w:bCs/>
                <w:kern w:val="0"/>
                <w:sz w:val="22"/>
                <w:szCs w:val="22"/>
                <w14:ligatures w14:val="none"/>
              </w:rPr>
              <w:t>%)</w:t>
            </w:r>
            <w:r w:rsidRPr="00BA0C04">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237FD75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N (%)</w:t>
            </w:r>
            <w:r w:rsidRPr="00BA0C04">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7A76200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w:t>
            </w:r>
            <w:r w:rsidRPr="00BA0C04">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20B8193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w:t>
            </w:r>
            <w:r w:rsidRPr="00BA0C04">
              <w:rPr>
                <w:rFonts w:ascii="Arial" w:eastAsia="Times New Roman" w:hAnsi="Arial" w:cs="Arial"/>
                <w:kern w:val="0"/>
                <w:sz w:val="22"/>
                <w:szCs w:val="22"/>
                <w14:ligatures w14:val="none"/>
              </w:rPr>
              <w:t> </w:t>
            </w:r>
          </w:p>
        </w:tc>
      </w:tr>
      <w:tr w:rsidR="00BA0C04" w:rsidRPr="00BA0C04" w14:paraId="5B1D18CC" w14:textId="77777777">
        <w:trPr>
          <w:trHeight w:val="300"/>
        </w:trPr>
        <w:tc>
          <w:tcPr>
            <w:tcW w:w="6270" w:type="dxa"/>
            <w:tcBorders>
              <w:top w:val="single" w:sz="6" w:space="0" w:color="auto"/>
              <w:left w:val="nil"/>
              <w:bottom w:val="nil"/>
              <w:right w:val="nil"/>
            </w:tcBorders>
            <w:hideMark/>
          </w:tcPr>
          <w:p w14:paraId="7C5F036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w:t>
            </w:r>
            <w:r w:rsidRPr="00BA0C04">
              <w:rPr>
                <w:rFonts w:ascii="Arial" w:eastAsia="Times New Roman" w:hAnsi="Arial" w:cs="Arial"/>
                <w:kern w:val="0"/>
                <w:sz w:val="22"/>
                <w:szCs w:val="22"/>
                <w14:ligatures w14:val="none"/>
              </w:rPr>
              <w:t> </w:t>
            </w:r>
          </w:p>
          <w:p w14:paraId="6411E2D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Source of drinking water</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D37AE38"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7C234D9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7164A35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3CDB732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49DDC00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48228706" w14:textId="77777777">
        <w:trPr>
          <w:trHeight w:val="300"/>
        </w:trPr>
        <w:tc>
          <w:tcPr>
            <w:tcW w:w="6270" w:type="dxa"/>
            <w:tcBorders>
              <w:top w:val="nil"/>
              <w:left w:val="nil"/>
              <w:bottom w:val="nil"/>
              <w:right w:val="nil"/>
            </w:tcBorders>
            <w:hideMark/>
          </w:tcPr>
          <w:p w14:paraId="064D29CC"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Bottled/Sachet </w:t>
            </w:r>
          </w:p>
        </w:tc>
        <w:tc>
          <w:tcPr>
            <w:tcW w:w="2610" w:type="dxa"/>
            <w:tcBorders>
              <w:top w:val="nil"/>
              <w:left w:val="nil"/>
              <w:bottom w:val="nil"/>
              <w:right w:val="nil"/>
            </w:tcBorders>
            <w:hideMark/>
          </w:tcPr>
          <w:p w14:paraId="594928DC"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66B1712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15 (6.4) </w:t>
            </w:r>
          </w:p>
        </w:tc>
        <w:tc>
          <w:tcPr>
            <w:tcW w:w="2610" w:type="dxa"/>
            <w:tcBorders>
              <w:top w:val="nil"/>
              <w:left w:val="nil"/>
              <w:bottom w:val="nil"/>
              <w:right w:val="nil"/>
            </w:tcBorders>
            <w:hideMark/>
          </w:tcPr>
          <w:p w14:paraId="404E372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16 (6.5) </w:t>
            </w:r>
          </w:p>
        </w:tc>
        <w:tc>
          <w:tcPr>
            <w:tcW w:w="2610" w:type="dxa"/>
            <w:tcBorders>
              <w:top w:val="nil"/>
              <w:left w:val="nil"/>
              <w:bottom w:val="nil"/>
              <w:right w:val="nil"/>
            </w:tcBorders>
            <w:hideMark/>
          </w:tcPr>
          <w:p w14:paraId="13A70BD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5.587 </w:t>
            </w:r>
          </w:p>
        </w:tc>
        <w:tc>
          <w:tcPr>
            <w:tcW w:w="2040" w:type="dxa"/>
            <w:tcBorders>
              <w:top w:val="nil"/>
              <w:left w:val="nil"/>
              <w:bottom w:val="nil"/>
              <w:right w:val="nil"/>
            </w:tcBorders>
            <w:hideMark/>
          </w:tcPr>
          <w:p w14:paraId="0A7F13AD"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0.144 </w:t>
            </w:r>
          </w:p>
        </w:tc>
      </w:tr>
      <w:tr w:rsidR="00BA0C04" w:rsidRPr="00BA0C04" w14:paraId="3B6A07E4" w14:textId="77777777">
        <w:trPr>
          <w:trHeight w:val="300"/>
        </w:trPr>
        <w:tc>
          <w:tcPr>
            <w:tcW w:w="6270" w:type="dxa"/>
            <w:tcBorders>
              <w:top w:val="nil"/>
              <w:left w:val="nil"/>
              <w:bottom w:val="nil"/>
              <w:right w:val="nil"/>
            </w:tcBorders>
            <w:hideMark/>
          </w:tcPr>
          <w:p w14:paraId="6FA2CD5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Sachet </w:t>
            </w:r>
          </w:p>
        </w:tc>
        <w:tc>
          <w:tcPr>
            <w:tcW w:w="2610" w:type="dxa"/>
            <w:tcBorders>
              <w:top w:val="nil"/>
              <w:left w:val="nil"/>
              <w:bottom w:val="nil"/>
              <w:right w:val="nil"/>
            </w:tcBorders>
            <w:hideMark/>
          </w:tcPr>
          <w:p w14:paraId="53AC6C7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10 (76.9) </w:t>
            </w:r>
          </w:p>
        </w:tc>
        <w:tc>
          <w:tcPr>
            <w:tcW w:w="2325" w:type="dxa"/>
            <w:tcBorders>
              <w:top w:val="nil"/>
              <w:left w:val="nil"/>
              <w:bottom w:val="nil"/>
              <w:right w:val="nil"/>
            </w:tcBorders>
            <w:hideMark/>
          </w:tcPr>
          <w:p w14:paraId="18CA777D"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209 (89.7) </w:t>
            </w:r>
          </w:p>
        </w:tc>
        <w:tc>
          <w:tcPr>
            <w:tcW w:w="2610" w:type="dxa"/>
            <w:tcBorders>
              <w:top w:val="nil"/>
              <w:left w:val="nil"/>
              <w:bottom w:val="nil"/>
              <w:right w:val="nil"/>
            </w:tcBorders>
            <w:hideMark/>
          </w:tcPr>
          <w:p w14:paraId="2A56B0D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219 (89.0) </w:t>
            </w:r>
          </w:p>
        </w:tc>
        <w:tc>
          <w:tcPr>
            <w:tcW w:w="2610" w:type="dxa"/>
            <w:tcBorders>
              <w:top w:val="nil"/>
              <w:left w:val="nil"/>
              <w:bottom w:val="nil"/>
              <w:right w:val="nil"/>
            </w:tcBorders>
            <w:hideMark/>
          </w:tcPr>
          <w:p w14:paraId="5ACB8F1C"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4E3DFEE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65819EE2" w14:textId="77777777">
        <w:trPr>
          <w:trHeight w:val="300"/>
        </w:trPr>
        <w:tc>
          <w:tcPr>
            <w:tcW w:w="6270" w:type="dxa"/>
            <w:tcBorders>
              <w:top w:val="nil"/>
              <w:left w:val="nil"/>
              <w:bottom w:val="nil"/>
              <w:right w:val="nil"/>
            </w:tcBorders>
            <w:hideMark/>
          </w:tcPr>
          <w:p w14:paraId="6DBD935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Sachet and bottled  </w:t>
            </w:r>
          </w:p>
        </w:tc>
        <w:tc>
          <w:tcPr>
            <w:tcW w:w="2610" w:type="dxa"/>
            <w:tcBorders>
              <w:top w:val="nil"/>
              <w:left w:val="nil"/>
              <w:bottom w:val="nil"/>
              <w:right w:val="nil"/>
            </w:tcBorders>
            <w:hideMark/>
          </w:tcPr>
          <w:p w14:paraId="1CCA3E7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 (15.4) </w:t>
            </w:r>
          </w:p>
        </w:tc>
        <w:tc>
          <w:tcPr>
            <w:tcW w:w="2325" w:type="dxa"/>
            <w:tcBorders>
              <w:top w:val="nil"/>
              <w:left w:val="nil"/>
              <w:bottom w:val="nil"/>
              <w:right w:val="nil"/>
            </w:tcBorders>
            <w:hideMark/>
          </w:tcPr>
          <w:p w14:paraId="15CADDD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8 (3.4) </w:t>
            </w:r>
          </w:p>
        </w:tc>
        <w:tc>
          <w:tcPr>
            <w:tcW w:w="2610" w:type="dxa"/>
            <w:tcBorders>
              <w:top w:val="nil"/>
              <w:left w:val="nil"/>
              <w:bottom w:val="nil"/>
              <w:right w:val="nil"/>
            </w:tcBorders>
            <w:hideMark/>
          </w:tcPr>
          <w:p w14:paraId="22ADDBC0"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10 (4.1) </w:t>
            </w:r>
          </w:p>
        </w:tc>
        <w:tc>
          <w:tcPr>
            <w:tcW w:w="2610" w:type="dxa"/>
            <w:tcBorders>
              <w:top w:val="nil"/>
              <w:left w:val="nil"/>
              <w:bottom w:val="nil"/>
              <w:right w:val="nil"/>
            </w:tcBorders>
            <w:hideMark/>
          </w:tcPr>
          <w:p w14:paraId="02D4094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1B74A8E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746E6711" w14:textId="77777777">
        <w:trPr>
          <w:trHeight w:val="300"/>
        </w:trPr>
        <w:tc>
          <w:tcPr>
            <w:tcW w:w="6270" w:type="dxa"/>
            <w:tcBorders>
              <w:top w:val="nil"/>
              <w:left w:val="nil"/>
              <w:bottom w:val="single" w:sz="6" w:space="0" w:color="auto"/>
              <w:right w:val="nil"/>
            </w:tcBorders>
            <w:hideMark/>
          </w:tcPr>
          <w:p w14:paraId="38B92E9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Sachet/Borehole </w:t>
            </w:r>
          </w:p>
        </w:tc>
        <w:tc>
          <w:tcPr>
            <w:tcW w:w="2610" w:type="dxa"/>
            <w:tcBorders>
              <w:top w:val="nil"/>
              <w:left w:val="nil"/>
              <w:bottom w:val="single" w:sz="6" w:space="0" w:color="auto"/>
              <w:right w:val="nil"/>
            </w:tcBorders>
            <w:hideMark/>
          </w:tcPr>
          <w:p w14:paraId="333C9B8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0 (0.0) </w:t>
            </w:r>
          </w:p>
        </w:tc>
        <w:tc>
          <w:tcPr>
            <w:tcW w:w="2325" w:type="dxa"/>
            <w:tcBorders>
              <w:top w:val="nil"/>
              <w:left w:val="nil"/>
              <w:bottom w:val="single" w:sz="6" w:space="0" w:color="auto"/>
              <w:right w:val="nil"/>
            </w:tcBorders>
            <w:hideMark/>
          </w:tcPr>
          <w:p w14:paraId="3726CFD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 (0.4) </w:t>
            </w:r>
          </w:p>
        </w:tc>
        <w:tc>
          <w:tcPr>
            <w:tcW w:w="2610" w:type="dxa"/>
            <w:tcBorders>
              <w:top w:val="nil"/>
              <w:left w:val="nil"/>
              <w:bottom w:val="single" w:sz="6" w:space="0" w:color="auto"/>
              <w:right w:val="nil"/>
            </w:tcBorders>
            <w:hideMark/>
          </w:tcPr>
          <w:p w14:paraId="66FFA65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 (0.4) </w:t>
            </w:r>
          </w:p>
        </w:tc>
        <w:tc>
          <w:tcPr>
            <w:tcW w:w="2610" w:type="dxa"/>
            <w:tcBorders>
              <w:top w:val="nil"/>
              <w:left w:val="nil"/>
              <w:bottom w:val="single" w:sz="6" w:space="0" w:color="auto"/>
              <w:right w:val="nil"/>
            </w:tcBorders>
            <w:hideMark/>
          </w:tcPr>
          <w:p w14:paraId="789C7B5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2635AE5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300EC3E8" w14:textId="77777777">
        <w:trPr>
          <w:trHeight w:val="300"/>
        </w:trPr>
        <w:tc>
          <w:tcPr>
            <w:tcW w:w="6270" w:type="dxa"/>
            <w:tcBorders>
              <w:top w:val="single" w:sz="6" w:space="0" w:color="auto"/>
              <w:left w:val="nil"/>
              <w:bottom w:val="nil"/>
              <w:right w:val="nil"/>
            </w:tcBorders>
            <w:hideMark/>
          </w:tcPr>
          <w:p w14:paraId="4A74F61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Smoke</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0412384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4A051CA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412858D4"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43E49F0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34B5732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358D156E" w14:textId="77777777">
        <w:trPr>
          <w:trHeight w:val="300"/>
        </w:trPr>
        <w:tc>
          <w:tcPr>
            <w:tcW w:w="6270" w:type="dxa"/>
            <w:tcBorders>
              <w:top w:val="nil"/>
              <w:left w:val="nil"/>
              <w:bottom w:val="nil"/>
              <w:right w:val="nil"/>
            </w:tcBorders>
            <w:hideMark/>
          </w:tcPr>
          <w:p w14:paraId="417E6BF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No </w:t>
            </w:r>
          </w:p>
        </w:tc>
        <w:tc>
          <w:tcPr>
            <w:tcW w:w="2610" w:type="dxa"/>
            <w:tcBorders>
              <w:top w:val="nil"/>
              <w:left w:val="nil"/>
              <w:bottom w:val="nil"/>
              <w:right w:val="nil"/>
            </w:tcBorders>
            <w:hideMark/>
          </w:tcPr>
          <w:p w14:paraId="2A0147B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11 (84.6) </w:t>
            </w:r>
          </w:p>
        </w:tc>
        <w:tc>
          <w:tcPr>
            <w:tcW w:w="2325" w:type="dxa"/>
            <w:tcBorders>
              <w:top w:val="nil"/>
              <w:left w:val="nil"/>
              <w:bottom w:val="nil"/>
              <w:right w:val="nil"/>
            </w:tcBorders>
            <w:hideMark/>
          </w:tcPr>
          <w:p w14:paraId="0E28EE8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226 (97.0) </w:t>
            </w:r>
          </w:p>
        </w:tc>
        <w:tc>
          <w:tcPr>
            <w:tcW w:w="2610" w:type="dxa"/>
            <w:tcBorders>
              <w:top w:val="nil"/>
              <w:left w:val="nil"/>
              <w:bottom w:val="nil"/>
              <w:right w:val="nil"/>
            </w:tcBorders>
            <w:hideMark/>
          </w:tcPr>
          <w:p w14:paraId="53548478"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237 (96.3) </w:t>
            </w:r>
          </w:p>
        </w:tc>
        <w:tc>
          <w:tcPr>
            <w:tcW w:w="2610" w:type="dxa"/>
            <w:tcBorders>
              <w:top w:val="nil"/>
              <w:left w:val="nil"/>
              <w:bottom w:val="nil"/>
              <w:right w:val="nil"/>
            </w:tcBorders>
            <w:hideMark/>
          </w:tcPr>
          <w:p w14:paraId="6C6AC2FD"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5.354 </w:t>
            </w:r>
          </w:p>
        </w:tc>
        <w:tc>
          <w:tcPr>
            <w:tcW w:w="2040" w:type="dxa"/>
            <w:tcBorders>
              <w:top w:val="nil"/>
              <w:left w:val="nil"/>
              <w:bottom w:val="nil"/>
              <w:right w:val="nil"/>
            </w:tcBorders>
            <w:hideMark/>
          </w:tcPr>
          <w:p w14:paraId="56C7441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0.021* </w:t>
            </w:r>
          </w:p>
        </w:tc>
      </w:tr>
      <w:tr w:rsidR="00BA0C04" w:rsidRPr="00BA0C04" w14:paraId="4BB69D1A" w14:textId="77777777">
        <w:trPr>
          <w:trHeight w:val="300"/>
        </w:trPr>
        <w:tc>
          <w:tcPr>
            <w:tcW w:w="6270" w:type="dxa"/>
            <w:tcBorders>
              <w:top w:val="nil"/>
              <w:left w:val="nil"/>
              <w:bottom w:val="single" w:sz="6" w:space="0" w:color="auto"/>
              <w:right w:val="nil"/>
            </w:tcBorders>
            <w:hideMark/>
          </w:tcPr>
          <w:p w14:paraId="007BF15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Yes </w:t>
            </w:r>
          </w:p>
        </w:tc>
        <w:tc>
          <w:tcPr>
            <w:tcW w:w="2610" w:type="dxa"/>
            <w:tcBorders>
              <w:top w:val="nil"/>
              <w:left w:val="nil"/>
              <w:bottom w:val="single" w:sz="6" w:space="0" w:color="auto"/>
              <w:right w:val="nil"/>
            </w:tcBorders>
            <w:hideMark/>
          </w:tcPr>
          <w:p w14:paraId="2DE6119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 (15.4) </w:t>
            </w:r>
          </w:p>
        </w:tc>
        <w:tc>
          <w:tcPr>
            <w:tcW w:w="2325" w:type="dxa"/>
            <w:tcBorders>
              <w:top w:val="nil"/>
              <w:left w:val="nil"/>
              <w:bottom w:val="single" w:sz="6" w:space="0" w:color="auto"/>
              <w:right w:val="nil"/>
            </w:tcBorders>
            <w:hideMark/>
          </w:tcPr>
          <w:p w14:paraId="6E3D7AD0"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7 (3.0) </w:t>
            </w:r>
          </w:p>
        </w:tc>
        <w:tc>
          <w:tcPr>
            <w:tcW w:w="2610" w:type="dxa"/>
            <w:tcBorders>
              <w:top w:val="nil"/>
              <w:left w:val="nil"/>
              <w:bottom w:val="single" w:sz="6" w:space="0" w:color="auto"/>
              <w:right w:val="nil"/>
            </w:tcBorders>
            <w:hideMark/>
          </w:tcPr>
          <w:p w14:paraId="479D624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9 (3.7) </w:t>
            </w:r>
          </w:p>
        </w:tc>
        <w:tc>
          <w:tcPr>
            <w:tcW w:w="2610" w:type="dxa"/>
            <w:tcBorders>
              <w:top w:val="nil"/>
              <w:left w:val="nil"/>
              <w:bottom w:val="single" w:sz="6" w:space="0" w:color="auto"/>
              <w:right w:val="nil"/>
            </w:tcBorders>
            <w:hideMark/>
          </w:tcPr>
          <w:p w14:paraId="7BD1196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1FC7B6A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6FE30C08" w14:textId="77777777">
        <w:trPr>
          <w:trHeight w:val="300"/>
        </w:trPr>
        <w:tc>
          <w:tcPr>
            <w:tcW w:w="6270" w:type="dxa"/>
            <w:tcBorders>
              <w:top w:val="single" w:sz="6" w:space="0" w:color="auto"/>
              <w:left w:val="nil"/>
              <w:bottom w:val="nil"/>
              <w:right w:val="nil"/>
            </w:tcBorders>
            <w:hideMark/>
          </w:tcPr>
          <w:p w14:paraId="37B5BB0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lastRenderedPageBreak/>
              <w:t>Proximity to refuse dump</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51D4A11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65347C8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299AB92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2FBD48FC"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0BA5BA2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4827347D" w14:textId="77777777">
        <w:trPr>
          <w:trHeight w:val="300"/>
        </w:trPr>
        <w:tc>
          <w:tcPr>
            <w:tcW w:w="6270" w:type="dxa"/>
            <w:tcBorders>
              <w:top w:val="nil"/>
              <w:left w:val="nil"/>
              <w:bottom w:val="nil"/>
              <w:right w:val="nil"/>
            </w:tcBorders>
            <w:hideMark/>
          </w:tcPr>
          <w:p w14:paraId="7451930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No </w:t>
            </w:r>
          </w:p>
        </w:tc>
        <w:tc>
          <w:tcPr>
            <w:tcW w:w="2610" w:type="dxa"/>
            <w:tcBorders>
              <w:top w:val="nil"/>
              <w:left w:val="nil"/>
              <w:bottom w:val="nil"/>
              <w:right w:val="nil"/>
            </w:tcBorders>
            <w:hideMark/>
          </w:tcPr>
          <w:p w14:paraId="7881703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12 (92.3) </w:t>
            </w:r>
          </w:p>
        </w:tc>
        <w:tc>
          <w:tcPr>
            <w:tcW w:w="2325" w:type="dxa"/>
            <w:tcBorders>
              <w:top w:val="nil"/>
              <w:left w:val="nil"/>
              <w:bottom w:val="nil"/>
              <w:right w:val="nil"/>
            </w:tcBorders>
            <w:hideMark/>
          </w:tcPr>
          <w:p w14:paraId="18B9F81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210 (90.1) </w:t>
            </w:r>
          </w:p>
        </w:tc>
        <w:tc>
          <w:tcPr>
            <w:tcW w:w="2610" w:type="dxa"/>
            <w:tcBorders>
              <w:top w:val="nil"/>
              <w:left w:val="nil"/>
              <w:bottom w:val="nil"/>
              <w:right w:val="nil"/>
            </w:tcBorders>
            <w:hideMark/>
          </w:tcPr>
          <w:p w14:paraId="31707B8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222 (90.2) </w:t>
            </w:r>
          </w:p>
        </w:tc>
        <w:tc>
          <w:tcPr>
            <w:tcW w:w="2610" w:type="dxa"/>
            <w:tcBorders>
              <w:top w:val="nil"/>
              <w:left w:val="nil"/>
              <w:bottom w:val="nil"/>
              <w:right w:val="nil"/>
            </w:tcBorders>
            <w:hideMark/>
          </w:tcPr>
          <w:p w14:paraId="433FC1B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0.066 </w:t>
            </w:r>
          </w:p>
        </w:tc>
        <w:tc>
          <w:tcPr>
            <w:tcW w:w="2040" w:type="dxa"/>
            <w:tcBorders>
              <w:top w:val="nil"/>
              <w:left w:val="nil"/>
              <w:bottom w:val="nil"/>
              <w:right w:val="nil"/>
            </w:tcBorders>
            <w:hideMark/>
          </w:tcPr>
          <w:p w14:paraId="7FF72A8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1.000 </w:t>
            </w:r>
          </w:p>
        </w:tc>
      </w:tr>
      <w:tr w:rsidR="00BA0C04" w:rsidRPr="00BA0C04" w14:paraId="76E1E01C" w14:textId="77777777">
        <w:trPr>
          <w:trHeight w:val="300"/>
        </w:trPr>
        <w:tc>
          <w:tcPr>
            <w:tcW w:w="6270" w:type="dxa"/>
            <w:tcBorders>
              <w:top w:val="nil"/>
              <w:left w:val="nil"/>
              <w:bottom w:val="single" w:sz="6" w:space="0" w:color="auto"/>
              <w:right w:val="nil"/>
            </w:tcBorders>
            <w:hideMark/>
          </w:tcPr>
          <w:p w14:paraId="2315892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Yes </w:t>
            </w:r>
          </w:p>
        </w:tc>
        <w:tc>
          <w:tcPr>
            <w:tcW w:w="2610" w:type="dxa"/>
            <w:tcBorders>
              <w:top w:val="nil"/>
              <w:left w:val="nil"/>
              <w:bottom w:val="single" w:sz="6" w:space="0" w:color="auto"/>
              <w:right w:val="nil"/>
            </w:tcBorders>
            <w:hideMark/>
          </w:tcPr>
          <w:p w14:paraId="0C3AC28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 (7.7) </w:t>
            </w:r>
          </w:p>
        </w:tc>
        <w:tc>
          <w:tcPr>
            <w:tcW w:w="2325" w:type="dxa"/>
            <w:tcBorders>
              <w:top w:val="nil"/>
              <w:left w:val="nil"/>
              <w:bottom w:val="single" w:sz="6" w:space="0" w:color="auto"/>
              <w:right w:val="nil"/>
            </w:tcBorders>
            <w:hideMark/>
          </w:tcPr>
          <w:p w14:paraId="4544B0F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23 (9.9) </w:t>
            </w:r>
          </w:p>
        </w:tc>
        <w:tc>
          <w:tcPr>
            <w:tcW w:w="2610" w:type="dxa"/>
            <w:tcBorders>
              <w:top w:val="nil"/>
              <w:left w:val="nil"/>
              <w:bottom w:val="single" w:sz="6" w:space="0" w:color="auto"/>
              <w:right w:val="nil"/>
            </w:tcBorders>
            <w:hideMark/>
          </w:tcPr>
          <w:p w14:paraId="774504D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24 (9.8) </w:t>
            </w:r>
          </w:p>
        </w:tc>
        <w:tc>
          <w:tcPr>
            <w:tcW w:w="2610" w:type="dxa"/>
            <w:tcBorders>
              <w:top w:val="nil"/>
              <w:left w:val="nil"/>
              <w:bottom w:val="single" w:sz="6" w:space="0" w:color="auto"/>
              <w:right w:val="nil"/>
            </w:tcBorders>
            <w:hideMark/>
          </w:tcPr>
          <w:p w14:paraId="2DD7662D"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3B779D7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57C15CBC" w14:textId="77777777">
        <w:trPr>
          <w:trHeight w:val="300"/>
        </w:trPr>
        <w:tc>
          <w:tcPr>
            <w:tcW w:w="6270" w:type="dxa"/>
            <w:tcBorders>
              <w:top w:val="single" w:sz="6" w:space="0" w:color="auto"/>
              <w:left w:val="nil"/>
              <w:bottom w:val="nil"/>
              <w:right w:val="nil"/>
            </w:tcBorders>
            <w:hideMark/>
          </w:tcPr>
          <w:p w14:paraId="525F7D3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w:t>
            </w:r>
            <w:r w:rsidRPr="00BA0C04">
              <w:rPr>
                <w:rFonts w:ascii="Arial" w:eastAsia="Times New Roman" w:hAnsi="Arial" w:cs="Arial"/>
                <w:kern w:val="0"/>
                <w:sz w:val="22"/>
                <w:szCs w:val="22"/>
                <w14:ligatures w14:val="none"/>
              </w:rPr>
              <w:t> </w:t>
            </w:r>
          </w:p>
          <w:p w14:paraId="3454A318"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 </w:t>
            </w:r>
            <w:r w:rsidRPr="00BA0C04">
              <w:rPr>
                <w:rFonts w:ascii="Arial" w:eastAsia="Times New Roman" w:hAnsi="Arial" w:cs="Arial"/>
                <w:kern w:val="0"/>
                <w:sz w:val="22"/>
                <w:szCs w:val="22"/>
                <w14:ligatures w14:val="none"/>
              </w:rPr>
              <w:t> </w:t>
            </w:r>
          </w:p>
          <w:p w14:paraId="2E0194F4"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Proximity to paint factory</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0DBC2830"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065E813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72901BA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D80EAF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75C3131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41D1A476" w14:textId="77777777">
        <w:trPr>
          <w:trHeight w:val="300"/>
        </w:trPr>
        <w:tc>
          <w:tcPr>
            <w:tcW w:w="6270" w:type="dxa"/>
            <w:tcBorders>
              <w:top w:val="nil"/>
              <w:left w:val="nil"/>
              <w:bottom w:val="nil"/>
              <w:right w:val="nil"/>
            </w:tcBorders>
            <w:hideMark/>
          </w:tcPr>
          <w:p w14:paraId="300F756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No </w:t>
            </w:r>
          </w:p>
        </w:tc>
        <w:tc>
          <w:tcPr>
            <w:tcW w:w="2610" w:type="dxa"/>
            <w:tcBorders>
              <w:top w:val="nil"/>
              <w:left w:val="nil"/>
              <w:bottom w:val="nil"/>
              <w:right w:val="nil"/>
            </w:tcBorders>
            <w:hideMark/>
          </w:tcPr>
          <w:p w14:paraId="5C18F4B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12 (92.3) </w:t>
            </w:r>
          </w:p>
        </w:tc>
        <w:tc>
          <w:tcPr>
            <w:tcW w:w="2325" w:type="dxa"/>
            <w:tcBorders>
              <w:top w:val="nil"/>
              <w:left w:val="nil"/>
              <w:bottom w:val="nil"/>
              <w:right w:val="nil"/>
            </w:tcBorders>
            <w:hideMark/>
          </w:tcPr>
          <w:p w14:paraId="4470348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223 (95.7) </w:t>
            </w:r>
          </w:p>
        </w:tc>
        <w:tc>
          <w:tcPr>
            <w:tcW w:w="2610" w:type="dxa"/>
            <w:tcBorders>
              <w:top w:val="nil"/>
              <w:left w:val="nil"/>
              <w:bottom w:val="nil"/>
              <w:right w:val="nil"/>
            </w:tcBorders>
            <w:hideMark/>
          </w:tcPr>
          <w:p w14:paraId="1F9C973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235 (95.5) </w:t>
            </w:r>
          </w:p>
        </w:tc>
        <w:tc>
          <w:tcPr>
            <w:tcW w:w="2610" w:type="dxa"/>
            <w:tcBorders>
              <w:top w:val="nil"/>
              <w:left w:val="nil"/>
              <w:bottom w:val="nil"/>
              <w:right w:val="nil"/>
            </w:tcBorders>
            <w:hideMark/>
          </w:tcPr>
          <w:p w14:paraId="5561968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0.333 </w:t>
            </w:r>
          </w:p>
        </w:tc>
        <w:tc>
          <w:tcPr>
            <w:tcW w:w="2040" w:type="dxa"/>
            <w:tcBorders>
              <w:top w:val="nil"/>
              <w:left w:val="nil"/>
              <w:bottom w:val="nil"/>
              <w:right w:val="nil"/>
            </w:tcBorders>
            <w:hideMark/>
          </w:tcPr>
          <w:p w14:paraId="1BD7D34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1.000 </w:t>
            </w:r>
          </w:p>
        </w:tc>
      </w:tr>
      <w:tr w:rsidR="00BA0C04" w:rsidRPr="00BA0C04" w14:paraId="43DC8B82" w14:textId="77777777">
        <w:trPr>
          <w:trHeight w:val="300"/>
        </w:trPr>
        <w:tc>
          <w:tcPr>
            <w:tcW w:w="6270" w:type="dxa"/>
            <w:tcBorders>
              <w:top w:val="nil"/>
              <w:left w:val="nil"/>
              <w:bottom w:val="single" w:sz="6" w:space="0" w:color="auto"/>
              <w:right w:val="nil"/>
            </w:tcBorders>
            <w:hideMark/>
          </w:tcPr>
          <w:p w14:paraId="229F0FE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Yes </w:t>
            </w:r>
          </w:p>
        </w:tc>
        <w:tc>
          <w:tcPr>
            <w:tcW w:w="2610" w:type="dxa"/>
            <w:tcBorders>
              <w:top w:val="nil"/>
              <w:left w:val="nil"/>
              <w:bottom w:val="single" w:sz="6" w:space="0" w:color="auto"/>
              <w:right w:val="nil"/>
            </w:tcBorders>
            <w:hideMark/>
          </w:tcPr>
          <w:p w14:paraId="4B31938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 (7.7) </w:t>
            </w:r>
          </w:p>
        </w:tc>
        <w:tc>
          <w:tcPr>
            <w:tcW w:w="2325" w:type="dxa"/>
            <w:tcBorders>
              <w:top w:val="nil"/>
              <w:left w:val="nil"/>
              <w:bottom w:val="single" w:sz="6" w:space="0" w:color="auto"/>
              <w:right w:val="nil"/>
            </w:tcBorders>
            <w:hideMark/>
          </w:tcPr>
          <w:p w14:paraId="47F5FCA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10 (4.3) </w:t>
            </w:r>
          </w:p>
        </w:tc>
        <w:tc>
          <w:tcPr>
            <w:tcW w:w="2610" w:type="dxa"/>
            <w:tcBorders>
              <w:top w:val="nil"/>
              <w:left w:val="nil"/>
              <w:bottom w:val="single" w:sz="6" w:space="0" w:color="auto"/>
              <w:right w:val="nil"/>
            </w:tcBorders>
            <w:hideMark/>
          </w:tcPr>
          <w:p w14:paraId="42EBA07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11 (4.5) </w:t>
            </w:r>
          </w:p>
        </w:tc>
        <w:tc>
          <w:tcPr>
            <w:tcW w:w="2610" w:type="dxa"/>
            <w:tcBorders>
              <w:top w:val="nil"/>
              <w:left w:val="nil"/>
              <w:bottom w:val="single" w:sz="6" w:space="0" w:color="auto"/>
              <w:right w:val="nil"/>
            </w:tcBorders>
            <w:hideMark/>
          </w:tcPr>
          <w:p w14:paraId="6477B55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5F75C39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09582967" w14:textId="77777777">
        <w:trPr>
          <w:trHeight w:val="300"/>
        </w:trPr>
        <w:tc>
          <w:tcPr>
            <w:tcW w:w="6270" w:type="dxa"/>
            <w:tcBorders>
              <w:top w:val="single" w:sz="6" w:space="0" w:color="auto"/>
              <w:left w:val="nil"/>
              <w:bottom w:val="nil"/>
              <w:right w:val="nil"/>
            </w:tcBorders>
            <w:hideMark/>
          </w:tcPr>
          <w:p w14:paraId="7EE0E16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b/>
                <w:bCs/>
                <w:kern w:val="0"/>
                <w:sz w:val="22"/>
                <w:szCs w:val="22"/>
                <w14:ligatures w14:val="none"/>
              </w:rPr>
              <w:t>Artisanal refining</w:t>
            </w: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14340AD5"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325" w:type="dxa"/>
            <w:tcBorders>
              <w:top w:val="single" w:sz="6" w:space="0" w:color="auto"/>
              <w:left w:val="nil"/>
              <w:bottom w:val="nil"/>
              <w:right w:val="nil"/>
            </w:tcBorders>
            <w:hideMark/>
          </w:tcPr>
          <w:p w14:paraId="2B903BC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57516C0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single" w:sz="6" w:space="0" w:color="auto"/>
              <w:left w:val="nil"/>
              <w:bottom w:val="nil"/>
              <w:right w:val="nil"/>
            </w:tcBorders>
            <w:hideMark/>
          </w:tcPr>
          <w:p w14:paraId="69AA074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single" w:sz="6" w:space="0" w:color="auto"/>
              <w:left w:val="nil"/>
              <w:bottom w:val="nil"/>
              <w:right w:val="nil"/>
            </w:tcBorders>
            <w:hideMark/>
          </w:tcPr>
          <w:p w14:paraId="3AE54A17"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2D3B669E" w14:textId="77777777">
        <w:trPr>
          <w:trHeight w:val="300"/>
        </w:trPr>
        <w:tc>
          <w:tcPr>
            <w:tcW w:w="6270" w:type="dxa"/>
            <w:tcBorders>
              <w:top w:val="nil"/>
              <w:left w:val="nil"/>
              <w:bottom w:val="nil"/>
              <w:right w:val="nil"/>
            </w:tcBorders>
            <w:hideMark/>
          </w:tcPr>
          <w:p w14:paraId="16390E1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No </w:t>
            </w:r>
          </w:p>
        </w:tc>
        <w:tc>
          <w:tcPr>
            <w:tcW w:w="2610" w:type="dxa"/>
            <w:tcBorders>
              <w:top w:val="nil"/>
              <w:left w:val="nil"/>
              <w:bottom w:val="nil"/>
              <w:right w:val="nil"/>
            </w:tcBorders>
            <w:hideMark/>
          </w:tcPr>
          <w:p w14:paraId="25DF432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12 (92.3) </w:t>
            </w:r>
          </w:p>
        </w:tc>
        <w:tc>
          <w:tcPr>
            <w:tcW w:w="2325" w:type="dxa"/>
            <w:tcBorders>
              <w:top w:val="nil"/>
              <w:left w:val="nil"/>
              <w:bottom w:val="nil"/>
              <w:right w:val="nil"/>
            </w:tcBorders>
            <w:hideMark/>
          </w:tcPr>
          <w:p w14:paraId="011F259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229 (98.3) </w:t>
            </w:r>
          </w:p>
        </w:tc>
        <w:tc>
          <w:tcPr>
            <w:tcW w:w="2610" w:type="dxa"/>
            <w:tcBorders>
              <w:top w:val="nil"/>
              <w:left w:val="nil"/>
              <w:bottom w:val="nil"/>
              <w:right w:val="nil"/>
            </w:tcBorders>
            <w:hideMark/>
          </w:tcPr>
          <w:p w14:paraId="22F24BE8"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241 (98.0) </w:t>
            </w:r>
          </w:p>
        </w:tc>
        <w:tc>
          <w:tcPr>
            <w:tcW w:w="2610" w:type="dxa"/>
            <w:tcBorders>
              <w:top w:val="nil"/>
              <w:left w:val="nil"/>
              <w:bottom w:val="nil"/>
              <w:right w:val="nil"/>
            </w:tcBorders>
            <w:hideMark/>
          </w:tcPr>
          <w:p w14:paraId="4456B748"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2.208 </w:t>
            </w:r>
          </w:p>
        </w:tc>
        <w:tc>
          <w:tcPr>
            <w:tcW w:w="2040" w:type="dxa"/>
            <w:tcBorders>
              <w:top w:val="nil"/>
              <w:left w:val="nil"/>
              <w:bottom w:val="nil"/>
              <w:right w:val="nil"/>
            </w:tcBorders>
            <w:hideMark/>
          </w:tcPr>
          <w:p w14:paraId="4DC22CB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0.137 </w:t>
            </w:r>
          </w:p>
        </w:tc>
      </w:tr>
      <w:tr w:rsidR="00BA0C04" w:rsidRPr="00BA0C04" w14:paraId="230CF929" w14:textId="77777777">
        <w:trPr>
          <w:trHeight w:val="300"/>
        </w:trPr>
        <w:tc>
          <w:tcPr>
            <w:tcW w:w="6270" w:type="dxa"/>
            <w:tcBorders>
              <w:top w:val="nil"/>
              <w:left w:val="nil"/>
              <w:bottom w:val="nil"/>
              <w:right w:val="nil"/>
            </w:tcBorders>
            <w:hideMark/>
          </w:tcPr>
          <w:p w14:paraId="5ADC7CF6"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Yes </w:t>
            </w:r>
          </w:p>
        </w:tc>
        <w:tc>
          <w:tcPr>
            <w:tcW w:w="2610" w:type="dxa"/>
            <w:tcBorders>
              <w:top w:val="nil"/>
              <w:left w:val="nil"/>
              <w:bottom w:val="nil"/>
              <w:right w:val="nil"/>
            </w:tcBorders>
            <w:hideMark/>
          </w:tcPr>
          <w:p w14:paraId="57B2C0BC"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1 (7.7) </w:t>
            </w:r>
          </w:p>
        </w:tc>
        <w:tc>
          <w:tcPr>
            <w:tcW w:w="2325" w:type="dxa"/>
            <w:tcBorders>
              <w:top w:val="nil"/>
              <w:left w:val="nil"/>
              <w:bottom w:val="nil"/>
              <w:right w:val="nil"/>
            </w:tcBorders>
            <w:hideMark/>
          </w:tcPr>
          <w:p w14:paraId="7F98BE31"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4 (1.7) </w:t>
            </w:r>
          </w:p>
        </w:tc>
        <w:tc>
          <w:tcPr>
            <w:tcW w:w="2610" w:type="dxa"/>
            <w:tcBorders>
              <w:top w:val="nil"/>
              <w:left w:val="nil"/>
              <w:bottom w:val="nil"/>
              <w:right w:val="nil"/>
            </w:tcBorders>
            <w:hideMark/>
          </w:tcPr>
          <w:p w14:paraId="21C54C19"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5 (2.0) </w:t>
            </w:r>
          </w:p>
        </w:tc>
        <w:tc>
          <w:tcPr>
            <w:tcW w:w="2610" w:type="dxa"/>
            <w:tcBorders>
              <w:top w:val="nil"/>
              <w:left w:val="nil"/>
              <w:bottom w:val="nil"/>
              <w:right w:val="nil"/>
            </w:tcBorders>
            <w:hideMark/>
          </w:tcPr>
          <w:p w14:paraId="29051CF2"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nil"/>
              <w:right w:val="nil"/>
            </w:tcBorders>
            <w:hideMark/>
          </w:tcPr>
          <w:p w14:paraId="44343CCA"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r w:rsidR="00BA0C04" w:rsidRPr="00BA0C04" w14:paraId="7D79B3C7" w14:textId="77777777">
        <w:trPr>
          <w:trHeight w:val="300"/>
        </w:trPr>
        <w:tc>
          <w:tcPr>
            <w:tcW w:w="6270" w:type="dxa"/>
            <w:tcBorders>
              <w:top w:val="nil"/>
              <w:left w:val="nil"/>
              <w:bottom w:val="single" w:sz="6" w:space="0" w:color="auto"/>
              <w:right w:val="nil"/>
            </w:tcBorders>
            <w:hideMark/>
          </w:tcPr>
          <w:p w14:paraId="43BF6353"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2052414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325" w:type="dxa"/>
            <w:tcBorders>
              <w:top w:val="nil"/>
              <w:left w:val="nil"/>
              <w:bottom w:val="single" w:sz="6" w:space="0" w:color="auto"/>
              <w:right w:val="nil"/>
            </w:tcBorders>
            <w:hideMark/>
          </w:tcPr>
          <w:p w14:paraId="0E9FA16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1D00C1DE"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610" w:type="dxa"/>
            <w:tcBorders>
              <w:top w:val="nil"/>
              <w:left w:val="nil"/>
              <w:bottom w:val="single" w:sz="6" w:space="0" w:color="auto"/>
              <w:right w:val="nil"/>
            </w:tcBorders>
            <w:hideMark/>
          </w:tcPr>
          <w:p w14:paraId="411A315F"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c>
          <w:tcPr>
            <w:tcW w:w="2040" w:type="dxa"/>
            <w:tcBorders>
              <w:top w:val="nil"/>
              <w:left w:val="nil"/>
              <w:bottom w:val="single" w:sz="6" w:space="0" w:color="auto"/>
              <w:right w:val="nil"/>
            </w:tcBorders>
            <w:hideMark/>
          </w:tcPr>
          <w:p w14:paraId="24E4ED8B" w14:textId="77777777" w:rsidR="00BA0C04" w:rsidRPr="00BA0C04" w:rsidRDefault="00BA0C04" w:rsidP="00BA0C04">
            <w:pPr>
              <w:spacing w:after="0" w:line="240" w:lineRule="auto"/>
              <w:jc w:val="both"/>
              <w:textAlignment w:val="baseline"/>
              <w:rPr>
                <w:rFonts w:ascii="Times New Roman" w:eastAsia="Times New Roman" w:hAnsi="Times New Roman" w:cs="Times New Roman"/>
                <w:kern w:val="0"/>
                <w14:ligatures w14:val="none"/>
              </w:rPr>
            </w:pPr>
            <w:r w:rsidRPr="00BA0C04">
              <w:rPr>
                <w:rFonts w:ascii="Arial" w:eastAsia="Times New Roman" w:hAnsi="Arial" w:cs="Arial"/>
                <w:kern w:val="0"/>
                <w:sz w:val="22"/>
                <w:szCs w:val="22"/>
                <w14:ligatures w14:val="none"/>
              </w:rPr>
              <w:t>  </w:t>
            </w:r>
          </w:p>
        </w:tc>
      </w:tr>
    </w:tbl>
    <w:p w14:paraId="6F9B7173" w14:textId="77777777" w:rsidR="000965A6" w:rsidRDefault="000965A6"/>
    <w:p w14:paraId="05654D29"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eop"/>
          <w:rFonts w:ascii="Arial" w:eastAsiaTheme="majorEastAsia" w:hAnsi="Arial" w:cs="Arial"/>
          <w:sz w:val="20"/>
          <w:szCs w:val="20"/>
        </w:rPr>
        <w:t> </w:t>
      </w:r>
    </w:p>
    <w:p w14:paraId="1A4DDEB6"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b/>
          <w:bCs/>
          <w:caps/>
          <w:sz w:val="22"/>
          <w:szCs w:val="22"/>
        </w:rPr>
        <w:t xml:space="preserve">4. Discussion </w:t>
      </w:r>
      <w:r>
        <w:rPr>
          <w:rStyle w:val="eop"/>
          <w:rFonts w:ascii="Arial" w:eastAsiaTheme="majorEastAsia" w:hAnsi="Arial" w:cs="Arial"/>
          <w:b/>
          <w:bCs/>
          <w:caps/>
          <w:sz w:val="22"/>
          <w:szCs w:val="22"/>
        </w:rPr>
        <w:t> </w:t>
      </w:r>
    </w:p>
    <w:p w14:paraId="3865A42A"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2"/>
          <w:szCs w:val="22"/>
        </w:rPr>
        <w:t> </w:t>
      </w:r>
    </w:p>
    <w:p w14:paraId="2E57B401" w14:textId="0DE503AA"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Blood Lead values (BLL) not higher than 3.5</w:t>
      </w:r>
      <w:r w:rsidR="00D71148">
        <w:rPr>
          <w:rStyle w:val="normaltextrun"/>
          <w:rFonts w:ascii="Arial" w:eastAsiaTheme="majorEastAsia" w:hAnsi="Arial" w:cs="Arial"/>
          <w:sz w:val="20"/>
          <w:szCs w:val="20"/>
        </w:rPr>
        <w:t>µ</w:t>
      </w:r>
      <w:r>
        <w:rPr>
          <w:rStyle w:val="normaltextrun"/>
          <w:rFonts w:ascii="Arial" w:eastAsiaTheme="majorEastAsia" w:hAnsi="Arial" w:cs="Arial"/>
          <w:sz w:val="20"/>
          <w:szCs w:val="20"/>
        </w:rPr>
        <w:t>g/d</w:t>
      </w:r>
      <w:r w:rsidR="00482A0C">
        <w:rPr>
          <w:rStyle w:val="normaltextrun"/>
          <w:rFonts w:ascii="Arial" w:eastAsiaTheme="majorEastAsia" w:hAnsi="Arial" w:cs="Arial"/>
          <w:sz w:val="20"/>
          <w:szCs w:val="20"/>
        </w:rPr>
        <w:t>l</w:t>
      </w:r>
      <w:r>
        <w:rPr>
          <w:rStyle w:val="normaltextrun"/>
          <w:rFonts w:ascii="Arial" w:eastAsiaTheme="majorEastAsia" w:hAnsi="Arial" w:cs="Arial"/>
          <w:sz w:val="20"/>
          <w:szCs w:val="20"/>
        </w:rPr>
        <w:t xml:space="preserve"> is what is accepted as normal per CDC standards; the WHO and the agency for toxic substances and disease registry (ATSDR) recommend that normal BLL values should not be greater than 5</w:t>
      </w:r>
      <w:r w:rsidR="00D71148">
        <w:rPr>
          <w:rStyle w:val="normaltextrun"/>
          <w:rFonts w:ascii="Arial" w:eastAsiaTheme="majorEastAsia" w:hAnsi="Arial" w:cs="Arial"/>
          <w:sz w:val="20"/>
          <w:szCs w:val="20"/>
        </w:rPr>
        <w:t>µ</w:t>
      </w:r>
      <w:r>
        <w:rPr>
          <w:rStyle w:val="normaltextrun"/>
          <w:rFonts w:ascii="Arial" w:eastAsiaTheme="majorEastAsia" w:hAnsi="Arial" w:cs="Arial"/>
          <w:sz w:val="20"/>
          <w:szCs w:val="20"/>
        </w:rPr>
        <w:t>g/d</w:t>
      </w:r>
      <w:r w:rsidR="00482A0C">
        <w:rPr>
          <w:rStyle w:val="normaltextrun"/>
          <w:rFonts w:ascii="Arial" w:eastAsiaTheme="majorEastAsia" w:hAnsi="Arial" w:cs="Arial"/>
          <w:sz w:val="20"/>
          <w:szCs w:val="20"/>
        </w:rPr>
        <w:t>l</w:t>
      </w:r>
      <w:r>
        <w:rPr>
          <w:rStyle w:val="normaltextrun"/>
          <w:rFonts w:ascii="Arial" w:eastAsiaTheme="majorEastAsia" w:hAnsi="Arial" w:cs="Arial"/>
          <w:sz w:val="20"/>
          <w:szCs w:val="20"/>
        </w:rPr>
        <w:t xml:space="preserve"> as higher values have been associated with lead toxicity, especially in vulnerable populations. Based on the recommendation of these regulatory agencies, this study found the mean BLL among blood donors in the UPTH blood bank is 35.94±19.09</w:t>
      </w:r>
      <w:r w:rsidR="00464AA8">
        <w:rPr>
          <w:rStyle w:val="normaltextrun"/>
          <w:rFonts w:ascii="Arial" w:eastAsiaTheme="majorEastAsia" w:hAnsi="Arial" w:cs="Arial"/>
          <w:sz w:val="20"/>
          <w:szCs w:val="20"/>
        </w:rPr>
        <w:t>µ</w:t>
      </w:r>
      <w:r>
        <w:rPr>
          <w:rStyle w:val="normaltextrun"/>
          <w:rFonts w:ascii="Arial" w:eastAsiaTheme="majorEastAsia" w:hAnsi="Arial" w:cs="Arial"/>
          <w:sz w:val="20"/>
          <w:szCs w:val="20"/>
        </w:rPr>
        <w:t>g/d</w:t>
      </w:r>
      <w:r w:rsidR="00464AA8">
        <w:rPr>
          <w:rStyle w:val="normaltextrun"/>
          <w:rFonts w:ascii="Arial" w:eastAsiaTheme="majorEastAsia" w:hAnsi="Arial" w:cs="Arial"/>
          <w:sz w:val="20"/>
          <w:szCs w:val="20"/>
        </w:rPr>
        <w:t>l</w:t>
      </w:r>
      <w:r>
        <w:rPr>
          <w:rStyle w:val="normaltextrun"/>
          <w:rFonts w:ascii="Arial" w:eastAsiaTheme="majorEastAsia" w:hAnsi="Arial" w:cs="Arial"/>
          <w:sz w:val="20"/>
          <w:szCs w:val="20"/>
        </w:rPr>
        <w:t xml:space="preserve"> and a median value of 32</w:t>
      </w:r>
      <w:r w:rsidR="00BB63BF">
        <w:rPr>
          <w:rStyle w:val="normaltextrun"/>
          <w:rFonts w:ascii="Arial" w:eastAsiaTheme="majorEastAsia" w:hAnsi="Arial" w:cs="Arial"/>
          <w:sz w:val="20"/>
          <w:szCs w:val="20"/>
        </w:rPr>
        <w:t>µ</w:t>
      </w:r>
      <w:r>
        <w:rPr>
          <w:rStyle w:val="normaltextrun"/>
          <w:rFonts w:ascii="Arial" w:eastAsiaTheme="majorEastAsia" w:hAnsi="Arial" w:cs="Arial"/>
          <w:sz w:val="20"/>
          <w:szCs w:val="20"/>
        </w:rPr>
        <w:t>g/d</w:t>
      </w:r>
      <w:r w:rsidR="00BB63BF">
        <w:rPr>
          <w:rStyle w:val="normaltextrun"/>
          <w:rFonts w:ascii="Arial" w:eastAsiaTheme="majorEastAsia" w:hAnsi="Arial" w:cs="Arial"/>
          <w:sz w:val="20"/>
          <w:szCs w:val="20"/>
        </w:rPr>
        <w:t>l</w:t>
      </w:r>
      <w:r>
        <w:rPr>
          <w:rStyle w:val="normaltextrun"/>
          <w:rFonts w:ascii="Arial" w:eastAsiaTheme="majorEastAsia" w:hAnsi="Arial" w:cs="Arial"/>
          <w:sz w:val="20"/>
          <w:szCs w:val="20"/>
        </w:rPr>
        <w:t>. This is significantly higher than the maximum permissible level of 5</w:t>
      </w:r>
      <w:r w:rsidR="00D2253F">
        <w:rPr>
          <w:rStyle w:val="normaltextrun"/>
          <w:rFonts w:ascii="Arial" w:eastAsiaTheme="majorEastAsia" w:hAnsi="Arial" w:cs="Arial"/>
          <w:color w:val="000000"/>
          <w:sz w:val="20"/>
          <w:szCs w:val="20"/>
        </w:rPr>
        <w:t xml:space="preserve">µg/dl </w:t>
      </w:r>
      <w:r>
        <w:rPr>
          <w:rStyle w:val="normaltextrun"/>
          <w:rFonts w:ascii="Arial" w:eastAsiaTheme="majorEastAsia" w:hAnsi="Arial" w:cs="Arial"/>
          <w:sz w:val="20"/>
          <w:szCs w:val="20"/>
        </w:rPr>
        <w:t>above which toxicity is likely.</w:t>
      </w:r>
      <w:r>
        <w:rPr>
          <w:rStyle w:val="eop"/>
          <w:rFonts w:ascii="Arial" w:eastAsiaTheme="majorEastAsia" w:hAnsi="Arial" w:cs="Arial"/>
          <w:sz w:val="20"/>
          <w:szCs w:val="20"/>
        </w:rPr>
        <w:t> </w:t>
      </w:r>
    </w:p>
    <w:p w14:paraId="75A14E8C" w14:textId="244F1B2D"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The mean BLL of donors of 35.94±19.09</w:t>
      </w:r>
      <w:r w:rsidR="00464AA8" w:rsidRPr="00464AA8">
        <w:rPr>
          <w:rFonts w:ascii="Arial" w:eastAsiaTheme="majorEastAsia" w:hAnsi="Arial" w:cs="Arial"/>
          <w:sz w:val="20"/>
          <w:szCs w:val="20"/>
        </w:rPr>
        <w:t>µg/dl</w:t>
      </w:r>
      <w:r>
        <w:rPr>
          <w:rStyle w:val="normaltextrun"/>
          <w:rFonts w:ascii="Arial" w:eastAsiaTheme="majorEastAsia" w:hAnsi="Arial" w:cs="Arial"/>
          <w:sz w:val="20"/>
          <w:szCs w:val="20"/>
        </w:rPr>
        <w:t xml:space="preserve"> in this study is close to the value of </w:t>
      </w:r>
      <w:r>
        <w:rPr>
          <w:rStyle w:val="normaltextrun"/>
          <w:rFonts w:ascii="Arial" w:eastAsiaTheme="majorEastAsia" w:hAnsi="Arial" w:cs="Arial"/>
          <w:color w:val="000000"/>
          <w:sz w:val="20"/>
          <w:szCs w:val="20"/>
        </w:rPr>
        <w:t>41.40±2.83</w:t>
      </w:r>
      <w:bookmarkStart w:id="1" w:name="_Hlk206839266"/>
      <w:r w:rsidR="00464AA8">
        <w:rPr>
          <w:rStyle w:val="normaltextrun"/>
          <w:rFonts w:ascii="Arial" w:eastAsiaTheme="majorEastAsia" w:hAnsi="Arial" w:cs="Arial"/>
          <w:color w:val="000000"/>
          <w:sz w:val="20"/>
          <w:szCs w:val="20"/>
        </w:rPr>
        <w:t>µ</w:t>
      </w:r>
      <w:r>
        <w:rPr>
          <w:rStyle w:val="normaltextrun"/>
          <w:rFonts w:ascii="Arial" w:eastAsiaTheme="majorEastAsia" w:hAnsi="Arial" w:cs="Arial"/>
          <w:color w:val="000000"/>
          <w:sz w:val="20"/>
          <w:szCs w:val="20"/>
        </w:rPr>
        <w:t xml:space="preserve">g/dl </w:t>
      </w:r>
      <w:bookmarkEnd w:id="1"/>
      <w:r>
        <w:rPr>
          <w:rStyle w:val="normaltextrun"/>
          <w:rFonts w:ascii="Arial" w:eastAsiaTheme="majorEastAsia" w:hAnsi="Arial" w:cs="Arial"/>
          <w:color w:val="000000"/>
          <w:sz w:val="20"/>
          <w:szCs w:val="20"/>
        </w:rPr>
        <w:t xml:space="preserve">reported for the control population in a study conducted in Port Harcourt by </w:t>
      </w:r>
      <w:proofErr w:type="spellStart"/>
      <w:r>
        <w:rPr>
          <w:rStyle w:val="normaltextrun"/>
          <w:rFonts w:ascii="Arial" w:eastAsiaTheme="majorEastAsia" w:hAnsi="Arial" w:cs="Arial"/>
          <w:color w:val="000000"/>
          <w:sz w:val="20"/>
          <w:szCs w:val="20"/>
        </w:rPr>
        <w:t>Alasia</w:t>
      </w:r>
      <w:proofErr w:type="spellEnd"/>
      <w:r>
        <w:rPr>
          <w:rStyle w:val="normaltextrun"/>
          <w:rFonts w:ascii="Arial" w:eastAsiaTheme="majorEastAsia" w:hAnsi="Arial" w:cs="Arial"/>
          <w:color w:val="000000"/>
          <w:sz w:val="20"/>
          <w:szCs w:val="20"/>
        </w:rPr>
        <w:t xml:space="preserve"> &amp; </w:t>
      </w:r>
      <w:proofErr w:type="spellStart"/>
      <w:r>
        <w:rPr>
          <w:rStyle w:val="normaltextrun"/>
          <w:rFonts w:ascii="Arial" w:eastAsiaTheme="majorEastAsia" w:hAnsi="Arial" w:cs="Arial"/>
          <w:color w:val="000000"/>
          <w:sz w:val="20"/>
          <w:szCs w:val="20"/>
        </w:rPr>
        <w:t>Iyagba</w:t>
      </w:r>
      <w:proofErr w:type="spellEnd"/>
      <w:r>
        <w:rPr>
          <w:rStyle w:val="normaltextrun"/>
          <w:rFonts w:ascii="Arial" w:eastAsiaTheme="majorEastAsia" w:hAnsi="Arial" w:cs="Arial"/>
          <w:color w:val="000000"/>
          <w:sz w:val="20"/>
          <w:szCs w:val="20"/>
        </w:rPr>
        <w:t>, 2019, in which they compared the BLLs in those who were occupationally exposed and those who were non-exposed.</w:t>
      </w:r>
      <w:r>
        <w:rPr>
          <w:rStyle w:val="normaltextrun"/>
          <w:rFonts w:ascii="Arial" w:eastAsiaTheme="majorEastAsia" w:hAnsi="Arial" w:cs="Arial"/>
          <w:sz w:val="20"/>
          <w:szCs w:val="20"/>
        </w:rPr>
        <w:t xml:space="preserve"> </w:t>
      </w:r>
      <w:r>
        <w:rPr>
          <w:rStyle w:val="normaltextrun"/>
          <w:rFonts w:ascii="Arial" w:eastAsiaTheme="majorEastAsia" w:hAnsi="Arial" w:cs="Arial"/>
          <w:color w:val="000000"/>
          <w:sz w:val="20"/>
          <w:szCs w:val="20"/>
        </w:rPr>
        <w:t xml:space="preserve">This trend seems to be the reverse for populations in the South Eastern parts of the country where a mean BLL of </w:t>
      </w:r>
      <w:r>
        <w:rPr>
          <w:rStyle w:val="normaltextrun"/>
          <w:rFonts w:ascii="Arial" w:eastAsiaTheme="majorEastAsia" w:hAnsi="Arial" w:cs="Arial"/>
          <w:sz w:val="20"/>
          <w:szCs w:val="20"/>
        </w:rPr>
        <w:t>35.94±19.09</w:t>
      </w:r>
      <w:r w:rsidR="00681E5C">
        <w:rPr>
          <w:rStyle w:val="normaltextrun"/>
          <w:rFonts w:ascii="Arial" w:eastAsiaTheme="majorEastAsia" w:hAnsi="Arial" w:cs="Arial"/>
          <w:color w:val="000000"/>
          <w:sz w:val="20"/>
          <w:szCs w:val="20"/>
        </w:rPr>
        <w:t>µg/dl</w:t>
      </w:r>
      <w:r>
        <w:rPr>
          <w:rStyle w:val="normaltextrun"/>
          <w:rFonts w:ascii="Arial" w:eastAsiaTheme="majorEastAsia" w:hAnsi="Arial" w:cs="Arial"/>
          <w:sz w:val="20"/>
          <w:szCs w:val="20"/>
        </w:rPr>
        <w:t xml:space="preserve"> is</w:t>
      </w:r>
      <w:r>
        <w:rPr>
          <w:rStyle w:val="normaltextrun"/>
          <w:rFonts w:ascii="Arial" w:eastAsiaTheme="majorEastAsia" w:hAnsi="Arial" w:cs="Arial"/>
          <w:color w:val="000000"/>
          <w:sz w:val="20"/>
          <w:szCs w:val="20"/>
        </w:rPr>
        <w:t xml:space="preserve"> closer to BLLs for those who are occupationally exposed to lead rather than those who are non-exposed (Ibeh et al, 2016); in fact, this value obtained in index study is even higher than the mean levels for populations who had exposure to lead in another part of the South-East (</w:t>
      </w:r>
      <w:proofErr w:type="spellStart"/>
      <w:r>
        <w:rPr>
          <w:rStyle w:val="normaltextrun"/>
          <w:rFonts w:ascii="Arial" w:eastAsiaTheme="majorEastAsia" w:hAnsi="Arial" w:cs="Arial"/>
          <w:color w:val="000000"/>
          <w:sz w:val="20"/>
          <w:szCs w:val="20"/>
        </w:rPr>
        <w:t>Okpogba</w:t>
      </w:r>
      <w:proofErr w:type="spellEnd"/>
      <w:r>
        <w:rPr>
          <w:rStyle w:val="normaltextrun"/>
          <w:rFonts w:ascii="Arial" w:eastAsiaTheme="majorEastAsia" w:hAnsi="Arial" w:cs="Arial"/>
          <w:color w:val="000000"/>
          <w:sz w:val="20"/>
          <w:szCs w:val="20"/>
        </w:rPr>
        <w:t xml:space="preserve"> et al, 2020) which shows that the lead exposure is quite small in these parts of the country. Along the same line, the mean BLL obtained in the index study is also different from those which were obtained in Abuja, North Central Nigeria, in which the mean BLLs in occupationally non-exposed people were only slightly higher than 10ug/dL. (Alli, LA. 2015)</w:t>
      </w:r>
      <w:r>
        <w:rPr>
          <w:rStyle w:val="normaltextrun"/>
          <w:rFonts w:ascii="Arial" w:eastAsiaTheme="majorEastAsia" w:hAnsi="Arial" w:cs="Arial"/>
          <w:sz w:val="20"/>
          <w:szCs w:val="20"/>
        </w:rPr>
        <w:t xml:space="preserve"> In the Northwest state of Zamfara, very high levels of blood lead have been reported, especially in children; </w:t>
      </w:r>
      <w:proofErr w:type="spellStart"/>
      <w:r>
        <w:rPr>
          <w:rStyle w:val="normaltextrun"/>
          <w:rFonts w:ascii="Arial" w:eastAsiaTheme="majorEastAsia" w:hAnsi="Arial" w:cs="Arial"/>
          <w:sz w:val="20"/>
          <w:szCs w:val="20"/>
        </w:rPr>
        <w:t>Ajumobi</w:t>
      </w:r>
      <w:proofErr w:type="spellEnd"/>
      <w:r>
        <w:rPr>
          <w:rStyle w:val="normaltextrun"/>
          <w:rFonts w:ascii="Arial" w:eastAsiaTheme="majorEastAsia" w:hAnsi="Arial" w:cs="Arial"/>
          <w:sz w:val="20"/>
          <w:szCs w:val="20"/>
        </w:rPr>
        <w:t xml:space="preserve"> et al., 2014 captured this astronomically high blood lead when they conducted a study among under-5 children in the village of </w:t>
      </w:r>
      <w:proofErr w:type="spellStart"/>
      <w:r>
        <w:rPr>
          <w:rStyle w:val="normaltextrun"/>
          <w:rFonts w:ascii="Arial" w:eastAsiaTheme="majorEastAsia" w:hAnsi="Arial" w:cs="Arial"/>
          <w:sz w:val="20"/>
          <w:szCs w:val="20"/>
        </w:rPr>
        <w:t>Bagega</w:t>
      </w:r>
      <w:proofErr w:type="spellEnd"/>
      <w:r>
        <w:rPr>
          <w:rStyle w:val="normaltextrun"/>
          <w:rFonts w:ascii="Arial" w:eastAsiaTheme="majorEastAsia" w:hAnsi="Arial" w:cs="Arial"/>
          <w:sz w:val="20"/>
          <w:szCs w:val="20"/>
        </w:rPr>
        <w:t>. Their findings were median BLL of 71</w:t>
      </w:r>
      <w:r w:rsidR="00345559">
        <w:rPr>
          <w:rStyle w:val="normaltextrun"/>
          <w:rFonts w:ascii="Arial" w:eastAsiaTheme="majorEastAsia" w:hAnsi="Arial" w:cs="Arial"/>
          <w:color w:val="000000"/>
          <w:sz w:val="20"/>
          <w:szCs w:val="20"/>
        </w:rPr>
        <w:t>µg/dl</w:t>
      </w:r>
      <w:r>
        <w:rPr>
          <w:rStyle w:val="normaltextrun"/>
          <w:rFonts w:ascii="Arial" w:eastAsiaTheme="majorEastAsia" w:hAnsi="Arial" w:cs="Arial"/>
          <w:sz w:val="20"/>
          <w:szCs w:val="20"/>
        </w:rPr>
        <w:t xml:space="preserve"> in these children, which is more than twice the median BLL of 32</w:t>
      </w:r>
      <w:r w:rsidR="00345559">
        <w:rPr>
          <w:rStyle w:val="normaltextrun"/>
          <w:rFonts w:ascii="Arial" w:eastAsiaTheme="majorEastAsia" w:hAnsi="Arial" w:cs="Arial"/>
          <w:color w:val="000000"/>
          <w:sz w:val="20"/>
          <w:szCs w:val="20"/>
        </w:rPr>
        <w:t>µg/dl</w:t>
      </w:r>
      <w:r>
        <w:rPr>
          <w:rStyle w:val="normaltextrun"/>
          <w:rFonts w:ascii="Arial" w:eastAsiaTheme="majorEastAsia" w:hAnsi="Arial" w:cs="Arial"/>
          <w:sz w:val="20"/>
          <w:szCs w:val="20"/>
        </w:rPr>
        <w:t xml:space="preserve"> obtained in this study of blood donors in UPTH; the contributors to this higher median blood level in the children are likely to be the pervasive artisanal mining activities which are prevalent in Zamfara State, in addition to the fact that children have the habit of putting things in their mouths and are more likely to play in soil so that the chances of ingestion and absorption of lead via the skin is higher. And though the values obtained from children in Zamfara are double that obtained in the index study, it is clear that the BLL tend to be higher in parts of the country in which there is increased artisanal refining and industrial activities with the attendant risk of environmental pollution.</w:t>
      </w:r>
      <w:r>
        <w:rPr>
          <w:rStyle w:val="eop"/>
          <w:rFonts w:ascii="Arial" w:eastAsiaTheme="majorEastAsia" w:hAnsi="Arial" w:cs="Arial"/>
          <w:sz w:val="20"/>
          <w:szCs w:val="20"/>
        </w:rPr>
        <w:t> </w:t>
      </w:r>
    </w:p>
    <w:p w14:paraId="484F35F0"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 xml:space="preserve">All donors (100%) recruited into the study were males, a reflection of the fact that globally and locally, males donate more than do females. The WHO has estimated that about 33% of donors are females; (WHO 2022) though this percentage varies significantly among different countries, it is closer to donation rates in countries within Europe, with a few countries in Europe seeing female blood donation rates as high as 50%. (Bani &amp; Giussani 2010)  In a survey conducted among about 30,000 respondents in the US to ascertain those who donated blood in the previous year, it was identified that about 5% of the surveyed population had donated blood the year before, of which males were only slightly higher at a percentage of 6.3% vs 5.1% (Patel et al. 2019) This significant percentage of female participation in blood donation is not the experience in Nigeria, and indeed other countries with poor healthcare situation. In economically advanced countries, voluntary non-remunerated donors make up over 90% of donors (while the overwhelming percentage of those who donate in low-income countries do so either because they are family or they are paid to donate or both. (Allain et al, 2012) </w:t>
      </w:r>
      <w:proofErr w:type="spellStart"/>
      <w:r>
        <w:rPr>
          <w:rStyle w:val="normaltextrun"/>
          <w:rFonts w:ascii="Arial" w:eastAsiaTheme="majorEastAsia" w:hAnsi="Arial" w:cs="Arial"/>
          <w:sz w:val="20"/>
          <w:szCs w:val="20"/>
        </w:rPr>
        <w:t>Erhabor</w:t>
      </w:r>
      <w:proofErr w:type="spellEnd"/>
      <w:r>
        <w:rPr>
          <w:rStyle w:val="normaltextrun"/>
          <w:rFonts w:ascii="Arial" w:eastAsiaTheme="majorEastAsia" w:hAnsi="Arial" w:cs="Arial"/>
          <w:sz w:val="20"/>
          <w:szCs w:val="20"/>
        </w:rPr>
        <w:t xml:space="preserve"> et al., in 2014 </w:t>
      </w:r>
      <w:r>
        <w:rPr>
          <w:rStyle w:val="normaltextrun"/>
          <w:rFonts w:ascii="Arial" w:eastAsiaTheme="majorEastAsia" w:hAnsi="Arial" w:cs="Arial"/>
          <w:sz w:val="20"/>
          <w:szCs w:val="20"/>
        </w:rPr>
        <w:lastRenderedPageBreak/>
        <w:t>conducted a study on the prevalence of anaemia among blood donors in Sokoto, northern Nigeria. In this study, it was found that about 97% of the donors were males while just 2.6% were females; these figures are similar to another study in the North which showed that in a population of about 11,000 donors, 99.7% were males and only 0.3% were females. (</w:t>
      </w:r>
      <w:proofErr w:type="spellStart"/>
      <w:r>
        <w:rPr>
          <w:rStyle w:val="normaltextrun"/>
          <w:rFonts w:ascii="Arial" w:eastAsiaTheme="majorEastAsia" w:hAnsi="Arial" w:cs="Arial"/>
          <w:sz w:val="20"/>
          <w:szCs w:val="20"/>
        </w:rPr>
        <w:t>Alla</w:t>
      </w:r>
      <w:proofErr w:type="spellEnd"/>
      <w:r>
        <w:rPr>
          <w:rStyle w:val="normaltextrun"/>
          <w:rFonts w:ascii="Arial" w:eastAsiaTheme="majorEastAsia" w:hAnsi="Arial" w:cs="Arial"/>
          <w:sz w:val="20"/>
          <w:szCs w:val="20"/>
        </w:rPr>
        <w:t xml:space="preserve"> et al, 2019) Ugwu et al, in 2018 conducted a study in Enugu State among over 30000 donors who donated blood at the University of Nigeria Teaching Hospital, Enugu, and found that 89.2% of all donors were male; this value is similar to the 87.7% which were identified to be male donors by John et al, 2017 in Nnewi, Anambra state. In the South-South of Nigeria, male blood donation has also been reported to be very significantly higher than female donation. Inyang-</w:t>
      </w:r>
      <w:proofErr w:type="spellStart"/>
      <w:r>
        <w:rPr>
          <w:rStyle w:val="normaltextrun"/>
          <w:rFonts w:ascii="Arial" w:eastAsiaTheme="majorEastAsia" w:hAnsi="Arial" w:cs="Arial"/>
          <w:sz w:val="20"/>
          <w:szCs w:val="20"/>
        </w:rPr>
        <w:t>Etoh</w:t>
      </w:r>
      <w:proofErr w:type="spellEnd"/>
      <w:r>
        <w:rPr>
          <w:rStyle w:val="normaltextrun"/>
          <w:rFonts w:ascii="Arial" w:eastAsiaTheme="majorEastAsia" w:hAnsi="Arial" w:cs="Arial"/>
          <w:sz w:val="20"/>
          <w:szCs w:val="20"/>
        </w:rPr>
        <w:t xml:space="preserve"> et al, 2021 working on malaria </w:t>
      </w:r>
      <w:proofErr w:type="spellStart"/>
      <w:r>
        <w:rPr>
          <w:rStyle w:val="normaltextrun"/>
          <w:rFonts w:ascii="Arial" w:eastAsiaTheme="majorEastAsia" w:hAnsi="Arial" w:cs="Arial"/>
          <w:sz w:val="20"/>
          <w:szCs w:val="20"/>
        </w:rPr>
        <w:t>parasitaemia</w:t>
      </w:r>
      <w:proofErr w:type="spellEnd"/>
      <w:r>
        <w:rPr>
          <w:rStyle w:val="normaltextrun"/>
          <w:rFonts w:ascii="Arial" w:eastAsiaTheme="majorEastAsia" w:hAnsi="Arial" w:cs="Arial"/>
          <w:sz w:val="20"/>
          <w:szCs w:val="20"/>
        </w:rPr>
        <w:t xml:space="preserve"> among blood donors in Calabar, reported 94% of donors as male; while another study among 554 donors who donated in private laboratories in Port Harcourt showed 97.5% were male. (</w:t>
      </w:r>
      <w:proofErr w:type="spellStart"/>
      <w:r>
        <w:rPr>
          <w:rStyle w:val="normaltextrun"/>
          <w:rFonts w:ascii="Arial" w:eastAsiaTheme="majorEastAsia" w:hAnsi="Arial" w:cs="Arial"/>
          <w:sz w:val="20"/>
          <w:szCs w:val="20"/>
        </w:rPr>
        <w:t>Ndukwu</w:t>
      </w:r>
      <w:proofErr w:type="spellEnd"/>
      <w:r>
        <w:rPr>
          <w:rStyle w:val="normaltextrun"/>
          <w:rFonts w:ascii="Arial" w:eastAsiaTheme="majorEastAsia" w:hAnsi="Arial" w:cs="Arial"/>
          <w:sz w:val="20"/>
          <w:szCs w:val="20"/>
        </w:rPr>
        <w:t xml:space="preserve"> &amp; Chinedu-</w:t>
      </w:r>
      <w:proofErr w:type="spellStart"/>
      <w:r>
        <w:rPr>
          <w:rStyle w:val="normaltextrun"/>
          <w:rFonts w:ascii="Arial" w:eastAsiaTheme="majorEastAsia" w:hAnsi="Arial" w:cs="Arial"/>
          <w:sz w:val="20"/>
          <w:szCs w:val="20"/>
        </w:rPr>
        <w:t>Madu</w:t>
      </w:r>
      <w:proofErr w:type="spellEnd"/>
      <w:r>
        <w:rPr>
          <w:rStyle w:val="normaltextrun"/>
          <w:rFonts w:ascii="Arial" w:eastAsiaTheme="majorEastAsia" w:hAnsi="Arial" w:cs="Arial"/>
          <w:sz w:val="20"/>
          <w:szCs w:val="20"/>
        </w:rPr>
        <w:t xml:space="preserve"> 2024) The high percentage of male blood donation relative to female in this part of the world could be due to cultural perceptions, social factors, and also religious concerns. Another critical factor which could explain this disparity would be the fact that males are more likely to be involved in donation for remuneration purposes; this is common in this part of the world, (Allain et al, 2012) and has been confirmed to be the situation based on the experiential evidence of blood donors who come to donate  blood at the blood bank of the University of Port Harcourt Teaching Hospital over the years. </w:t>
      </w:r>
      <w:r>
        <w:rPr>
          <w:rStyle w:val="eop"/>
          <w:rFonts w:ascii="Arial" w:eastAsiaTheme="majorEastAsia" w:hAnsi="Arial" w:cs="Arial"/>
          <w:sz w:val="20"/>
          <w:szCs w:val="20"/>
        </w:rPr>
        <w:t> </w:t>
      </w:r>
    </w:p>
    <w:p w14:paraId="21D51361"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 xml:space="preserve">Donors within the age bracket of 18 – 25 years were the most to donate making about 65.4% of the total donor population; this is consistent with the study by Patel et al conducted in the US which showed that those who donated blood in the previous year were mostly from the age range of 18 – 24 years. This finding is different from the results of a study conducted in a university environment in the US (Sheykhsoltan et al, 2022) which showed that people older than 25 years made up the most population of donors, however, in this study, the cohort of donors aged 17 – 19 years had more deferrals on account of low blood levels, and the number of deferrals became smaller among the older aged group. This means if these lost donors are taken into consideration, those within the age range of 18 – 25 years would make the highest population. It should also be considered that the donors in this study were voluntary and non-remunerated donors as opposed to what obtains in our climes, and which was the likely scenario in the study conducted at the UPTH. </w:t>
      </w:r>
      <w:proofErr w:type="spellStart"/>
      <w:r>
        <w:rPr>
          <w:rStyle w:val="normaltextrun"/>
          <w:rFonts w:ascii="Arial" w:eastAsiaTheme="majorEastAsia" w:hAnsi="Arial" w:cs="Arial"/>
          <w:sz w:val="20"/>
          <w:szCs w:val="20"/>
        </w:rPr>
        <w:t>Nnachi</w:t>
      </w:r>
      <w:proofErr w:type="spellEnd"/>
      <w:r>
        <w:rPr>
          <w:rStyle w:val="normaltextrun"/>
          <w:rFonts w:ascii="Arial" w:eastAsiaTheme="majorEastAsia" w:hAnsi="Arial" w:cs="Arial"/>
          <w:sz w:val="20"/>
          <w:szCs w:val="20"/>
        </w:rPr>
        <w:t xml:space="preserve"> et al, 2024 found that 86.4% of voluntary donors in </w:t>
      </w:r>
      <w:proofErr w:type="spellStart"/>
      <w:r>
        <w:rPr>
          <w:rStyle w:val="normaltextrun"/>
          <w:rFonts w:ascii="Arial" w:eastAsiaTheme="majorEastAsia" w:hAnsi="Arial" w:cs="Arial"/>
          <w:sz w:val="20"/>
          <w:szCs w:val="20"/>
        </w:rPr>
        <w:t>Abakaliki</w:t>
      </w:r>
      <w:proofErr w:type="spellEnd"/>
      <w:r>
        <w:rPr>
          <w:rStyle w:val="normaltextrun"/>
          <w:rFonts w:ascii="Arial" w:eastAsiaTheme="majorEastAsia" w:hAnsi="Arial" w:cs="Arial"/>
          <w:sz w:val="20"/>
          <w:szCs w:val="20"/>
        </w:rPr>
        <w:t xml:space="preserve"> were those aged between 18 – 25 years; in the same vein, numerous other studies show that the highest density of blood donors is those who are less than 35 years of age. (Oyedeji et al, 2024; </w:t>
      </w:r>
      <w:proofErr w:type="spellStart"/>
      <w:r>
        <w:rPr>
          <w:rStyle w:val="normaltextrun"/>
          <w:rFonts w:ascii="Arial" w:eastAsiaTheme="majorEastAsia" w:hAnsi="Arial" w:cs="Arial"/>
          <w:sz w:val="20"/>
          <w:szCs w:val="20"/>
        </w:rPr>
        <w:t>Nnachi</w:t>
      </w:r>
      <w:proofErr w:type="spellEnd"/>
      <w:r>
        <w:rPr>
          <w:rStyle w:val="normaltextrun"/>
          <w:rFonts w:ascii="Arial" w:eastAsiaTheme="majorEastAsia" w:hAnsi="Arial" w:cs="Arial"/>
          <w:sz w:val="20"/>
          <w:szCs w:val="20"/>
        </w:rPr>
        <w:t xml:space="preserve"> et al, 2022) Index study showed a statistically significant (p=0.013) positive relation between high BLLs and donors aged 18 – 25 years. This may be because this population is a physically active one and is most likely to be involved in activities which are known to increase blood lead levels, (</w:t>
      </w:r>
      <w:proofErr w:type="spellStart"/>
      <w:r>
        <w:rPr>
          <w:rStyle w:val="normaltextrun"/>
          <w:rFonts w:ascii="Arial" w:eastAsiaTheme="majorEastAsia" w:hAnsi="Arial" w:cs="Arial"/>
          <w:sz w:val="20"/>
          <w:szCs w:val="20"/>
        </w:rPr>
        <w:t>Ogele</w:t>
      </w:r>
      <w:proofErr w:type="spellEnd"/>
      <w:r>
        <w:rPr>
          <w:rStyle w:val="normaltextrun"/>
          <w:rFonts w:ascii="Arial" w:eastAsiaTheme="majorEastAsia" w:hAnsi="Arial" w:cs="Arial"/>
          <w:sz w:val="20"/>
          <w:szCs w:val="20"/>
        </w:rPr>
        <w:t xml:space="preserve"> &amp; </w:t>
      </w:r>
      <w:proofErr w:type="spellStart"/>
      <w:r>
        <w:rPr>
          <w:rStyle w:val="normaltextrun"/>
          <w:rFonts w:ascii="Arial" w:eastAsiaTheme="majorEastAsia" w:hAnsi="Arial" w:cs="Arial"/>
          <w:sz w:val="20"/>
          <w:szCs w:val="20"/>
        </w:rPr>
        <w:t>Egobueze</w:t>
      </w:r>
      <w:proofErr w:type="spellEnd"/>
      <w:r>
        <w:rPr>
          <w:rStyle w:val="normaltextrun"/>
          <w:rFonts w:ascii="Arial" w:eastAsiaTheme="majorEastAsia" w:hAnsi="Arial" w:cs="Arial"/>
          <w:sz w:val="20"/>
          <w:szCs w:val="20"/>
        </w:rPr>
        <w:t>, 2020) however, this was not the case in this study as most of the donors happened to be either students or were unemployed (76.4%), neither were they involved in occupations which are known to increase blood lead concentrations and they did not reside in areas close to paint factories or refuse dumpsite. This positive association therefore points to the presence of factors which were not considered in the sociodemographic information of the donors as likely culprit in raising the BLLs.</w:t>
      </w:r>
      <w:r>
        <w:rPr>
          <w:rStyle w:val="eop"/>
          <w:rFonts w:ascii="Arial" w:eastAsiaTheme="majorEastAsia" w:hAnsi="Arial" w:cs="Arial"/>
          <w:sz w:val="20"/>
          <w:szCs w:val="20"/>
        </w:rPr>
        <w:t> </w:t>
      </w:r>
    </w:p>
    <w:p w14:paraId="065525E4" w14:textId="26AA3C30"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In index study, 96.3% of the total donor population identified as non-smokers, with only 3.7% of the population identifying as smokers; 97.0% of those with significant blood lead levels were non-smokers, and 84.6% of the 13 donors who had blood lead values &lt;5µg/dl were also non-smoking. Only 3% of those with significant blood lead values, and 15.4% of those with insignificant values identified as smokers. This means that in both categories of those with high blood levels and those with normal blood levels, non-smokers were more in number, and the study showed a statistically significant and positive relation between non-smoking and blood lead levels (</w:t>
      </w:r>
      <w:r w:rsidR="00735AA5" w:rsidRPr="00735AA5">
        <w:rPr>
          <w:rStyle w:val="normaltextrun"/>
          <w:rFonts w:ascii="Arial" w:eastAsiaTheme="majorEastAsia" w:hAnsi="Arial" w:cs="Arial"/>
          <w:i/>
          <w:iCs/>
          <w:sz w:val="20"/>
          <w:szCs w:val="20"/>
        </w:rPr>
        <w:t>P</w:t>
      </w:r>
      <w:r w:rsidR="00735AA5">
        <w:rPr>
          <w:rStyle w:val="normaltextrun"/>
          <w:rFonts w:ascii="Arial" w:eastAsiaTheme="majorEastAsia" w:hAnsi="Arial" w:cs="Arial"/>
          <w:i/>
          <w:iCs/>
          <w:sz w:val="20"/>
          <w:szCs w:val="20"/>
        </w:rPr>
        <w:t xml:space="preserve"> </w:t>
      </w:r>
      <w:r>
        <w:rPr>
          <w:rStyle w:val="normaltextrun"/>
          <w:rFonts w:ascii="Arial" w:eastAsiaTheme="majorEastAsia" w:hAnsi="Arial" w:cs="Arial"/>
          <w:sz w:val="20"/>
          <w:szCs w:val="20"/>
        </w:rPr>
        <w:t>=</w:t>
      </w:r>
      <w:r w:rsidR="00735AA5">
        <w:rPr>
          <w:rStyle w:val="normaltextrun"/>
          <w:rFonts w:ascii="Arial" w:eastAsiaTheme="majorEastAsia" w:hAnsi="Arial" w:cs="Arial"/>
          <w:sz w:val="20"/>
          <w:szCs w:val="20"/>
        </w:rPr>
        <w:t xml:space="preserve"> </w:t>
      </w:r>
      <w:r>
        <w:rPr>
          <w:rStyle w:val="normaltextrun"/>
          <w:rFonts w:ascii="Arial" w:eastAsiaTheme="majorEastAsia" w:hAnsi="Arial" w:cs="Arial"/>
          <w:sz w:val="20"/>
          <w:szCs w:val="20"/>
        </w:rPr>
        <w:t>.02). Ordinarily, this would mean that non-smoking increased the risk for high blood lead levels, however, the contrary which is the scientifically correct position and which is supported by numerous studies that have established positive causal relationship between smoking and elevated blood lead values (Repic et al, 2020; Matt et al, 2021) is the correct position. This anomaly in the index study can be clearly explained if it is interpreted in the light of possible confounding factors which are causing high blood lead even in those who do not smoke, and that are also not involved with jobs that cause elevations in BLLs. The most plausible culprit in the Niger Delta of Nigeria is the pervasive environmental pollution and contamination occasioned by the activities of oil multinationals and also the rampant illegal and artisanal refining of petroleum products which has caused massive pollution of water bodies, sea foods, soil, and also the air, causing the inevitable ingestion of this toxicant by those who live and work in these parts. (Abayomi et al, 2021; Onwuka et al, 2021; Henry et al, 2019)</w:t>
      </w:r>
      <w:r>
        <w:rPr>
          <w:rStyle w:val="eop"/>
          <w:rFonts w:ascii="Arial" w:eastAsiaTheme="majorEastAsia" w:hAnsi="Arial" w:cs="Arial"/>
          <w:sz w:val="20"/>
          <w:szCs w:val="20"/>
        </w:rPr>
        <w:t> </w:t>
      </w:r>
    </w:p>
    <w:p w14:paraId="0B9B5168"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eop"/>
          <w:rFonts w:ascii="Arial" w:eastAsiaTheme="majorEastAsia" w:hAnsi="Arial" w:cs="Arial"/>
          <w:sz w:val="20"/>
          <w:szCs w:val="20"/>
        </w:rPr>
        <w:t> </w:t>
      </w:r>
    </w:p>
    <w:p w14:paraId="608EB163"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b/>
          <w:bCs/>
          <w:caps/>
          <w:sz w:val="22"/>
          <w:szCs w:val="22"/>
        </w:rPr>
        <w:t>5. conclusion</w:t>
      </w:r>
      <w:r>
        <w:rPr>
          <w:rStyle w:val="eop"/>
          <w:rFonts w:ascii="Arial" w:eastAsiaTheme="majorEastAsia" w:hAnsi="Arial" w:cs="Arial"/>
          <w:b/>
          <w:bCs/>
          <w:caps/>
          <w:sz w:val="22"/>
          <w:szCs w:val="22"/>
        </w:rPr>
        <w:t> </w:t>
      </w:r>
    </w:p>
    <w:p w14:paraId="5D37FC0E"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2"/>
          <w:szCs w:val="22"/>
        </w:rPr>
        <w:t> </w:t>
      </w:r>
    </w:p>
    <w:p w14:paraId="47CD7DCD"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lastRenderedPageBreak/>
        <w:t xml:space="preserve">The overwhelming majority of blood donors in the study showed higher blood lead concentrations despite the fact the donor populations were predominantly non-smokers, were not involved in activities which are known to increase blood lead levels, and do not reside close to paint manufacturing plants and to refuse dumpsites; these high blood lead levels in the blood are likely due to the presence of sources of lead exposure other than the occupation. </w:t>
      </w:r>
      <w:r>
        <w:rPr>
          <w:rStyle w:val="eop"/>
          <w:rFonts w:ascii="Arial" w:eastAsiaTheme="majorEastAsia" w:hAnsi="Arial" w:cs="Arial"/>
          <w:sz w:val="20"/>
          <w:szCs w:val="20"/>
        </w:rPr>
        <w:t> </w:t>
      </w:r>
    </w:p>
    <w:p w14:paraId="315FFDB6"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In the Niger Delta, numerous studies have shown how the air, sea, and soil are polluted by hydrocarbons and indeed other toxicants such as lead. The donors who presented to the blood bank most likely have high BLLs because of the environmental contamination and the attendant ingestion of lead in their meals, and the air they breathe.</w:t>
      </w:r>
      <w:r>
        <w:rPr>
          <w:rStyle w:val="eop"/>
          <w:rFonts w:ascii="Arial" w:eastAsiaTheme="majorEastAsia" w:hAnsi="Arial" w:cs="Arial"/>
          <w:sz w:val="20"/>
          <w:szCs w:val="20"/>
        </w:rPr>
        <w:t> </w:t>
      </w:r>
    </w:p>
    <w:p w14:paraId="4A94F998" w14:textId="77777777" w:rsidR="000D56CF" w:rsidRDefault="000D56CF" w:rsidP="000D56CF">
      <w:pPr>
        <w:pStyle w:val="paragraph"/>
        <w:spacing w:before="0" w:beforeAutospacing="0" w:after="0" w:afterAutospacing="0"/>
        <w:jc w:val="both"/>
        <w:textAlignment w:val="baseline"/>
        <w:rPr>
          <w:rFonts w:ascii="Helvetica" w:hAnsi="Helvetica" w:cs="Helvetica"/>
          <w:sz w:val="22"/>
          <w:szCs w:val="22"/>
        </w:rPr>
      </w:pPr>
      <w:r>
        <w:rPr>
          <w:rStyle w:val="normaltextrun"/>
          <w:rFonts w:ascii="Arial" w:eastAsiaTheme="majorEastAsia" w:hAnsi="Arial" w:cs="Arial"/>
          <w:sz w:val="20"/>
          <w:szCs w:val="20"/>
        </w:rPr>
        <w:t>This is another indication of the poor environmental situation in the Niger Delta region of the country, and re-emphasizes the need for concerted effort by all stakeholders in the oil exploration business to improve their work methods to meet global standards of best practices, while engaging in environmental remediation in order to directly improve on the health of the people in these areas. There is also need to adjust the policy on blood screening screen for blood that has been donated or is to donated to populations who have been identified to be most susceptible to lead toxicity so that the risk of this toxicity is reduced to the barest minimum.</w:t>
      </w:r>
      <w:r>
        <w:rPr>
          <w:rStyle w:val="eop"/>
          <w:rFonts w:ascii="Arial" w:eastAsiaTheme="majorEastAsia" w:hAnsi="Arial" w:cs="Arial"/>
          <w:sz w:val="20"/>
          <w:szCs w:val="20"/>
        </w:rPr>
        <w:t> </w:t>
      </w:r>
    </w:p>
    <w:p w14:paraId="50382B30" w14:textId="77777777" w:rsidR="000D56CF" w:rsidRDefault="000D56CF" w:rsidP="000D56CF">
      <w:pPr>
        <w:pStyle w:val="paragraph"/>
        <w:spacing w:before="0" w:beforeAutospacing="0" w:after="0" w:afterAutospacing="0"/>
        <w:textAlignment w:val="baseline"/>
        <w:rPr>
          <w:rFonts w:ascii="Helvetica" w:hAnsi="Helvetica" w:cs="Helvetica"/>
          <w:sz w:val="22"/>
          <w:szCs w:val="22"/>
        </w:rPr>
      </w:pPr>
      <w:r>
        <w:rPr>
          <w:rStyle w:val="eop"/>
          <w:rFonts w:ascii="Helvetica" w:eastAsiaTheme="majorEastAsia" w:hAnsi="Helvetica" w:cs="Helvetica"/>
          <w:sz w:val="20"/>
          <w:szCs w:val="20"/>
        </w:rPr>
        <w:t> </w:t>
      </w:r>
    </w:p>
    <w:p w14:paraId="15DDAAA7" w14:textId="77777777" w:rsidR="000D56CF" w:rsidRDefault="000D56CF" w:rsidP="000D56CF">
      <w:pPr>
        <w:pStyle w:val="paragraph"/>
        <w:spacing w:before="0" w:beforeAutospacing="0" w:after="0" w:afterAutospacing="0"/>
        <w:textAlignment w:val="baseline"/>
        <w:rPr>
          <w:rFonts w:ascii="Helvetica" w:hAnsi="Helvetica" w:cs="Helvetica"/>
          <w:sz w:val="22"/>
          <w:szCs w:val="22"/>
        </w:rPr>
      </w:pPr>
      <w:r>
        <w:rPr>
          <w:rStyle w:val="eop"/>
          <w:rFonts w:ascii="Helvetica" w:eastAsiaTheme="majorEastAsia" w:hAnsi="Helvetica" w:cs="Helvetica"/>
          <w:sz w:val="20"/>
          <w:szCs w:val="20"/>
        </w:rPr>
        <w:t> </w:t>
      </w:r>
    </w:p>
    <w:p w14:paraId="77362007"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0"/>
          <w:szCs w:val="20"/>
        </w:rPr>
        <w:t> </w:t>
      </w:r>
    </w:p>
    <w:p w14:paraId="72779DD5"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b/>
          <w:bCs/>
          <w:caps/>
          <w:sz w:val="22"/>
          <w:szCs w:val="22"/>
        </w:rPr>
        <w:t>Consent</w:t>
      </w:r>
      <w:r>
        <w:rPr>
          <w:rStyle w:val="eop"/>
          <w:rFonts w:ascii="Arial" w:eastAsiaTheme="majorEastAsia" w:hAnsi="Arial" w:cs="Arial"/>
          <w:b/>
          <w:bCs/>
          <w:caps/>
          <w:sz w:val="22"/>
          <w:szCs w:val="22"/>
        </w:rPr>
        <w:t> </w:t>
      </w:r>
    </w:p>
    <w:p w14:paraId="71EEE6CB"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2"/>
          <w:szCs w:val="22"/>
        </w:rPr>
        <w:t> </w:t>
      </w:r>
    </w:p>
    <w:p w14:paraId="7518E1AB"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sz w:val="20"/>
          <w:szCs w:val="20"/>
        </w:rPr>
        <w:t>Informed consent was duly obtained from all blood donors who participated in the study. </w:t>
      </w:r>
      <w:r>
        <w:rPr>
          <w:rStyle w:val="eop"/>
          <w:rFonts w:ascii="Arial" w:eastAsiaTheme="majorEastAsia" w:hAnsi="Arial" w:cs="Arial"/>
          <w:b/>
          <w:bCs/>
          <w:caps/>
          <w:sz w:val="20"/>
          <w:szCs w:val="20"/>
        </w:rPr>
        <w:t> </w:t>
      </w:r>
    </w:p>
    <w:p w14:paraId="56965AED"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0"/>
          <w:szCs w:val="20"/>
        </w:rPr>
        <w:t> </w:t>
      </w:r>
    </w:p>
    <w:p w14:paraId="612B0F09"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b/>
          <w:bCs/>
          <w:caps/>
          <w:sz w:val="22"/>
          <w:szCs w:val="22"/>
        </w:rPr>
        <w:t>Ethical approval</w:t>
      </w:r>
      <w:r>
        <w:rPr>
          <w:rStyle w:val="eop"/>
          <w:rFonts w:ascii="Arial" w:eastAsiaTheme="majorEastAsia" w:hAnsi="Arial" w:cs="Arial"/>
          <w:b/>
          <w:bCs/>
          <w:caps/>
          <w:sz w:val="22"/>
          <w:szCs w:val="22"/>
        </w:rPr>
        <w:t> </w:t>
      </w:r>
    </w:p>
    <w:p w14:paraId="4BECBD69"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2"/>
          <w:szCs w:val="22"/>
        </w:rPr>
        <w:t> </w:t>
      </w:r>
    </w:p>
    <w:p w14:paraId="542B499F" w14:textId="71732DCF" w:rsidR="000D56CF" w:rsidRDefault="000D56CF" w:rsidP="000D56CF">
      <w:pPr>
        <w:pStyle w:val="paragraph"/>
        <w:spacing w:before="0" w:beforeAutospacing="0" w:after="0" w:afterAutospacing="0"/>
        <w:jc w:val="both"/>
        <w:textAlignment w:val="baseline"/>
        <w:rPr>
          <w:rStyle w:val="eop"/>
          <w:rFonts w:ascii="Arial" w:eastAsiaTheme="majorEastAsia" w:hAnsi="Arial" w:cs="Arial"/>
          <w:b/>
          <w:bCs/>
          <w:caps/>
          <w:sz w:val="20"/>
          <w:szCs w:val="20"/>
        </w:rPr>
      </w:pPr>
      <w:r>
        <w:rPr>
          <w:rStyle w:val="normaltextrun"/>
          <w:rFonts w:ascii="Arial" w:eastAsiaTheme="majorEastAsia" w:hAnsi="Arial" w:cs="Arial"/>
          <w:sz w:val="20"/>
          <w:szCs w:val="20"/>
        </w:rPr>
        <w:t>Ethical approval was obtained from the Research Ethics Committee of the University of Port Harcourt.</w:t>
      </w:r>
      <w:r>
        <w:rPr>
          <w:rStyle w:val="eop"/>
          <w:rFonts w:ascii="Arial" w:eastAsiaTheme="majorEastAsia" w:hAnsi="Arial" w:cs="Arial"/>
          <w:b/>
          <w:bCs/>
          <w:caps/>
          <w:sz w:val="20"/>
          <w:szCs w:val="20"/>
        </w:rPr>
        <w:t> </w:t>
      </w:r>
    </w:p>
    <w:p w14:paraId="6AB142C0" w14:textId="2D5AB6F6" w:rsidR="007A42CC" w:rsidRDefault="007A42CC" w:rsidP="000D56CF">
      <w:pPr>
        <w:pStyle w:val="paragraph"/>
        <w:spacing w:before="0" w:beforeAutospacing="0" w:after="0" w:afterAutospacing="0"/>
        <w:jc w:val="both"/>
        <w:textAlignment w:val="baseline"/>
        <w:rPr>
          <w:rFonts w:ascii="Helvetica" w:hAnsi="Helvetica" w:cs="Helvetica"/>
          <w:b/>
          <w:bCs/>
          <w:caps/>
          <w:sz w:val="22"/>
          <w:szCs w:val="22"/>
        </w:rPr>
      </w:pPr>
    </w:p>
    <w:p w14:paraId="0C29D4D6" w14:textId="3BD6C493" w:rsidR="007A42CC" w:rsidRDefault="007A42CC" w:rsidP="000D56CF">
      <w:pPr>
        <w:pStyle w:val="paragraph"/>
        <w:spacing w:before="0" w:beforeAutospacing="0" w:after="0" w:afterAutospacing="0"/>
        <w:jc w:val="both"/>
        <w:textAlignment w:val="baseline"/>
        <w:rPr>
          <w:rFonts w:ascii="Helvetica" w:hAnsi="Helvetica" w:cs="Helvetica"/>
          <w:b/>
          <w:bCs/>
          <w:caps/>
          <w:sz w:val="22"/>
          <w:szCs w:val="22"/>
        </w:rPr>
      </w:pPr>
    </w:p>
    <w:p w14:paraId="39400309" w14:textId="67C13C9F" w:rsidR="007A42CC" w:rsidRDefault="007A42CC" w:rsidP="000D56CF">
      <w:pPr>
        <w:pStyle w:val="paragraph"/>
        <w:spacing w:before="0" w:beforeAutospacing="0" w:after="0" w:afterAutospacing="0"/>
        <w:jc w:val="both"/>
        <w:textAlignment w:val="baseline"/>
        <w:rPr>
          <w:rFonts w:ascii="Helvetica" w:hAnsi="Helvetica" w:cs="Helvetica"/>
          <w:b/>
          <w:bCs/>
          <w:caps/>
          <w:sz w:val="22"/>
          <w:szCs w:val="22"/>
        </w:rPr>
      </w:pPr>
    </w:p>
    <w:p w14:paraId="724529B9" w14:textId="0D00E0BD" w:rsidR="007A42CC" w:rsidRPr="00643FEF" w:rsidRDefault="00643FEF" w:rsidP="007A42CC">
      <w:pPr>
        <w:rPr>
          <w:rFonts w:ascii="Calibri" w:eastAsia="Calibri" w:hAnsi="Calibri" w:cs="Times New Roman"/>
        </w:rPr>
      </w:pPr>
      <w:bookmarkStart w:id="2" w:name="_Hlk201835975"/>
      <w:bookmarkStart w:id="3" w:name="_Hlk193540946"/>
      <w:bookmarkStart w:id="4" w:name="_Hlk180402183"/>
      <w:bookmarkStart w:id="5" w:name="_Hlk183680988"/>
      <w:bookmarkStart w:id="6" w:name="_Hlk197173371"/>
      <w:r w:rsidRPr="00194BC0">
        <w:rPr>
          <w:rFonts w:ascii="Calibri" w:eastAsia="Calibri" w:hAnsi="Calibri" w:cs="Times New Roman"/>
          <w:b/>
          <w:bCs/>
        </w:rPr>
        <w:t>DISCLAIMER (ARTIFICIAL INTELLIGENCE</w:t>
      </w:r>
      <w:r w:rsidRPr="00643FEF">
        <w:rPr>
          <w:rFonts w:ascii="Calibri" w:eastAsia="Calibri" w:hAnsi="Calibri" w:cs="Times New Roman"/>
        </w:rPr>
        <w:t xml:space="preserve">) </w:t>
      </w:r>
    </w:p>
    <w:p w14:paraId="625E8502" w14:textId="69EF13BB" w:rsidR="007A42CC" w:rsidRPr="00643FEF" w:rsidRDefault="007A42CC" w:rsidP="007A42CC">
      <w:pPr>
        <w:rPr>
          <w:rFonts w:ascii="Calibri" w:eastAsia="Calibri" w:hAnsi="Calibri" w:cs="Times New Roman"/>
        </w:rPr>
      </w:pPr>
      <w:r w:rsidRPr="00643FEF">
        <w:rPr>
          <w:rFonts w:ascii="Calibri" w:eastAsia="Calibri" w:hAnsi="Calibri" w:cs="Times New Roman"/>
        </w:rPr>
        <w:t xml:space="preserve">Authors hereby declare that NO generative AI technologies such as Large Language Models (ChatGPT, manuscript. </w:t>
      </w:r>
    </w:p>
    <w:bookmarkEnd w:id="2"/>
    <w:bookmarkEnd w:id="3"/>
    <w:bookmarkEnd w:id="4"/>
    <w:bookmarkEnd w:id="5"/>
    <w:bookmarkEnd w:id="6"/>
    <w:p w14:paraId="7B3F7D1E" w14:textId="77777777" w:rsidR="007A42CC" w:rsidRDefault="007A42CC" w:rsidP="000D56CF">
      <w:pPr>
        <w:pStyle w:val="paragraph"/>
        <w:spacing w:before="0" w:beforeAutospacing="0" w:after="0" w:afterAutospacing="0"/>
        <w:jc w:val="both"/>
        <w:textAlignment w:val="baseline"/>
        <w:rPr>
          <w:rFonts w:ascii="Helvetica" w:hAnsi="Helvetica" w:cs="Helvetica"/>
          <w:b/>
          <w:bCs/>
          <w:caps/>
          <w:sz w:val="22"/>
          <w:szCs w:val="22"/>
        </w:rPr>
      </w:pPr>
    </w:p>
    <w:p w14:paraId="1BB448DB"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2"/>
          <w:szCs w:val="22"/>
        </w:rPr>
        <w:t> </w:t>
      </w:r>
    </w:p>
    <w:p w14:paraId="6E5BC934"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normaltextrun"/>
          <w:rFonts w:ascii="Arial" w:eastAsiaTheme="majorEastAsia" w:hAnsi="Arial" w:cs="Arial"/>
          <w:b/>
          <w:bCs/>
          <w:caps/>
          <w:sz w:val="22"/>
          <w:szCs w:val="22"/>
        </w:rPr>
        <w:t>References</w:t>
      </w:r>
      <w:r>
        <w:rPr>
          <w:rStyle w:val="eop"/>
          <w:rFonts w:ascii="Arial" w:eastAsiaTheme="majorEastAsia" w:hAnsi="Arial" w:cs="Arial"/>
          <w:b/>
          <w:bCs/>
          <w:caps/>
          <w:sz w:val="22"/>
          <w:szCs w:val="22"/>
        </w:rPr>
        <w:t> </w:t>
      </w:r>
    </w:p>
    <w:p w14:paraId="5242D350" w14:textId="77777777" w:rsidR="000D56CF" w:rsidRDefault="000D56CF" w:rsidP="000D56CF">
      <w:pPr>
        <w:pStyle w:val="paragraph"/>
        <w:spacing w:before="0" w:beforeAutospacing="0" w:after="0" w:afterAutospacing="0"/>
        <w:jc w:val="both"/>
        <w:textAlignment w:val="baseline"/>
        <w:rPr>
          <w:rFonts w:ascii="Helvetica" w:hAnsi="Helvetica" w:cs="Helvetica"/>
          <w:b/>
          <w:bCs/>
          <w:caps/>
          <w:sz w:val="22"/>
          <w:szCs w:val="22"/>
        </w:rPr>
      </w:pPr>
      <w:r>
        <w:rPr>
          <w:rStyle w:val="eop"/>
          <w:rFonts w:ascii="Arial" w:eastAsiaTheme="majorEastAsia" w:hAnsi="Arial" w:cs="Arial"/>
          <w:b/>
          <w:bCs/>
          <w:caps/>
          <w:sz w:val="22"/>
          <w:szCs w:val="22"/>
        </w:rPr>
        <w:t> </w:t>
      </w:r>
    </w:p>
    <w:p w14:paraId="68B194FA" w14:textId="77777777" w:rsidR="000D56CF" w:rsidRDefault="000D56CF" w:rsidP="000D56CF">
      <w:pPr>
        <w:pStyle w:val="paragraph"/>
        <w:numPr>
          <w:ilvl w:val="0"/>
          <w:numId w:val="1"/>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Fu, Z., &amp; Xi, S. (2020). The effects of heavy metals on human metabolism. Toxicology mechanisms and methods, 30(3), 167-176.</w:t>
      </w:r>
      <w:r>
        <w:rPr>
          <w:rStyle w:val="eop"/>
          <w:rFonts w:ascii="Helvetica" w:eastAsiaTheme="majorEastAsia" w:hAnsi="Helvetica" w:cs="Helvetica"/>
          <w:sz w:val="20"/>
          <w:szCs w:val="20"/>
        </w:rPr>
        <w:t> </w:t>
      </w:r>
    </w:p>
    <w:p w14:paraId="7FAD30C1" w14:textId="77777777" w:rsidR="000D56CF" w:rsidRDefault="000D56CF" w:rsidP="000D56CF">
      <w:pPr>
        <w:pStyle w:val="paragraph"/>
        <w:numPr>
          <w:ilvl w:val="0"/>
          <w:numId w:val="2"/>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Aktepe, N., Baran, M. F., &amp; Baran, A. (2022). Effects of chronic exposure to lead on some organs. Assistant, 18, 45.</w:t>
      </w:r>
      <w:r>
        <w:rPr>
          <w:rStyle w:val="eop"/>
          <w:rFonts w:ascii="Helvetica" w:eastAsiaTheme="majorEastAsia" w:hAnsi="Helvetica" w:cs="Helvetica"/>
          <w:sz w:val="20"/>
          <w:szCs w:val="20"/>
        </w:rPr>
        <w:t> </w:t>
      </w:r>
    </w:p>
    <w:p w14:paraId="32345892" w14:textId="77777777" w:rsidR="000D56CF" w:rsidRDefault="000D56CF" w:rsidP="000D56CF">
      <w:pPr>
        <w:pStyle w:val="paragraph"/>
        <w:numPr>
          <w:ilvl w:val="0"/>
          <w:numId w:val="3"/>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Ugwuja</w:t>
      </w:r>
      <w:proofErr w:type="spellEnd"/>
      <w:r>
        <w:rPr>
          <w:rStyle w:val="normaltextrun"/>
          <w:rFonts w:ascii="Helvetica" w:eastAsiaTheme="majorEastAsia" w:hAnsi="Helvetica" w:cs="Helvetica"/>
          <w:sz w:val="20"/>
          <w:szCs w:val="20"/>
        </w:rPr>
        <w:t xml:space="preserve">, E. I., Vincent, N., </w:t>
      </w:r>
      <w:proofErr w:type="spellStart"/>
      <w:r>
        <w:rPr>
          <w:rStyle w:val="normaltextrun"/>
          <w:rFonts w:ascii="Helvetica" w:eastAsiaTheme="majorEastAsia" w:hAnsi="Helvetica" w:cs="Helvetica"/>
          <w:sz w:val="20"/>
          <w:szCs w:val="20"/>
        </w:rPr>
        <w:t>Ikaraoha</w:t>
      </w:r>
      <w:proofErr w:type="spellEnd"/>
      <w:r>
        <w:rPr>
          <w:rStyle w:val="normaltextrun"/>
          <w:rFonts w:ascii="Helvetica" w:eastAsiaTheme="majorEastAsia" w:hAnsi="Helvetica" w:cs="Helvetica"/>
          <w:sz w:val="20"/>
          <w:szCs w:val="20"/>
        </w:rPr>
        <w:t xml:space="preserve">, I. C., &amp; </w:t>
      </w:r>
      <w:proofErr w:type="spellStart"/>
      <w:r>
        <w:rPr>
          <w:rStyle w:val="normaltextrun"/>
          <w:rFonts w:ascii="Helvetica" w:eastAsiaTheme="majorEastAsia" w:hAnsi="Helvetica" w:cs="Helvetica"/>
          <w:sz w:val="20"/>
          <w:szCs w:val="20"/>
        </w:rPr>
        <w:t>Ohayi</w:t>
      </w:r>
      <w:proofErr w:type="spellEnd"/>
      <w:r>
        <w:rPr>
          <w:rStyle w:val="normaltextrun"/>
          <w:rFonts w:ascii="Helvetica" w:eastAsiaTheme="majorEastAsia" w:hAnsi="Helvetica" w:cs="Helvetica"/>
          <w:sz w:val="20"/>
          <w:szCs w:val="20"/>
        </w:rPr>
        <w:t xml:space="preserve">, S. R. (2020). Zinc ameliorates lead toxicity by reducing body Pb burden and restoring Pb-induced </w:t>
      </w:r>
      <w:proofErr w:type="spellStart"/>
      <w:r>
        <w:rPr>
          <w:rStyle w:val="normaltextrun"/>
          <w:rFonts w:ascii="Helvetica" w:eastAsiaTheme="majorEastAsia" w:hAnsi="Helvetica" w:cs="Helvetica"/>
          <w:sz w:val="20"/>
          <w:szCs w:val="20"/>
        </w:rPr>
        <w:t>haematological</w:t>
      </w:r>
      <w:proofErr w:type="spellEnd"/>
      <w:r>
        <w:rPr>
          <w:rStyle w:val="normaltextrun"/>
          <w:rFonts w:ascii="Helvetica" w:eastAsiaTheme="majorEastAsia" w:hAnsi="Helvetica" w:cs="Helvetica"/>
          <w:sz w:val="20"/>
          <w:szCs w:val="20"/>
        </w:rPr>
        <w:t xml:space="preserve"> and biochemical derangements. Toxicology Research and Application, 4, 2397847320956562.</w:t>
      </w:r>
      <w:r>
        <w:rPr>
          <w:rStyle w:val="eop"/>
          <w:rFonts w:ascii="Helvetica" w:eastAsiaTheme="majorEastAsia" w:hAnsi="Helvetica" w:cs="Helvetica"/>
          <w:sz w:val="20"/>
          <w:szCs w:val="20"/>
        </w:rPr>
        <w:t> </w:t>
      </w:r>
    </w:p>
    <w:p w14:paraId="1D36A7A4" w14:textId="77777777" w:rsidR="000D56CF" w:rsidRDefault="000D56CF" w:rsidP="000D56CF">
      <w:pPr>
        <w:pStyle w:val="paragraph"/>
        <w:numPr>
          <w:ilvl w:val="0"/>
          <w:numId w:val="4"/>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Agyemang, V., Acquaye, J. K., Harrison, S. B., Oppong, F. B., </w:t>
      </w:r>
      <w:proofErr w:type="spellStart"/>
      <w:r>
        <w:rPr>
          <w:rStyle w:val="normaltextrun"/>
          <w:rFonts w:ascii="Helvetica" w:eastAsiaTheme="majorEastAsia" w:hAnsi="Helvetica" w:cs="Helvetica"/>
          <w:sz w:val="20"/>
          <w:szCs w:val="20"/>
        </w:rPr>
        <w:t>Gyaase</w:t>
      </w:r>
      <w:proofErr w:type="spellEnd"/>
      <w:r>
        <w:rPr>
          <w:rStyle w:val="normaltextrun"/>
          <w:rFonts w:ascii="Helvetica" w:eastAsiaTheme="majorEastAsia" w:hAnsi="Helvetica" w:cs="Helvetica"/>
          <w:sz w:val="20"/>
          <w:szCs w:val="20"/>
        </w:rPr>
        <w:t xml:space="preserve">, S., </w:t>
      </w:r>
      <w:proofErr w:type="spellStart"/>
      <w:r>
        <w:rPr>
          <w:rStyle w:val="normaltextrun"/>
          <w:rFonts w:ascii="Helvetica" w:eastAsiaTheme="majorEastAsia" w:hAnsi="Helvetica" w:cs="Helvetica"/>
          <w:sz w:val="20"/>
          <w:szCs w:val="20"/>
        </w:rPr>
        <w:t>Asant</w:t>
      </w:r>
      <w:proofErr w:type="spellEnd"/>
      <w:r>
        <w:rPr>
          <w:rStyle w:val="normaltextrun"/>
          <w:rFonts w:ascii="Helvetica" w:eastAsiaTheme="majorEastAsia" w:hAnsi="Helvetica" w:cs="Helvetica"/>
          <w:sz w:val="20"/>
          <w:szCs w:val="20"/>
        </w:rPr>
        <w:t>, K. P., Olayemi, E. (2020). Blood Lead Levels among Blood Donors and High-Risk Occupational Groups in a Mining Area in Ghana: Implications for Blood Transfusion among Vulnerable Populations. Journal of Tropical Medicine, 10,2020.</w:t>
      </w:r>
      <w:r>
        <w:rPr>
          <w:rStyle w:val="eop"/>
          <w:rFonts w:ascii="Helvetica" w:eastAsiaTheme="majorEastAsia" w:hAnsi="Helvetica" w:cs="Helvetica"/>
          <w:sz w:val="20"/>
          <w:szCs w:val="20"/>
        </w:rPr>
        <w:t> </w:t>
      </w:r>
    </w:p>
    <w:p w14:paraId="54CA06CF" w14:textId="77777777" w:rsidR="000D56CF" w:rsidRDefault="000D56CF" w:rsidP="000D56CF">
      <w:pPr>
        <w:pStyle w:val="paragraph"/>
        <w:numPr>
          <w:ilvl w:val="0"/>
          <w:numId w:val="5"/>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Ogar, C. O., </w:t>
      </w:r>
      <w:proofErr w:type="spellStart"/>
      <w:r>
        <w:rPr>
          <w:rStyle w:val="normaltextrun"/>
          <w:rFonts w:ascii="Helvetica" w:eastAsiaTheme="majorEastAsia" w:hAnsi="Helvetica" w:cs="Helvetica"/>
          <w:sz w:val="20"/>
          <w:szCs w:val="20"/>
        </w:rPr>
        <w:t>Okpokam</w:t>
      </w:r>
      <w:proofErr w:type="spellEnd"/>
      <w:r>
        <w:rPr>
          <w:rStyle w:val="normaltextrun"/>
          <w:rFonts w:ascii="Helvetica" w:eastAsiaTheme="majorEastAsia" w:hAnsi="Helvetica" w:cs="Helvetica"/>
          <w:sz w:val="20"/>
          <w:szCs w:val="20"/>
        </w:rPr>
        <w:t xml:space="preserve">, D. C., </w:t>
      </w:r>
      <w:proofErr w:type="spellStart"/>
      <w:r>
        <w:rPr>
          <w:rStyle w:val="normaltextrun"/>
          <w:rFonts w:ascii="Helvetica" w:eastAsiaTheme="majorEastAsia" w:hAnsi="Helvetica" w:cs="Helvetica"/>
          <w:sz w:val="20"/>
          <w:szCs w:val="20"/>
        </w:rPr>
        <w:t>Okoroiwu</w:t>
      </w:r>
      <w:proofErr w:type="spellEnd"/>
      <w:r>
        <w:rPr>
          <w:rStyle w:val="normaltextrun"/>
          <w:rFonts w:ascii="Helvetica" w:eastAsiaTheme="majorEastAsia" w:hAnsi="Helvetica" w:cs="Helvetica"/>
          <w:sz w:val="20"/>
          <w:szCs w:val="20"/>
        </w:rPr>
        <w:t>, H. U., &amp; Okafor, I. M. (2022). Comparative analysis of hematological parameters of first-time and repeat blood donors: Experience of a blood bank in southern Nigeria. Hematology, Transfusion and Cell Therapy, 44, 512-518.</w:t>
      </w:r>
      <w:r>
        <w:rPr>
          <w:rStyle w:val="eop"/>
          <w:rFonts w:ascii="Helvetica" w:eastAsiaTheme="majorEastAsia" w:hAnsi="Helvetica" w:cs="Helvetica"/>
          <w:sz w:val="20"/>
          <w:szCs w:val="20"/>
        </w:rPr>
        <w:t> </w:t>
      </w:r>
    </w:p>
    <w:p w14:paraId="657410EF" w14:textId="77777777" w:rsidR="000D56CF" w:rsidRDefault="000D56CF" w:rsidP="000D56CF">
      <w:pPr>
        <w:pStyle w:val="paragraph"/>
        <w:numPr>
          <w:ilvl w:val="0"/>
          <w:numId w:val="6"/>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Ugwu, N. I., Ugwu, C. N., Oti, W. J. O., &amp; </w:t>
      </w:r>
      <w:proofErr w:type="spellStart"/>
      <w:r>
        <w:rPr>
          <w:rStyle w:val="normaltextrun"/>
          <w:rFonts w:ascii="Helvetica" w:eastAsiaTheme="majorEastAsia" w:hAnsi="Helvetica" w:cs="Helvetica"/>
          <w:sz w:val="20"/>
          <w:szCs w:val="20"/>
        </w:rPr>
        <w:t>Uneke</w:t>
      </w:r>
      <w:proofErr w:type="spellEnd"/>
      <w:r>
        <w:rPr>
          <w:rStyle w:val="normaltextrun"/>
          <w:rFonts w:ascii="Helvetica" w:eastAsiaTheme="majorEastAsia" w:hAnsi="Helvetica" w:cs="Helvetica"/>
          <w:sz w:val="20"/>
          <w:szCs w:val="20"/>
        </w:rPr>
        <w:t>, C. J. (2019). Pattern of blood donation practices among students of a Nigerian University. Int Blood Res Rev, 26, 1-8.</w:t>
      </w:r>
      <w:r>
        <w:rPr>
          <w:rStyle w:val="eop"/>
          <w:rFonts w:ascii="Helvetica" w:eastAsiaTheme="majorEastAsia" w:hAnsi="Helvetica" w:cs="Helvetica"/>
          <w:sz w:val="20"/>
          <w:szCs w:val="20"/>
        </w:rPr>
        <w:t> </w:t>
      </w:r>
    </w:p>
    <w:p w14:paraId="30BA8395" w14:textId="77777777" w:rsidR="000D56CF" w:rsidRDefault="000D56CF" w:rsidP="000D56CF">
      <w:pPr>
        <w:pStyle w:val="paragraph"/>
        <w:numPr>
          <w:ilvl w:val="0"/>
          <w:numId w:val="7"/>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Umeoguaju, F. U., </w:t>
      </w:r>
      <w:proofErr w:type="spellStart"/>
      <w:r>
        <w:rPr>
          <w:rStyle w:val="normaltextrun"/>
          <w:rFonts w:ascii="Helvetica" w:eastAsiaTheme="majorEastAsia" w:hAnsi="Helvetica" w:cs="Helvetica"/>
          <w:sz w:val="20"/>
          <w:szCs w:val="20"/>
        </w:rPr>
        <w:t>Akaninwor</w:t>
      </w:r>
      <w:proofErr w:type="spellEnd"/>
      <w:r>
        <w:rPr>
          <w:rStyle w:val="normaltextrun"/>
          <w:rFonts w:ascii="Helvetica" w:eastAsiaTheme="majorEastAsia" w:hAnsi="Helvetica" w:cs="Helvetica"/>
          <w:sz w:val="20"/>
          <w:szCs w:val="20"/>
        </w:rPr>
        <w:t xml:space="preserve">, J. O., Essien, E. B., Amadi, B. A., </w:t>
      </w:r>
      <w:proofErr w:type="spellStart"/>
      <w:r>
        <w:rPr>
          <w:rStyle w:val="normaltextrun"/>
          <w:rFonts w:ascii="Helvetica" w:eastAsiaTheme="majorEastAsia" w:hAnsi="Helvetica" w:cs="Helvetica"/>
          <w:sz w:val="20"/>
          <w:szCs w:val="20"/>
        </w:rPr>
        <w:t>Igboekwe</w:t>
      </w:r>
      <w:proofErr w:type="spellEnd"/>
      <w:r>
        <w:rPr>
          <w:rStyle w:val="normaltextrun"/>
          <w:rFonts w:ascii="Helvetica" w:eastAsiaTheme="majorEastAsia" w:hAnsi="Helvetica" w:cs="Helvetica"/>
          <w:sz w:val="20"/>
          <w:szCs w:val="20"/>
        </w:rPr>
        <w:t xml:space="preserve">, C. O., </w:t>
      </w:r>
      <w:proofErr w:type="spellStart"/>
      <w:r>
        <w:rPr>
          <w:rStyle w:val="normaltextrun"/>
          <w:rFonts w:ascii="Helvetica" w:eastAsiaTheme="majorEastAsia" w:hAnsi="Helvetica" w:cs="Helvetica"/>
          <w:sz w:val="20"/>
          <w:szCs w:val="20"/>
        </w:rPr>
        <w:t>Ononamadu</w:t>
      </w:r>
      <w:proofErr w:type="spellEnd"/>
      <w:r>
        <w:rPr>
          <w:rStyle w:val="normaltextrun"/>
          <w:rFonts w:ascii="Helvetica" w:eastAsiaTheme="majorEastAsia" w:hAnsi="Helvetica" w:cs="Helvetica"/>
          <w:sz w:val="20"/>
          <w:szCs w:val="20"/>
        </w:rPr>
        <w:t xml:space="preserve">, C. J., &amp; </w:t>
      </w:r>
      <w:proofErr w:type="spellStart"/>
      <w:r>
        <w:rPr>
          <w:rStyle w:val="normaltextrun"/>
          <w:rFonts w:ascii="Helvetica" w:eastAsiaTheme="majorEastAsia" w:hAnsi="Helvetica" w:cs="Helvetica"/>
          <w:sz w:val="20"/>
          <w:szCs w:val="20"/>
        </w:rPr>
        <w:t>Ikimi</w:t>
      </w:r>
      <w:proofErr w:type="spellEnd"/>
      <w:r>
        <w:rPr>
          <w:rStyle w:val="normaltextrun"/>
          <w:rFonts w:ascii="Helvetica" w:eastAsiaTheme="majorEastAsia" w:hAnsi="Helvetica" w:cs="Helvetica"/>
          <w:sz w:val="20"/>
          <w:szCs w:val="20"/>
        </w:rPr>
        <w:t xml:space="preserve">, C. G. (2023). Heavy metals contamination of seafood from the </w:t>
      </w:r>
      <w:r>
        <w:rPr>
          <w:rStyle w:val="normaltextrun"/>
          <w:rFonts w:ascii="Helvetica" w:eastAsiaTheme="majorEastAsia" w:hAnsi="Helvetica" w:cs="Helvetica"/>
          <w:sz w:val="20"/>
          <w:szCs w:val="20"/>
        </w:rPr>
        <w:lastRenderedPageBreak/>
        <w:t>crude oil-impacted Niger Delta Region of Nigeria: A systematic review and meta-analysis. Toxicology Reports, 11, 58-82.</w:t>
      </w:r>
      <w:r>
        <w:rPr>
          <w:rStyle w:val="eop"/>
          <w:rFonts w:ascii="Helvetica" w:eastAsiaTheme="majorEastAsia" w:hAnsi="Helvetica" w:cs="Helvetica"/>
          <w:sz w:val="20"/>
          <w:szCs w:val="20"/>
        </w:rPr>
        <w:t> </w:t>
      </w:r>
    </w:p>
    <w:p w14:paraId="7E56AE09" w14:textId="77777777" w:rsidR="000D56CF" w:rsidRDefault="000D56CF" w:rsidP="000D56CF">
      <w:pPr>
        <w:pStyle w:val="paragraph"/>
        <w:numPr>
          <w:ilvl w:val="0"/>
          <w:numId w:val="8"/>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Orajiaka-Uchegbu</w:t>
      </w:r>
      <w:proofErr w:type="spellEnd"/>
      <w:r>
        <w:rPr>
          <w:rStyle w:val="normaltextrun"/>
          <w:rFonts w:ascii="Helvetica" w:eastAsiaTheme="majorEastAsia" w:hAnsi="Helvetica" w:cs="Helvetica"/>
          <w:sz w:val="20"/>
          <w:szCs w:val="20"/>
        </w:rPr>
        <w:t xml:space="preserve">, C., C Patrick-Iwuanyanwu, K., B </w:t>
      </w:r>
      <w:proofErr w:type="spellStart"/>
      <w:r>
        <w:rPr>
          <w:rStyle w:val="normaltextrun"/>
          <w:rFonts w:ascii="Helvetica" w:eastAsiaTheme="majorEastAsia" w:hAnsi="Helvetica" w:cs="Helvetica"/>
          <w:sz w:val="20"/>
          <w:szCs w:val="20"/>
        </w:rPr>
        <w:t>Ogbo</w:t>
      </w:r>
      <w:proofErr w:type="spellEnd"/>
      <w:r>
        <w:rPr>
          <w:rStyle w:val="normaltextrun"/>
          <w:rFonts w:ascii="Helvetica" w:eastAsiaTheme="majorEastAsia" w:hAnsi="Helvetica" w:cs="Helvetica"/>
          <w:sz w:val="20"/>
          <w:szCs w:val="20"/>
        </w:rPr>
        <w:t>, A., &amp; Egbuna, C. (2020). Bioaccumulation of heavy metals and potential health risk through consumption of seafoods from selected creeks in rivers state, Nigeria. Egyptian Journal of Aquatic Biology and Fisheries, 24(7-Special issue), 1033-1053.</w:t>
      </w:r>
      <w:r>
        <w:rPr>
          <w:rStyle w:val="eop"/>
          <w:rFonts w:ascii="Helvetica" w:eastAsiaTheme="majorEastAsia" w:hAnsi="Helvetica" w:cs="Helvetica"/>
          <w:sz w:val="20"/>
          <w:szCs w:val="20"/>
        </w:rPr>
        <w:t> </w:t>
      </w:r>
    </w:p>
    <w:p w14:paraId="5E5F9756" w14:textId="77777777" w:rsidR="000D56CF" w:rsidRDefault="000D56CF" w:rsidP="000D56CF">
      <w:pPr>
        <w:pStyle w:val="paragraph"/>
        <w:numPr>
          <w:ilvl w:val="0"/>
          <w:numId w:val="9"/>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Nkwunonwo</w:t>
      </w:r>
      <w:proofErr w:type="spellEnd"/>
      <w:r>
        <w:rPr>
          <w:rStyle w:val="normaltextrun"/>
          <w:rFonts w:ascii="Helvetica" w:eastAsiaTheme="majorEastAsia" w:hAnsi="Helvetica" w:cs="Helvetica"/>
          <w:sz w:val="20"/>
          <w:szCs w:val="20"/>
        </w:rPr>
        <w:t>, U. C., Odika, P. O., &amp; Onyia, N. I. (2020). A review of the health implications of heavy metals in food chain in Nigeria. The Scientific World Journal, 2020(1), 6594109.</w:t>
      </w:r>
      <w:r>
        <w:rPr>
          <w:rStyle w:val="eop"/>
          <w:rFonts w:ascii="Helvetica" w:eastAsiaTheme="majorEastAsia" w:hAnsi="Helvetica" w:cs="Helvetica"/>
          <w:sz w:val="20"/>
          <w:szCs w:val="20"/>
        </w:rPr>
        <w:t> </w:t>
      </w:r>
    </w:p>
    <w:p w14:paraId="143DB90D" w14:textId="77777777" w:rsidR="000D56CF" w:rsidRDefault="000D56CF" w:rsidP="000D56CF">
      <w:pPr>
        <w:pStyle w:val="paragraph"/>
        <w:numPr>
          <w:ilvl w:val="0"/>
          <w:numId w:val="10"/>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Alasia, D. D., &amp; </w:t>
      </w:r>
      <w:proofErr w:type="spellStart"/>
      <w:r>
        <w:rPr>
          <w:rStyle w:val="normaltextrun"/>
          <w:rFonts w:ascii="Helvetica" w:eastAsiaTheme="majorEastAsia" w:hAnsi="Helvetica" w:cs="Helvetica"/>
          <w:sz w:val="20"/>
          <w:szCs w:val="20"/>
        </w:rPr>
        <w:t>Iyagba</w:t>
      </w:r>
      <w:proofErr w:type="spellEnd"/>
      <w:r>
        <w:rPr>
          <w:rStyle w:val="normaltextrun"/>
          <w:rFonts w:ascii="Helvetica" w:eastAsiaTheme="majorEastAsia" w:hAnsi="Helvetica" w:cs="Helvetica"/>
          <w:sz w:val="20"/>
          <w:szCs w:val="20"/>
        </w:rPr>
        <w:t>, A. M. (2019). The blood lead, blood pressure connection: An evaluation of apparently healthy lead exposed workers in Nigeria. </w:t>
      </w:r>
      <w:r>
        <w:rPr>
          <w:rStyle w:val="normaltextrun"/>
          <w:rFonts w:ascii="Helvetica" w:eastAsiaTheme="majorEastAsia" w:hAnsi="Helvetica" w:cs="Helvetica"/>
          <w:i/>
          <w:iCs/>
          <w:sz w:val="20"/>
          <w:szCs w:val="20"/>
        </w:rPr>
        <w:t>Occupational Diseases and Environmental Medicine</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7</w:t>
      </w:r>
      <w:r>
        <w:rPr>
          <w:rStyle w:val="normaltextrun"/>
          <w:rFonts w:ascii="Helvetica" w:eastAsiaTheme="majorEastAsia" w:hAnsi="Helvetica" w:cs="Helvetica"/>
          <w:sz w:val="20"/>
          <w:szCs w:val="20"/>
        </w:rPr>
        <w:t>(03), 75.</w:t>
      </w:r>
      <w:r>
        <w:rPr>
          <w:rStyle w:val="eop"/>
          <w:rFonts w:ascii="Helvetica" w:eastAsiaTheme="majorEastAsia" w:hAnsi="Helvetica" w:cs="Helvetica"/>
          <w:sz w:val="20"/>
          <w:szCs w:val="20"/>
        </w:rPr>
        <w:t> </w:t>
      </w:r>
    </w:p>
    <w:p w14:paraId="1EF0F666" w14:textId="77777777" w:rsidR="000D56CF" w:rsidRDefault="000D56CF" w:rsidP="000D56CF">
      <w:pPr>
        <w:pStyle w:val="paragraph"/>
        <w:numPr>
          <w:ilvl w:val="0"/>
          <w:numId w:val="11"/>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Ibeh, N., Aneke, J., Okocha, C., Okeke, C., &amp; </w:t>
      </w:r>
      <w:proofErr w:type="spellStart"/>
      <w:r>
        <w:rPr>
          <w:rStyle w:val="normaltextrun"/>
          <w:rFonts w:ascii="Helvetica" w:eastAsiaTheme="majorEastAsia" w:hAnsi="Helvetica" w:cs="Helvetica"/>
          <w:sz w:val="20"/>
          <w:szCs w:val="20"/>
        </w:rPr>
        <w:t>Nwachukwuma</w:t>
      </w:r>
      <w:proofErr w:type="spellEnd"/>
      <w:r>
        <w:rPr>
          <w:rStyle w:val="normaltextrun"/>
          <w:rFonts w:ascii="Helvetica" w:eastAsiaTheme="majorEastAsia" w:hAnsi="Helvetica" w:cs="Helvetica"/>
          <w:sz w:val="20"/>
          <w:szCs w:val="20"/>
        </w:rPr>
        <w:t xml:space="preserve">, J. (2016). The influence of occupational lead exposure on </w:t>
      </w:r>
      <w:proofErr w:type="spellStart"/>
      <w:r>
        <w:rPr>
          <w:rStyle w:val="normaltextrun"/>
          <w:rFonts w:ascii="Helvetica" w:eastAsiaTheme="majorEastAsia" w:hAnsi="Helvetica" w:cs="Helvetica"/>
          <w:sz w:val="20"/>
          <w:szCs w:val="20"/>
        </w:rPr>
        <w:t>haematological</w:t>
      </w:r>
      <w:proofErr w:type="spellEnd"/>
      <w:r>
        <w:rPr>
          <w:rStyle w:val="normaltextrun"/>
          <w:rFonts w:ascii="Helvetica" w:eastAsiaTheme="majorEastAsia" w:hAnsi="Helvetica" w:cs="Helvetica"/>
          <w:sz w:val="20"/>
          <w:szCs w:val="20"/>
        </w:rPr>
        <w:t xml:space="preserve"> indices among petrol station attendants and automobile mechanics in Nnewi, South-East Nigeria. </w:t>
      </w:r>
      <w:r>
        <w:rPr>
          <w:rStyle w:val="normaltextrun"/>
          <w:rFonts w:ascii="Helvetica" w:eastAsiaTheme="majorEastAsia" w:hAnsi="Helvetica" w:cs="Helvetica"/>
          <w:i/>
          <w:iCs/>
          <w:sz w:val="20"/>
          <w:szCs w:val="20"/>
        </w:rPr>
        <w:t xml:space="preserve">J Environ </w:t>
      </w:r>
      <w:proofErr w:type="spellStart"/>
      <w:r>
        <w:rPr>
          <w:rStyle w:val="normaltextrun"/>
          <w:rFonts w:ascii="Helvetica" w:eastAsiaTheme="majorEastAsia" w:hAnsi="Helvetica" w:cs="Helvetica"/>
          <w:i/>
          <w:iCs/>
          <w:sz w:val="20"/>
          <w:szCs w:val="20"/>
        </w:rPr>
        <w:t>Occup</w:t>
      </w:r>
      <w:proofErr w:type="spellEnd"/>
      <w:r>
        <w:rPr>
          <w:rStyle w:val="normaltextrun"/>
          <w:rFonts w:ascii="Helvetica" w:eastAsiaTheme="majorEastAsia" w:hAnsi="Helvetica" w:cs="Helvetica"/>
          <w:i/>
          <w:iCs/>
          <w:sz w:val="20"/>
          <w:szCs w:val="20"/>
        </w:rPr>
        <w:t xml:space="preserve"> Sci</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5</w:t>
      </w:r>
      <w:r>
        <w:rPr>
          <w:rStyle w:val="normaltextrun"/>
          <w:rFonts w:ascii="Helvetica" w:eastAsiaTheme="majorEastAsia" w:hAnsi="Helvetica" w:cs="Helvetica"/>
          <w:sz w:val="20"/>
          <w:szCs w:val="20"/>
        </w:rPr>
        <w:t>(1), 1.</w:t>
      </w:r>
      <w:r>
        <w:rPr>
          <w:rStyle w:val="eop"/>
          <w:rFonts w:ascii="Helvetica" w:eastAsiaTheme="majorEastAsia" w:hAnsi="Helvetica" w:cs="Helvetica"/>
          <w:sz w:val="20"/>
          <w:szCs w:val="20"/>
        </w:rPr>
        <w:t> </w:t>
      </w:r>
    </w:p>
    <w:p w14:paraId="1D297642" w14:textId="77777777" w:rsidR="000D56CF" w:rsidRDefault="000D56CF" w:rsidP="000D56CF">
      <w:pPr>
        <w:pStyle w:val="paragraph"/>
        <w:numPr>
          <w:ilvl w:val="0"/>
          <w:numId w:val="12"/>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Okpogba, A. N., Ogbodo, E. C., Amah, U. K., </w:t>
      </w:r>
      <w:proofErr w:type="spellStart"/>
      <w:r>
        <w:rPr>
          <w:rStyle w:val="normaltextrun"/>
          <w:rFonts w:ascii="Helvetica" w:eastAsiaTheme="majorEastAsia" w:hAnsi="Helvetica" w:cs="Helvetica"/>
          <w:sz w:val="20"/>
          <w:szCs w:val="20"/>
        </w:rPr>
        <w:t>Mounmbegna</w:t>
      </w:r>
      <w:proofErr w:type="spellEnd"/>
      <w:r>
        <w:rPr>
          <w:rStyle w:val="normaltextrun"/>
          <w:rFonts w:ascii="Helvetica" w:eastAsiaTheme="majorEastAsia" w:hAnsi="Helvetica" w:cs="Helvetica"/>
          <w:sz w:val="20"/>
          <w:szCs w:val="20"/>
        </w:rPr>
        <w:t>, E. P., Obi-Ezeani, C. N., &amp; Iwuji, J. C. (2020). Evaluation of some heavy metal levels in blood of lead acid battery manufacturing factory workers in Nnewi, Nigeria. </w:t>
      </w:r>
      <w:r>
        <w:rPr>
          <w:rStyle w:val="normaltextrun"/>
          <w:rFonts w:ascii="Helvetica" w:eastAsiaTheme="majorEastAsia" w:hAnsi="Helvetica" w:cs="Helvetica"/>
          <w:i/>
          <w:iCs/>
          <w:sz w:val="20"/>
          <w:szCs w:val="20"/>
        </w:rPr>
        <w:t xml:space="preserve">Indian J Pharm </w:t>
      </w:r>
      <w:proofErr w:type="spellStart"/>
      <w:r>
        <w:rPr>
          <w:rStyle w:val="normaltextrun"/>
          <w:rFonts w:ascii="Helvetica" w:eastAsiaTheme="majorEastAsia" w:hAnsi="Helvetica" w:cs="Helvetica"/>
          <w:i/>
          <w:iCs/>
          <w:sz w:val="20"/>
          <w:szCs w:val="20"/>
        </w:rPr>
        <w:t>Pharmacol</w:t>
      </w:r>
      <w:proofErr w:type="spellEnd"/>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7</w:t>
      </w:r>
      <w:r>
        <w:rPr>
          <w:rStyle w:val="normaltextrun"/>
          <w:rFonts w:ascii="Helvetica" w:eastAsiaTheme="majorEastAsia" w:hAnsi="Helvetica" w:cs="Helvetica"/>
          <w:sz w:val="20"/>
          <w:szCs w:val="20"/>
        </w:rPr>
        <w:t>(2), 82-94.</w:t>
      </w:r>
      <w:r>
        <w:rPr>
          <w:rStyle w:val="eop"/>
          <w:rFonts w:ascii="Helvetica" w:eastAsiaTheme="majorEastAsia" w:hAnsi="Helvetica" w:cs="Helvetica"/>
          <w:sz w:val="20"/>
          <w:szCs w:val="20"/>
        </w:rPr>
        <w:t> </w:t>
      </w:r>
    </w:p>
    <w:p w14:paraId="5AAA753A" w14:textId="77777777" w:rsidR="000D56CF" w:rsidRDefault="000D56CF" w:rsidP="000D56CF">
      <w:pPr>
        <w:pStyle w:val="paragraph"/>
        <w:numPr>
          <w:ilvl w:val="0"/>
          <w:numId w:val="13"/>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Alli, L. A. (2015). Blood level of cadmium and lead in occupationally exposed persons in Gwagwalada, Abuja, Nigeria. Interdisciplinary toxicology, 8(3), 146.</w:t>
      </w:r>
      <w:r>
        <w:rPr>
          <w:rStyle w:val="eop"/>
          <w:rFonts w:ascii="Helvetica" w:eastAsiaTheme="majorEastAsia" w:hAnsi="Helvetica" w:cs="Helvetica"/>
          <w:sz w:val="20"/>
          <w:szCs w:val="20"/>
        </w:rPr>
        <w:t> </w:t>
      </w:r>
    </w:p>
    <w:p w14:paraId="58601533" w14:textId="77777777" w:rsidR="000D56CF" w:rsidRDefault="000D56CF" w:rsidP="000D56CF">
      <w:pPr>
        <w:pStyle w:val="paragraph"/>
        <w:numPr>
          <w:ilvl w:val="0"/>
          <w:numId w:val="14"/>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Ajumobi</w:t>
      </w:r>
      <w:proofErr w:type="spellEnd"/>
      <w:r>
        <w:rPr>
          <w:rStyle w:val="normaltextrun"/>
          <w:rFonts w:ascii="Helvetica" w:eastAsiaTheme="majorEastAsia" w:hAnsi="Helvetica" w:cs="Helvetica"/>
          <w:sz w:val="20"/>
          <w:szCs w:val="20"/>
        </w:rPr>
        <w:t xml:space="preserve">, O. O., Tsofo, A., Yango, M., Aworh, M. K., </w:t>
      </w:r>
      <w:proofErr w:type="spellStart"/>
      <w:r>
        <w:rPr>
          <w:rStyle w:val="normaltextrun"/>
          <w:rFonts w:ascii="Helvetica" w:eastAsiaTheme="majorEastAsia" w:hAnsi="Helvetica" w:cs="Helvetica"/>
          <w:sz w:val="20"/>
          <w:szCs w:val="20"/>
        </w:rPr>
        <w:t>Anagbogu</w:t>
      </w:r>
      <w:proofErr w:type="spellEnd"/>
      <w:r>
        <w:rPr>
          <w:rStyle w:val="normaltextrun"/>
          <w:rFonts w:ascii="Helvetica" w:eastAsiaTheme="majorEastAsia" w:hAnsi="Helvetica" w:cs="Helvetica"/>
          <w:sz w:val="20"/>
          <w:szCs w:val="20"/>
        </w:rPr>
        <w:t xml:space="preserve">, I. N., Mohammed, A., ... &amp; Nsubuga, P. (2014). High concentration of blood lead levels among young children in </w:t>
      </w:r>
      <w:proofErr w:type="spellStart"/>
      <w:r>
        <w:rPr>
          <w:rStyle w:val="normaltextrun"/>
          <w:rFonts w:ascii="Helvetica" w:eastAsiaTheme="majorEastAsia" w:hAnsi="Helvetica" w:cs="Helvetica"/>
          <w:sz w:val="20"/>
          <w:szCs w:val="20"/>
        </w:rPr>
        <w:t>Bagega</w:t>
      </w:r>
      <w:proofErr w:type="spellEnd"/>
      <w:r>
        <w:rPr>
          <w:rStyle w:val="normaltextrun"/>
          <w:rFonts w:ascii="Helvetica" w:eastAsiaTheme="majorEastAsia" w:hAnsi="Helvetica" w:cs="Helvetica"/>
          <w:sz w:val="20"/>
          <w:szCs w:val="20"/>
        </w:rPr>
        <w:t xml:space="preserve"> community, Zamfara–Nigeria and the potential risk factor. </w:t>
      </w:r>
      <w:r>
        <w:rPr>
          <w:rStyle w:val="normaltextrun"/>
          <w:rFonts w:ascii="Helvetica" w:eastAsiaTheme="majorEastAsia" w:hAnsi="Helvetica" w:cs="Helvetica"/>
          <w:i/>
          <w:iCs/>
          <w:sz w:val="20"/>
          <w:szCs w:val="20"/>
        </w:rPr>
        <w:t>The Pan African Medical Journal</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18</w:t>
      </w:r>
      <w:r>
        <w:rPr>
          <w:rStyle w:val="normaltextrun"/>
          <w:rFonts w:ascii="Helvetica" w:eastAsiaTheme="majorEastAsia" w:hAnsi="Helvetica" w:cs="Helvetica"/>
          <w:sz w:val="20"/>
          <w:szCs w:val="20"/>
        </w:rPr>
        <w:t>(Suppl 1), 14.</w:t>
      </w:r>
      <w:r>
        <w:rPr>
          <w:rStyle w:val="eop"/>
          <w:rFonts w:ascii="Helvetica" w:eastAsiaTheme="majorEastAsia" w:hAnsi="Helvetica" w:cs="Helvetica"/>
          <w:sz w:val="20"/>
          <w:szCs w:val="20"/>
        </w:rPr>
        <w:t> </w:t>
      </w:r>
    </w:p>
    <w:p w14:paraId="791A2B47" w14:textId="77777777" w:rsidR="000D56CF" w:rsidRDefault="000D56CF" w:rsidP="000D56CF">
      <w:pPr>
        <w:pStyle w:val="paragraph"/>
        <w:numPr>
          <w:ilvl w:val="0"/>
          <w:numId w:val="15"/>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World Health Organization. (2022). </w:t>
      </w:r>
      <w:r>
        <w:rPr>
          <w:rStyle w:val="normaltextrun"/>
          <w:rFonts w:ascii="Helvetica" w:eastAsiaTheme="majorEastAsia" w:hAnsi="Helvetica" w:cs="Helvetica"/>
          <w:i/>
          <w:iCs/>
          <w:sz w:val="20"/>
          <w:szCs w:val="20"/>
        </w:rPr>
        <w:t>Global status report on blood safety and availability 2021</w:t>
      </w:r>
      <w:r>
        <w:rPr>
          <w:rStyle w:val="normaltextrun"/>
          <w:rFonts w:ascii="Helvetica" w:eastAsiaTheme="majorEastAsia" w:hAnsi="Helvetica" w:cs="Helvetica"/>
          <w:sz w:val="20"/>
          <w:szCs w:val="20"/>
        </w:rPr>
        <w:t>. World Health Organization.</w:t>
      </w:r>
      <w:r>
        <w:rPr>
          <w:rStyle w:val="eop"/>
          <w:rFonts w:ascii="Helvetica" w:eastAsiaTheme="majorEastAsia" w:hAnsi="Helvetica" w:cs="Helvetica"/>
          <w:sz w:val="20"/>
          <w:szCs w:val="20"/>
        </w:rPr>
        <w:t> </w:t>
      </w:r>
    </w:p>
    <w:p w14:paraId="7BFB3641" w14:textId="77777777" w:rsidR="000D56CF" w:rsidRDefault="000D56CF" w:rsidP="000D56CF">
      <w:pPr>
        <w:pStyle w:val="paragraph"/>
        <w:numPr>
          <w:ilvl w:val="0"/>
          <w:numId w:val="16"/>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Bani, M., &amp; Giussani, B. (2010). Gender differences in giving blood: a review of the literature. </w:t>
      </w:r>
      <w:r>
        <w:rPr>
          <w:rStyle w:val="normaltextrun"/>
          <w:rFonts w:ascii="Helvetica" w:eastAsiaTheme="majorEastAsia" w:hAnsi="Helvetica" w:cs="Helvetica"/>
          <w:i/>
          <w:iCs/>
          <w:sz w:val="20"/>
          <w:szCs w:val="20"/>
        </w:rPr>
        <w:t>Blood Transfusion</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8</w:t>
      </w:r>
      <w:r>
        <w:rPr>
          <w:rStyle w:val="normaltextrun"/>
          <w:rFonts w:ascii="Helvetica" w:eastAsiaTheme="majorEastAsia" w:hAnsi="Helvetica" w:cs="Helvetica"/>
          <w:sz w:val="20"/>
          <w:szCs w:val="20"/>
        </w:rPr>
        <w:t>(4), 278.</w:t>
      </w:r>
      <w:r>
        <w:rPr>
          <w:rStyle w:val="eop"/>
          <w:rFonts w:ascii="Helvetica" w:eastAsiaTheme="majorEastAsia" w:hAnsi="Helvetica" w:cs="Helvetica"/>
          <w:sz w:val="20"/>
          <w:szCs w:val="20"/>
        </w:rPr>
        <w:t> </w:t>
      </w:r>
    </w:p>
    <w:p w14:paraId="6F5D585E" w14:textId="77777777" w:rsidR="000D56CF" w:rsidRDefault="000D56CF" w:rsidP="000D56CF">
      <w:pPr>
        <w:pStyle w:val="paragraph"/>
        <w:numPr>
          <w:ilvl w:val="0"/>
          <w:numId w:val="17"/>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Patel, E. U., Bloch, E. M., Grabowski, M. K., Goel, R., Lokhandwala, P. M., Brunker, P. A., ... &amp; Tobian, A. A. (2019). Sociodemographic and behavioral characteristics associated with blood donation in the United States: a population</w:t>
      </w:r>
      <w:r>
        <w:rPr>
          <w:rStyle w:val="normaltextrun"/>
          <w:rFonts w:ascii="Cambria Math" w:eastAsiaTheme="majorEastAsia" w:hAnsi="Cambria Math" w:cs="Cambria Math"/>
          <w:sz w:val="20"/>
          <w:szCs w:val="20"/>
        </w:rPr>
        <w:t>‐</w:t>
      </w:r>
      <w:r>
        <w:rPr>
          <w:rStyle w:val="normaltextrun"/>
          <w:rFonts w:ascii="Helvetica" w:eastAsiaTheme="majorEastAsia" w:hAnsi="Helvetica" w:cs="Helvetica"/>
          <w:sz w:val="20"/>
          <w:szCs w:val="20"/>
        </w:rPr>
        <w:t>based study. </w:t>
      </w:r>
      <w:r>
        <w:rPr>
          <w:rStyle w:val="normaltextrun"/>
          <w:rFonts w:ascii="Helvetica" w:eastAsiaTheme="majorEastAsia" w:hAnsi="Helvetica" w:cs="Helvetica"/>
          <w:i/>
          <w:iCs/>
          <w:sz w:val="20"/>
          <w:szCs w:val="20"/>
        </w:rPr>
        <w:t>Transfusion</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59</w:t>
      </w:r>
      <w:r>
        <w:rPr>
          <w:rStyle w:val="normaltextrun"/>
          <w:rFonts w:ascii="Helvetica" w:eastAsiaTheme="majorEastAsia" w:hAnsi="Helvetica" w:cs="Helvetica"/>
          <w:sz w:val="20"/>
          <w:szCs w:val="20"/>
        </w:rPr>
        <w:t>(9), 2899-2907.</w:t>
      </w:r>
      <w:r>
        <w:rPr>
          <w:rStyle w:val="eop"/>
          <w:rFonts w:ascii="Helvetica" w:eastAsiaTheme="majorEastAsia" w:hAnsi="Helvetica" w:cs="Helvetica"/>
          <w:sz w:val="20"/>
          <w:szCs w:val="20"/>
        </w:rPr>
        <w:t> </w:t>
      </w:r>
    </w:p>
    <w:p w14:paraId="6B13F89F" w14:textId="77777777" w:rsidR="000D56CF" w:rsidRDefault="000D56CF" w:rsidP="000D56CF">
      <w:pPr>
        <w:pStyle w:val="paragraph"/>
        <w:numPr>
          <w:ilvl w:val="0"/>
          <w:numId w:val="18"/>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Allain, J. P., Sarkodie, F., Asenso</w:t>
      </w:r>
      <w:r>
        <w:rPr>
          <w:rStyle w:val="normaltextrun"/>
          <w:rFonts w:ascii="Cambria Math" w:eastAsiaTheme="majorEastAsia" w:hAnsi="Cambria Math" w:cs="Cambria Math"/>
          <w:sz w:val="20"/>
          <w:szCs w:val="20"/>
        </w:rPr>
        <w:t>‐</w:t>
      </w:r>
      <w:r>
        <w:rPr>
          <w:rStyle w:val="normaltextrun"/>
          <w:rFonts w:ascii="Helvetica" w:eastAsiaTheme="majorEastAsia" w:hAnsi="Helvetica" w:cs="Helvetica"/>
          <w:sz w:val="20"/>
          <w:szCs w:val="20"/>
        </w:rPr>
        <w:t>Mensah, K., &amp; Owusu</w:t>
      </w:r>
      <w:r>
        <w:rPr>
          <w:rStyle w:val="normaltextrun"/>
          <w:rFonts w:ascii="Cambria Math" w:eastAsiaTheme="majorEastAsia" w:hAnsi="Cambria Math" w:cs="Cambria Math"/>
          <w:sz w:val="20"/>
          <w:szCs w:val="20"/>
        </w:rPr>
        <w:t>‐</w:t>
      </w:r>
      <w:r>
        <w:rPr>
          <w:rStyle w:val="normaltextrun"/>
          <w:rFonts w:ascii="Helvetica" w:eastAsiaTheme="majorEastAsia" w:hAnsi="Helvetica" w:cs="Helvetica"/>
          <w:sz w:val="20"/>
          <w:szCs w:val="20"/>
        </w:rPr>
        <w:t>Ofori, S. (2010). Relative safety of first</w:t>
      </w:r>
      <w:r>
        <w:rPr>
          <w:rStyle w:val="normaltextrun"/>
          <w:rFonts w:ascii="Cambria Math" w:eastAsiaTheme="majorEastAsia" w:hAnsi="Cambria Math" w:cs="Cambria Math"/>
          <w:sz w:val="20"/>
          <w:szCs w:val="20"/>
        </w:rPr>
        <w:t>‐</w:t>
      </w:r>
      <w:r>
        <w:rPr>
          <w:rStyle w:val="normaltextrun"/>
          <w:rFonts w:ascii="Helvetica" w:eastAsiaTheme="majorEastAsia" w:hAnsi="Helvetica" w:cs="Helvetica"/>
          <w:sz w:val="20"/>
          <w:szCs w:val="20"/>
        </w:rPr>
        <w:t>time volunteer and replacement donors in West Africa. </w:t>
      </w:r>
      <w:r>
        <w:rPr>
          <w:rStyle w:val="normaltextrun"/>
          <w:rFonts w:ascii="Helvetica" w:eastAsiaTheme="majorEastAsia" w:hAnsi="Helvetica" w:cs="Helvetica"/>
          <w:i/>
          <w:iCs/>
          <w:sz w:val="20"/>
          <w:szCs w:val="20"/>
        </w:rPr>
        <w:t>Transfusion</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50</w:t>
      </w:r>
      <w:r>
        <w:rPr>
          <w:rStyle w:val="normaltextrun"/>
          <w:rFonts w:ascii="Helvetica" w:eastAsiaTheme="majorEastAsia" w:hAnsi="Helvetica" w:cs="Helvetica"/>
          <w:sz w:val="20"/>
          <w:szCs w:val="20"/>
        </w:rPr>
        <w:t>(2), 340-343.</w:t>
      </w:r>
      <w:r>
        <w:rPr>
          <w:rStyle w:val="eop"/>
          <w:rFonts w:ascii="Helvetica" w:eastAsiaTheme="majorEastAsia" w:hAnsi="Helvetica" w:cs="Helvetica"/>
          <w:sz w:val="20"/>
          <w:szCs w:val="20"/>
        </w:rPr>
        <w:t> </w:t>
      </w:r>
    </w:p>
    <w:p w14:paraId="7835C9F2" w14:textId="77777777" w:rsidR="000D56CF" w:rsidRDefault="000D56CF" w:rsidP="000D56CF">
      <w:pPr>
        <w:pStyle w:val="paragraph"/>
        <w:numPr>
          <w:ilvl w:val="0"/>
          <w:numId w:val="19"/>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Erhabor</w:t>
      </w:r>
      <w:proofErr w:type="spellEnd"/>
      <w:r>
        <w:rPr>
          <w:rStyle w:val="normaltextrun"/>
          <w:rFonts w:ascii="Helvetica" w:eastAsiaTheme="majorEastAsia" w:hAnsi="Helvetica" w:cs="Helvetica"/>
          <w:sz w:val="20"/>
          <w:szCs w:val="20"/>
        </w:rPr>
        <w:t xml:space="preserve">, O., Imrana, S., Buhari, H., Abubakar, W., Abdulrahaman, Y., Isaac, I. Z., ... &amp; </w:t>
      </w:r>
      <w:proofErr w:type="spellStart"/>
      <w:r>
        <w:rPr>
          <w:rStyle w:val="normaltextrun"/>
          <w:rFonts w:ascii="Helvetica" w:eastAsiaTheme="majorEastAsia" w:hAnsi="Helvetica" w:cs="Helvetica"/>
          <w:sz w:val="20"/>
          <w:szCs w:val="20"/>
        </w:rPr>
        <w:t>Mainasara</w:t>
      </w:r>
      <w:proofErr w:type="spellEnd"/>
      <w:r>
        <w:rPr>
          <w:rStyle w:val="normaltextrun"/>
          <w:rFonts w:ascii="Helvetica" w:eastAsiaTheme="majorEastAsia" w:hAnsi="Helvetica" w:cs="Helvetica"/>
          <w:sz w:val="20"/>
          <w:szCs w:val="20"/>
        </w:rPr>
        <w:t>, A. (2014). Prevalence of anaemia among blood donors in Sokoto, North Western, Nigeria. </w:t>
      </w:r>
      <w:r>
        <w:rPr>
          <w:rStyle w:val="normaltextrun"/>
          <w:rFonts w:ascii="Helvetica" w:eastAsiaTheme="majorEastAsia" w:hAnsi="Helvetica" w:cs="Helvetica"/>
          <w:i/>
          <w:iCs/>
          <w:sz w:val="20"/>
          <w:szCs w:val="20"/>
        </w:rPr>
        <w:t>Int J Clin Med Res</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1</w:t>
      </w:r>
      <w:r>
        <w:rPr>
          <w:rStyle w:val="normaltextrun"/>
          <w:rFonts w:ascii="Helvetica" w:eastAsiaTheme="majorEastAsia" w:hAnsi="Helvetica" w:cs="Helvetica"/>
          <w:sz w:val="20"/>
          <w:szCs w:val="20"/>
        </w:rPr>
        <w:t>(3), 85-89.</w:t>
      </w:r>
      <w:r>
        <w:rPr>
          <w:rStyle w:val="eop"/>
          <w:rFonts w:ascii="Helvetica" w:eastAsiaTheme="majorEastAsia" w:hAnsi="Helvetica" w:cs="Helvetica"/>
          <w:sz w:val="20"/>
          <w:szCs w:val="20"/>
        </w:rPr>
        <w:t> </w:t>
      </w:r>
    </w:p>
    <w:p w14:paraId="42912F31" w14:textId="77777777" w:rsidR="000D56CF" w:rsidRDefault="000D56CF" w:rsidP="000D56CF">
      <w:pPr>
        <w:pStyle w:val="paragraph"/>
        <w:numPr>
          <w:ilvl w:val="0"/>
          <w:numId w:val="20"/>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Alla</w:t>
      </w:r>
      <w:proofErr w:type="spellEnd"/>
      <w:r>
        <w:rPr>
          <w:rStyle w:val="normaltextrun"/>
          <w:rFonts w:ascii="Helvetica" w:eastAsiaTheme="majorEastAsia" w:hAnsi="Helvetica" w:cs="Helvetica"/>
          <w:sz w:val="20"/>
          <w:szCs w:val="20"/>
        </w:rPr>
        <w:t xml:space="preserve">, J., Muhammad, Y., Habeeb, A., Mustapha, A., Andrew, C., &amp; Saeed, S. (2019). Gender distribution of blood donors and blood recipients in </w:t>
      </w:r>
      <w:proofErr w:type="spellStart"/>
      <w:r>
        <w:rPr>
          <w:rStyle w:val="normaltextrun"/>
          <w:rFonts w:ascii="Helvetica" w:eastAsiaTheme="majorEastAsia" w:hAnsi="Helvetica" w:cs="Helvetica"/>
          <w:sz w:val="20"/>
          <w:szCs w:val="20"/>
        </w:rPr>
        <w:t>rasheed</w:t>
      </w:r>
      <w:proofErr w:type="spellEnd"/>
      <w:r>
        <w:rPr>
          <w:rStyle w:val="normaltextrun"/>
          <w:rFonts w:ascii="Helvetica" w:eastAsiaTheme="majorEastAsia" w:hAnsi="Helvetica" w:cs="Helvetica"/>
          <w:sz w:val="20"/>
          <w:szCs w:val="20"/>
        </w:rPr>
        <w:t xml:space="preserve"> </w:t>
      </w:r>
      <w:proofErr w:type="spellStart"/>
      <w:r>
        <w:rPr>
          <w:rStyle w:val="normaltextrun"/>
          <w:rFonts w:ascii="Helvetica" w:eastAsiaTheme="majorEastAsia" w:hAnsi="Helvetica" w:cs="Helvetica"/>
          <w:sz w:val="20"/>
          <w:szCs w:val="20"/>
        </w:rPr>
        <w:t>shekoni</w:t>
      </w:r>
      <w:proofErr w:type="spellEnd"/>
      <w:r>
        <w:rPr>
          <w:rStyle w:val="normaltextrun"/>
          <w:rFonts w:ascii="Helvetica" w:eastAsiaTheme="majorEastAsia" w:hAnsi="Helvetica" w:cs="Helvetica"/>
          <w:sz w:val="20"/>
          <w:szCs w:val="20"/>
        </w:rPr>
        <w:t xml:space="preserve"> teaching hospital </w:t>
      </w:r>
      <w:proofErr w:type="spellStart"/>
      <w:r>
        <w:rPr>
          <w:rStyle w:val="normaltextrun"/>
          <w:rFonts w:ascii="Helvetica" w:eastAsiaTheme="majorEastAsia" w:hAnsi="Helvetica" w:cs="Helvetica"/>
          <w:sz w:val="20"/>
          <w:szCs w:val="20"/>
        </w:rPr>
        <w:t>dutse</w:t>
      </w:r>
      <w:proofErr w:type="spellEnd"/>
      <w:r>
        <w:rPr>
          <w:rStyle w:val="normaltextrun"/>
          <w:rFonts w:ascii="Helvetica" w:eastAsiaTheme="majorEastAsia" w:hAnsi="Helvetica" w:cs="Helvetica"/>
          <w:sz w:val="20"/>
          <w:szCs w:val="20"/>
        </w:rPr>
        <w:t>, Jigawa state, Nigeria. </w:t>
      </w:r>
      <w:r>
        <w:rPr>
          <w:rStyle w:val="normaltextrun"/>
          <w:rFonts w:ascii="Helvetica" w:eastAsiaTheme="majorEastAsia" w:hAnsi="Helvetica" w:cs="Helvetica"/>
          <w:i/>
          <w:iCs/>
          <w:sz w:val="20"/>
          <w:szCs w:val="20"/>
        </w:rPr>
        <w:t>Int J Sci Res Eng Dev</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2</w:t>
      </w:r>
      <w:r>
        <w:rPr>
          <w:rStyle w:val="normaltextrun"/>
          <w:rFonts w:ascii="Helvetica" w:eastAsiaTheme="majorEastAsia" w:hAnsi="Helvetica" w:cs="Helvetica"/>
          <w:sz w:val="20"/>
          <w:szCs w:val="20"/>
        </w:rPr>
        <w:t>(1), 20-24.</w:t>
      </w:r>
      <w:r>
        <w:rPr>
          <w:rStyle w:val="eop"/>
          <w:rFonts w:ascii="Helvetica" w:eastAsiaTheme="majorEastAsia" w:hAnsi="Helvetica" w:cs="Helvetica"/>
          <w:sz w:val="20"/>
          <w:szCs w:val="20"/>
        </w:rPr>
        <w:t> </w:t>
      </w:r>
    </w:p>
    <w:p w14:paraId="56CC4264" w14:textId="77777777" w:rsidR="000D56CF" w:rsidRDefault="000D56CF" w:rsidP="000D56CF">
      <w:pPr>
        <w:pStyle w:val="paragraph"/>
        <w:numPr>
          <w:ilvl w:val="0"/>
          <w:numId w:val="21"/>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Ugwu, A. O., Madu, A. J., </w:t>
      </w:r>
      <w:proofErr w:type="spellStart"/>
      <w:r>
        <w:rPr>
          <w:rStyle w:val="normaltextrun"/>
          <w:rFonts w:ascii="Helvetica" w:eastAsiaTheme="majorEastAsia" w:hAnsi="Helvetica" w:cs="Helvetica"/>
          <w:sz w:val="20"/>
          <w:szCs w:val="20"/>
        </w:rPr>
        <w:t>Efobi</w:t>
      </w:r>
      <w:proofErr w:type="spellEnd"/>
      <w:r>
        <w:rPr>
          <w:rStyle w:val="normaltextrun"/>
          <w:rFonts w:ascii="Helvetica" w:eastAsiaTheme="majorEastAsia" w:hAnsi="Helvetica" w:cs="Helvetica"/>
          <w:sz w:val="20"/>
          <w:szCs w:val="20"/>
        </w:rPr>
        <w:t xml:space="preserve">, C. C., &amp; </w:t>
      </w:r>
      <w:proofErr w:type="spellStart"/>
      <w:r>
        <w:rPr>
          <w:rStyle w:val="normaltextrun"/>
          <w:rFonts w:ascii="Helvetica" w:eastAsiaTheme="majorEastAsia" w:hAnsi="Helvetica" w:cs="Helvetica"/>
          <w:sz w:val="20"/>
          <w:szCs w:val="20"/>
        </w:rPr>
        <w:t>Ibegbulam</w:t>
      </w:r>
      <w:proofErr w:type="spellEnd"/>
      <w:r>
        <w:rPr>
          <w:rStyle w:val="normaltextrun"/>
          <w:rFonts w:ascii="Helvetica" w:eastAsiaTheme="majorEastAsia" w:hAnsi="Helvetica" w:cs="Helvetica"/>
          <w:sz w:val="20"/>
          <w:szCs w:val="20"/>
        </w:rPr>
        <w:t>, O. G. (2018). Pattern of blood donation and characteristics of blood donors in Enugu, Southeast Nigeria. </w:t>
      </w:r>
      <w:r>
        <w:rPr>
          <w:rStyle w:val="normaltextrun"/>
          <w:rFonts w:ascii="Helvetica" w:eastAsiaTheme="majorEastAsia" w:hAnsi="Helvetica" w:cs="Helvetica"/>
          <w:i/>
          <w:iCs/>
          <w:sz w:val="20"/>
          <w:szCs w:val="20"/>
        </w:rPr>
        <w:t>Nigerian journal of clinical practice</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21</w:t>
      </w:r>
      <w:r>
        <w:rPr>
          <w:rStyle w:val="normaltextrun"/>
          <w:rFonts w:ascii="Helvetica" w:eastAsiaTheme="majorEastAsia" w:hAnsi="Helvetica" w:cs="Helvetica"/>
          <w:sz w:val="20"/>
          <w:szCs w:val="20"/>
        </w:rPr>
        <w:t>(11), 1438-1443.</w:t>
      </w:r>
      <w:r>
        <w:rPr>
          <w:rStyle w:val="eop"/>
          <w:rFonts w:ascii="Helvetica" w:eastAsiaTheme="majorEastAsia" w:hAnsi="Helvetica" w:cs="Helvetica"/>
          <w:sz w:val="20"/>
          <w:szCs w:val="20"/>
        </w:rPr>
        <w:t> </w:t>
      </w:r>
    </w:p>
    <w:p w14:paraId="751BDD20" w14:textId="77777777" w:rsidR="000D56CF" w:rsidRDefault="000D56CF" w:rsidP="000D56CF">
      <w:pPr>
        <w:pStyle w:val="paragraph"/>
        <w:numPr>
          <w:ilvl w:val="0"/>
          <w:numId w:val="22"/>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John, C. A., Theodora, U. E., Gloria, A. N., &amp; Chika, E. A. (2017). Adverse reactions to blood donation: A descriptive study of 3520 blood donors in a Nigerian tertiary hospital. </w:t>
      </w:r>
      <w:r>
        <w:rPr>
          <w:rStyle w:val="normaltextrun"/>
          <w:rFonts w:ascii="Helvetica" w:eastAsiaTheme="majorEastAsia" w:hAnsi="Helvetica" w:cs="Helvetica"/>
          <w:i/>
          <w:iCs/>
          <w:sz w:val="20"/>
          <w:szCs w:val="20"/>
        </w:rPr>
        <w:t>Medical Journal of Dr. DY Patil Vidyapeeth</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10</w:t>
      </w:r>
      <w:r>
        <w:rPr>
          <w:rStyle w:val="normaltextrun"/>
          <w:rFonts w:ascii="Helvetica" w:eastAsiaTheme="majorEastAsia" w:hAnsi="Helvetica" w:cs="Helvetica"/>
          <w:sz w:val="20"/>
          <w:szCs w:val="20"/>
        </w:rPr>
        <w:t>(1), 36-40.</w:t>
      </w:r>
      <w:r>
        <w:rPr>
          <w:rStyle w:val="eop"/>
          <w:rFonts w:ascii="Helvetica" w:eastAsiaTheme="majorEastAsia" w:hAnsi="Helvetica" w:cs="Helvetica"/>
          <w:sz w:val="20"/>
          <w:szCs w:val="20"/>
        </w:rPr>
        <w:t> </w:t>
      </w:r>
    </w:p>
    <w:p w14:paraId="48FF1CEB" w14:textId="77777777" w:rsidR="000D56CF" w:rsidRDefault="000D56CF" w:rsidP="000D56CF">
      <w:pPr>
        <w:pStyle w:val="paragraph"/>
        <w:numPr>
          <w:ilvl w:val="0"/>
          <w:numId w:val="23"/>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Inyang-</w:t>
      </w:r>
      <w:proofErr w:type="spellStart"/>
      <w:r>
        <w:rPr>
          <w:rStyle w:val="normaltextrun"/>
          <w:rFonts w:ascii="Helvetica" w:eastAsiaTheme="majorEastAsia" w:hAnsi="Helvetica" w:cs="Helvetica"/>
          <w:sz w:val="20"/>
          <w:szCs w:val="20"/>
        </w:rPr>
        <w:t>Etoh</w:t>
      </w:r>
      <w:proofErr w:type="spellEnd"/>
      <w:r>
        <w:rPr>
          <w:rStyle w:val="normaltextrun"/>
          <w:rFonts w:ascii="Helvetica" w:eastAsiaTheme="majorEastAsia" w:hAnsi="Helvetica" w:cs="Helvetica"/>
          <w:sz w:val="20"/>
          <w:szCs w:val="20"/>
        </w:rPr>
        <w:t xml:space="preserve">, P., </w:t>
      </w:r>
      <w:proofErr w:type="spellStart"/>
      <w:r>
        <w:rPr>
          <w:rStyle w:val="normaltextrun"/>
          <w:rFonts w:ascii="Helvetica" w:eastAsiaTheme="majorEastAsia" w:hAnsi="Helvetica" w:cs="Helvetica"/>
          <w:sz w:val="20"/>
          <w:szCs w:val="20"/>
        </w:rPr>
        <w:t>Etefia</w:t>
      </w:r>
      <w:proofErr w:type="spellEnd"/>
      <w:r>
        <w:rPr>
          <w:rStyle w:val="normaltextrun"/>
          <w:rFonts w:ascii="Helvetica" w:eastAsiaTheme="majorEastAsia" w:hAnsi="Helvetica" w:cs="Helvetica"/>
          <w:sz w:val="20"/>
          <w:szCs w:val="20"/>
        </w:rPr>
        <w:t xml:space="preserve">, E., Chime, C., &amp; Ejezie, G. (2021). Prevalence of </w:t>
      </w:r>
      <w:proofErr w:type="spellStart"/>
      <w:r>
        <w:rPr>
          <w:rStyle w:val="normaltextrun"/>
          <w:rFonts w:ascii="Helvetica" w:eastAsiaTheme="majorEastAsia" w:hAnsi="Helvetica" w:cs="Helvetica"/>
          <w:sz w:val="20"/>
          <w:szCs w:val="20"/>
        </w:rPr>
        <w:t>Haemoparasites</w:t>
      </w:r>
      <w:proofErr w:type="spellEnd"/>
      <w:r>
        <w:rPr>
          <w:rStyle w:val="normaltextrun"/>
          <w:rFonts w:ascii="Helvetica" w:eastAsiaTheme="majorEastAsia" w:hAnsi="Helvetica" w:cs="Helvetica"/>
          <w:sz w:val="20"/>
          <w:szCs w:val="20"/>
        </w:rPr>
        <w:t xml:space="preserve"> among Blood Donors in Calabar, Nigeria. </w:t>
      </w:r>
      <w:r>
        <w:rPr>
          <w:rStyle w:val="normaltextrun"/>
          <w:rFonts w:ascii="Helvetica" w:eastAsiaTheme="majorEastAsia" w:hAnsi="Helvetica" w:cs="Helvetica"/>
          <w:i/>
          <w:iCs/>
          <w:sz w:val="20"/>
          <w:szCs w:val="20"/>
        </w:rPr>
        <w:t>Medical Laboratory Journal</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15</w:t>
      </w:r>
      <w:r>
        <w:rPr>
          <w:rStyle w:val="normaltextrun"/>
          <w:rFonts w:ascii="Helvetica" w:eastAsiaTheme="majorEastAsia" w:hAnsi="Helvetica" w:cs="Helvetica"/>
          <w:sz w:val="20"/>
          <w:szCs w:val="20"/>
        </w:rPr>
        <w:t>(6), 17-22.</w:t>
      </w:r>
      <w:r>
        <w:rPr>
          <w:rStyle w:val="eop"/>
          <w:rFonts w:ascii="Helvetica" w:eastAsiaTheme="majorEastAsia" w:hAnsi="Helvetica" w:cs="Helvetica"/>
          <w:sz w:val="20"/>
          <w:szCs w:val="20"/>
        </w:rPr>
        <w:t> </w:t>
      </w:r>
    </w:p>
    <w:p w14:paraId="7E054CCB" w14:textId="77777777" w:rsidR="000D56CF" w:rsidRDefault="000D56CF" w:rsidP="000D56CF">
      <w:pPr>
        <w:pStyle w:val="paragraph"/>
        <w:numPr>
          <w:ilvl w:val="0"/>
          <w:numId w:val="24"/>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Ndukwu</w:t>
      </w:r>
      <w:proofErr w:type="spellEnd"/>
      <w:r>
        <w:rPr>
          <w:rStyle w:val="normaltextrun"/>
          <w:rFonts w:ascii="Helvetica" w:eastAsiaTheme="majorEastAsia" w:hAnsi="Helvetica" w:cs="Helvetica"/>
          <w:sz w:val="20"/>
          <w:szCs w:val="20"/>
        </w:rPr>
        <w:t>, C. L., &amp; Chinedu-Madu, J. U. (2024). The Seroprevalence of Transfusion-Transmissible Pathogens: A Retrospective Study in Port Harcourt, Nigeria. </w:t>
      </w:r>
      <w:r>
        <w:rPr>
          <w:rStyle w:val="normaltextrun"/>
          <w:rFonts w:ascii="Helvetica" w:eastAsiaTheme="majorEastAsia" w:hAnsi="Helvetica" w:cs="Helvetica"/>
          <w:i/>
          <w:iCs/>
          <w:sz w:val="20"/>
          <w:szCs w:val="20"/>
        </w:rPr>
        <w:t>International Journal of Research and Reports in Hematology</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7</w:t>
      </w:r>
      <w:r>
        <w:rPr>
          <w:rStyle w:val="normaltextrun"/>
          <w:rFonts w:ascii="Helvetica" w:eastAsiaTheme="majorEastAsia" w:hAnsi="Helvetica" w:cs="Helvetica"/>
          <w:sz w:val="20"/>
          <w:szCs w:val="20"/>
        </w:rPr>
        <w:t>(2), 138-47.</w:t>
      </w:r>
      <w:r>
        <w:rPr>
          <w:rStyle w:val="eop"/>
          <w:rFonts w:ascii="Helvetica" w:eastAsiaTheme="majorEastAsia" w:hAnsi="Helvetica" w:cs="Helvetica"/>
          <w:sz w:val="20"/>
          <w:szCs w:val="20"/>
        </w:rPr>
        <w:t> </w:t>
      </w:r>
    </w:p>
    <w:p w14:paraId="2C5FF764" w14:textId="77777777" w:rsidR="000D56CF" w:rsidRDefault="000D56CF" w:rsidP="000D56CF">
      <w:pPr>
        <w:pStyle w:val="paragraph"/>
        <w:numPr>
          <w:ilvl w:val="0"/>
          <w:numId w:val="25"/>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Sheykhsoltan, M., Wu, W., Mei, Z., Ward, D. C., &amp; Ziman, A. (2022). Who donates? patterns of blood donation and donor characteristics at a University</w:t>
      </w:r>
      <w:r>
        <w:rPr>
          <w:rStyle w:val="normaltextrun"/>
          <w:rFonts w:ascii="Cambria Math" w:eastAsiaTheme="majorEastAsia" w:hAnsi="Cambria Math" w:cs="Cambria Math"/>
          <w:sz w:val="20"/>
          <w:szCs w:val="20"/>
        </w:rPr>
        <w:t>‐</w:t>
      </w:r>
      <w:r>
        <w:rPr>
          <w:rStyle w:val="normaltextrun"/>
          <w:rFonts w:ascii="Helvetica" w:eastAsiaTheme="majorEastAsia" w:hAnsi="Helvetica" w:cs="Helvetica"/>
          <w:sz w:val="20"/>
          <w:szCs w:val="20"/>
        </w:rPr>
        <w:t>affiliated hospital</w:t>
      </w:r>
      <w:r>
        <w:rPr>
          <w:rStyle w:val="normaltextrun"/>
          <w:rFonts w:ascii="Cambria Math" w:eastAsiaTheme="majorEastAsia" w:hAnsi="Cambria Math" w:cs="Cambria Math"/>
          <w:sz w:val="20"/>
          <w:szCs w:val="20"/>
        </w:rPr>
        <w:t>‐</w:t>
      </w:r>
      <w:r>
        <w:rPr>
          <w:rStyle w:val="normaltextrun"/>
          <w:rFonts w:ascii="Helvetica" w:eastAsiaTheme="majorEastAsia" w:hAnsi="Helvetica" w:cs="Helvetica"/>
          <w:sz w:val="20"/>
          <w:szCs w:val="20"/>
        </w:rPr>
        <w:t>based donor center. </w:t>
      </w:r>
      <w:r>
        <w:rPr>
          <w:rStyle w:val="normaltextrun"/>
          <w:rFonts w:ascii="Helvetica" w:eastAsiaTheme="majorEastAsia" w:hAnsi="Helvetica" w:cs="Helvetica"/>
          <w:i/>
          <w:iCs/>
          <w:sz w:val="20"/>
          <w:szCs w:val="20"/>
        </w:rPr>
        <w:t>Transfusion</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62</w:t>
      </w:r>
      <w:r>
        <w:rPr>
          <w:rStyle w:val="normaltextrun"/>
          <w:rFonts w:ascii="Helvetica" w:eastAsiaTheme="majorEastAsia" w:hAnsi="Helvetica" w:cs="Helvetica"/>
          <w:sz w:val="20"/>
          <w:szCs w:val="20"/>
        </w:rPr>
        <w:t>(2), 346-354.</w:t>
      </w:r>
      <w:r>
        <w:rPr>
          <w:rStyle w:val="eop"/>
          <w:rFonts w:ascii="Helvetica" w:eastAsiaTheme="majorEastAsia" w:hAnsi="Helvetica" w:cs="Helvetica"/>
          <w:sz w:val="20"/>
          <w:szCs w:val="20"/>
        </w:rPr>
        <w:t> </w:t>
      </w:r>
    </w:p>
    <w:p w14:paraId="78A283AD" w14:textId="77777777" w:rsidR="000D56CF" w:rsidRDefault="000D56CF" w:rsidP="000D56CF">
      <w:pPr>
        <w:pStyle w:val="paragraph"/>
        <w:numPr>
          <w:ilvl w:val="0"/>
          <w:numId w:val="26"/>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Nnachi</w:t>
      </w:r>
      <w:proofErr w:type="spellEnd"/>
      <w:r>
        <w:rPr>
          <w:rStyle w:val="normaltextrun"/>
          <w:rFonts w:ascii="Helvetica" w:eastAsiaTheme="majorEastAsia" w:hAnsi="Helvetica" w:cs="Helvetica"/>
          <w:sz w:val="20"/>
          <w:szCs w:val="20"/>
        </w:rPr>
        <w:t xml:space="preserve">, O. C., </w:t>
      </w:r>
      <w:proofErr w:type="spellStart"/>
      <w:r>
        <w:rPr>
          <w:rStyle w:val="normaltextrun"/>
          <w:rFonts w:ascii="Helvetica" w:eastAsiaTheme="majorEastAsia" w:hAnsi="Helvetica" w:cs="Helvetica"/>
          <w:sz w:val="20"/>
          <w:szCs w:val="20"/>
        </w:rPr>
        <w:t>Akulue</w:t>
      </w:r>
      <w:proofErr w:type="spellEnd"/>
      <w:r>
        <w:rPr>
          <w:rStyle w:val="normaltextrun"/>
          <w:rFonts w:ascii="Helvetica" w:eastAsiaTheme="majorEastAsia" w:hAnsi="Helvetica" w:cs="Helvetica"/>
          <w:sz w:val="20"/>
          <w:szCs w:val="20"/>
        </w:rPr>
        <w:t xml:space="preserve">, J. C., </w:t>
      </w:r>
      <w:proofErr w:type="spellStart"/>
      <w:r>
        <w:rPr>
          <w:rStyle w:val="normaltextrun"/>
          <w:rFonts w:ascii="Helvetica" w:eastAsiaTheme="majorEastAsia" w:hAnsi="Helvetica" w:cs="Helvetica"/>
          <w:sz w:val="20"/>
          <w:szCs w:val="20"/>
        </w:rPr>
        <w:t>Ekwe</w:t>
      </w:r>
      <w:proofErr w:type="spellEnd"/>
      <w:r>
        <w:rPr>
          <w:rStyle w:val="normaltextrun"/>
          <w:rFonts w:ascii="Helvetica" w:eastAsiaTheme="majorEastAsia" w:hAnsi="Helvetica" w:cs="Helvetica"/>
          <w:sz w:val="20"/>
          <w:szCs w:val="20"/>
        </w:rPr>
        <w:t xml:space="preserve">, A. N., Ugwu, G. C., </w:t>
      </w:r>
      <w:proofErr w:type="spellStart"/>
      <w:r>
        <w:rPr>
          <w:rStyle w:val="normaltextrun"/>
          <w:rFonts w:ascii="Helvetica" w:eastAsiaTheme="majorEastAsia" w:hAnsi="Helvetica" w:cs="Helvetica"/>
          <w:sz w:val="20"/>
          <w:szCs w:val="20"/>
        </w:rPr>
        <w:t>Nnachi</w:t>
      </w:r>
      <w:proofErr w:type="spellEnd"/>
      <w:r>
        <w:rPr>
          <w:rStyle w:val="normaltextrun"/>
          <w:rFonts w:ascii="Helvetica" w:eastAsiaTheme="majorEastAsia" w:hAnsi="Helvetica" w:cs="Helvetica"/>
          <w:sz w:val="20"/>
          <w:szCs w:val="20"/>
        </w:rPr>
        <w:t xml:space="preserve">, O. A., &amp; Uzor, C. C. (2024). Socio-demographic and </w:t>
      </w:r>
      <w:proofErr w:type="spellStart"/>
      <w:r>
        <w:rPr>
          <w:rStyle w:val="normaltextrun"/>
          <w:rFonts w:ascii="Helvetica" w:eastAsiaTheme="majorEastAsia" w:hAnsi="Helvetica" w:cs="Helvetica"/>
          <w:sz w:val="20"/>
          <w:szCs w:val="20"/>
        </w:rPr>
        <w:t>Haematological</w:t>
      </w:r>
      <w:proofErr w:type="spellEnd"/>
      <w:r>
        <w:rPr>
          <w:rStyle w:val="normaltextrun"/>
          <w:rFonts w:ascii="Helvetica" w:eastAsiaTheme="majorEastAsia" w:hAnsi="Helvetica" w:cs="Helvetica"/>
          <w:sz w:val="20"/>
          <w:szCs w:val="20"/>
        </w:rPr>
        <w:t xml:space="preserve"> Profile of Voluntary Blood Donors in </w:t>
      </w:r>
      <w:proofErr w:type="spellStart"/>
      <w:r>
        <w:rPr>
          <w:rStyle w:val="normaltextrun"/>
          <w:rFonts w:ascii="Helvetica" w:eastAsiaTheme="majorEastAsia" w:hAnsi="Helvetica" w:cs="Helvetica"/>
          <w:sz w:val="20"/>
          <w:szCs w:val="20"/>
        </w:rPr>
        <w:t>Abakaliki</w:t>
      </w:r>
      <w:proofErr w:type="spellEnd"/>
      <w:r>
        <w:rPr>
          <w:rStyle w:val="normaltextrun"/>
          <w:rFonts w:ascii="Helvetica" w:eastAsiaTheme="majorEastAsia" w:hAnsi="Helvetica" w:cs="Helvetica"/>
          <w:sz w:val="20"/>
          <w:szCs w:val="20"/>
        </w:rPr>
        <w:t>, Southeast Nigeria. </w:t>
      </w:r>
      <w:r>
        <w:rPr>
          <w:rStyle w:val="normaltextrun"/>
          <w:rFonts w:ascii="Helvetica" w:eastAsiaTheme="majorEastAsia" w:hAnsi="Helvetica" w:cs="Helvetica"/>
          <w:i/>
          <w:iCs/>
          <w:sz w:val="20"/>
          <w:szCs w:val="20"/>
        </w:rPr>
        <w:t>Annals of Health Research</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10</w:t>
      </w:r>
      <w:r>
        <w:rPr>
          <w:rStyle w:val="normaltextrun"/>
          <w:rFonts w:ascii="Helvetica" w:eastAsiaTheme="majorEastAsia" w:hAnsi="Helvetica" w:cs="Helvetica"/>
          <w:sz w:val="20"/>
          <w:szCs w:val="20"/>
        </w:rPr>
        <w:t>(4), 375-384.</w:t>
      </w:r>
      <w:r>
        <w:rPr>
          <w:rStyle w:val="eop"/>
          <w:rFonts w:ascii="Helvetica" w:eastAsiaTheme="majorEastAsia" w:hAnsi="Helvetica" w:cs="Helvetica"/>
          <w:sz w:val="20"/>
          <w:szCs w:val="20"/>
        </w:rPr>
        <w:t> </w:t>
      </w:r>
    </w:p>
    <w:p w14:paraId="0DA28793" w14:textId="77777777" w:rsidR="000D56CF" w:rsidRDefault="000D56CF" w:rsidP="000D56CF">
      <w:pPr>
        <w:pStyle w:val="paragraph"/>
        <w:numPr>
          <w:ilvl w:val="0"/>
          <w:numId w:val="27"/>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lastRenderedPageBreak/>
        <w:t xml:space="preserve">Oyedeji, O. A., </w:t>
      </w:r>
      <w:proofErr w:type="spellStart"/>
      <w:r>
        <w:rPr>
          <w:rStyle w:val="normaltextrun"/>
          <w:rFonts w:ascii="Helvetica" w:eastAsiaTheme="majorEastAsia" w:hAnsi="Helvetica" w:cs="Helvetica"/>
          <w:sz w:val="20"/>
          <w:szCs w:val="20"/>
        </w:rPr>
        <w:t>Edenyi</w:t>
      </w:r>
      <w:proofErr w:type="spellEnd"/>
      <w:r>
        <w:rPr>
          <w:rStyle w:val="normaltextrun"/>
          <w:rFonts w:ascii="Helvetica" w:eastAsiaTheme="majorEastAsia" w:hAnsi="Helvetica" w:cs="Helvetica"/>
          <w:sz w:val="20"/>
          <w:szCs w:val="20"/>
        </w:rPr>
        <w:t>, S. C., Davies, N. O., Adewoyin, A. S., &amp; Njoku, C. V. N. (2024). Seroprevalence of Transfusion-Transmissible Infections Among Blood Donors in Two Hospital-Based Transfusion Centers in Lagos, South-West Nigeria: A Five-Year Review. </w:t>
      </w:r>
      <w:r>
        <w:rPr>
          <w:rStyle w:val="normaltextrun"/>
          <w:rFonts w:ascii="Helvetica" w:eastAsiaTheme="majorEastAsia" w:hAnsi="Helvetica" w:cs="Helvetica"/>
          <w:i/>
          <w:iCs/>
          <w:sz w:val="20"/>
          <w:szCs w:val="20"/>
        </w:rPr>
        <w:t>Nigerian Medical Practitioner</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85</w:t>
      </w:r>
      <w:r>
        <w:rPr>
          <w:rStyle w:val="normaltextrun"/>
          <w:rFonts w:ascii="Helvetica" w:eastAsiaTheme="majorEastAsia" w:hAnsi="Helvetica" w:cs="Helvetica"/>
          <w:sz w:val="20"/>
          <w:szCs w:val="20"/>
        </w:rPr>
        <w:t>(1-3), 3-8.</w:t>
      </w:r>
      <w:r>
        <w:rPr>
          <w:rStyle w:val="eop"/>
          <w:rFonts w:ascii="Helvetica" w:eastAsiaTheme="majorEastAsia" w:hAnsi="Helvetica" w:cs="Helvetica"/>
          <w:sz w:val="20"/>
          <w:szCs w:val="20"/>
        </w:rPr>
        <w:t> </w:t>
      </w:r>
    </w:p>
    <w:p w14:paraId="2F37D278" w14:textId="77777777" w:rsidR="000D56CF" w:rsidRDefault="000D56CF" w:rsidP="000D56CF">
      <w:pPr>
        <w:pStyle w:val="paragraph"/>
        <w:numPr>
          <w:ilvl w:val="0"/>
          <w:numId w:val="28"/>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Nnachi</w:t>
      </w:r>
      <w:proofErr w:type="spellEnd"/>
      <w:r>
        <w:rPr>
          <w:rStyle w:val="normaltextrun"/>
          <w:rFonts w:ascii="Helvetica" w:eastAsiaTheme="majorEastAsia" w:hAnsi="Helvetica" w:cs="Helvetica"/>
          <w:sz w:val="20"/>
          <w:szCs w:val="20"/>
        </w:rPr>
        <w:t xml:space="preserve">, O. C., Uzor, C., </w:t>
      </w:r>
      <w:proofErr w:type="spellStart"/>
      <w:r>
        <w:rPr>
          <w:rStyle w:val="normaltextrun"/>
          <w:rFonts w:ascii="Helvetica" w:eastAsiaTheme="majorEastAsia" w:hAnsi="Helvetica" w:cs="Helvetica"/>
          <w:sz w:val="20"/>
          <w:szCs w:val="20"/>
        </w:rPr>
        <w:t>Umeokonkwo</w:t>
      </w:r>
      <w:proofErr w:type="spellEnd"/>
      <w:r>
        <w:rPr>
          <w:rStyle w:val="normaltextrun"/>
          <w:rFonts w:ascii="Helvetica" w:eastAsiaTheme="majorEastAsia" w:hAnsi="Helvetica" w:cs="Helvetica"/>
          <w:sz w:val="20"/>
          <w:szCs w:val="20"/>
        </w:rPr>
        <w:t xml:space="preserve">, C. D., Onwe, E. O., Okoye, A. E., </w:t>
      </w:r>
      <w:proofErr w:type="spellStart"/>
      <w:r>
        <w:rPr>
          <w:rStyle w:val="normaltextrun"/>
          <w:rFonts w:ascii="Helvetica" w:eastAsiaTheme="majorEastAsia" w:hAnsi="Helvetica" w:cs="Helvetica"/>
          <w:sz w:val="20"/>
          <w:szCs w:val="20"/>
        </w:rPr>
        <w:t>Ewah</w:t>
      </w:r>
      <w:proofErr w:type="spellEnd"/>
      <w:r>
        <w:rPr>
          <w:rStyle w:val="normaltextrun"/>
          <w:rFonts w:ascii="Helvetica" w:eastAsiaTheme="majorEastAsia" w:hAnsi="Helvetica" w:cs="Helvetica"/>
          <w:sz w:val="20"/>
          <w:szCs w:val="20"/>
        </w:rPr>
        <w:t>, R. L., &amp; Nwani, F. O. (2022). Research Article Donor Blood Procurement, Safety, and Clinical Utilization: A Study of Blood Transfusion Services in a Tertiary Care Hospital in Nigeria.</w:t>
      </w:r>
      <w:r>
        <w:rPr>
          <w:rStyle w:val="eop"/>
          <w:rFonts w:ascii="Helvetica" w:eastAsiaTheme="majorEastAsia" w:hAnsi="Helvetica" w:cs="Helvetica"/>
          <w:sz w:val="20"/>
          <w:szCs w:val="20"/>
        </w:rPr>
        <w:t> </w:t>
      </w:r>
    </w:p>
    <w:p w14:paraId="0B9204B0" w14:textId="77777777" w:rsidR="000D56CF" w:rsidRDefault="000D56CF" w:rsidP="000D56CF">
      <w:pPr>
        <w:pStyle w:val="paragraph"/>
        <w:numPr>
          <w:ilvl w:val="0"/>
          <w:numId w:val="29"/>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Ogele</w:t>
      </w:r>
      <w:proofErr w:type="spellEnd"/>
      <w:r>
        <w:rPr>
          <w:rStyle w:val="normaltextrun"/>
          <w:rFonts w:ascii="Helvetica" w:eastAsiaTheme="majorEastAsia" w:hAnsi="Helvetica" w:cs="Helvetica"/>
          <w:sz w:val="20"/>
          <w:szCs w:val="20"/>
        </w:rPr>
        <w:t xml:space="preserve">, E. P., &amp; </w:t>
      </w:r>
      <w:proofErr w:type="spellStart"/>
      <w:r>
        <w:rPr>
          <w:rStyle w:val="normaltextrun"/>
          <w:rFonts w:ascii="Helvetica" w:eastAsiaTheme="majorEastAsia" w:hAnsi="Helvetica" w:cs="Helvetica"/>
          <w:sz w:val="20"/>
          <w:szCs w:val="20"/>
        </w:rPr>
        <w:t>Egobueze</w:t>
      </w:r>
      <w:proofErr w:type="spellEnd"/>
      <w:r>
        <w:rPr>
          <w:rStyle w:val="normaltextrun"/>
          <w:rFonts w:ascii="Helvetica" w:eastAsiaTheme="majorEastAsia" w:hAnsi="Helvetica" w:cs="Helvetica"/>
          <w:sz w:val="20"/>
          <w:szCs w:val="20"/>
        </w:rPr>
        <w:t>, A. (2020). The artisanal refining and socioeconomic development in Rivers State, Nigeria, 2007-2017. </w:t>
      </w:r>
      <w:r>
        <w:rPr>
          <w:rStyle w:val="normaltextrun"/>
          <w:rFonts w:ascii="Helvetica" w:eastAsiaTheme="majorEastAsia" w:hAnsi="Helvetica" w:cs="Helvetica"/>
          <w:i/>
          <w:iCs/>
          <w:sz w:val="20"/>
          <w:szCs w:val="20"/>
        </w:rPr>
        <w:t>International Journal of Research and Innovation in Social Science</w:t>
      </w:r>
      <w:r>
        <w:rPr>
          <w:rStyle w:val="normaltextrun"/>
          <w:rFonts w:ascii="Helvetica" w:eastAsiaTheme="majorEastAsia" w:hAnsi="Helvetica" w:cs="Helvetica"/>
          <w:sz w:val="20"/>
          <w:szCs w:val="20"/>
        </w:rPr>
        <w:t>, </w:t>
      </w:r>
      <w:r>
        <w:rPr>
          <w:rStyle w:val="normaltextrun"/>
          <w:rFonts w:ascii="Helvetica" w:eastAsiaTheme="majorEastAsia" w:hAnsi="Helvetica" w:cs="Helvetica"/>
          <w:i/>
          <w:iCs/>
          <w:sz w:val="20"/>
          <w:szCs w:val="20"/>
        </w:rPr>
        <w:t>4</w:t>
      </w:r>
      <w:r>
        <w:rPr>
          <w:rStyle w:val="normaltextrun"/>
          <w:rFonts w:ascii="Helvetica" w:eastAsiaTheme="majorEastAsia" w:hAnsi="Helvetica" w:cs="Helvetica"/>
          <w:sz w:val="20"/>
          <w:szCs w:val="20"/>
        </w:rPr>
        <w:t>(4), 16-25.</w:t>
      </w:r>
      <w:r>
        <w:rPr>
          <w:rStyle w:val="eop"/>
          <w:rFonts w:ascii="Helvetica" w:eastAsiaTheme="majorEastAsia" w:hAnsi="Helvetica" w:cs="Helvetica"/>
          <w:sz w:val="20"/>
          <w:szCs w:val="20"/>
        </w:rPr>
        <w:t> </w:t>
      </w:r>
    </w:p>
    <w:p w14:paraId="7BCA8529" w14:textId="77777777" w:rsidR="000D56CF" w:rsidRDefault="000D56CF" w:rsidP="000D56CF">
      <w:pPr>
        <w:pStyle w:val="paragraph"/>
        <w:numPr>
          <w:ilvl w:val="0"/>
          <w:numId w:val="30"/>
        </w:numPr>
        <w:spacing w:before="0" w:beforeAutospacing="0" w:after="0" w:afterAutospacing="0"/>
        <w:ind w:left="1080" w:firstLine="0"/>
        <w:jc w:val="both"/>
        <w:textAlignment w:val="baseline"/>
        <w:rPr>
          <w:rFonts w:ascii="Helvetica" w:hAnsi="Helvetica" w:cs="Helvetica"/>
          <w:sz w:val="22"/>
          <w:szCs w:val="22"/>
        </w:rPr>
      </w:pPr>
      <w:proofErr w:type="spellStart"/>
      <w:r>
        <w:rPr>
          <w:rStyle w:val="normaltextrun"/>
          <w:rFonts w:ascii="Helvetica" w:eastAsiaTheme="majorEastAsia" w:hAnsi="Helvetica" w:cs="Helvetica"/>
          <w:sz w:val="20"/>
          <w:szCs w:val="20"/>
        </w:rPr>
        <w:t>Repić</w:t>
      </w:r>
      <w:proofErr w:type="spellEnd"/>
      <w:r>
        <w:rPr>
          <w:rStyle w:val="normaltextrun"/>
          <w:rFonts w:ascii="Helvetica" w:eastAsiaTheme="majorEastAsia" w:hAnsi="Helvetica" w:cs="Helvetica"/>
          <w:sz w:val="20"/>
          <w:szCs w:val="20"/>
        </w:rPr>
        <w:t xml:space="preserve">, A., Bulat, P., </w:t>
      </w:r>
      <w:proofErr w:type="spellStart"/>
      <w:r>
        <w:rPr>
          <w:rStyle w:val="normaltextrun"/>
          <w:rFonts w:ascii="Helvetica" w:eastAsiaTheme="majorEastAsia" w:hAnsi="Helvetica" w:cs="Helvetica"/>
          <w:sz w:val="20"/>
          <w:szCs w:val="20"/>
        </w:rPr>
        <w:t>Antonijević</w:t>
      </w:r>
      <w:proofErr w:type="spellEnd"/>
      <w:r>
        <w:rPr>
          <w:rStyle w:val="normaltextrun"/>
          <w:rFonts w:ascii="Helvetica" w:eastAsiaTheme="majorEastAsia" w:hAnsi="Helvetica" w:cs="Helvetica"/>
          <w:sz w:val="20"/>
          <w:szCs w:val="20"/>
        </w:rPr>
        <w:t>, B., Antunović, M., Džudović, J., Buha, A., &amp; Bulat, Z. (2020). The influence of smoking habits on cadmium and lead blood levels in the Serbian adult people. Environmental Science and Pollution Research, 27(1), 751-760.</w:t>
      </w:r>
      <w:r>
        <w:rPr>
          <w:rStyle w:val="eop"/>
          <w:rFonts w:ascii="Helvetica" w:eastAsiaTheme="majorEastAsia" w:hAnsi="Helvetica" w:cs="Helvetica"/>
          <w:sz w:val="20"/>
          <w:szCs w:val="20"/>
        </w:rPr>
        <w:t> </w:t>
      </w:r>
    </w:p>
    <w:p w14:paraId="23638310" w14:textId="77777777" w:rsidR="000D56CF" w:rsidRDefault="000D56CF" w:rsidP="000D56CF">
      <w:pPr>
        <w:pStyle w:val="paragraph"/>
        <w:numPr>
          <w:ilvl w:val="0"/>
          <w:numId w:val="31"/>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Matt, G. E., Quintana, P. J., Hoh, E., Dodder, N. G., </w:t>
      </w:r>
      <w:proofErr w:type="spellStart"/>
      <w:r>
        <w:rPr>
          <w:rStyle w:val="normaltextrun"/>
          <w:rFonts w:ascii="Helvetica" w:eastAsiaTheme="majorEastAsia" w:hAnsi="Helvetica" w:cs="Helvetica"/>
          <w:sz w:val="20"/>
          <w:szCs w:val="20"/>
        </w:rPr>
        <w:t>Mahabee</w:t>
      </w:r>
      <w:proofErr w:type="spellEnd"/>
      <w:r>
        <w:rPr>
          <w:rStyle w:val="normaltextrun"/>
          <w:rFonts w:ascii="Helvetica" w:eastAsiaTheme="majorEastAsia" w:hAnsi="Helvetica" w:cs="Helvetica"/>
          <w:sz w:val="20"/>
          <w:szCs w:val="20"/>
        </w:rPr>
        <w:t>-Gittens, E. M., Padilla, S., ... &amp; Watanabe, K. (2021). Tobacco smoke is a likely source of lead and cadmium in settled house dust. Journal of Trace Elements in Medicine and Biology, 63, 126656.</w:t>
      </w:r>
      <w:r>
        <w:rPr>
          <w:rStyle w:val="eop"/>
          <w:rFonts w:ascii="Helvetica" w:eastAsiaTheme="majorEastAsia" w:hAnsi="Helvetica" w:cs="Helvetica"/>
          <w:sz w:val="20"/>
          <w:szCs w:val="20"/>
        </w:rPr>
        <w:t> </w:t>
      </w:r>
    </w:p>
    <w:p w14:paraId="3BA7B862" w14:textId="77777777" w:rsidR="000D56CF" w:rsidRDefault="000D56CF" w:rsidP="000D56CF">
      <w:pPr>
        <w:pStyle w:val="paragraph"/>
        <w:numPr>
          <w:ilvl w:val="0"/>
          <w:numId w:val="32"/>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Abayomi, O., Olayemi, T. E., &amp; </w:t>
      </w:r>
      <w:proofErr w:type="spellStart"/>
      <w:r>
        <w:rPr>
          <w:rStyle w:val="normaltextrun"/>
          <w:rFonts w:ascii="Helvetica" w:eastAsiaTheme="majorEastAsia" w:hAnsi="Helvetica" w:cs="Helvetica"/>
          <w:sz w:val="20"/>
          <w:szCs w:val="20"/>
        </w:rPr>
        <w:t>Ogungbade</w:t>
      </w:r>
      <w:proofErr w:type="spellEnd"/>
      <w:r>
        <w:rPr>
          <w:rStyle w:val="normaltextrun"/>
          <w:rFonts w:ascii="Helvetica" w:eastAsiaTheme="majorEastAsia" w:hAnsi="Helvetica" w:cs="Helvetica"/>
          <w:sz w:val="20"/>
          <w:szCs w:val="20"/>
        </w:rPr>
        <w:t>, T. (2021). Environmental pollution and its ecological consequences on the Niger Delta: A review of the literature. African Journal of Environment and Natural Science Research, 4, 27-42.</w:t>
      </w:r>
      <w:r>
        <w:rPr>
          <w:rStyle w:val="eop"/>
          <w:rFonts w:ascii="Helvetica" w:eastAsiaTheme="majorEastAsia" w:hAnsi="Helvetica" w:cs="Helvetica"/>
          <w:sz w:val="20"/>
          <w:szCs w:val="20"/>
        </w:rPr>
        <w:t> </w:t>
      </w:r>
    </w:p>
    <w:p w14:paraId="0007D6DE" w14:textId="63A7B381" w:rsidR="000D56CF" w:rsidRPr="000D56CF" w:rsidRDefault="000D56CF" w:rsidP="000D56CF">
      <w:pPr>
        <w:pStyle w:val="paragraph"/>
        <w:numPr>
          <w:ilvl w:val="0"/>
          <w:numId w:val="33"/>
        </w:numPr>
        <w:spacing w:before="0" w:beforeAutospacing="0" w:after="0" w:afterAutospacing="0"/>
        <w:ind w:left="1080" w:firstLine="0"/>
        <w:jc w:val="both"/>
        <w:textAlignment w:val="baseline"/>
        <w:rPr>
          <w:rFonts w:ascii="Helvetica" w:hAnsi="Helvetica" w:cs="Helvetica"/>
          <w:sz w:val="22"/>
          <w:szCs w:val="22"/>
        </w:rPr>
      </w:pPr>
      <w:r>
        <w:rPr>
          <w:rStyle w:val="normaltextrun"/>
          <w:rFonts w:ascii="Helvetica" w:eastAsiaTheme="majorEastAsia" w:hAnsi="Helvetica" w:cs="Helvetica"/>
          <w:sz w:val="20"/>
          <w:szCs w:val="20"/>
        </w:rPr>
        <w:t xml:space="preserve">Onwuka, C., </w:t>
      </w:r>
      <w:proofErr w:type="spellStart"/>
      <w:r>
        <w:rPr>
          <w:rStyle w:val="normaltextrun"/>
          <w:rFonts w:ascii="Helvetica" w:eastAsiaTheme="majorEastAsia" w:hAnsi="Helvetica" w:cs="Helvetica"/>
          <w:sz w:val="20"/>
          <w:szCs w:val="20"/>
        </w:rPr>
        <w:t>Eboatu</w:t>
      </w:r>
      <w:proofErr w:type="spellEnd"/>
      <w:r>
        <w:rPr>
          <w:rStyle w:val="normaltextrun"/>
          <w:rFonts w:ascii="Helvetica" w:eastAsiaTheme="majorEastAsia" w:hAnsi="Helvetica" w:cs="Helvetica"/>
          <w:sz w:val="20"/>
          <w:szCs w:val="20"/>
        </w:rPr>
        <w:t xml:space="preserve">, A. N., </w:t>
      </w:r>
      <w:proofErr w:type="spellStart"/>
      <w:r>
        <w:rPr>
          <w:rStyle w:val="normaltextrun"/>
          <w:rFonts w:ascii="Helvetica" w:eastAsiaTheme="majorEastAsia" w:hAnsi="Helvetica" w:cs="Helvetica"/>
          <w:sz w:val="20"/>
          <w:szCs w:val="20"/>
        </w:rPr>
        <w:t>Ajiwe</w:t>
      </w:r>
      <w:proofErr w:type="spellEnd"/>
      <w:r>
        <w:rPr>
          <w:rStyle w:val="normaltextrun"/>
          <w:rFonts w:ascii="Helvetica" w:eastAsiaTheme="majorEastAsia" w:hAnsi="Helvetica" w:cs="Helvetica"/>
          <w:sz w:val="20"/>
          <w:szCs w:val="20"/>
        </w:rPr>
        <w:t>, V. I. E., &amp; Morah, E. J. (2021). Pollution studies on soils from crude oil producing areas of rivers state, Niger delta region, Nigeria. Open Access Library Journal, 8(9), 1-17.</w:t>
      </w:r>
      <w:r>
        <w:rPr>
          <w:rStyle w:val="eop"/>
          <w:rFonts w:ascii="Helvetica" w:eastAsiaTheme="majorEastAsia" w:hAnsi="Helvetica" w:cs="Helvetica"/>
          <w:sz w:val="20"/>
          <w:szCs w:val="20"/>
        </w:rPr>
        <w:t> </w:t>
      </w:r>
    </w:p>
    <w:sectPr w:rsidR="000D56CF" w:rsidRPr="000D56C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A780D" w14:textId="77777777" w:rsidR="00214B18" w:rsidRDefault="00214B18" w:rsidP="00E076D4">
      <w:pPr>
        <w:spacing w:after="0" w:line="240" w:lineRule="auto"/>
      </w:pPr>
      <w:r>
        <w:separator/>
      </w:r>
    </w:p>
  </w:endnote>
  <w:endnote w:type="continuationSeparator" w:id="0">
    <w:p w14:paraId="7DF5F926" w14:textId="77777777" w:rsidR="00214B18" w:rsidRDefault="00214B18" w:rsidP="00E0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E051C" w14:textId="77777777" w:rsidR="00E076D4" w:rsidRDefault="00E07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676C" w14:textId="77777777" w:rsidR="00E076D4" w:rsidRDefault="00E07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46D9" w14:textId="77777777" w:rsidR="00E076D4" w:rsidRDefault="00E07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8C595" w14:textId="77777777" w:rsidR="00214B18" w:rsidRDefault="00214B18" w:rsidP="00E076D4">
      <w:pPr>
        <w:spacing w:after="0" w:line="240" w:lineRule="auto"/>
      </w:pPr>
      <w:r>
        <w:separator/>
      </w:r>
    </w:p>
  </w:footnote>
  <w:footnote w:type="continuationSeparator" w:id="0">
    <w:p w14:paraId="75263CAE" w14:textId="77777777" w:rsidR="00214B18" w:rsidRDefault="00214B18" w:rsidP="00E0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B644" w14:textId="7B8EF3CE" w:rsidR="00E076D4" w:rsidRDefault="00214B18">
    <w:pPr>
      <w:pStyle w:val="Header"/>
    </w:pPr>
    <w:r>
      <w:rPr>
        <w:noProof/>
      </w:rPr>
      <w:pict w14:anchorId="1C0EB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804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DE94" w14:textId="57A9D39B" w:rsidR="00E076D4" w:rsidRDefault="00214B18">
    <w:pPr>
      <w:pStyle w:val="Header"/>
    </w:pPr>
    <w:r>
      <w:rPr>
        <w:noProof/>
      </w:rPr>
      <w:pict w14:anchorId="267AF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804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3EBE" w14:textId="41ABEA4B" w:rsidR="00E076D4" w:rsidRDefault="00214B18">
    <w:pPr>
      <w:pStyle w:val="Header"/>
    </w:pPr>
    <w:r>
      <w:rPr>
        <w:noProof/>
      </w:rPr>
      <w:pict w14:anchorId="6EA16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804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9A0"/>
    <w:multiLevelType w:val="multilevel"/>
    <w:tmpl w:val="A87C13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E7E03"/>
    <w:multiLevelType w:val="multilevel"/>
    <w:tmpl w:val="08E0C5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56EC4"/>
    <w:multiLevelType w:val="multilevel"/>
    <w:tmpl w:val="4CB6484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D6125"/>
    <w:multiLevelType w:val="multilevel"/>
    <w:tmpl w:val="0B9A6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1762B"/>
    <w:multiLevelType w:val="multilevel"/>
    <w:tmpl w:val="42D2E9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43C7E"/>
    <w:multiLevelType w:val="multilevel"/>
    <w:tmpl w:val="C332C7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BA4D39"/>
    <w:multiLevelType w:val="multilevel"/>
    <w:tmpl w:val="A58205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AD23C2"/>
    <w:multiLevelType w:val="multilevel"/>
    <w:tmpl w:val="1D0464C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FA0CEE"/>
    <w:multiLevelType w:val="multilevel"/>
    <w:tmpl w:val="96582FC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D82649"/>
    <w:multiLevelType w:val="multilevel"/>
    <w:tmpl w:val="1324B6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79572A"/>
    <w:multiLevelType w:val="multilevel"/>
    <w:tmpl w:val="7A7A3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BF0F06"/>
    <w:multiLevelType w:val="multilevel"/>
    <w:tmpl w:val="096AA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3F27A7"/>
    <w:multiLevelType w:val="multilevel"/>
    <w:tmpl w:val="CD748D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941D91"/>
    <w:multiLevelType w:val="multilevel"/>
    <w:tmpl w:val="D8FE302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24462"/>
    <w:multiLevelType w:val="multilevel"/>
    <w:tmpl w:val="6A34AED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9910E2"/>
    <w:multiLevelType w:val="multilevel"/>
    <w:tmpl w:val="B36E24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E7684"/>
    <w:multiLevelType w:val="multilevel"/>
    <w:tmpl w:val="CA2C9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600223"/>
    <w:multiLevelType w:val="multilevel"/>
    <w:tmpl w:val="4EB25D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764D62"/>
    <w:multiLevelType w:val="multilevel"/>
    <w:tmpl w:val="C4CC7A9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B74D8F"/>
    <w:multiLevelType w:val="multilevel"/>
    <w:tmpl w:val="3A4AAF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0C3FB7"/>
    <w:multiLevelType w:val="multilevel"/>
    <w:tmpl w:val="3A1C8BE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D6347"/>
    <w:multiLevelType w:val="multilevel"/>
    <w:tmpl w:val="EA44F4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255D22"/>
    <w:multiLevelType w:val="multilevel"/>
    <w:tmpl w:val="5C32576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EA1766"/>
    <w:multiLevelType w:val="multilevel"/>
    <w:tmpl w:val="A7B695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1F55B5"/>
    <w:multiLevelType w:val="multilevel"/>
    <w:tmpl w:val="6FF235F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E620AD"/>
    <w:multiLevelType w:val="multilevel"/>
    <w:tmpl w:val="7024B68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5558FB"/>
    <w:multiLevelType w:val="multilevel"/>
    <w:tmpl w:val="A8F693F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EB5836"/>
    <w:multiLevelType w:val="multilevel"/>
    <w:tmpl w:val="A6A6E04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1215C0"/>
    <w:multiLevelType w:val="multilevel"/>
    <w:tmpl w:val="281E90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766C17"/>
    <w:multiLevelType w:val="multilevel"/>
    <w:tmpl w:val="F47CC3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0F3E80"/>
    <w:multiLevelType w:val="multilevel"/>
    <w:tmpl w:val="10C2660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9376ED"/>
    <w:multiLevelType w:val="multilevel"/>
    <w:tmpl w:val="4C5E05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ED7AE6"/>
    <w:multiLevelType w:val="multilevel"/>
    <w:tmpl w:val="357892C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1"/>
  </w:num>
  <w:num w:numId="3">
    <w:abstractNumId w:val="3"/>
  </w:num>
  <w:num w:numId="4">
    <w:abstractNumId w:val="10"/>
  </w:num>
  <w:num w:numId="5">
    <w:abstractNumId w:val="28"/>
  </w:num>
  <w:num w:numId="6">
    <w:abstractNumId w:val="15"/>
  </w:num>
  <w:num w:numId="7">
    <w:abstractNumId w:val="5"/>
  </w:num>
  <w:num w:numId="8">
    <w:abstractNumId w:val="19"/>
  </w:num>
  <w:num w:numId="9">
    <w:abstractNumId w:val="31"/>
  </w:num>
  <w:num w:numId="10">
    <w:abstractNumId w:val="0"/>
  </w:num>
  <w:num w:numId="11">
    <w:abstractNumId w:val="29"/>
  </w:num>
  <w:num w:numId="12">
    <w:abstractNumId w:val="1"/>
  </w:num>
  <w:num w:numId="13">
    <w:abstractNumId w:val="6"/>
  </w:num>
  <w:num w:numId="14">
    <w:abstractNumId w:val="17"/>
  </w:num>
  <w:num w:numId="15">
    <w:abstractNumId w:val="24"/>
  </w:num>
  <w:num w:numId="16">
    <w:abstractNumId w:val="12"/>
  </w:num>
  <w:num w:numId="17">
    <w:abstractNumId w:val="9"/>
  </w:num>
  <w:num w:numId="18">
    <w:abstractNumId w:val="8"/>
  </w:num>
  <w:num w:numId="19">
    <w:abstractNumId w:val="21"/>
  </w:num>
  <w:num w:numId="20">
    <w:abstractNumId w:val="25"/>
  </w:num>
  <w:num w:numId="21">
    <w:abstractNumId w:val="2"/>
  </w:num>
  <w:num w:numId="22">
    <w:abstractNumId w:val="22"/>
  </w:num>
  <w:num w:numId="23">
    <w:abstractNumId w:val="23"/>
  </w:num>
  <w:num w:numId="24">
    <w:abstractNumId w:val="32"/>
  </w:num>
  <w:num w:numId="25">
    <w:abstractNumId w:val="20"/>
  </w:num>
  <w:num w:numId="26">
    <w:abstractNumId w:val="7"/>
  </w:num>
  <w:num w:numId="27">
    <w:abstractNumId w:val="18"/>
  </w:num>
  <w:num w:numId="28">
    <w:abstractNumId w:val="4"/>
  </w:num>
  <w:num w:numId="29">
    <w:abstractNumId w:val="14"/>
  </w:num>
  <w:num w:numId="30">
    <w:abstractNumId w:val="26"/>
  </w:num>
  <w:num w:numId="31">
    <w:abstractNumId w:val="30"/>
  </w:num>
  <w:num w:numId="32">
    <w:abstractNumId w:val="2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A6"/>
    <w:rsid w:val="000965A6"/>
    <w:rsid w:val="000D56CF"/>
    <w:rsid w:val="00194BC0"/>
    <w:rsid w:val="001F624B"/>
    <w:rsid w:val="00214B18"/>
    <w:rsid w:val="002B122C"/>
    <w:rsid w:val="003353BF"/>
    <w:rsid w:val="00345559"/>
    <w:rsid w:val="003B1488"/>
    <w:rsid w:val="003C243A"/>
    <w:rsid w:val="00433DC4"/>
    <w:rsid w:val="00464AA8"/>
    <w:rsid w:val="00480CED"/>
    <w:rsid w:val="00482A0C"/>
    <w:rsid w:val="00643FEF"/>
    <w:rsid w:val="0066645C"/>
    <w:rsid w:val="00675E21"/>
    <w:rsid w:val="00681E5C"/>
    <w:rsid w:val="006A7425"/>
    <w:rsid w:val="00735AA5"/>
    <w:rsid w:val="0079704C"/>
    <w:rsid w:val="007A42CC"/>
    <w:rsid w:val="008127F6"/>
    <w:rsid w:val="008442B9"/>
    <w:rsid w:val="00877CCB"/>
    <w:rsid w:val="0092462E"/>
    <w:rsid w:val="009C3A02"/>
    <w:rsid w:val="00A264ED"/>
    <w:rsid w:val="00AD1D89"/>
    <w:rsid w:val="00B431C5"/>
    <w:rsid w:val="00B60D19"/>
    <w:rsid w:val="00BA0C04"/>
    <w:rsid w:val="00BB63BF"/>
    <w:rsid w:val="00D2253F"/>
    <w:rsid w:val="00D71148"/>
    <w:rsid w:val="00DC4ADC"/>
    <w:rsid w:val="00DF72D1"/>
    <w:rsid w:val="00E0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DB698B"/>
  <w15:chartTrackingRefBased/>
  <w15:docId w15:val="{3FA90C3D-CF87-47D2-A2DC-3B99C32C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5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5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5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5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5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5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5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5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5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5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5A6"/>
    <w:rPr>
      <w:rFonts w:eastAsiaTheme="majorEastAsia" w:cstheme="majorBidi"/>
      <w:color w:val="272727" w:themeColor="text1" w:themeTint="D8"/>
    </w:rPr>
  </w:style>
  <w:style w:type="paragraph" w:styleId="Title">
    <w:name w:val="Title"/>
    <w:basedOn w:val="Normal"/>
    <w:next w:val="Normal"/>
    <w:link w:val="TitleChar"/>
    <w:uiPriority w:val="10"/>
    <w:qFormat/>
    <w:rsid w:val="00096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5A6"/>
    <w:pPr>
      <w:spacing w:before="160"/>
      <w:jc w:val="center"/>
    </w:pPr>
    <w:rPr>
      <w:i/>
      <w:iCs/>
      <w:color w:val="404040" w:themeColor="text1" w:themeTint="BF"/>
    </w:rPr>
  </w:style>
  <w:style w:type="character" w:customStyle="1" w:styleId="QuoteChar">
    <w:name w:val="Quote Char"/>
    <w:basedOn w:val="DefaultParagraphFont"/>
    <w:link w:val="Quote"/>
    <w:uiPriority w:val="29"/>
    <w:rsid w:val="000965A6"/>
    <w:rPr>
      <w:i/>
      <w:iCs/>
      <w:color w:val="404040" w:themeColor="text1" w:themeTint="BF"/>
    </w:rPr>
  </w:style>
  <w:style w:type="paragraph" w:styleId="ListParagraph">
    <w:name w:val="List Paragraph"/>
    <w:basedOn w:val="Normal"/>
    <w:uiPriority w:val="34"/>
    <w:qFormat/>
    <w:rsid w:val="000965A6"/>
    <w:pPr>
      <w:ind w:left="720"/>
      <w:contextualSpacing/>
    </w:pPr>
  </w:style>
  <w:style w:type="character" w:styleId="IntenseEmphasis">
    <w:name w:val="Intense Emphasis"/>
    <w:basedOn w:val="DefaultParagraphFont"/>
    <w:uiPriority w:val="21"/>
    <w:qFormat/>
    <w:rsid w:val="000965A6"/>
    <w:rPr>
      <w:i/>
      <w:iCs/>
      <w:color w:val="2F5496" w:themeColor="accent1" w:themeShade="BF"/>
    </w:rPr>
  </w:style>
  <w:style w:type="paragraph" w:styleId="IntenseQuote">
    <w:name w:val="Intense Quote"/>
    <w:basedOn w:val="Normal"/>
    <w:next w:val="Normal"/>
    <w:link w:val="IntenseQuoteChar"/>
    <w:uiPriority w:val="30"/>
    <w:qFormat/>
    <w:rsid w:val="00096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5A6"/>
    <w:rPr>
      <w:i/>
      <w:iCs/>
      <w:color w:val="2F5496" w:themeColor="accent1" w:themeShade="BF"/>
    </w:rPr>
  </w:style>
  <w:style w:type="character" w:styleId="IntenseReference">
    <w:name w:val="Intense Reference"/>
    <w:basedOn w:val="DefaultParagraphFont"/>
    <w:uiPriority w:val="32"/>
    <w:qFormat/>
    <w:rsid w:val="000965A6"/>
    <w:rPr>
      <w:b/>
      <w:bCs/>
      <w:smallCaps/>
      <w:color w:val="2F5496" w:themeColor="accent1" w:themeShade="BF"/>
      <w:spacing w:val="5"/>
    </w:rPr>
  </w:style>
  <w:style w:type="paragraph" w:customStyle="1" w:styleId="paragraph">
    <w:name w:val="paragraph"/>
    <w:basedOn w:val="Normal"/>
    <w:rsid w:val="000965A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965A6"/>
  </w:style>
  <w:style w:type="character" w:customStyle="1" w:styleId="eop">
    <w:name w:val="eop"/>
    <w:basedOn w:val="DefaultParagraphFont"/>
    <w:rsid w:val="000965A6"/>
  </w:style>
  <w:style w:type="character" w:styleId="Hyperlink">
    <w:name w:val="Hyperlink"/>
    <w:basedOn w:val="DefaultParagraphFont"/>
    <w:uiPriority w:val="99"/>
    <w:unhideWhenUsed/>
    <w:rsid w:val="00877CCB"/>
    <w:rPr>
      <w:color w:val="0563C1" w:themeColor="hyperlink"/>
      <w:u w:val="single"/>
    </w:rPr>
  </w:style>
  <w:style w:type="character" w:styleId="UnresolvedMention">
    <w:name w:val="Unresolved Mention"/>
    <w:basedOn w:val="DefaultParagraphFont"/>
    <w:uiPriority w:val="99"/>
    <w:semiHidden/>
    <w:unhideWhenUsed/>
    <w:rsid w:val="00877CCB"/>
    <w:rPr>
      <w:color w:val="605E5C"/>
      <w:shd w:val="clear" w:color="auto" w:fill="E1DFDD"/>
    </w:rPr>
  </w:style>
  <w:style w:type="paragraph" w:styleId="Header">
    <w:name w:val="header"/>
    <w:basedOn w:val="Normal"/>
    <w:link w:val="HeaderChar"/>
    <w:uiPriority w:val="99"/>
    <w:unhideWhenUsed/>
    <w:rsid w:val="00E07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6D4"/>
  </w:style>
  <w:style w:type="paragraph" w:styleId="Footer">
    <w:name w:val="footer"/>
    <w:basedOn w:val="Normal"/>
    <w:link w:val="FooterChar"/>
    <w:uiPriority w:val="99"/>
    <w:unhideWhenUsed/>
    <w:rsid w:val="00E07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4704</Words>
  <Characters>26818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Paxman Uku</dc:creator>
  <cp:keywords/>
  <dc:description/>
  <cp:lastModifiedBy>SDI PC New 16</cp:lastModifiedBy>
  <cp:revision>24</cp:revision>
  <dcterms:created xsi:type="dcterms:W3CDTF">2025-08-18T17:14:00Z</dcterms:created>
  <dcterms:modified xsi:type="dcterms:W3CDTF">2025-08-23T12:00:00Z</dcterms:modified>
</cp:coreProperties>
</file>