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E565F" w14:textId="1058CD78" w:rsidR="00F9357B" w:rsidRPr="00F9357B" w:rsidRDefault="00F9357B" w:rsidP="00F9357B">
      <w:pPr>
        <w:pStyle w:val="Author"/>
        <w:spacing w:line="240" w:lineRule="auto"/>
        <w:jc w:val="left"/>
        <w:rPr>
          <w:rFonts w:ascii="Arial" w:hAnsi="Arial" w:cs="Arial"/>
          <w:bCs/>
          <w:iCs/>
          <w:kern w:val="28"/>
          <w:sz w:val="36"/>
          <w:u w:val="single"/>
        </w:rPr>
      </w:pPr>
      <w:r w:rsidRPr="00F9357B">
        <w:rPr>
          <w:rFonts w:ascii="Arial" w:hAnsi="Arial" w:cs="Arial"/>
          <w:bCs/>
          <w:iCs/>
          <w:kern w:val="28"/>
          <w:sz w:val="36"/>
          <w:u w:val="single"/>
        </w:rPr>
        <w:t xml:space="preserve">Original Research Article                 </w:t>
      </w:r>
    </w:p>
    <w:p w14:paraId="1A21328C" w14:textId="77777777" w:rsidR="00B97416" w:rsidRDefault="00B97416" w:rsidP="00AA5BA0">
      <w:pPr>
        <w:pStyle w:val="Author"/>
        <w:spacing w:line="240" w:lineRule="auto"/>
        <w:rPr>
          <w:rFonts w:ascii="Arial" w:hAnsi="Arial" w:cs="Arial"/>
          <w:bCs/>
          <w:iCs/>
          <w:kern w:val="28"/>
          <w:sz w:val="36"/>
        </w:rPr>
      </w:pPr>
    </w:p>
    <w:p w14:paraId="26829513" w14:textId="77777777" w:rsidR="00A1172A" w:rsidRDefault="00A1172A" w:rsidP="00A1172A">
      <w:pPr>
        <w:pStyle w:val="Author"/>
        <w:spacing w:line="240" w:lineRule="auto"/>
        <w:rPr>
          <w:rFonts w:ascii="Arial" w:hAnsi="Arial" w:cs="Arial"/>
          <w:bCs/>
          <w:iCs/>
          <w:kern w:val="28"/>
          <w:sz w:val="36"/>
        </w:rPr>
      </w:pPr>
      <w:r w:rsidRPr="00732589">
        <w:rPr>
          <w:rFonts w:ascii="Arial" w:hAnsi="Arial" w:cs="Arial"/>
          <w:bCs/>
          <w:iCs/>
          <w:kern w:val="28"/>
          <w:sz w:val="36"/>
        </w:rPr>
        <w:t>Effect</w:t>
      </w:r>
      <w:r w:rsidRPr="001C64A3">
        <w:rPr>
          <w:rFonts w:ascii="Arial" w:hAnsi="Arial" w:cs="Arial"/>
          <w:bCs/>
          <w:iCs/>
          <w:kern w:val="28"/>
          <w:sz w:val="36"/>
        </w:rPr>
        <w:t xml:space="preserve"> of Mixed Bovine and Ovine Stabling on Soil Properties and on Growth and Yield of Okra </w:t>
      </w:r>
      <w:r w:rsidRPr="00732589">
        <w:rPr>
          <w:rFonts w:ascii="Arial" w:hAnsi="Arial" w:cs="Arial"/>
          <w:bCs/>
          <w:iCs/>
          <w:kern w:val="28"/>
          <w:sz w:val="36"/>
        </w:rPr>
        <w:t>(</w:t>
      </w:r>
      <w:r w:rsidRPr="00732589">
        <w:rPr>
          <w:rFonts w:ascii="Arial" w:hAnsi="Arial" w:cs="Arial"/>
          <w:bCs/>
          <w:i/>
          <w:kern w:val="28"/>
          <w:sz w:val="36"/>
        </w:rPr>
        <w:t>Abelmoschus esculentus</w:t>
      </w:r>
      <w:r w:rsidRPr="00732589">
        <w:rPr>
          <w:rFonts w:ascii="Arial" w:hAnsi="Arial" w:cs="Arial"/>
          <w:bCs/>
          <w:iCs/>
          <w:kern w:val="28"/>
          <w:sz w:val="36"/>
        </w:rPr>
        <w:t xml:space="preserve"> L. Moench.) in the Sudano-Sahelian zone of Burkina Faso</w:t>
      </w:r>
    </w:p>
    <w:p w14:paraId="75EF69B9" w14:textId="77777777" w:rsidR="00B97416" w:rsidRPr="00790ADA" w:rsidRDefault="00B97416" w:rsidP="00AA5BA0">
      <w:pPr>
        <w:pStyle w:val="Author"/>
        <w:spacing w:line="240" w:lineRule="auto"/>
        <w:rPr>
          <w:rFonts w:ascii="Arial" w:hAnsi="Arial" w:cs="Arial"/>
          <w:sz w:val="36"/>
        </w:rPr>
      </w:pPr>
    </w:p>
    <w:p w14:paraId="72D092A1" w14:textId="77777777" w:rsidR="002C57D2" w:rsidRPr="00FB3A86" w:rsidRDefault="002C57D2" w:rsidP="00441B6F">
      <w:pPr>
        <w:pStyle w:val="Affiliation"/>
        <w:spacing w:after="0" w:line="240" w:lineRule="auto"/>
        <w:jc w:val="both"/>
        <w:rPr>
          <w:rFonts w:ascii="Arial" w:hAnsi="Arial" w:cs="Arial"/>
        </w:rPr>
      </w:pPr>
    </w:p>
    <w:p w14:paraId="33605B6D" w14:textId="77777777" w:rsidR="00B01FCD" w:rsidRPr="00FB3A86" w:rsidRDefault="00961A7B" w:rsidP="00441B6F">
      <w:pPr>
        <w:pStyle w:val="Copyright"/>
        <w:spacing w:after="0" w:line="240" w:lineRule="auto"/>
        <w:jc w:val="both"/>
        <w:rPr>
          <w:rFonts w:ascii="Arial" w:hAnsi="Arial" w:cs="Arial"/>
        </w:rPr>
        <w:sectPr w:rsidR="00B01FCD" w:rsidRPr="00FB3A86" w:rsidSect="00DD5C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2A02E8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F3388CD" w14:textId="7A884FFB" w:rsidR="00B01FCD" w:rsidRDefault="00B01FCD" w:rsidP="00441B6F">
      <w:pPr>
        <w:pStyle w:val="AbstHead"/>
        <w:spacing w:after="0"/>
        <w:jc w:val="both"/>
        <w:rPr>
          <w:rFonts w:ascii="Arial" w:hAnsi="Arial" w:cs="Arial"/>
        </w:rPr>
      </w:pPr>
      <w:r w:rsidRPr="00FB3A86">
        <w:rPr>
          <w:rFonts w:ascii="Arial" w:hAnsi="Arial" w:cs="Arial"/>
        </w:rPr>
        <w:t>ABSTRACT</w:t>
      </w:r>
    </w:p>
    <w:p w14:paraId="5713FDE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E0E0093" w14:textId="77777777" w:rsidTr="001E44FE">
        <w:tc>
          <w:tcPr>
            <w:tcW w:w="9576" w:type="dxa"/>
            <w:shd w:val="clear" w:color="auto" w:fill="F2F2F2"/>
          </w:tcPr>
          <w:p w14:paraId="61B68D99" w14:textId="783AA303" w:rsidR="003C5394" w:rsidRPr="003C5394" w:rsidRDefault="003C5394" w:rsidP="0043431D">
            <w:pPr>
              <w:pStyle w:val="Body"/>
              <w:jc w:val="left"/>
              <w:rPr>
                <w:rFonts w:ascii="Arial" w:eastAsia="Calibri" w:hAnsi="Arial" w:cs="Arial"/>
                <w:szCs w:val="22"/>
              </w:rPr>
            </w:pPr>
            <w:r w:rsidRPr="003C5394">
              <w:rPr>
                <w:rFonts w:ascii="Arial" w:eastAsia="Calibri" w:hAnsi="Arial" w:cs="Arial"/>
                <w:szCs w:val="22"/>
              </w:rPr>
              <w:t xml:space="preserve">In Burkina Faso, </w:t>
            </w:r>
            <w:r w:rsidR="004F5351">
              <w:rPr>
                <w:rFonts w:ascii="Arial" w:eastAsia="Calibri" w:hAnsi="Arial" w:cs="Arial"/>
                <w:szCs w:val="22"/>
              </w:rPr>
              <w:t>o</w:t>
            </w:r>
            <w:r w:rsidRPr="003C5394">
              <w:rPr>
                <w:rFonts w:ascii="Arial" w:eastAsia="Calibri" w:hAnsi="Arial" w:cs="Arial"/>
                <w:szCs w:val="22"/>
              </w:rPr>
              <w:t xml:space="preserve">kra is one of the most important vegetable crops. Low soil fertility is one of the major constraints to </w:t>
            </w:r>
            <w:r w:rsidR="004F5351">
              <w:rPr>
                <w:rFonts w:ascii="Arial" w:eastAsia="Calibri" w:hAnsi="Arial" w:cs="Arial"/>
                <w:szCs w:val="22"/>
              </w:rPr>
              <w:t>o</w:t>
            </w:r>
            <w:r w:rsidRPr="003C5394">
              <w:rPr>
                <w:rFonts w:ascii="Arial" w:eastAsia="Calibri" w:hAnsi="Arial" w:cs="Arial"/>
                <w:szCs w:val="22"/>
              </w:rPr>
              <w:t xml:space="preserve">kra production. The objective of this study was to evaluate the effect of </w:t>
            </w:r>
            <w:r w:rsidR="00DD44B6" w:rsidRPr="00DD44B6">
              <w:rPr>
                <w:rFonts w:ascii="Arial" w:eastAsia="Calibri" w:hAnsi="Arial" w:cs="Arial"/>
                <w:szCs w:val="22"/>
              </w:rPr>
              <w:t xml:space="preserve">mixed bovine and ovine stabling on soil properties and on growth and yield of </w:t>
            </w:r>
            <w:r w:rsidR="004F5351">
              <w:rPr>
                <w:rFonts w:ascii="Arial" w:eastAsia="Calibri" w:hAnsi="Arial" w:cs="Arial"/>
                <w:szCs w:val="22"/>
              </w:rPr>
              <w:t>o</w:t>
            </w:r>
            <w:r w:rsidR="00DD44B6" w:rsidRPr="00DD44B6">
              <w:rPr>
                <w:rFonts w:ascii="Arial" w:eastAsia="Calibri" w:hAnsi="Arial" w:cs="Arial"/>
                <w:szCs w:val="22"/>
              </w:rPr>
              <w:t>kra in Sudano-Sahelian zone</w:t>
            </w:r>
            <w:r w:rsidRPr="003C5394">
              <w:rPr>
                <w:rFonts w:ascii="Arial" w:eastAsia="Calibri" w:hAnsi="Arial" w:cs="Arial"/>
                <w:szCs w:val="22"/>
              </w:rPr>
              <w:t xml:space="preserve">. The study was conducted during the 2023-2024 agricultural season. The experiment design used is a </w:t>
            </w:r>
            <w:r w:rsidR="00C13FEC" w:rsidRPr="00C13FEC">
              <w:rPr>
                <w:rFonts w:ascii="Arial" w:eastAsia="Calibri" w:hAnsi="Arial" w:cs="Arial"/>
                <w:szCs w:val="22"/>
              </w:rPr>
              <w:t>Randomized Complete Block Design with two treatments (with and without stabling) and f</w:t>
            </w:r>
            <w:r w:rsidR="00821F4B">
              <w:rPr>
                <w:rFonts w:ascii="Arial" w:eastAsia="Calibri" w:hAnsi="Arial" w:cs="Arial"/>
                <w:szCs w:val="22"/>
              </w:rPr>
              <w:t>our</w:t>
            </w:r>
            <w:r w:rsidR="00C13FEC" w:rsidRPr="00C13FEC">
              <w:rPr>
                <w:rFonts w:ascii="Arial" w:eastAsia="Calibri" w:hAnsi="Arial" w:cs="Arial"/>
                <w:szCs w:val="22"/>
              </w:rPr>
              <w:t xml:space="preserve"> replications</w:t>
            </w:r>
            <w:r w:rsidRPr="003C5394">
              <w:rPr>
                <w:rFonts w:ascii="Arial" w:eastAsia="Calibri" w:hAnsi="Arial" w:cs="Arial"/>
                <w:szCs w:val="22"/>
              </w:rPr>
              <w:t>. The data collected are plant height, c</w:t>
            </w:r>
            <w:r w:rsidR="00A87B7A">
              <w:rPr>
                <w:rFonts w:ascii="Arial" w:eastAsia="Calibri" w:hAnsi="Arial" w:cs="Arial"/>
                <w:szCs w:val="22"/>
              </w:rPr>
              <w:t>ollar</w:t>
            </w:r>
            <w:r w:rsidRPr="003C5394">
              <w:rPr>
                <w:rFonts w:ascii="Arial" w:eastAsia="Calibri" w:hAnsi="Arial" w:cs="Arial"/>
                <w:szCs w:val="22"/>
              </w:rPr>
              <w:t xml:space="preserve"> diameter, number of leaves, number of flowers, soil temperature and soil </w:t>
            </w:r>
            <w:proofErr w:type="spellStart"/>
            <w:r w:rsidRPr="003C5394">
              <w:rPr>
                <w:rFonts w:ascii="Arial" w:eastAsia="Calibri" w:hAnsi="Arial" w:cs="Arial"/>
                <w:szCs w:val="22"/>
              </w:rPr>
              <w:t>pH.</w:t>
            </w:r>
            <w:proofErr w:type="spellEnd"/>
            <w:r w:rsidRPr="003C5394">
              <w:rPr>
                <w:rFonts w:ascii="Arial" w:eastAsia="Calibri" w:hAnsi="Arial" w:cs="Arial"/>
                <w:szCs w:val="22"/>
              </w:rPr>
              <w:t xml:space="preserve"> </w:t>
            </w:r>
          </w:p>
          <w:p w14:paraId="62053D50" w14:textId="23962618" w:rsidR="00505F06" w:rsidRPr="00BA1B01" w:rsidRDefault="00FD3898" w:rsidP="0043431D">
            <w:pPr>
              <w:pStyle w:val="Body"/>
              <w:jc w:val="left"/>
              <w:rPr>
                <w:rFonts w:ascii="Arial" w:eastAsia="Calibri" w:hAnsi="Arial" w:cs="Arial"/>
                <w:szCs w:val="22"/>
              </w:rPr>
            </w:pPr>
            <w:r>
              <w:rPr>
                <w:rFonts w:ascii="Arial" w:eastAsia="Calibri" w:hAnsi="Arial" w:cs="Arial"/>
                <w:szCs w:val="22"/>
              </w:rPr>
              <w:t>R</w:t>
            </w:r>
            <w:r w:rsidR="003C5394" w:rsidRPr="003C5394">
              <w:rPr>
                <w:rFonts w:ascii="Arial" w:eastAsia="Calibri" w:hAnsi="Arial" w:cs="Arial"/>
                <w:szCs w:val="22"/>
              </w:rPr>
              <w:t xml:space="preserve">esults </w:t>
            </w:r>
            <w:r w:rsidR="009671D9">
              <w:rPr>
                <w:rFonts w:ascii="Arial" w:eastAsia="Calibri" w:hAnsi="Arial" w:cs="Arial"/>
                <w:szCs w:val="22"/>
              </w:rPr>
              <w:t xml:space="preserve">of the study showed </w:t>
            </w:r>
            <w:r w:rsidR="003C5394" w:rsidRPr="003C5394">
              <w:rPr>
                <w:rFonts w:ascii="Arial" w:eastAsia="Calibri" w:hAnsi="Arial" w:cs="Arial"/>
                <w:szCs w:val="22"/>
              </w:rPr>
              <w:t>that the stabling treatment (PR) recorded the highest pH (6.27), the highest fruit weight (137.62 g</w:t>
            </w:r>
            <w:r w:rsidR="008576F3">
              <w:rPr>
                <w:rFonts w:ascii="Arial" w:eastAsia="Calibri" w:hAnsi="Arial" w:cs="Arial"/>
                <w:szCs w:val="22"/>
              </w:rPr>
              <w:t xml:space="preserve"> plant</w:t>
            </w:r>
            <w:r w:rsidR="008576F3" w:rsidRPr="00961A7B">
              <w:rPr>
                <w:rFonts w:ascii="Arial" w:eastAsia="Calibri" w:hAnsi="Arial" w:cs="Arial"/>
                <w:szCs w:val="22"/>
                <w:vertAlign w:val="superscript"/>
              </w:rPr>
              <w:t>-1</w:t>
            </w:r>
            <w:r w:rsidR="003C5394" w:rsidRPr="003C5394">
              <w:rPr>
                <w:rFonts w:ascii="Arial" w:eastAsia="Calibri" w:hAnsi="Arial" w:cs="Arial"/>
                <w:szCs w:val="22"/>
              </w:rPr>
              <w:t>) and the best fruit yield (</w:t>
            </w:r>
            <w:r w:rsidR="00FC5A6D" w:rsidRPr="00FC5A6D">
              <w:rPr>
                <w:rFonts w:ascii="Arial" w:eastAsia="Calibri" w:hAnsi="Arial" w:cs="Arial"/>
                <w:szCs w:val="22"/>
              </w:rPr>
              <w:t>2.75 t ha</w:t>
            </w:r>
            <w:r w:rsidR="00FC5A6D" w:rsidRPr="00FC5A6D">
              <w:rPr>
                <w:rFonts w:ascii="Cambria Math" w:eastAsia="Calibri" w:hAnsi="Cambria Math" w:cs="Cambria Math"/>
                <w:szCs w:val="22"/>
              </w:rPr>
              <w:t>⁻</w:t>
            </w:r>
            <w:r w:rsidR="00FC5A6D" w:rsidRPr="00FC5A6D">
              <w:rPr>
                <w:rFonts w:ascii="Arial" w:eastAsia="Calibri" w:hAnsi="Arial" w:cs="Arial"/>
                <w:szCs w:val="22"/>
              </w:rPr>
              <w:t>¹</w:t>
            </w:r>
            <w:r w:rsidR="003C5394" w:rsidRPr="003C5394">
              <w:rPr>
                <w:rFonts w:ascii="Arial" w:eastAsia="Calibri" w:hAnsi="Arial" w:cs="Arial"/>
                <w:szCs w:val="22"/>
              </w:rPr>
              <w:t xml:space="preserve">), i.e. a yield gain of 17.62% compared to the control (TA). These results </w:t>
            </w:r>
            <w:r w:rsidR="00BB567B">
              <w:rPr>
                <w:rFonts w:ascii="Arial" w:eastAsia="Calibri" w:hAnsi="Arial" w:cs="Arial"/>
                <w:szCs w:val="22"/>
              </w:rPr>
              <w:t>highlight</w:t>
            </w:r>
            <w:r w:rsidR="00BB567B" w:rsidRPr="003C5394">
              <w:rPr>
                <w:rFonts w:ascii="Arial" w:eastAsia="Calibri" w:hAnsi="Arial" w:cs="Arial"/>
                <w:szCs w:val="22"/>
              </w:rPr>
              <w:t xml:space="preserve"> </w:t>
            </w:r>
            <w:r w:rsidR="003C5394" w:rsidRPr="003C5394">
              <w:rPr>
                <w:rFonts w:ascii="Arial" w:eastAsia="Calibri" w:hAnsi="Arial" w:cs="Arial"/>
                <w:szCs w:val="22"/>
              </w:rPr>
              <w:t>that mixed cattle and sheep stabling, a source of organic matter, improves the soil and okra productivity. Thus, the practice of stabling could be an alternative to restore the soil and boost okra production in the Sudano-Sahelian zone of Burkina Faso.</w:t>
            </w:r>
          </w:p>
        </w:tc>
      </w:tr>
    </w:tbl>
    <w:p w14:paraId="7A38F16C" w14:textId="77777777" w:rsidR="00636EB2" w:rsidRDefault="00636EB2" w:rsidP="00441B6F">
      <w:pPr>
        <w:pStyle w:val="Body"/>
        <w:spacing w:after="0"/>
        <w:rPr>
          <w:rFonts w:ascii="Arial" w:hAnsi="Arial" w:cs="Arial"/>
          <w:i/>
        </w:rPr>
      </w:pPr>
    </w:p>
    <w:p w14:paraId="7592BD55" w14:textId="111C0EB2" w:rsidR="00A24E7E" w:rsidRDefault="00A24E7E" w:rsidP="00441B6F">
      <w:pPr>
        <w:pStyle w:val="Body"/>
        <w:spacing w:after="0"/>
        <w:rPr>
          <w:rFonts w:ascii="Arial" w:hAnsi="Arial" w:cs="Arial"/>
          <w:i/>
        </w:rPr>
      </w:pPr>
      <w:r>
        <w:rPr>
          <w:rFonts w:ascii="Arial" w:hAnsi="Arial" w:cs="Arial"/>
          <w:i/>
        </w:rPr>
        <w:t xml:space="preserve">Keywords: </w:t>
      </w:r>
      <w:r w:rsidR="00034053" w:rsidRPr="00034053">
        <w:rPr>
          <w:rFonts w:ascii="Arial" w:hAnsi="Arial" w:cs="Arial"/>
          <w:i/>
        </w:rPr>
        <w:t>stabling, okra, bovine manure, Boudtenga, soil restoration, Burkina Faso</w:t>
      </w:r>
      <w:r w:rsidR="0043431D">
        <w:rPr>
          <w:rFonts w:ascii="Arial" w:hAnsi="Arial" w:cs="Arial"/>
          <w:i/>
        </w:rPr>
        <w:t>.</w:t>
      </w:r>
    </w:p>
    <w:p w14:paraId="197664E3" w14:textId="77777777" w:rsidR="00790ADA" w:rsidRDefault="00790ADA" w:rsidP="00441B6F">
      <w:pPr>
        <w:pStyle w:val="Body"/>
        <w:spacing w:after="0"/>
        <w:rPr>
          <w:rFonts w:ascii="Arial" w:hAnsi="Arial" w:cs="Arial"/>
          <w:i/>
        </w:rPr>
      </w:pPr>
    </w:p>
    <w:p w14:paraId="2C365B2E" w14:textId="01FC932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C54B845" w14:textId="77777777" w:rsidR="00790ADA" w:rsidRPr="00FB3A86" w:rsidRDefault="00790ADA" w:rsidP="00441B6F">
      <w:pPr>
        <w:pStyle w:val="AbstHead"/>
        <w:spacing w:after="0"/>
        <w:jc w:val="both"/>
        <w:rPr>
          <w:rFonts w:ascii="Arial" w:hAnsi="Arial" w:cs="Arial"/>
        </w:rPr>
      </w:pPr>
    </w:p>
    <w:p w14:paraId="22F96DC5" w14:textId="5240200A" w:rsidR="00B01FCD" w:rsidRDefault="007D3132" w:rsidP="00441B6F">
      <w:pPr>
        <w:pStyle w:val="Body"/>
        <w:spacing w:after="0"/>
        <w:rPr>
          <w:rFonts w:ascii="Arial" w:hAnsi="Arial" w:cs="Arial"/>
        </w:rPr>
      </w:pPr>
      <w:r w:rsidRPr="007D3132">
        <w:rPr>
          <w:rFonts w:ascii="Arial" w:hAnsi="Arial" w:cs="Arial"/>
        </w:rPr>
        <w:t xml:space="preserve">Burkina Faso's economy is based on the agricultural sector. It contributes 16.3% to GDP formation (INSD, 2024). Market gardening is practiced by a small proportion of households (11.9%) and rural households practice much more than urban households (INSD, 2023). Indeed, 12.6% of households in rural areas practice market gardening compared to 7.2% of households in cities. Okra production is an important part of </w:t>
      </w:r>
      <w:r w:rsidR="006E0745" w:rsidRPr="007D3132">
        <w:rPr>
          <w:rFonts w:ascii="Arial" w:hAnsi="Arial" w:cs="Arial"/>
        </w:rPr>
        <w:t>production</w:t>
      </w:r>
      <w:r w:rsidRPr="007D3132">
        <w:rPr>
          <w:rFonts w:ascii="Arial" w:hAnsi="Arial" w:cs="Arial"/>
        </w:rPr>
        <w:t xml:space="preserve"> with 23632 tons in 2023 (FAOSTAT, 2025) and the 6</w:t>
      </w:r>
      <w:r w:rsidR="005504DF" w:rsidRPr="007D3132">
        <w:rPr>
          <w:rFonts w:ascii="Arial" w:hAnsi="Arial" w:cs="Arial"/>
        </w:rPr>
        <w:t>th place</w:t>
      </w:r>
      <w:r w:rsidRPr="007D3132">
        <w:rPr>
          <w:rFonts w:ascii="Arial" w:hAnsi="Arial" w:cs="Arial"/>
        </w:rPr>
        <w:t xml:space="preserve"> after eggplant in rural areas. Okra (</w:t>
      </w:r>
      <w:r w:rsidRPr="004851F4">
        <w:rPr>
          <w:rFonts w:ascii="Arial" w:hAnsi="Arial" w:cs="Arial"/>
          <w:i/>
          <w:iCs/>
        </w:rPr>
        <w:t>Abelmoschus esculentus</w:t>
      </w:r>
      <w:r w:rsidRPr="007D3132">
        <w:rPr>
          <w:rFonts w:ascii="Arial" w:hAnsi="Arial" w:cs="Arial"/>
        </w:rPr>
        <w:t xml:space="preserve"> L.) is a fruit vegetable belonging to </w:t>
      </w:r>
      <w:proofErr w:type="spellStart"/>
      <w:r w:rsidRPr="007D3132">
        <w:rPr>
          <w:rFonts w:ascii="Arial" w:hAnsi="Arial" w:cs="Arial"/>
        </w:rPr>
        <w:t>Malvaceae</w:t>
      </w:r>
      <w:proofErr w:type="spellEnd"/>
      <w:r w:rsidRPr="007D3132">
        <w:rPr>
          <w:rFonts w:ascii="Arial" w:hAnsi="Arial" w:cs="Arial"/>
        </w:rPr>
        <w:t xml:space="preserve"> family, cultivated for its fruits and leaves in Burkina Faso. Okra is a high-value crop because it is a source of nutrients important to human health, such as vitamins, potassium, calcium, carbohydrates, dietary </w:t>
      </w:r>
      <w:r w:rsidR="006E0745" w:rsidRPr="007D3132">
        <w:rPr>
          <w:rFonts w:ascii="Arial" w:hAnsi="Arial" w:cs="Arial"/>
        </w:rPr>
        <w:t>fiber</w:t>
      </w:r>
      <w:r w:rsidRPr="007D3132">
        <w:rPr>
          <w:rFonts w:ascii="Arial" w:hAnsi="Arial" w:cs="Arial"/>
        </w:rPr>
        <w:t>, and unsaturated fatty acids such as linolenic and oleic acids (Durazzo et al., 2018; Hasan et al., 2025) and is commonly used in different industrial sectors. The fruits, seeds, and leaves of okra have applications due to their composition and properties. This is because the seeds are rich in α-tocopherol and have high levels of minerals, including calcium, potassium, copper, iron, phosphorus, magnesium, zinc and manganese (Dantas et al., 2021). Despite these performances, okra production faces constraints including water insufficiency and low soil fertility. Water, land degradation and low natural soil fertility had been identified as major constraints to agricultural production in sub-Saharan Africa. This situation is explained by erratic rainfall, water erosion and anthropogenic pressure. In Burkina Faso, irrigation systems have been set up with the aim of contributing to better water management. In addition, many works have indicated that organic amendments increase porosity, improve structure and structural stability, improve water retention capacity, mineralization of soil mineral elements (</w:t>
      </w:r>
      <w:proofErr w:type="spellStart"/>
      <w:r w:rsidRPr="007D3132">
        <w:rPr>
          <w:rFonts w:ascii="Arial" w:hAnsi="Arial" w:cs="Arial"/>
        </w:rPr>
        <w:t>N'Dayegamiye</w:t>
      </w:r>
      <w:proofErr w:type="spellEnd"/>
      <w:r w:rsidRPr="007D3132">
        <w:rPr>
          <w:rFonts w:ascii="Arial" w:hAnsi="Arial" w:cs="Arial"/>
        </w:rPr>
        <w:t xml:space="preserve"> et al., 2005; Mukalay et al., 2008; Diakité et al., 2020). Thus, </w:t>
      </w:r>
      <w:r w:rsidR="006879DB">
        <w:rPr>
          <w:rFonts w:ascii="Arial" w:hAnsi="Arial" w:cs="Arial"/>
        </w:rPr>
        <w:t xml:space="preserve">based </w:t>
      </w:r>
      <w:r w:rsidRPr="007D3132">
        <w:rPr>
          <w:rFonts w:ascii="Arial" w:hAnsi="Arial" w:cs="Arial"/>
        </w:rPr>
        <w:t xml:space="preserve">on the potential of okra in </w:t>
      </w:r>
      <w:proofErr w:type="gramStart"/>
      <w:r w:rsidRPr="007D3132">
        <w:rPr>
          <w:rFonts w:ascii="Arial" w:hAnsi="Arial" w:cs="Arial"/>
        </w:rPr>
        <w:lastRenderedPageBreak/>
        <w:t>this</w:t>
      </w:r>
      <w:proofErr w:type="gramEnd"/>
      <w:r w:rsidRPr="007D3132">
        <w:rPr>
          <w:rFonts w:ascii="Arial" w:hAnsi="Arial" w:cs="Arial"/>
        </w:rPr>
        <w:t xml:space="preserve"> context of precarious rainfall associated with the continuous degradation of the </w:t>
      </w:r>
      <w:proofErr w:type="gramStart"/>
      <w:r w:rsidRPr="007D3132">
        <w:rPr>
          <w:rFonts w:ascii="Arial" w:hAnsi="Arial" w:cs="Arial"/>
        </w:rPr>
        <w:t>soil,</w:t>
      </w:r>
      <w:proofErr w:type="gramEnd"/>
      <w:r w:rsidRPr="007D3132">
        <w:rPr>
          <w:rFonts w:ascii="Arial" w:hAnsi="Arial" w:cs="Arial"/>
        </w:rPr>
        <w:t xml:space="preserve"> it is therefore essential to consider an improvement in okra yields. It should consider the restoration of soil capital and smart water management. The present work aims to assess the influence of animal stabling on the soil and the productivity of okra.</w:t>
      </w:r>
    </w:p>
    <w:p w14:paraId="55F4ED04" w14:textId="77777777" w:rsidR="00790ADA" w:rsidRPr="00FB3A86" w:rsidRDefault="00790ADA" w:rsidP="00441B6F">
      <w:pPr>
        <w:pStyle w:val="Body"/>
        <w:spacing w:after="0"/>
        <w:rPr>
          <w:rFonts w:ascii="Arial" w:hAnsi="Arial" w:cs="Arial"/>
        </w:rPr>
      </w:pPr>
    </w:p>
    <w:p w14:paraId="3035931D" w14:textId="143B92C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2597F27" w14:textId="77777777" w:rsidR="00790ADA" w:rsidRPr="00FB3A86" w:rsidRDefault="00790ADA" w:rsidP="00441B6F">
      <w:pPr>
        <w:pStyle w:val="AbstHead"/>
        <w:spacing w:after="0"/>
        <w:jc w:val="both"/>
        <w:rPr>
          <w:rFonts w:ascii="Arial" w:hAnsi="Arial" w:cs="Arial"/>
        </w:rPr>
      </w:pPr>
    </w:p>
    <w:p w14:paraId="0E61C534" w14:textId="77777777" w:rsidR="008A6960" w:rsidRPr="008A6960" w:rsidRDefault="008A6960" w:rsidP="008A6960">
      <w:pPr>
        <w:pStyle w:val="Body"/>
        <w:spacing w:after="0"/>
        <w:rPr>
          <w:rFonts w:ascii="Arial" w:hAnsi="Arial" w:cs="Arial"/>
          <w:b/>
          <w:bCs/>
        </w:rPr>
      </w:pPr>
      <w:r w:rsidRPr="008A6960">
        <w:rPr>
          <w:rFonts w:ascii="Arial" w:hAnsi="Arial" w:cs="Arial"/>
          <w:b/>
          <w:bCs/>
        </w:rPr>
        <w:t>Study site</w:t>
      </w:r>
    </w:p>
    <w:p w14:paraId="57D72193" w14:textId="77777777" w:rsidR="008A6960" w:rsidRPr="008A6960" w:rsidRDefault="008A6960" w:rsidP="008A6960">
      <w:pPr>
        <w:pStyle w:val="Body"/>
        <w:spacing w:after="0"/>
        <w:rPr>
          <w:rFonts w:ascii="Arial" w:hAnsi="Arial" w:cs="Arial"/>
        </w:rPr>
      </w:pPr>
      <w:r w:rsidRPr="008A6960">
        <w:rPr>
          <w:rFonts w:ascii="Arial" w:hAnsi="Arial" w:cs="Arial"/>
        </w:rPr>
        <w:t xml:space="preserve">The study was conducted on the Henri Christiane farm. This farm </w:t>
      </w:r>
      <w:proofErr w:type="gramStart"/>
      <w:r w:rsidRPr="008A6960">
        <w:rPr>
          <w:rFonts w:ascii="Arial" w:hAnsi="Arial" w:cs="Arial"/>
        </w:rPr>
        <w:t>is located in</w:t>
      </w:r>
      <w:proofErr w:type="gramEnd"/>
      <w:r w:rsidRPr="008A6960">
        <w:rPr>
          <w:rFonts w:ascii="Arial" w:hAnsi="Arial" w:cs="Arial"/>
        </w:rPr>
        <w:t xml:space="preserve"> the village of Boudtenga, about 35 km east of Ouagadougou, between the parallels of 12.48639° and 12°29' </w:t>
      </w:r>
      <w:proofErr w:type="gramStart"/>
      <w:r w:rsidRPr="008A6960">
        <w:rPr>
          <w:rFonts w:ascii="Arial" w:hAnsi="Arial" w:cs="Arial"/>
        </w:rPr>
        <w:t>11''</w:t>
      </w:r>
      <w:proofErr w:type="gramEnd"/>
      <w:r w:rsidRPr="008A6960">
        <w:rPr>
          <w:rFonts w:ascii="Arial" w:hAnsi="Arial" w:cs="Arial"/>
        </w:rPr>
        <w:t xml:space="preserve"> north latitude and the meridians -1.26583° and 1°16'</w:t>
      </w:r>
      <w:proofErr w:type="gramStart"/>
      <w:r w:rsidRPr="008A6960">
        <w:rPr>
          <w:rFonts w:ascii="Arial" w:hAnsi="Arial" w:cs="Arial"/>
        </w:rPr>
        <w:t>57''</w:t>
      </w:r>
      <w:proofErr w:type="gramEnd"/>
      <w:r w:rsidRPr="008A6960">
        <w:rPr>
          <w:rFonts w:ascii="Arial" w:hAnsi="Arial" w:cs="Arial"/>
        </w:rPr>
        <w:t xml:space="preserve"> west longitude. Its altitude is 320 m. It is part of the department of </w:t>
      </w:r>
      <w:proofErr w:type="spellStart"/>
      <w:r w:rsidRPr="008A6960">
        <w:rPr>
          <w:rFonts w:ascii="Arial" w:hAnsi="Arial" w:cs="Arial"/>
        </w:rPr>
        <w:t>Saaba</w:t>
      </w:r>
      <w:proofErr w:type="spellEnd"/>
      <w:r w:rsidRPr="008A6960">
        <w:rPr>
          <w:rFonts w:ascii="Arial" w:hAnsi="Arial" w:cs="Arial"/>
        </w:rPr>
        <w:t xml:space="preserve">, province of Kadiogo and is located in the North Sudanese phytogeographical domain </w:t>
      </w:r>
      <w:r w:rsidRPr="008A6960">
        <w:rPr>
          <w:rFonts w:ascii="Arial" w:hAnsi="Arial" w:cs="Arial"/>
          <w:lang w:val="fr-FR"/>
        </w:rPr>
        <w:fldChar w:fldCharType="begin"/>
      </w:r>
      <w:r w:rsidRPr="008A6960">
        <w:rPr>
          <w:rFonts w:ascii="Arial" w:hAnsi="Arial" w:cs="Arial"/>
        </w:rPr>
        <w:instrText xml:space="preserve"> ADDIN ZOTERO_ITEM CSL_CITATION {"citationID":"WiemAIDt","properties":{"formattedCitation":"(Guinko, 1984)","plainCitation":"(Guinko, 1984)","noteIndex":0},"citationItems":[{"id":365,"uris":["http://zotero.org/users/9489841/items/KS4PK6WJ"],"itemData":{"id":365,"type":"thesis","genre":"Thèse de Doctorat","number-of-pages":"318","publisher":"Université de Bordeaux III, France","title":"Végétation de la Haute Volta","author":[{"family":"Guinko","given":"Sita"}],"issued":{"date-parts":[["1984"]]}}}],"schema":"https://github.com/citation-style-language/schema/raw/master/csl-citation.json"} </w:instrText>
      </w:r>
      <w:r w:rsidRPr="008A6960">
        <w:rPr>
          <w:rFonts w:ascii="Arial" w:hAnsi="Arial" w:cs="Arial"/>
          <w:lang w:val="fr-FR"/>
        </w:rPr>
        <w:fldChar w:fldCharType="separate"/>
      </w:r>
      <w:r w:rsidRPr="008A6960">
        <w:rPr>
          <w:rFonts w:ascii="Arial" w:hAnsi="Arial" w:cs="Arial"/>
        </w:rPr>
        <w:t>(Guinko, 1984)</w:t>
      </w:r>
      <w:r w:rsidRPr="008A6960">
        <w:rPr>
          <w:rFonts w:ascii="Arial" w:hAnsi="Arial" w:cs="Arial"/>
        </w:rPr>
        <w:fldChar w:fldCharType="end"/>
      </w:r>
      <w:r w:rsidRPr="008A6960">
        <w:rPr>
          <w:rFonts w:ascii="Arial" w:hAnsi="Arial" w:cs="Arial"/>
        </w:rPr>
        <w:t>.</w:t>
      </w:r>
    </w:p>
    <w:p w14:paraId="59FD3551" w14:textId="77777777" w:rsidR="004B64CD" w:rsidRDefault="004B64CD" w:rsidP="008A6960">
      <w:pPr>
        <w:pStyle w:val="Body"/>
        <w:rPr>
          <w:rFonts w:ascii="Arial" w:hAnsi="Arial" w:cs="Arial"/>
          <w:b/>
          <w:bCs/>
        </w:rPr>
      </w:pPr>
    </w:p>
    <w:p w14:paraId="732FDB64" w14:textId="7D98623A" w:rsidR="008A6960" w:rsidRPr="008A6960" w:rsidRDefault="008A6960" w:rsidP="005070EA">
      <w:pPr>
        <w:pStyle w:val="Body"/>
        <w:spacing w:after="0"/>
        <w:rPr>
          <w:rFonts w:ascii="Arial" w:hAnsi="Arial" w:cs="Arial"/>
        </w:rPr>
      </w:pPr>
      <w:r w:rsidRPr="008A6960">
        <w:rPr>
          <w:rFonts w:ascii="Arial" w:hAnsi="Arial" w:cs="Arial"/>
          <w:b/>
          <w:bCs/>
        </w:rPr>
        <w:t>Plant material</w:t>
      </w:r>
    </w:p>
    <w:p w14:paraId="0E00871D" w14:textId="77777777" w:rsidR="008A6960" w:rsidRDefault="008A6960" w:rsidP="005070EA">
      <w:pPr>
        <w:pStyle w:val="Body"/>
        <w:spacing w:after="0"/>
        <w:rPr>
          <w:rFonts w:ascii="Arial" w:hAnsi="Arial" w:cs="Arial"/>
        </w:rPr>
      </w:pPr>
      <w:r w:rsidRPr="008A6960">
        <w:rPr>
          <w:rFonts w:ascii="Arial" w:hAnsi="Arial" w:cs="Arial"/>
        </w:rPr>
        <w:t>Okra (</w:t>
      </w:r>
      <w:r w:rsidRPr="008A6960">
        <w:rPr>
          <w:rFonts w:ascii="Arial" w:hAnsi="Arial" w:cs="Arial"/>
          <w:i/>
          <w:iCs/>
        </w:rPr>
        <w:t>Abelmoschus esculentus</w:t>
      </w:r>
      <w:r w:rsidRPr="008A6960">
        <w:rPr>
          <w:rFonts w:ascii="Arial" w:hAnsi="Arial" w:cs="Arial"/>
        </w:rPr>
        <w:t xml:space="preserve"> L.) is the plant material used in our study. It is the hybrid variety Rokia F1 with a seed-to-maturity cycle of 40 days.</w:t>
      </w:r>
    </w:p>
    <w:p w14:paraId="208AA1DD" w14:textId="77777777" w:rsidR="005070EA" w:rsidRPr="008A6960" w:rsidRDefault="005070EA" w:rsidP="005070EA">
      <w:pPr>
        <w:pStyle w:val="Body"/>
        <w:spacing w:after="0"/>
        <w:rPr>
          <w:rFonts w:ascii="Arial" w:hAnsi="Arial" w:cs="Arial"/>
        </w:rPr>
      </w:pPr>
    </w:p>
    <w:p w14:paraId="454C19B5" w14:textId="7940BBAA" w:rsidR="008A6960" w:rsidRPr="008A6960" w:rsidRDefault="008A6960" w:rsidP="008A6960">
      <w:pPr>
        <w:pStyle w:val="Body"/>
        <w:spacing w:after="0"/>
        <w:rPr>
          <w:rFonts w:ascii="Arial" w:hAnsi="Arial" w:cs="Arial"/>
          <w:b/>
          <w:bCs/>
        </w:rPr>
      </w:pPr>
      <w:r w:rsidRPr="008A6960">
        <w:rPr>
          <w:rFonts w:ascii="Arial" w:hAnsi="Arial" w:cs="Arial"/>
          <w:b/>
          <w:bCs/>
        </w:rPr>
        <w:t xml:space="preserve">Experimental design and </w:t>
      </w:r>
      <w:r w:rsidR="0026009F">
        <w:rPr>
          <w:rFonts w:ascii="Arial" w:hAnsi="Arial" w:cs="Arial"/>
          <w:b/>
          <w:bCs/>
        </w:rPr>
        <w:t>agronomic management</w:t>
      </w:r>
    </w:p>
    <w:p w14:paraId="13831B1C" w14:textId="0119F7C1" w:rsidR="008A6960" w:rsidRPr="008A6960" w:rsidRDefault="008A6960" w:rsidP="008A6960">
      <w:pPr>
        <w:pStyle w:val="Body"/>
        <w:spacing w:after="0"/>
        <w:rPr>
          <w:rFonts w:ascii="Arial" w:hAnsi="Arial" w:cs="Arial"/>
        </w:rPr>
      </w:pPr>
      <w:r w:rsidRPr="008A6960">
        <w:rPr>
          <w:rFonts w:ascii="Arial" w:hAnsi="Arial" w:cs="Arial"/>
        </w:rPr>
        <w:t xml:space="preserve">The experimental device used is a </w:t>
      </w:r>
      <w:r w:rsidR="00823F41" w:rsidRPr="00823F41">
        <w:rPr>
          <w:rFonts w:ascii="Arial" w:hAnsi="Arial" w:cs="Arial"/>
        </w:rPr>
        <w:t>Randomized Complete Block Design with two treatments and f</w:t>
      </w:r>
      <w:r w:rsidR="004854F2">
        <w:rPr>
          <w:rFonts w:ascii="Arial" w:hAnsi="Arial" w:cs="Arial"/>
        </w:rPr>
        <w:t>our</w:t>
      </w:r>
      <w:r w:rsidR="00823F41" w:rsidRPr="00823F41">
        <w:rPr>
          <w:rFonts w:ascii="Arial" w:hAnsi="Arial" w:cs="Arial"/>
        </w:rPr>
        <w:t xml:space="preserve"> replications</w:t>
      </w:r>
      <w:r w:rsidRPr="008A6960">
        <w:rPr>
          <w:rFonts w:ascii="Arial" w:hAnsi="Arial" w:cs="Arial"/>
        </w:rPr>
        <w:t>. The factor studied is the application of organic manure at two levels of variation: with and without penning of animals. The total surface area of the system is 211.2 m</w:t>
      </w:r>
      <w:r w:rsidRPr="008A6960">
        <w:rPr>
          <w:rFonts w:ascii="Arial" w:hAnsi="Arial" w:cs="Arial"/>
          <w:vertAlign w:val="superscript"/>
        </w:rPr>
        <w:t>2</w:t>
      </w:r>
      <w:r w:rsidRPr="008A6960">
        <w:rPr>
          <w:rFonts w:ascii="Arial" w:hAnsi="Arial" w:cs="Arial"/>
        </w:rPr>
        <w:t xml:space="preserve"> and consists of elementary plots with an area equal to 42.24 m</w:t>
      </w:r>
      <w:r w:rsidRPr="008A6960">
        <w:rPr>
          <w:rFonts w:ascii="Arial" w:hAnsi="Arial" w:cs="Arial"/>
          <w:vertAlign w:val="superscript"/>
        </w:rPr>
        <w:t>2</w:t>
      </w:r>
      <w:r w:rsidRPr="008A6960">
        <w:rPr>
          <w:rFonts w:ascii="Arial" w:hAnsi="Arial" w:cs="Arial"/>
        </w:rPr>
        <w:t xml:space="preserve">. The dimension between the elementary plots was 0.5 m. The parking lot left animal faeces on site. The trial was set up after ploughing using a motorized machine. Sowing was carried out on moist soil at the rate of one seed per pocket. Three weedings were carried out 14 days after </w:t>
      </w:r>
      <w:proofErr w:type="gramStart"/>
      <w:r w:rsidRPr="008A6960">
        <w:rPr>
          <w:rFonts w:ascii="Arial" w:hAnsi="Arial" w:cs="Arial"/>
        </w:rPr>
        <w:t>sowing</w:t>
      </w:r>
      <w:proofErr w:type="gramEnd"/>
      <w:r w:rsidRPr="008A6960">
        <w:rPr>
          <w:rFonts w:ascii="Arial" w:hAnsi="Arial" w:cs="Arial"/>
        </w:rPr>
        <w:t xml:space="preserve">, 22 days and 36 days followed by ridging at 57 days. </w:t>
      </w:r>
    </w:p>
    <w:p w14:paraId="3897318C" w14:textId="77777777" w:rsidR="005070EA" w:rsidRDefault="005070EA" w:rsidP="008A6960">
      <w:pPr>
        <w:pStyle w:val="Body"/>
        <w:spacing w:after="0"/>
        <w:rPr>
          <w:rFonts w:ascii="Arial" w:hAnsi="Arial" w:cs="Arial"/>
          <w:b/>
          <w:bCs/>
        </w:rPr>
      </w:pPr>
    </w:p>
    <w:p w14:paraId="27B3B94C" w14:textId="3BB8B8D2" w:rsidR="008A6960" w:rsidRPr="008A6960" w:rsidRDefault="008A6960" w:rsidP="008A6960">
      <w:pPr>
        <w:pStyle w:val="Body"/>
        <w:spacing w:after="0"/>
        <w:rPr>
          <w:rFonts w:ascii="Arial" w:hAnsi="Arial" w:cs="Arial"/>
          <w:b/>
          <w:bCs/>
        </w:rPr>
      </w:pPr>
      <w:r w:rsidRPr="008A6960">
        <w:rPr>
          <w:rFonts w:ascii="Arial" w:hAnsi="Arial" w:cs="Arial"/>
          <w:b/>
          <w:bCs/>
        </w:rPr>
        <w:t>Collected parameters</w:t>
      </w:r>
    </w:p>
    <w:p w14:paraId="34D84DF6" w14:textId="77777777" w:rsidR="008A6960" w:rsidRPr="008A6960" w:rsidRDefault="008A6960" w:rsidP="008A6960">
      <w:pPr>
        <w:pStyle w:val="Body"/>
        <w:spacing w:after="0"/>
        <w:rPr>
          <w:rFonts w:ascii="Arial" w:hAnsi="Arial" w:cs="Arial"/>
        </w:rPr>
      </w:pPr>
      <w:r w:rsidRPr="008A6960">
        <w:rPr>
          <w:rFonts w:ascii="Arial" w:hAnsi="Arial" w:cs="Arial"/>
        </w:rPr>
        <w:t xml:space="preserve">To assess okra productivity and soil fertility dynamics, the following data were collected: plant height, crown diameter, number of leaves, number of flowers, soil temperature, and soil </w:t>
      </w:r>
      <w:proofErr w:type="spellStart"/>
      <w:r w:rsidRPr="008A6960">
        <w:rPr>
          <w:rFonts w:ascii="Arial" w:hAnsi="Arial" w:cs="Arial"/>
        </w:rPr>
        <w:t>pH.</w:t>
      </w:r>
      <w:proofErr w:type="spellEnd"/>
    </w:p>
    <w:p w14:paraId="6933966E"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height of the plants</w:t>
      </w:r>
      <w:r w:rsidRPr="008A6960">
        <w:rPr>
          <w:rFonts w:ascii="Arial" w:hAnsi="Arial" w:cs="Arial"/>
          <w:b/>
          <w:bCs/>
        </w:rPr>
        <w:t>:</w:t>
      </w:r>
      <w:r w:rsidRPr="008A6960">
        <w:rPr>
          <w:rFonts w:ascii="Arial" w:hAnsi="Arial" w:cs="Arial"/>
        </w:rPr>
        <w:t xml:space="preserve"> this was measured using a tape measure.</w:t>
      </w:r>
    </w:p>
    <w:p w14:paraId="7B1EDF69"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number of leaves</w:t>
      </w:r>
      <w:r w:rsidRPr="008A6960">
        <w:rPr>
          <w:rFonts w:ascii="Arial" w:hAnsi="Arial" w:cs="Arial"/>
          <w:b/>
          <w:bCs/>
        </w:rPr>
        <w:t>:</w:t>
      </w:r>
      <w:r w:rsidRPr="008A6960">
        <w:rPr>
          <w:rFonts w:ascii="Arial" w:hAnsi="Arial" w:cs="Arial"/>
        </w:rPr>
        <w:t xml:space="preserve"> it was evaluated by counting the number of leaves produced per plant as they appeared. </w:t>
      </w:r>
    </w:p>
    <w:p w14:paraId="6A6DBD19"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number of flowers</w:t>
      </w:r>
      <w:r w:rsidRPr="008A6960">
        <w:rPr>
          <w:rFonts w:ascii="Arial" w:hAnsi="Arial" w:cs="Arial"/>
          <w:b/>
          <w:bCs/>
        </w:rPr>
        <w:t>:</w:t>
      </w:r>
      <w:r w:rsidRPr="008A6960">
        <w:rPr>
          <w:rFonts w:ascii="Arial" w:hAnsi="Arial" w:cs="Arial"/>
        </w:rPr>
        <w:t xml:space="preserve"> it was evaluated by counting the number of flowers produced per plant as they appeared. </w:t>
      </w:r>
    </w:p>
    <w:p w14:paraId="0EFC4EF6"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number of fruits</w:t>
      </w:r>
      <w:r w:rsidRPr="008A6960">
        <w:rPr>
          <w:rFonts w:ascii="Arial" w:hAnsi="Arial" w:cs="Arial"/>
          <w:b/>
          <w:bCs/>
        </w:rPr>
        <w:t>:</w:t>
      </w:r>
      <w:r w:rsidRPr="008A6960">
        <w:rPr>
          <w:rFonts w:ascii="Arial" w:hAnsi="Arial" w:cs="Arial"/>
        </w:rPr>
        <w:t xml:space="preserve"> this was obtained by counting the number of viable fruits per plant. </w:t>
      </w:r>
    </w:p>
    <w:p w14:paraId="006DF5E8" w14:textId="2AD0EC41"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diameter at the collar of the plants</w:t>
      </w:r>
      <w:r w:rsidRPr="008A6960">
        <w:rPr>
          <w:rFonts w:ascii="Arial" w:hAnsi="Arial" w:cs="Arial"/>
          <w:b/>
          <w:bCs/>
        </w:rPr>
        <w:t>:</w:t>
      </w:r>
      <w:r w:rsidRPr="008A6960">
        <w:rPr>
          <w:rFonts w:ascii="Arial" w:hAnsi="Arial" w:cs="Arial"/>
        </w:rPr>
        <w:t xml:space="preserve"> it was measured using a </w:t>
      </w:r>
      <w:r w:rsidR="00EA46F3">
        <w:rPr>
          <w:rFonts w:ascii="Arial" w:hAnsi="Arial" w:cs="Arial"/>
        </w:rPr>
        <w:t xml:space="preserve">digital </w:t>
      </w:r>
      <w:r w:rsidRPr="008A6960">
        <w:rPr>
          <w:rFonts w:ascii="Arial" w:hAnsi="Arial" w:cs="Arial"/>
        </w:rPr>
        <w:t>caliper.</w:t>
      </w:r>
    </w:p>
    <w:p w14:paraId="157F8426"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pH and temperature of the soil</w:t>
      </w:r>
      <w:r w:rsidRPr="008A6960">
        <w:rPr>
          <w:rFonts w:ascii="Arial" w:hAnsi="Arial" w:cs="Arial"/>
          <w:b/>
          <w:bCs/>
        </w:rPr>
        <w:t xml:space="preserve">: </w:t>
      </w:r>
      <w:r w:rsidRPr="008A6960">
        <w:rPr>
          <w:rFonts w:ascii="Arial" w:hAnsi="Arial" w:cs="Arial"/>
        </w:rPr>
        <w:t xml:space="preserve">these were taken using an electronic pH meter with a probe (Soil tester). </w:t>
      </w:r>
    </w:p>
    <w:p w14:paraId="65B8EF4A" w14:textId="77777777" w:rsidR="005070EA" w:rsidRDefault="005070EA" w:rsidP="008A6960">
      <w:pPr>
        <w:pStyle w:val="Body"/>
        <w:spacing w:after="0"/>
        <w:rPr>
          <w:rFonts w:ascii="Arial" w:hAnsi="Arial" w:cs="Arial"/>
          <w:b/>
          <w:bCs/>
        </w:rPr>
      </w:pPr>
    </w:p>
    <w:p w14:paraId="57FD687E" w14:textId="295CBC84" w:rsidR="008A6960" w:rsidRPr="008A6960" w:rsidRDefault="008A6960" w:rsidP="008A6960">
      <w:pPr>
        <w:pStyle w:val="Body"/>
        <w:spacing w:after="0"/>
        <w:rPr>
          <w:rFonts w:ascii="Arial" w:hAnsi="Arial" w:cs="Arial"/>
          <w:b/>
          <w:bCs/>
        </w:rPr>
      </w:pPr>
      <w:r w:rsidRPr="008A6960">
        <w:rPr>
          <w:rFonts w:ascii="Arial" w:hAnsi="Arial" w:cs="Arial"/>
          <w:b/>
          <w:bCs/>
        </w:rPr>
        <w:t>Data processing and statistical analysis</w:t>
      </w:r>
    </w:p>
    <w:p w14:paraId="78CE5757" w14:textId="2F9E8214" w:rsidR="00B01FCD" w:rsidRDefault="008A6960" w:rsidP="008A6960">
      <w:pPr>
        <w:pStyle w:val="Body"/>
        <w:spacing w:after="0"/>
        <w:rPr>
          <w:rFonts w:ascii="Arial" w:hAnsi="Arial" w:cs="Arial"/>
        </w:rPr>
      </w:pPr>
      <w:r w:rsidRPr="008A6960">
        <w:rPr>
          <w:rFonts w:ascii="Arial" w:hAnsi="Arial" w:cs="Arial"/>
        </w:rPr>
        <w:t xml:space="preserve">The different means and standard deviations are calculated using the EXCEL version 2019 software and the analysis of variance (ANOVA) is performed using the analysis software R. recommend version (3.5.2). The significant differences between the means were highlighted using the </w:t>
      </w:r>
      <w:proofErr w:type="gramStart"/>
      <w:r w:rsidRPr="008A6960">
        <w:rPr>
          <w:rFonts w:ascii="Arial" w:hAnsi="Arial" w:cs="Arial"/>
        </w:rPr>
        <w:t>Student</w:t>
      </w:r>
      <w:proofErr w:type="gramEnd"/>
      <w:r w:rsidRPr="008A6960">
        <w:rPr>
          <w:rFonts w:ascii="Arial" w:hAnsi="Arial" w:cs="Arial"/>
        </w:rPr>
        <w:t>-Newman-Keuls (SNK) test at the 5% probability threshold</w:t>
      </w:r>
      <w:r w:rsidR="00502516" w:rsidRPr="00502516">
        <w:rPr>
          <w:rFonts w:ascii="Arial" w:hAnsi="Arial" w:cs="Arial"/>
        </w:rPr>
        <w:t>.</w:t>
      </w:r>
    </w:p>
    <w:p w14:paraId="1EF98F15" w14:textId="77777777" w:rsidR="00A03B96" w:rsidRDefault="00A03B96" w:rsidP="00441B6F">
      <w:pPr>
        <w:pStyle w:val="Body"/>
        <w:spacing w:after="0"/>
        <w:rPr>
          <w:rFonts w:ascii="Arial" w:hAnsi="Arial" w:cs="Arial"/>
        </w:rPr>
      </w:pPr>
    </w:p>
    <w:p w14:paraId="1B8285C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B216D0" w14:textId="667FA433" w:rsidR="004E3443" w:rsidRPr="004E3443" w:rsidRDefault="008456D6" w:rsidP="004E3443">
      <w:pPr>
        <w:pStyle w:val="Body"/>
        <w:spacing w:after="0"/>
        <w:rPr>
          <w:rFonts w:ascii="Arial" w:hAnsi="Arial" w:cs="Arial"/>
          <w:b/>
          <w:bCs/>
        </w:rPr>
      </w:pPr>
      <w:r>
        <w:rPr>
          <w:rFonts w:ascii="Arial" w:hAnsi="Arial" w:cs="Arial"/>
          <w:b/>
          <w:bCs/>
        </w:rPr>
        <w:t>3.1</w:t>
      </w:r>
      <w:r w:rsidR="00F87CEC">
        <w:rPr>
          <w:rFonts w:ascii="Arial" w:hAnsi="Arial" w:cs="Arial"/>
          <w:b/>
          <w:bCs/>
        </w:rPr>
        <w:t xml:space="preserve">. </w:t>
      </w:r>
      <w:r w:rsidR="004E3443" w:rsidRPr="004E3443">
        <w:rPr>
          <w:rFonts w:ascii="Arial" w:hAnsi="Arial" w:cs="Arial"/>
          <w:b/>
          <w:bCs/>
        </w:rPr>
        <w:t>Results</w:t>
      </w:r>
    </w:p>
    <w:p w14:paraId="624C41EB" w14:textId="1C8C8109" w:rsidR="002075A0" w:rsidRDefault="00F87CEC" w:rsidP="004E3443">
      <w:pPr>
        <w:pStyle w:val="Body"/>
        <w:spacing w:after="0"/>
        <w:rPr>
          <w:rFonts w:ascii="Arial" w:hAnsi="Arial" w:cs="Arial"/>
          <w:b/>
          <w:bCs/>
        </w:rPr>
      </w:pPr>
      <w:r>
        <w:rPr>
          <w:rFonts w:ascii="Arial" w:hAnsi="Arial" w:cs="Arial"/>
          <w:b/>
          <w:bCs/>
        </w:rPr>
        <w:t>3.1.</w:t>
      </w:r>
      <w:r w:rsidR="00431CFC">
        <w:rPr>
          <w:rFonts w:ascii="Arial" w:hAnsi="Arial" w:cs="Arial"/>
          <w:b/>
          <w:bCs/>
        </w:rPr>
        <w:t>1.</w:t>
      </w:r>
      <w:r w:rsidR="00431CFC" w:rsidRPr="004E3443">
        <w:rPr>
          <w:rFonts w:ascii="Arial" w:hAnsi="Arial" w:cs="Arial"/>
          <w:b/>
          <w:bCs/>
        </w:rPr>
        <w:t xml:space="preserve"> </w:t>
      </w:r>
      <w:r w:rsidR="00ED7BEA">
        <w:rPr>
          <w:rFonts w:ascii="Arial" w:hAnsi="Arial" w:cs="Arial"/>
          <w:b/>
          <w:bCs/>
        </w:rPr>
        <w:t>Effects</w:t>
      </w:r>
      <w:r w:rsidR="00C5284F">
        <w:rPr>
          <w:rFonts w:ascii="Arial" w:hAnsi="Arial" w:cs="Arial"/>
          <w:b/>
          <w:bCs/>
        </w:rPr>
        <w:t xml:space="preserve"> of treatments on </w:t>
      </w:r>
      <w:r w:rsidR="0025196E">
        <w:rPr>
          <w:rFonts w:ascii="Arial" w:hAnsi="Arial" w:cs="Arial"/>
          <w:b/>
          <w:bCs/>
        </w:rPr>
        <w:t>plants height, number of leaves, number of flowers</w:t>
      </w:r>
      <w:r w:rsidR="001B4D79">
        <w:rPr>
          <w:rFonts w:ascii="Arial" w:hAnsi="Arial" w:cs="Arial"/>
          <w:b/>
          <w:bCs/>
        </w:rPr>
        <w:t>, number of fruits, diameter</w:t>
      </w:r>
      <w:r w:rsidR="002A775B">
        <w:rPr>
          <w:rFonts w:ascii="Arial" w:hAnsi="Arial" w:cs="Arial"/>
          <w:b/>
          <w:bCs/>
        </w:rPr>
        <w:t xml:space="preserve"> at the collar and temperature of soil</w:t>
      </w:r>
    </w:p>
    <w:p w14:paraId="2AC27CB4" w14:textId="4004E682" w:rsidR="002A775B" w:rsidRDefault="005C331F" w:rsidP="004E3443">
      <w:pPr>
        <w:pStyle w:val="Body"/>
        <w:spacing w:after="0"/>
        <w:rPr>
          <w:rFonts w:ascii="Arial" w:hAnsi="Arial" w:cs="Arial"/>
        </w:rPr>
      </w:pPr>
      <w:r w:rsidRPr="005C331F">
        <w:rPr>
          <w:rFonts w:ascii="Arial" w:hAnsi="Arial" w:cs="Arial"/>
        </w:rPr>
        <w:t>The analysis results showed that the treatments had no significant effect on height (P=0.0547), collar diameter (P=0.0522), number of leaves (P=0.811), number of flowers (P= 0.134), and number of fruits (P= 0.477). Also, there was no statistically significant difference between the effects of the treatments on soil temperature (table below)</w:t>
      </w:r>
      <w:r w:rsidR="00D16D4F">
        <w:rPr>
          <w:rFonts w:ascii="Arial" w:hAnsi="Arial" w:cs="Arial"/>
        </w:rPr>
        <w:t>.</w:t>
      </w:r>
    </w:p>
    <w:p w14:paraId="1CCABEE2" w14:textId="77777777" w:rsidR="00EE1AF2" w:rsidRDefault="00EE1AF2" w:rsidP="004E3443">
      <w:pPr>
        <w:pStyle w:val="Body"/>
        <w:spacing w:after="0"/>
        <w:rPr>
          <w:rFonts w:ascii="Arial" w:hAnsi="Arial" w:cs="Arial"/>
        </w:rPr>
      </w:pPr>
    </w:p>
    <w:p w14:paraId="28841A06" w14:textId="21F10068" w:rsidR="005165F0" w:rsidRDefault="009F0266" w:rsidP="004E3443">
      <w:pPr>
        <w:pStyle w:val="Body"/>
        <w:spacing w:after="0"/>
        <w:rPr>
          <w:rFonts w:ascii="Arial" w:hAnsi="Arial" w:cs="Arial"/>
        </w:rPr>
      </w:pPr>
      <w:r>
        <w:rPr>
          <w:rFonts w:ascii="Arial" w:hAnsi="Arial" w:cs="Arial"/>
        </w:rPr>
        <w:t xml:space="preserve">Table 1. </w:t>
      </w:r>
      <w:r w:rsidR="005E3D46">
        <w:rPr>
          <w:rFonts w:ascii="Arial" w:hAnsi="Arial" w:cs="Arial"/>
        </w:rPr>
        <w:t>Plant g</w:t>
      </w:r>
      <w:r>
        <w:rPr>
          <w:rFonts w:ascii="Arial" w:hAnsi="Arial" w:cs="Arial"/>
        </w:rPr>
        <w:t>row</w:t>
      </w:r>
      <w:r w:rsidR="007B45DA">
        <w:rPr>
          <w:rFonts w:ascii="Arial" w:hAnsi="Arial" w:cs="Arial"/>
        </w:rPr>
        <w:t>th parameters and soil temperature under treatments</w:t>
      </w:r>
    </w:p>
    <w:tbl>
      <w:tblPr>
        <w:tblStyle w:val="Grilledutableau"/>
        <w:tblW w:w="5000" w:type="pct"/>
        <w:tblLook w:val="04A0" w:firstRow="1" w:lastRow="0" w:firstColumn="1" w:lastColumn="0" w:noHBand="0" w:noVBand="1"/>
      </w:tblPr>
      <w:tblGrid>
        <w:gridCol w:w="1220"/>
        <w:gridCol w:w="1294"/>
        <w:gridCol w:w="1537"/>
        <w:gridCol w:w="1866"/>
        <w:gridCol w:w="1545"/>
        <w:gridCol w:w="1919"/>
        <w:gridCol w:w="1635"/>
      </w:tblGrid>
      <w:tr w:rsidR="008A44DD" w:rsidRPr="005E3D46" w14:paraId="4AEDF6B6" w14:textId="77777777" w:rsidTr="009A61A9">
        <w:tc>
          <w:tcPr>
            <w:tcW w:w="581" w:type="pct"/>
          </w:tcPr>
          <w:p w14:paraId="7DAA5757" w14:textId="77777777" w:rsidR="009A61A9" w:rsidRPr="005165F0" w:rsidRDefault="009A61A9" w:rsidP="005165F0">
            <w:pPr>
              <w:pStyle w:val="Body"/>
              <w:spacing w:after="0"/>
              <w:rPr>
                <w:rFonts w:ascii="Arial" w:eastAsia="Times New Roman" w:hAnsi="Arial" w:cs="Arial"/>
                <w:sz w:val="20"/>
                <w:lang w:val="fr-FR"/>
              </w:rPr>
            </w:pPr>
            <w:proofErr w:type="spellStart"/>
            <w:r w:rsidRPr="005165F0">
              <w:rPr>
                <w:rFonts w:ascii="Arial" w:eastAsia="Times New Roman" w:hAnsi="Arial" w:cs="Arial"/>
                <w:sz w:val="20"/>
                <w:lang w:val="fr-FR"/>
              </w:rPr>
              <w:t>Treatment</w:t>
            </w:r>
            <w:proofErr w:type="spellEnd"/>
          </w:p>
        </w:tc>
        <w:tc>
          <w:tcPr>
            <w:tcW w:w="425" w:type="pct"/>
          </w:tcPr>
          <w:p w14:paraId="0AE5A5B6" w14:textId="77777777" w:rsidR="009A61A9" w:rsidRPr="005165F0" w:rsidRDefault="009A61A9" w:rsidP="005165F0">
            <w:pPr>
              <w:pStyle w:val="Body"/>
              <w:spacing w:after="0"/>
              <w:rPr>
                <w:rFonts w:ascii="Arial" w:eastAsia="Times New Roman" w:hAnsi="Arial" w:cs="Arial"/>
                <w:sz w:val="20"/>
                <w:lang w:val="fr-FR"/>
              </w:rPr>
            </w:pPr>
            <w:proofErr w:type="spellStart"/>
            <w:r w:rsidRPr="005165F0">
              <w:rPr>
                <w:rFonts w:ascii="Arial" w:eastAsia="Times New Roman" w:hAnsi="Arial" w:cs="Arial"/>
                <w:sz w:val="20"/>
                <w:lang w:val="fr-FR"/>
              </w:rPr>
              <w:t>Height</w:t>
            </w:r>
            <w:proofErr w:type="spellEnd"/>
            <w:r w:rsidRPr="005165F0">
              <w:rPr>
                <w:rFonts w:ascii="Arial" w:eastAsia="Times New Roman" w:hAnsi="Arial" w:cs="Arial"/>
                <w:sz w:val="20"/>
                <w:lang w:val="fr-FR"/>
              </w:rPr>
              <w:t xml:space="preserve"> (cm)</w:t>
            </w:r>
          </w:p>
        </w:tc>
        <w:tc>
          <w:tcPr>
            <w:tcW w:w="725" w:type="pct"/>
          </w:tcPr>
          <w:p w14:paraId="2712E965" w14:textId="77777777" w:rsidR="009A61A9" w:rsidRPr="005165F0" w:rsidRDefault="009A61A9" w:rsidP="005165F0">
            <w:pPr>
              <w:pStyle w:val="Body"/>
              <w:spacing w:after="0"/>
              <w:rPr>
                <w:rFonts w:ascii="Arial" w:eastAsia="Times New Roman" w:hAnsi="Arial" w:cs="Arial"/>
                <w:sz w:val="20"/>
                <w:lang w:val="fr-FR"/>
              </w:rPr>
            </w:pPr>
            <w:proofErr w:type="spellStart"/>
            <w:r w:rsidRPr="005165F0">
              <w:rPr>
                <w:rFonts w:ascii="Arial" w:eastAsia="Times New Roman" w:hAnsi="Arial" w:cs="Arial"/>
                <w:sz w:val="20"/>
                <w:lang w:val="fr-FR"/>
              </w:rPr>
              <w:t>Diametter</w:t>
            </w:r>
            <w:proofErr w:type="spellEnd"/>
            <w:r w:rsidRPr="005165F0">
              <w:rPr>
                <w:rFonts w:ascii="Arial" w:eastAsia="Times New Roman" w:hAnsi="Arial" w:cs="Arial"/>
                <w:sz w:val="20"/>
                <w:lang w:val="fr-FR"/>
              </w:rPr>
              <w:t xml:space="preserve"> at </w:t>
            </w:r>
            <w:proofErr w:type="spellStart"/>
            <w:r w:rsidRPr="005165F0">
              <w:rPr>
                <w:rFonts w:ascii="Arial" w:eastAsia="Times New Roman" w:hAnsi="Arial" w:cs="Arial"/>
                <w:sz w:val="20"/>
                <w:lang w:val="fr-FR"/>
              </w:rPr>
              <w:t>collar</w:t>
            </w:r>
            <w:proofErr w:type="spellEnd"/>
            <w:r w:rsidRPr="005165F0">
              <w:rPr>
                <w:rFonts w:ascii="Arial" w:eastAsia="Times New Roman" w:hAnsi="Arial" w:cs="Arial"/>
                <w:sz w:val="20"/>
                <w:lang w:val="fr-FR"/>
              </w:rPr>
              <w:t xml:space="preserve"> (mm)</w:t>
            </w:r>
          </w:p>
        </w:tc>
        <w:tc>
          <w:tcPr>
            <w:tcW w:w="874" w:type="pct"/>
          </w:tcPr>
          <w:p w14:paraId="1B909CF6"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Number of leaves per plant</w:t>
            </w:r>
          </w:p>
        </w:tc>
        <w:tc>
          <w:tcPr>
            <w:tcW w:w="728" w:type="pct"/>
          </w:tcPr>
          <w:p w14:paraId="27558D54"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Temperature (</w:t>
            </w:r>
            <w:r w:rsidRPr="005165F0">
              <w:rPr>
                <w:rFonts w:ascii="Cambria Math" w:eastAsia="Times New Roman" w:hAnsi="Cambria Math" w:cs="Cambria Math"/>
                <w:sz w:val="20"/>
              </w:rPr>
              <w:t>℃</w:t>
            </w:r>
            <w:r w:rsidRPr="005165F0">
              <w:rPr>
                <w:rFonts w:ascii="Arial" w:eastAsia="Times New Roman" w:hAnsi="Arial" w:cs="Arial"/>
                <w:sz w:val="20"/>
              </w:rPr>
              <w:t>)</w:t>
            </w:r>
          </w:p>
        </w:tc>
        <w:tc>
          <w:tcPr>
            <w:tcW w:w="898" w:type="pct"/>
          </w:tcPr>
          <w:p w14:paraId="181B86E4"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Number of flowers per plant</w:t>
            </w:r>
          </w:p>
        </w:tc>
        <w:tc>
          <w:tcPr>
            <w:tcW w:w="769" w:type="pct"/>
          </w:tcPr>
          <w:p w14:paraId="73129538"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Number of fruits per plant</w:t>
            </w:r>
          </w:p>
        </w:tc>
      </w:tr>
      <w:tr w:rsidR="008A44DD" w:rsidRPr="005165F0" w14:paraId="35811E29" w14:textId="77777777" w:rsidTr="009A61A9">
        <w:tc>
          <w:tcPr>
            <w:tcW w:w="581" w:type="pct"/>
          </w:tcPr>
          <w:p w14:paraId="67ED111F"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TA</w:t>
            </w:r>
          </w:p>
        </w:tc>
        <w:tc>
          <w:tcPr>
            <w:tcW w:w="425" w:type="pct"/>
          </w:tcPr>
          <w:p w14:paraId="0CB6C32F" w14:textId="17B35651"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46.08</w:t>
            </w:r>
            <w:r>
              <w:rPr>
                <w:rFonts w:ascii="Arial" w:eastAsia="Times New Roman" w:hAnsi="Arial" w:cs="Arial"/>
                <w:sz w:val="20"/>
              </w:rPr>
              <w:t>±</w:t>
            </w:r>
            <w:r w:rsidR="00446B2B">
              <w:rPr>
                <w:rFonts w:ascii="Arial" w:eastAsia="Times New Roman" w:hAnsi="Arial" w:cs="Arial"/>
                <w:sz w:val="20"/>
              </w:rPr>
              <w:t>2.12</w:t>
            </w:r>
            <w:r w:rsidR="008A44DD" w:rsidRPr="00961A7B">
              <w:rPr>
                <w:rFonts w:ascii="Arial" w:hAnsi="Arial" w:cs="Arial"/>
                <w:vertAlign w:val="superscript"/>
              </w:rPr>
              <w:t>a</w:t>
            </w:r>
          </w:p>
        </w:tc>
        <w:tc>
          <w:tcPr>
            <w:tcW w:w="725" w:type="pct"/>
          </w:tcPr>
          <w:p w14:paraId="5A6A8B49" w14:textId="029DE2F8"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14.50</w:t>
            </w:r>
            <w:r>
              <w:rPr>
                <w:rFonts w:ascii="Arial" w:eastAsia="Times New Roman" w:hAnsi="Arial" w:cs="Arial"/>
                <w:sz w:val="20"/>
              </w:rPr>
              <w:t>±</w:t>
            </w:r>
            <w:r w:rsidR="00446B2B">
              <w:rPr>
                <w:rFonts w:ascii="Arial" w:eastAsia="Times New Roman" w:hAnsi="Arial" w:cs="Arial"/>
                <w:sz w:val="20"/>
              </w:rPr>
              <w:t>1.4</w:t>
            </w:r>
            <w:r w:rsidR="009C74F1">
              <w:rPr>
                <w:rFonts w:ascii="Arial" w:eastAsia="Times New Roman" w:hAnsi="Arial" w:cs="Arial"/>
                <w:sz w:val="20"/>
              </w:rPr>
              <w:t>3</w:t>
            </w:r>
            <w:r w:rsidR="008A44DD" w:rsidRPr="00961A7B">
              <w:rPr>
                <w:rFonts w:ascii="Arial" w:hAnsi="Arial" w:cs="Arial"/>
                <w:vertAlign w:val="superscript"/>
              </w:rPr>
              <w:t>a</w:t>
            </w:r>
          </w:p>
        </w:tc>
        <w:tc>
          <w:tcPr>
            <w:tcW w:w="874" w:type="pct"/>
          </w:tcPr>
          <w:p w14:paraId="446E459D" w14:textId="4596F13E"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33.64</w:t>
            </w:r>
            <w:r>
              <w:rPr>
                <w:rFonts w:ascii="Arial" w:eastAsia="Times New Roman" w:hAnsi="Arial" w:cs="Arial"/>
                <w:sz w:val="20"/>
              </w:rPr>
              <w:t>±</w:t>
            </w:r>
            <w:r w:rsidR="009C74F1">
              <w:rPr>
                <w:rFonts w:ascii="Arial" w:eastAsia="Times New Roman" w:hAnsi="Arial" w:cs="Arial"/>
                <w:sz w:val="20"/>
              </w:rPr>
              <w:t>2.62</w:t>
            </w:r>
            <w:r w:rsidR="008A44DD" w:rsidRPr="00961A7B">
              <w:rPr>
                <w:rFonts w:ascii="Arial" w:hAnsi="Arial" w:cs="Arial"/>
                <w:vertAlign w:val="superscript"/>
              </w:rPr>
              <w:t>a</w:t>
            </w:r>
          </w:p>
        </w:tc>
        <w:tc>
          <w:tcPr>
            <w:tcW w:w="728" w:type="pct"/>
          </w:tcPr>
          <w:p w14:paraId="7A786392" w14:textId="1923123A" w:rsidR="009A61A9" w:rsidRPr="005165F0" w:rsidRDefault="004709F1" w:rsidP="005165F0">
            <w:pPr>
              <w:pStyle w:val="Body"/>
              <w:spacing w:after="0"/>
              <w:rPr>
                <w:rFonts w:ascii="Arial" w:eastAsia="Times New Roman" w:hAnsi="Arial" w:cs="Arial"/>
                <w:sz w:val="20"/>
              </w:rPr>
            </w:pPr>
            <w:r>
              <w:rPr>
                <w:rFonts w:ascii="Arial" w:eastAsia="Times New Roman" w:hAnsi="Arial" w:cs="Arial"/>
                <w:sz w:val="20"/>
              </w:rPr>
              <w:t>30</w:t>
            </w:r>
            <w:r w:rsidR="009A61A9" w:rsidRPr="005165F0">
              <w:rPr>
                <w:rFonts w:ascii="Arial" w:eastAsia="Times New Roman" w:hAnsi="Arial" w:cs="Arial"/>
                <w:sz w:val="20"/>
              </w:rPr>
              <w:t>.</w:t>
            </w:r>
            <w:r>
              <w:rPr>
                <w:rFonts w:ascii="Arial" w:eastAsia="Times New Roman" w:hAnsi="Arial" w:cs="Arial"/>
                <w:sz w:val="20"/>
              </w:rPr>
              <w:t>5</w:t>
            </w:r>
            <w:r w:rsidR="009A61A9" w:rsidRPr="005165F0">
              <w:rPr>
                <w:rFonts w:ascii="Arial" w:eastAsia="Times New Roman" w:hAnsi="Arial" w:cs="Arial"/>
                <w:sz w:val="20"/>
              </w:rPr>
              <w:t>6</w:t>
            </w:r>
            <w:r w:rsidR="009A61A9">
              <w:rPr>
                <w:rFonts w:ascii="Arial" w:eastAsia="Times New Roman" w:hAnsi="Arial" w:cs="Arial"/>
                <w:sz w:val="20"/>
              </w:rPr>
              <w:t>±</w:t>
            </w:r>
            <w:r w:rsidR="009B5157">
              <w:rPr>
                <w:rFonts w:ascii="Arial" w:eastAsia="Times New Roman" w:hAnsi="Arial" w:cs="Arial"/>
                <w:sz w:val="20"/>
              </w:rPr>
              <w:t>0.48</w:t>
            </w:r>
            <w:r w:rsidR="008A44DD" w:rsidRPr="00961A7B">
              <w:rPr>
                <w:rFonts w:ascii="Arial" w:hAnsi="Arial" w:cs="Arial"/>
                <w:vertAlign w:val="superscript"/>
              </w:rPr>
              <w:t>a</w:t>
            </w:r>
          </w:p>
        </w:tc>
        <w:tc>
          <w:tcPr>
            <w:tcW w:w="898" w:type="pct"/>
          </w:tcPr>
          <w:p w14:paraId="7790E041" w14:textId="0FA670DC"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1.82</w:t>
            </w:r>
            <w:r>
              <w:rPr>
                <w:rFonts w:ascii="Arial" w:eastAsia="Times New Roman" w:hAnsi="Arial" w:cs="Arial"/>
                <w:sz w:val="20"/>
              </w:rPr>
              <w:t>±</w:t>
            </w:r>
            <w:r w:rsidR="0011476C">
              <w:rPr>
                <w:rFonts w:ascii="Arial" w:eastAsia="Times New Roman" w:hAnsi="Arial" w:cs="Arial"/>
                <w:sz w:val="20"/>
              </w:rPr>
              <w:t>0.58</w:t>
            </w:r>
            <w:r w:rsidR="008A44DD" w:rsidRPr="00961A7B">
              <w:rPr>
                <w:rFonts w:ascii="Arial" w:hAnsi="Arial" w:cs="Arial"/>
                <w:vertAlign w:val="superscript"/>
              </w:rPr>
              <w:t>a</w:t>
            </w:r>
          </w:p>
        </w:tc>
        <w:tc>
          <w:tcPr>
            <w:tcW w:w="769" w:type="pct"/>
          </w:tcPr>
          <w:p w14:paraId="0BF82683" w14:textId="1C5D282A"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4.18</w:t>
            </w:r>
            <w:r>
              <w:rPr>
                <w:rFonts w:ascii="Arial" w:eastAsia="Times New Roman" w:hAnsi="Arial" w:cs="Arial"/>
                <w:sz w:val="20"/>
              </w:rPr>
              <w:t>±</w:t>
            </w:r>
            <w:r w:rsidR="00186344">
              <w:rPr>
                <w:rFonts w:ascii="Arial" w:eastAsia="Times New Roman" w:hAnsi="Arial" w:cs="Arial"/>
                <w:sz w:val="20"/>
              </w:rPr>
              <w:t>0.77</w:t>
            </w:r>
            <w:r w:rsidR="008A44DD" w:rsidRPr="00961A7B">
              <w:rPr>
                <w:rFonts w:ascii="Arial" w:hAnsi="Arial" w:cs="Arial"/>
                <w:vertAlign w:val="superscript"/>
              </w:rPr>
              <w:t>a</w:t>
            </w:r>
          </w:p>
        </w:tc>
      </w:tr>
      <w:tr w:rsidR="008A44DD" w:rsidRPr="005165F0" w14:paraId="7150F91E" w14:textId="77777777" w:rsidTr="009A61A9">
        <w:tc>
          <w:tcPr>
            <w:tcW w:w="581" w:type="pct"/>
          </w:tcPr>
          <w:p w14:paraId="356EDA18"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PR</w:t>
            </w:r>
          </w:p>
        </w:tc>
        <w:tc>
          <w:tcPr>
            <w:tcW w:w="425" w:type="pct"/>
          </w:tcPr>
          <w:p w14:paraId="78B1A454" w14:textId="47FBF3A6"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41.58</w:t>
            </w:r>
            <w:r>
              <w:rPr>
                <w:rFonts w:ascii="Arial" w:eastAsia="Times New Roman" w:hAnsi="Arial" w:cs="Arial"/>
                <w:sz w:val="20"/>
              </w:rPr>
              <w:t>±</w:t>
            </w:r>
            <w:r w:rsidR="00446B2B">
              <w:rPr>
                <w:rFonts w:ascii="Arial" w:eastAsia="Times New Roman" w:hAnsi="Arial" w:cs="Arial"/>
                <w:sz w:val="20"/>
              </w:rPr>
              <w:t>1.89</w:t>
            </w:r>
            <w:r w:rsidR="008A44DD" w:rsidRPr="00961A7B">
              <w:rPr>
                <w:rFonts w:ascii="Arial" w:hAnsi="Arial" w:cs="Arial"/>
                <w:vertAlign w:val="superscript"/>
              </w:rPr>
              <w:t>a</w:t>
            </w:r>
          </w:p>
        </w:tc>
        <w:tc>
          <w:tcPr>
            <w:tcW w:w="725" w:type="pct"/>
          </w:tcPr>
          <w:p w14:paraId="51FA3402" w14:textId="2D0E78E6"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11.90</w:t>
            </w:r>
            <w:r>
              <w:rPr>
                <w:rFonts w:ascii="Arial" w:eastAsia="Times New Roman" w:hAnsi="Arial" w:cs="Arial"/>
                <w:sz w:val="20"/>
              </w:rPr>
              <w:t>±</w:t>
            </w:r>
            <w:r w:rsidR="00446B2B">
              <w:rPr>
                <w:rFonts w:ascii="Arial" w:eastAsia="Times New Roman" w:hAnsi="Arial" w:cs="Arial"/>
                <w:sz w:val="20"/>
              </w:rPr>
              <w:t>1.6</w:t>
            </w:r>
            <w:r w:rsidR="009C74F1">
              <w:rPr>
                <w:rFonts w:ascii="Arial" w:eastAsia="Times New Roman" w:hAnsi="Arial" w:cs="Arial"/>
                <w:sz w:val="20"/>
              </w:rPr>
              <w:t>1</w:t>
            </w:r>
            <w:r w:rsidR="008A44DD" w:rsidRPr="00961A7B">
              <w:rPr>
                <w:rFonts w:ascii="Arial" w:hAnsi="Arial" w:cs="Arial"/>
                <w:vertAlign w:val="superscript"/>
              </w:rPr>
              <w:t>a</w:t>
            </w:r>
          </w:p>
        </w:tc>
        <w:tc>
          <w:tcPr>
            <w:tcW w:w="874" w:type="pct"/>
          </w:tcPr>
          <w:p w14:paraId="06AA168F" w14:textId="1247368D"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34.41</w:t>
            </w:r>
            <w:r>
              <w:rPr>
                <w:rFonts w:ascii="Arial" w:eastAsia="Times New Roman" w:hAnsi="Arial" w:cs="Arial"/>
                <w:sz w:val="20"/>
              </w:rPr>
              <w:t>±</w:t>
            </w:r>
            <w:r w:rsidR="009C74F1">
              <w:rPr>
                <w:rFonts w:ascii="Arial" w:eastAsia="Times New Roman" w:hAnsi="Arial" w:cs="Arial"/>
                <w:sz w:val="20"/>
              </w:rPr>
              <w:t>2.28</w:t>
            </w:r>
            <w:r w:rsidR="008A44DD" w:rsidRPr="00961A7B">
              <w:rPr>
                <w:rFonts w:ascii="Arial" w:hAnsi="Arial" w:cs="Arial"/>
                <w:vertAlign w:val="superscript"/>
              </w:rPr>
              <w:t>a</w:t>
            </w:r>
          </w:p>
        </w:tc>
        <w:tc>
          <w:tcPr>
            <w:tcW w:w="728" w:type="pct"/>
          </w:tcPr>
          <w:p w14:paraId="3E55143A" w14:textId="25FDB326" w:rsidR="009A61A9" w:rsidRPr="005165F0" w:rsidRDefault="00470018" w:rsidP="005165F0">
            <w:pPr>
              <w:pStyle w:val="Body"/>
              <w:spacing w:after="0"/>
              <w:rPr>
                <w:rFonts w:ascii="Arial" w:eastAsia="Times New Roman" w:hAnsi="Arial" w:cs="Arial"/>
                <w:sz w:val="20"/>
              </w:rPr>
            </w:pPr>
            <w:r>
              <w:rPr>
                <w:rFonts w:ascii="Arial" w:eastAsia="Times New Roman" w:hAnsi="Arial" w:cs="Arial"/>
                <w:sz w:val="20"/>
              </w:rPr>
              <w:t>30</w:t>
            </w:r>
            <w:r w:rsidR="009A61A9" w:rsidRPr="005165F0">
              <w:rPr>
                <w:rFonts w:ascii="Arial" w:eastAsia="Times New Roman" w:hAnsi="Arial" w:cs="Arial"/>
                <w:sz w:val="20"/>
              </w:rPr>
              <w:t>.</w:t>
            </w:r>
            <w:r>
              <w:rPr>
                <w:rFonts w:ascii="Arial" w:eastAsia="Times New Roman" w:hAnsi="Arial" w:cs="Arial"/>
                <w:sz w:val="20"/>
              </w:rPr>
              <w:t>65</w:t>
            </w:r>
            <w:r w:rsidR="009A61A9">
              <w:rPr>
                <w:rFonts w:ascii="Arial" w:eastAsia="Times New Roman" w:hAnsi="Arial" w:cs="Arial"/>
                <w:sz w:val="20"/>
              </w:rPr>
              <w:t>±</w:t>
            </w:r>
            <w:r w:rsidR="009B5157">
              <w:rPr>
                <w:rFonts w:ascii="Arial" w:eastAsia="Times New Roman" w:hAnsi="Arial" w:cs="Arial"/>
                <w:sz w:val="20"/>
              </w:rPr>
              <w:t>0.31</w:t>
            </w:r>
            <w:r w:rsidR="008A44DD" w:rsidRPr="00961A7B">
              <w:rPr>
                <w:rFonts w:ascii="Arial" w:hAnsi="Arial" w:cs="Arial"/>
                <w:vertAlign w:val="superscript"/>
              </w:rPr>
              <w:t>a</w:t>
            </w:r>
          </w:p>
        </w:tc>
        <w:tc>
          <w:tcPr>
            <w:tcW w:w="898" w:type="pct"/>
          </w:tcPr>
          <w:p w14:paraId="60F5D8E0" w14:textId="0232A1F1"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1.25</w:t>
            </w:r>
            <w:r>
              <w:rPr>
                <w:rFonts w:ascii="Arial" w:eastAsia="Times New Roman" w:hAnsi="Arial" w:cs="Arial"/>
                <w:sz w:val="20"/>
              </w:rPr>
              <w:t>±</w:t>
            </w:r>
            <w:r w:rsidR="0011476C">
              <w:rPr>
                <w:rFonts w:ascii="Arial" w:eastAsia="Times New Roman" w:hAnsi="Arial" w:cs="Arial"/>
                <w:sz w:val="20"/>
              </w:rPr>
              <w:t>0.29</w:t>
            </w:r>
            <w:r w:rsidR="008A44DD" w:rsidRPr="00961A7B">
              <w:rPr>
                <w:rFonts w:ascii="Arial" w:hAnsi="Arial" w:cs="Arial"/>
                <w:vertAlign w:val="superscript"/>
              </w:rPr>
              <w:t>a</w:t>
            </w:r>
          </w:p>
        </w:tc>
        <w:tc>
          <w:tcPr>
            <w:tcW w:w="769" w:type="pct"/>
          </w:tcPr>
          <w:p w14:paraId="528DE11D" w14:textId="4F66A44B"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4.56</w:t>
            </w:r>
            <w:r>
              <w:rPr>
                <w:rFonts w:ascii="Arial" w:eastAsia="Times New Roman" w:hAnsi="Arial" w:cs="Arial"/>
                <w:sz w:val="20"/>
              </w:rPr>
              <w:t>±</w:t>
            </w:r>
            <w:r w:rsidR="00186344">
              <w:rPr>
                <w:rFonts w:ascii="Arial" w:eastAsia="Times New Roman" w:hAnsi="Arial" w:cs="Arial"/>
                <w:sz w:val="20"/>
              </w:rPr>
              <w:t>0.63</w:t>
            </w:r>
            <w:r w:rsidR="008A44DD" w:rsidRPr="00961A7B">
              <w:rPr>
                <w:rFonts w:ascii="Arial" w:hAnsi="Arial" w:cs="Arial"/>
                <w:vertAlign w:val="superscript"/>
              </w:rPr>
              <w:t>a</w:t>
            </w:r>
          </w:p>
        </w:tc>
      </w:tr>
      <w:tr w:rsidR="008A44DD" w:rsidRPr="005165F0" w14:paraId="080E6F67" w14:textId="77777777" w:rsidTr="009A61A9">
        <w:tc>
          <w:tcPr>
            <w:tcW w:w="581" w:type="pct"/>
          </w:tcPr>
          <w:p w14:paraId="4A71DDFF"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P-Value</w:t>
            </w:r>
          </w:p>
        </w:tc>
        <w:tc>
          <w:tcPr>
            <w:tcW w:w="425" w:type="pct"/>
          </w:tcPr>
          <w:p w14:paraId="0D5E6146"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0.0547</w:t>
            </w:r>
          </w:p>
        </w:tc>
        <w:tc>
          <w:tcPr>
            <w:tcW w:w="725" w:type="pct"/>
          </w:tcPr>
          <w:p w14:paraId="78C6618A"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0.0522</w:t>
            </w:r>
          </w:p>
        </w:tc>
        <w:tc>
          <w:tcPr>
            <w:tcW w:w="874" w:type="pct"/>
          </w:tcPr>
          <w:p w14:paraId="6D98E44A"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0.811</w:t>
            </w:r>
          </w:p>
        </w:tc>
        <w:tc>
          <w:tcPr>
            <w:tcW w:w="728" w:type="pct"/>
          </w:tcPr>
          <w:p w14:paraId="0DF5CFA0"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0.409</w:t>
            </w:r>
          </w:p>
        </w:tc>
        <w:tc>
          <w:tcPr>
            <w:tcW w:w="898" w:type="pct"/>
          </w:tcPr>
          <w:p w14:paraId="2A2ADAFC"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0.134</w:t>
            </w:r>
          </w:p>
        </w:tc>
        <w:tc>
          <w:tcPr>
            <w:tcW w:w="769" w:type="pct"/>
          </w:tcPr>
          <w:p w14:paraId="491FAF51" w14:textId="77777777" w:rsidR="009A61A9" w:rsidRPr="005165F0" w:rsidRDefault="009A61A9" w:rsidP="005165F0">
            <w:pPr>
              <w:pStyle w:val="Body"/>
              <w:spacing w:after="0"/>
              <w:rPr>
                <w:rFonts w:ascii="Arial" w:eastAsia="Times New Roman" w:hAnsi="Arial" w:cs="Arial"/>
                <w:sz w:val="20"/>
              </w:rPr>
            </w:pPr>
            <w:r w:rsidRPr="005165F0">
              <w:rPr>
                <w:rFonts w:ascii="Arial" w:eastAsia="Times New Roman" w:hAnsi="Arial" w:cs="Arial"/>
                <w:sz w:val="20"/>
              </w:rPr>
              <w:t>0.477</w:t>
            </w:r>
          </w:p>
        </w:tc>
      </w:tr>
    </w:tbl>
    <w:p w14:paraId="7329D105" w14:textId="594076D6" w:rsidR="00D16D4F" w:rsidRDefault="00945EB9" w:rsidP="004E3443">
      <w:pPr>
        <w:pStyle w:val="Body"/>
        <w:spacing w:after="0"/>
        <w:rPr>
          <w:rFonts w:ascii="Arial" w:hAnsi="Arial" w:cs="Arial"/>
        </w:rPr>
      </w:pPr>
      <w:r>
        <w:rPr>
          <w:rFonts w:ascii="Arial" w:hAnsi="Arial" w:cs="Arial"/>
        </w:rPr>
        <w:t>TA</w:t>
      </w:r>
      <w:r w:rsidR="005B6A3C">
        <w:rPr>
          <w:rFonts w:ascii="Arial" w:hAnsi="Arial" w:cs="Arial"/>
        </w:rPr>
        <w:t xml:space="preserve">: </w:t>
      </w:r>
      <w:proofErr w:type="gramStart"/>
      <w:r w:rsidR="005B6A3C">
        <w:rPr>
          <w:rFonts w:ascii="Arial" w:hAnsi="Arial" w:cs="Arial"/>
        </w:rPr>
        <w:t>Control;  PR</w:t>
      </w:r>
      <w:proofErr w:type="gramEnd"/>
      <w:r w:rsidR="005B6A3C">
        <w:rPr>
          <w:rFonts w:ascii="Arial" w:hAnsi="Arial" w:cs="Arial"/>
        </w:rPr>
        <w:t xml:space="preserve">: Mixed bovine and ovine </w:t>
      </w:r>
      <w:proofErr w:type="gramStart"/>
      <w:r w:rsidR="0044616F">
        <w:rPr>
          <w:rFonts w:ascii="Arial" w:hAnsi="Arial" w:cs="Arial"/>
        </w:rPr>
        <w:t>stabling</w:t>
      </w:r>
      <w:proofErr w:type="gramEnd"/>
      <w:r w:rsidR="0044616F">
        <w:rPr>
          <w:rFonts w:ascii="Arial" w:hAnsi="Arial" w:cs="Arial"/>
        </w:rPr>
        <w:t xml:space="preserve">. </w:t>
      </w:r>
      <w:r w:rsidR="00533022" w:rsidRPr="00533022">
        <w:rPr>
          <w:rFonts w:ascii="Arial" w:hAnsi="Arial" w:cs="Arial"/>
        </w:rPr>
        <w:t>Means with the same letters were not significantly different at p ≤0.05</w:t>
      </w:r>
    </w:p>
    <w:p w14:paraId="5D9DB479" w14:textId="77777777" w:rsidR="00533022" w:rsidRDefault="00533022" w:rsidP="004E3443">
      <w:pPr>
        <w:pStyle w:val="Body"/>
        <w:spacing w:after="0"/>
        <w:rPr>
          <w:rFonts w:ascii="Arial" w:hAnsi="Arial" w:cs="Arial"/>
        </w:rPr>
      </w:pPr>
    </w:p>
    <w:p w14:paraId="68220F17" w14:textId="423A163E" w:rsidR="004E3443" w:rsidRPr="004E3443" w:rsidRDefault="00ED7BEA" w:rsidP="004E3443">
      <w:pPr>
        <w:pStyle w:val="Body"/>
        <w:spacing w:after="0"/>
        <w:rPr>
          <w:rFonts w:ascii="Arial" w:hAnsi="Arial" w:cs="Arial"/>
          <w:b/>
          <w:bCs/>
        </w:rPr>
      </w:pPr>
      <w:r>
        <w:rPr>
          <w:rFonts w:ascii="Arial" w:hAnsi="Arial" w:cs="Arial"/>
          <w:b/>
          <w:bCs/>
        </w:rPr>
        <w:t xml:space="preserve">3.1.2. </w:t>
      </w:r>
      <w:r w:rsidR="00431CFC" w:rsidRPr="004E3443">
        <w:rPr>
          <w:rFonts w:ascii="Arial" w:hAnsi="Arial" w:cs="Arial"/>
          <w:b/>
          <w:bCs/>
        </w:rPr>
        <w:t>Effects</w:t>
      </w:r>
      <w:r w:rsidR="004E3443" w:rsidRPr="004E3443">
        <w:rPr>
          <w:rFonts w:ascii="Arial" w:hAnsi="Arial" w:cs="Arial"/>
          <w:b/>
          <w:bCs/>
        </w:rPr>
        <w:t xml:space="preserve"> of treatments on soil pH</w:t>
      </w:r>
    </w:p>
    <w:p w14:paraId="7DA9C3E9" w14:textId="77777777" w:rsidR="004E3443" w:rsidRPr="004E3443" w:rsidRDefault="004E3443" w:rsidP="004E3443">
      <w:pPr>
        <w:pStyle w:val="Body"/>
        <w:spacing w:after="0"/>
        <w:rPr>
          <w:rFonts w:ascii="Arial" w:hAnsi="Arial" w:cs="Arial"/>
        </w:rPr>
      </w:pPr>
      <w:r w:rsidRPr="004E3443">
        <w:rPr>
          <w:rFonts w:ascii="Arial" w:hAnsi="Arial" w:cs="Arial"/>
        </w:rPr>
        <w:lastRenderedPageBreak/>
        <w:t>Analysis of the results revealed that the pH of the soils studied ranged from 5.96±0.24 to 6.27±0.15. The soil under the PR treatment was less acidic than that under the TA treatment (P=0.0162). The application of animal manure led to a significant increase in soil pH from 5.96 (TA) to 6.27 (PR).</w:t>
      </w:r>
    </w:p>
    <w:p w14:paraId="74CDCAAF" w14:textId="77777777" w:rsidR="004E3443" w:rsidRPr="004E3443" w:rsidRDefault="004E3443" w:rsidP="004E3443">
      <w:pPr>
        <w:pStyle w:val="Body"/>
        <w:spacing w:after="0"/>
        <w:rPr>
          <w:rFonts w:ascii="Arial" w:hAnsi="Arial" w:cs="Arial"/>
          <w:lang w:val="fr-FR"/>
        </w:rPr>
      </w:pPr>
      <w:r w:rsidRPr="004E3443">
        <w:rPr>
          <w:rFonts w:ascii="Arial" w:hAnsi="Arial" w:cs="Arial"/>
          <w:noProof/>
          <w:lang w:val="fr-FR"/>
        </w:rPr>
        <w:drawing>
          <wp:inline distT="0" distB="0" distL="0" distR="0" wp14:anchorId="53697C90" wp14:editId="10DC7057">
            <wp:extent cx="4572000" cy="2508250"/>
            <wp:effectExtent l="0" t="0" r="0" b="6350"/>
            <wp:docPr id="976950692" name="Graphique 1">
              <a:extLst xmlns:a="http://schemas.openxmlformats.org/drawingml/2006/main">
                <a:ext uri="{FF2B5EF4-FFF2-40B4-BE49-F238E27FC236}">
                  <a16:creationId xmlns:a16="http://schemas.microsoft.com/office/drawing/2014/main" id="{8B07F3F7-4ACB-B649-921F-E71FB9495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E5A452" w14:textId="77777777" w:rsidR="004E3443" w:rsidRPr="004E3443" w:rsidRDefault="004E3443" w:rsidP="004E3443">
      <w:pPr>
        <w:pStyle w:val="Body"/>
        <w:spacing w:after="0"/>
        <w:rPr>
          <w:rFonts w:ascii="Arial" w:hAnsi="Arial" w:cs="Arial"/>
        </w:rPr>
      </w:pPr>
      <w:r w:rsidRPr="004E3443">
        <w:rPr>
          <w:rFonts w:ascii="Arial" w:hAnsi="Arial" w:cs="Arial"/>
        </w:rPr>
        <w:t>Figure 1: Effects of treatments on soil pH</w:t>
      </w:r>
    </w:p>
    <w:p w14:paraId="25DDA44C" w14:textId="77777777" w:rsidR="004E3443" w:rsidRPr="004E3443" w:rsidRDefault="004E3443" w:rsidP="004E3443">
      <w:pPr>
        <w:pStyle w:val="Body"/>
        <w:spacing w:after="0"/>
        <w:rPr>
          <w:rFonts w:ascii="Arial" w:hAnsi="Arial" w:cs="Arial"/>
        </w:rPr>
      </w:pPr>
      <w:r w:rsidRPr="004E3443">
        <w:rPr>
          <w:rFonts w:ascii="Arial" w:hAnsi="Arial" w:cs="Arial"/>
          <w:b/>
          <w:bCs/>
        </w:rPr>
        <w:t>PR:</w:t>
      </w:r>
      <w:r w:rsidRPr="004E3443">
        <w:rPr>
          <w:rFonts w:ascii="Arial" w:hAnsi="Arial" w:cs="Arial"/>
        </w:rPr>
        <w:t xml:space="preserve"> stabling and </w:t>
      </w:r>
      <w:r w:rsidRPr="004E3443">
        <w:rPr>
          <w:rFonts w:ascii="Arial" w:hAnsi="Arial" w:cs="Arial"/>
          <w:b/>
          <w:bCs/>
        </w:rPr>
        <w:t>TA:</w:t>
      </w:r>
      <w:r w:rsidRPr="004E3443">
        <w:rPr>
          <w:rFonts w:ascii="Arial" w:hAnsi="Arial" w:cs="Arial"/>
        </w:rPr>
        <w:t xml:space="preserve"> Absolute control.</w:t>
      </w:r>
    </w:p>
    <w:p w14:paraId="42F4CE87" w14:textId="77777777" w:rsidR="004E3443" w:rsidRPr="004E3443" w:rsidRDefault="004E3443" w:rsidP="004E3443">
      <w:pPr>
        <w:pStyle w:val="Body"/>
        <w:spacing w:after="0"/>
        <w:rPr>
          <w:rFonts w:ascii="Arial" w:hAnsi="Arial" w:cs="Arial"/>
          <w:b/>
          <w:bCs/>
        </w:rPr>
      </w:pPr>
    </w:p>
    <w:p w14:paraId="44A3DF7E" w14:textId="5C424B9A" w:rsidR="004E3443" w:rsidRPr="004E3443" w:rsidRDefault="00F87CEC" w:rsidP="004E3443">
      <w:pPr>
        <w:pStyle w:val="Body"/>
        <w:spacing w:after="0"/>
        <w:rPr>
          <w:rFonts w:ascii="Arial" w:hAnsi="Arial" w:cs="Arial"/>
          <w:b/>
          <w:bCs/>
        </w:rPr>
      </w:pPr>
      <w:r>
        <w:rPr>
          <w:rFonts w:ascii="Arial" w:hAnsi="Arial" w:cs="Arial"/>
          <w:b/>
          <w:bCs/>
        </w:rPr>
        <w:t>3.1.</w:t>
      </w:r>
      <w:r w:rsidR="00FA6A37">
        <w:rPr>
          <w:rFonts w:ascii="Arial" w:hAnsi="Arial" w:cs="Arial"/>
          <w:b/>
          <w:bCs/>
        </w:rPr>
        <w:t>3</w:t>
      </w:r>
      <w:r>
        <w:rPr>
          <w:rFonts w:ascii="Arial" w:hAnsi="Arial" w:cs="Arial"/>
          <w:b/>
          <w:bCs/>
        </w:rPr>
        <w:t xml:space="preserve">. </w:t>
      </w:r>
      <w:r w:rsidR="004E3443" w:rsidRPr="004E3443">
        <w:rPr>
          <w:rFonts w:ascii="Arial" w:hAnsi="Arial" w:cs="Arial"/>
          <w:b/>
          <w:bCs/>
        </w:rPr>
        <w:t>Effects of treatments on okra fruit yield</w:t>
      </w:r>
    </w:p>
    <w:p w14:paraId="5DC1C56E" w14:textId="77777777" w:rsidR="004E3443" w:rsidRDefault="004E3443" w:rsidP="004E3443">
      <w:pPr>
        <w:pStyle w:val="Body"/>
        <w:spacing w:after="0"/>
        <w:rPr>
          <w:rFonts w:ascii="Arial" w:hAnsi="Arial" w:cs="Arial"/>
        </w:rPr>
      </w:pPr>
      <w:r w:rsidRPr="004E3443">
        <w:rPr>
          <w:rFonts w:ascii="Arial" w:hAnsi="Arial" w:cs="Arial"/>
        </w:rPr>
        <w:t xml:space="preserve">The results obtained for okra fruit yield show a statistically significant difference (P = 0.00419). Treatments have an influence on fruit productivity. The highest weights were recorded in okra in plots under penning. Okra cultivation has better performance on the ground under the pen. The penning has led to an increase in the weight of the fruit by 17.62% compared to the TA. </w:t>
      </w:r>
    </w:p>
    <w:p w14:paraId="72DFB262" w14:textId="77777777" w:rsidR="00032FEE" w:rsidRPr="004E3443" w:rsidRDefault="00032FEE" w:rsidP="004E3443">
      <w:pPr>
        <w:pStyle w:val="Body"/>
        <w:spacing w:after="0"/>
        <w:rPr>
          <w:rFonts w:ascii="Arial" w:hAnsi="Arial" w:cs="Arial"/>
        </w:rPr>
      </w:pPr>
    </w:p>
    <w:p w14:paraId="6DBFF2F0" w14:textId="3B27B839" w:rsidR="004E3443" w:rsidRPr="004E3443" w:rsidRDefault="004E3443" w:rsidP="004E3443">
      <w:pPr>
        <w:pStyle w:val="Body"/>
        <w:spacing w:after="0"/>
        <w:rPr>
          <w:rFonts w:ascii="Arial" w:hAnsi="Arial" w:cs="Arial"/>
          <w:lang w:val="fr-FR"/>
        </w:rPr>
      </w:pPr>
      <w:r w:rsidRPr="004E3443">
        <w:rPr>
          <w:rFonts w:ascii="Arial" w:hAnsi="Arial" w:cs="Arial"/>
          <w:noProof/>
          <w:lang w:val="fr-FR"/>
        </w:rPr>
        <w:drawing>
          <wp:inline distT="0" distB="0" distL="0" distR="0" wp14:anchorId="73CE6CC7" wp14:editId="29DB0EA6">
            <wp:extent cx="4572000" cy="2476500"/>
            <wp:effectExtent l="0" t="0" r="0" b="0"/>
            <wp:docPr id="683959518" name="Graphique 1">
              <a:extLst xmlns:a="http://schemas.openxmlformats.org/drawingml/2006/main">
                <a:ext uri="{FF2B5EF4-FFF2-40B4-BE49-F238E27FC236}">
                  <a16:creationId xmlns:a16="http://schemas.microsoft.com/office/drawing/2014/main" id="{C106D4B9-C263-11BA-B3DA-E90A641EEE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7C331" w14:textId="77777777" w:rsidR="004E3443" w:rsidRPr="004E3443" w:rsidRDefault="004E3443" w:rsidP="004E3443">
      <w:pPr>
        <w:pStyle w:val="Body"/>
        <w:spacing w:after="0"/>
        <w:rPr>
          <w:rFonts w:ascii="Arial" w:hAnsi="Arial" w:cs="Arial"/>
        </w:rPr>
      </w:pPr>
      <w:r w:rsidRPr="004E3443">
        <w:rPr>
          <w:rFonts w:ascii="Arial" w:hAnsi="Arial" w:cs="Arial"/>
        </w:rPr>
        <w:t>Figure 2: Effects of treatments on okra yield</w:t>
      </w:r>
    </w:p>
    <w:p w14:paraId="42ADB09E" w14:textId="77777777" w:rsidR="00100254" w:rsidRDefault="00100254" w:rsidP="004E3443">
      <w:pPr>
        <w:pStyle w:val="Body"/>
        <w:spacing w:after="0"/>
        <w:rPr>
          <w:rFonts w:ascii="Arial" w:hAnsi="Arial" w:cs="Arial"/>
          <w:b/>
          <w:bCs/>
        </w:rPr>
      </w:pPr>
    </w:p>
    <w:p w14:paraId="2B681F1F" w14:textId="765B3E64" w:rsidR="004E3443" w:rsidRPr="004E3443" w:rsidRDefault="00F87CEC" w:rsidP="004E3443">
      <w:pPr>
        <w:pStyle w:val="Body"/>
        <w:spacing w:after="0"/>
        <w:rPr>
          <w:rFonts w:ascii="Arial" w:hAnsi="Arial" w:cs="Arial"/>
          <w:b/>
          <w:bCs/>
        </w:rPr>
      </w:pPr>
      <w:r>
        <w:rPr>
          <w:rFonts w:ascii="Arial" w:hAnsi="Arial" w:cs="Arial"/>
          <w:b/>
          <w:bCs/>
        </w:rPr>
        <w:t>3.1.</w:t>
      </w:r>
      <w:r w:rsidR="00FA6A37">
        <w:rPr>
          <w:rFonts w:ascii="Arial" w:hAnsi="Arial" w:cs="Arial"/>
          <w:b/>
          <w:bCs/>
        </w:rPr>
        <w:t>4</w:t>
      </w:r>
      <w:r>
        <w:rPr>
          <w:rFonts w:ascii="Arial" w:hAnsi="Arial" w:cs="Arial"/>
          <w:b/>
          <w:bCs/>
        </w:rPr>
        <w:t xml:space="preserve">. </w:t>
      </w:r>
      <w:r w:rsidR="004E3443" w:rsidRPr="004E3443">
        <w:rPr>
          <w:rFonts w:ascii="Arial" w:hAnsi="Arial" w:cs="Arial"/>
          <w:b/>
          <w:bCs/>
        </w:rPr>
        <w:t>Relationship between pH, temperature and plant parameters</w:t>
      </w:r>
    </w:p>
    <w:p w14:paraId="547EA687" w14:textId="5D1684D7" w:rsidR="004E3443" w:rsidRPr="004E3443" w:rsidRDefault="004E3443" w:rsidP="004E3443">
      <w:pPr>
        <w:pStyle w:val="Body"/>
        <w:spacing w:after="0"/>
        <w:rPr>
          <w:rFonts w:ascii="Arial" w:hAnsi="Arial" w:cs="Arial"/>
        </w:rPr>
      </w:pPr>
      <w:r w:rsidRPr="004E3443">
        <w:rPr>
          <w:rFonts w:ascii="Arial" w:hAnsi="Arial" w:cs="Arial"/>
        </w:rPr>
        <w:t>Figure 3 shows the interactions between pH and the parameters of the plants studied. Principal component analysis (PCA) revealed that pH and temperature are positively correlated with the number of leaves, flowers and fruits and yield. Also, the number of leaves, flowers and fruits are positively correlated with diameter and height. However, a negative relationship was observed between pH, temperature, and yield with diameter and height.</w:t>
      </w:r>
    </w:p>
    <w:p w14:paraId="19C760B6" w14:textId="2743B346" w:rsidR="004E3443" w:rsidRPr="004E3443" w:rsidRDefault="004E3443" w:rsidP="004E3443">
      <w:pPr>
        <w:pStyle w:val="Body"/>
        <w:spacing w:after="0"/>
        <w:rPr>
          <w:rFonts w:ascii="Arial" w:hAnsi="Arial" w:cs="Arial"/>
        </w:rPr>
      </w:pPr>
    </w:p>
    <w:p w14:paraId="10D5ED87" w14:textId="7477E50F" w:rsidR="004E3443" w:rsidRPr="004E3443" w:rsidRDefault="004E3443" w:rsidP="004E3443">
      <w:pPr>
        <w:pStyle w:val="Body"/>
        <w:spacing w:after="0"/>
        <w:rPr>
          <w:rFonts w:ascii="Arial" w:hAnsi="Arial" w:cs="Arial"/>
        </w:rPr>
      </w:pPr>
    </w:p>
    <w:p w14:paraId="7A060B7D" w14:textId="3BE803B8" w:rsidR="004E3443" w:rsidRPr="004E3443" w:rsidRDefault="004E3443" w:rsidP="004E3443">
      <w:pPr>
        <w:pStyle w:val="Body"/>
        <w:spacing w:after="0"/>
        <w:rPr>
          <w:rFonts w:ascii="Arial" w:hAnsi="Arial" w:cs="Arial"/>
        </w:rPr>
      </w:pPr>
    </w:p>
    <w:p w14:paraId="54F3A422" w14:textId="77777777" w:rsidR="004E3443" w:rsidRPr="004E3443" w:rsidRDefault="004E3443" w:rsidP="004E3443">
      <w:pPr>
        <w:pStyle w:val="Body"/>
        <w:spacing w:after="0"/>
        <w:rPr>
          <w:rFonts w:ascii="Arial" w:hAnsi="Arial" w:cs="Arial"/>
        </w:rPr>
      </w:pPr>
    </w:p>
    <w:p w14:paraId="21EC9195" w14:textId="77777777" w:rsidR="004E3443" w:rsidRPr="004E3443" w:rsidRDefault="004E3443" w:rsidP="004E3443">
      <w:pPr>
        <w:pStyle w:val="Body"/>
        <w:spacing w:after="0"/>
        <w:rPr>
          <w:rFonts w:ascii="Arial" w:hAnsi="Arial" w:cs="Arial"/>
        </w:rPr>
      </w:pPr>
    </w:p>
    <w:p w14:paraId="0B99C3D2" w14:textId="77777777" w:rsidR="004E3443" w:rsidRPr="004E3443" w:rsidRDefault="004E3443" w:rsidP="004E3443">
      <w:pPr>
        <w:pStyle w:val="Body"/>
        <w:spacing w:after="0"/>
        <w:rPr>
          <w:rFonts w:ascii="Arial" w:hAnsi="Arial" w:cs="Arial"/>
        </w:rPr>
      </w:pPr>
    </w:p>
    <w:p w14:paraId="24F9F5BB" w14:textId="77777777" w:rsidR="004E3443" w:rsidRPr="004E3443" w:rsidRDefault="004E3443" w:rsidP="004E3443">
      <w:pPr>
        <w:pStyle w:val="Body"/>
        <w:spacing w:after="0"/>
        <w:rPr>
          <w:rFonts w:ascii="Arial" w:hAnsi="Arial" w:cs="Arial"/>
        </w:rPr>
      </w:pPr>
    </w:p>
    <w:p w14:paraId="2454C161" w14:textId="77777777" w:rsidR="004E3443" w:rsidRPr="004E3443" w:rsidRDefault="004E3443" w:rsidP="004E3443">
      <w:pPr>
        <w:pStyle w:val="Body"/>
        <w:spacing w:after="0"/>
        <w:rPr>
          <w:rFonts w:ascii="Arial" w:hAnsi="Arial" w:cs="Arial"/>
        </w:rPr>
      </w:pPr>
    </w:p>
    <w:p w14:paraId="628B73CA" w14:textId="77777777" w:rsidR="004E3443" w:rsidRPr="004E3443" w:rsidRDefault="004E3443" w:rsidP="004E3443">
      <w:pPr>
        <w:pStyle w:val="Body"/>
        <w:spacing w:after="0"/>
        <w:rPr>
          <w:rFonts w:ascii="Arial" w:hAnsi="Arial" w:cs="Arial"/>
        </w:rPr>
      </w:pPr>
    </w:p>
    <w:p w14:paraId="1AE5E626" w14:textId="6B4139DA" w:rsidR="004E3443" w:rsidRPr="004E3443" w:rsidRDefault="00100254" w:rsidP="004E3443">
      <w:pPr>
        <w:pStyle w:val="Body"/>
        <w:spacing w:after="0"/>
        <w:rPr>
          <w:rFonts w:ascii="Arial" w:hAnsi="Arial" w:cs="Arial"/>
        </w:rPr>
      </w:pPr>
      <w:r w:rsidRPr="004E3443">
        <w:rPr>
          <w:rFonts w:ascii="Arial" w:hAnsi="Arial" w:cs="Arial"/>
          <w:noProof/>
          <w:lang w:val="fr-FR"/>
        </w:rPr>
        <w:drawing>
          <wp:anchor distT="0" distB="0" distL="114300" distR="114300" simplePos="0" relativeHeight="251659264" behindDoc="1" locked="0" layoutInCell="1" allowOverlap="1" wp14:anchorId="3C020BF3" wp14:editId="61F6A9DC">
            <wp:simplePos x="0" y="0"/>
            <wp:positionH relativeFrom="column">
              <wp:posOffset>1029114</wp:posOffset>
            </wp:positionH>
            <wp:positionV relativeFrom="paragraph">
              <wp:posOffset>-289422</wp:posOffset>
            </wp:positionV>
            <wp:extent cx="3807460" cy="3240405"/>
            <wp:effectExtent l="0" t="0" r="2540" b="0"/>
            <wp:wrapTight wrapText="bothSides">
              <wp:wrapPolygon edited="0">
                <wp:start x="0" y="0"/>
                <wp:lineTo x="0" y="21460"/>
                <wp:lineTo x="21506" y="21460"/>
                <wp:lineTo x="21506" y="0"/>
                <wp:lineTo x="0" y="0"/>
              </wp:wrapPolygon>
            </wp:wrapTight>
            <wp:docPr id="1920152002" name="Image 14" descr="Une image contenant texte, capture d’écran, diagramme, lign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920152002" name="Image 14" descr="Une image contenant texte, capture d’écran, diagramme, ligne&#10;&#10;Le contenu généré par l’IA peut être incorrect."/>
                    <pic:cNvPicPr/>
                  </pic:nvPicPr>
                  <pic:blipFill>
                    <a:blip r:embed="rId16"/>
                    <a:srcRect/>
                    <a:stretch>
                      <a:fillRect/>
                    </a:stretch>
                  </pic:blipFill>
                  <pic:spPr>
                    <a:xfrm>
                      <a:off x="0" y="0"/>
                      <a:ext cx="3807460" cy="3240405"/>
                    </a:xfrm>
                    <a:prstGeom prst="rect">
                      <a:avLst/>
                    </a:prstGeom>
                    <a:noFill/>
                    <a:ln>
                      <a:noFill/>
                      <a:prstDash/>
                    </a:ln>
                  </pic:spPr>
                </pic:pic>
              </a:graphicData>
            </a:graphic>
          </wp:anchor>
        </w:drawing>
      </w:r>
    </w:p>
    <w:p w14:paraId="00BB0A83" w14:textId="77777777" w:rsidR="004E3443" w:rsidRPr="004E3443" w:rsidRDefault="004E3443" w:rsidP="004E3443">
      <w:pPr>
        <w:pStyle w:val="Body"/>
        <w:spacing w:after="0"/>
        <w:rPr>
          <w:rFonts w:ascii="Arial" w:hAnsi="Arial" w:cs="Arial"/>
        </w:rPr>
      </w:pPr>
    </w:p>
    <w:p w14:paraId="228EFABD" w14:textId="77777777" w:rsidR="004E3443" w:rsidRPr="004E3443" w:rsidRDefault="004E3443" w:rsidP="004E3443">
      <w:pPr>
        <w:pStyle w:val="Body"/>
        <w:spacing w:after="0"/>
        <w:rPr>
          <w:rFonts w:ascii="Arial" w:hAnsi="Arial" w:cs="Arial"/>
        </w:rPr>
      </w:pPr>
      <w:r w:rsidRPr="004E3443">
        <w:rPr>
          <w:rFonts w:ascii="Arial" w:hAnsi="Arial" w:cs="Arial"/>
        </w:rPr>
        <w:t xml:space="preserve">                          </w:t>
      </w:r>
    </w:p>
    <w:p w14:paraId="70A4A33E" w14:textId="77777777" w:rsidR="00F87CEC" w:rsidRDefault="004E3443" w:rsidP="004E3443">
      <w:pPr>
        <w:pStyle w:val="Body"/>
        <w:spacing w:after="0"/>
        <w:rPr>
          <w:rFonts w:ascii="Arial" w:hAnsi="Arial" w:cs="Arial"/>
        </w:rPr>
      </w:pPr>
      <w:r w:rsidRPr="004E3443">
        <w:rPr>
          <w:rFonts w:ascii="Arial" w:hAnsi="Arial" w:cs="Arial"/>
        </w:rPr>
        <w:t xml:space="preserve">          </w:t>
      </w:r>
    </w:p>
    <w:p w14:paraId="4A7D50BD" w14:textId="77777777" w:rsidR="00F87CEC" w:rsidRDefault="00F87CEC" w:rsidP="004E3443">
      <w:pPr>
        <w:pStyle w:val="Body"/>
        <w:spacing w:after="0"/>
        <w:rPr>
          <w:rFonts w:ascii="Arial" w:hAnsi="Arial" w:cs="Arial"/>
        </w:rPr>
      </w:pPr>
    </w:p>
    <w:p w14:paraId="4F5CBE7D" w14:textId="77777777" w:rsidR="00F87CEC" w:rsidRDefault="00F87CEC" w:rsidP="004E3443">
      <w:pPr>
        <w:pStyle w:val="Body"/>
        <w:spacing w:after="0"/>
        <w:rPr>
          <w:rFonts w:ascii="Arial" w:hAnsi="Arial" w:cs="Arial"/>
        </w:rPr>
      </w:pPr>
    </w:p>
    <w:p w14:paraId="2ACC0347" w14:textId="77777777" w:rsidR="00F87CEC" w:rsidRDefault="00F87CEC" w:rsidP="004E3443">
      <w:pPr>
        <w:pStyle w:val="Body"/>
        <w:spacing w:after="0"/>
        <w:rPr>
          <w:rFonts w:ascii="Arial" w:hAnsi="Arial" w:cs="Arial"/>
        </w:rPr>
      </w:pPr>
    </w:p>
    <w:p w14:paraId="6DB12AFB" w14:textId="77777777" w:rsidR="00F87CEC" w:rsidRDefault="00F87CEC" w:rsidP="004E3443">
      <w:pPr>
        <w:pStyle w:val="Body"/>
        <w:spacing w:after="0"/>
        <w:rPr>
          <w:rFonts w:ascii="Arial" w:hAnsi="Arial" w:cs="Arial"/>
        </w:rPr>
      </w:pPr>
    </w:p>
    <w:p w14:paraId="27DC845D" w14:textId="77777777" w:rsidR="00F87CEC" w:rsidRDefault="00F87CEC" w:rsidP="004E3443">
      <w:pPr>
        <w:pStyle w:val="Body"/>
        <w:spacing w:after="0"/>
        <w:rPr>
          <w:rFonts w:ascii="Arial" w:hAnsi="Arial" w:cs="Arial"/>
        </w:rPr>
      </w:pPr>
    </w:p>
    <w:p w14:paraId="7C0B41DA" w14:textId="77777777" w:rsidR="00F87CEC" w:rsidRDefault="00F87CEC" w:rsidP="004E3443">
      <w:pPr>
        <w:pStyle w:val="Body"/>
        <w:spacing w:after="0"/>
        <w:rPr>
          <w:rFonts w:ascii="Arial" w:hAnsi="Arial" w:cs="Arial"/>
        </w:rPr>
      </w:pPr>
    </w:p>
    <w:p w14:paraId="2C7EF90A" w14:textId="77777777" w:rsidR="00F87CEC" w:rsidRDefault="00F87CEC" w:rsidP="004E3443">
      <w:pPr>
        <w:pStyle w:val="Body"/>
        <w:spacing w:after="0"/>
        <w:rPr>
          <w:rFonts w:ascii="Arial" w:hAnsi="Arial" w:cs="Arial"/>
        </w:rPr>
      </w:pPr>
    </w:p>
    <w:p w14:paraId="74ACEC2B" w14:textId="77777777" w:rsidR="00F87CEC" w:rsidRDefault="00F87CEC" w:rsidP="004E3443">
      <w:pPr>
        <w:pStyle w:val="Body"/>
        <w:spacing w:after="0"/>
        <w:rPr>
          <w:rFonts w:ascii="Arial" w:hAnsi="Arial" w:cs="Arial"/>
        </w:rPr>
      </w:pPr>
    </w:p>
    <w:p w14:paraId="32B8EC1E" w14:textId="77777777" w:rsidR="00F87CEC" w:rsidRDefault="00F87CEC" w:rsidP="004E3443">
      <w:pPr>
        <w:pStyle w:val="Body"/>
        <w:spacing w:after="0"/>
        <w:rPr>
          <w:rFonts w:ascii="Arial" w:hAnsi="Arial" w:cs="Arial"/>
        </w:rPr>
      </w:pPr>
    </w:p>
    <w:p w14:paraId="4DE0F256" w14:textId="77777777" w:rsidR="00F87CEC" w:rsidRDefault="00F87CEC" w:rsidP="004E3443">
      <w:pPr>
        <w:pStyle w:val="Body"/>
        <w:spacing w:after="0"/>
        <w:rPr>
          <w:rFonts w:ascii="Arial" w:hAnsi="Arial" w:cs="Arial"/>
        </w:rPr>
      </w:pPr>
    </w:p>
    <w:p w14:paraId="7CAB620C" w14:textId="77777777" w:rsidR="00100254" w:rsidRDefault="00100254" w:rsidP="004E3443">
      <w:pPr>
        <w:pStyle w:val="Body"/>
        <w:spacing w:after="0"/>
        <w:rPr>
          <w:rFonts w:ascii="Arial" w:hAnsi="Arial" w:cs="Arial"/>
        </w:rPr>
      </w:pPr>
    </w:p>
    <w:p w14:paraId="0951F0CC" w14:textId="77777777" w:rsidR="00100254" w:rsidRDefault="00100254" w:rsidP="004E3443">
      <w:pPr>
        <w:pStyle w:val="Body"/>
        <w:spacing w:after="0"/>
        <w:rPr>
          <w:rFonts w:ascii="Arial" w:hAnsi="Arial" w:cs="Arial"/>
        </w:rPr>
      </w:pPr>
    </w:p>
    <w:p w14:paraId="2EC9660F" w14:textId="77777777" w:rsidR="00100254" w:rsidRDefault="00100254" w:rsidP="004E3443">
      <w:pPr>
        <w:pStyle w:val="Body"/>
        <w:spacing w:after="0"/>
        <w:rPr>
          <w:rFonts w:ascii="Arial" w:hAnsi="Arial" w:cs="Arial"/>
        </w:rPr>
      </w:pPr>
    </w:p>
    <w:p w14:paraId="18E5DDC2" w14:textId="77777777" w:rsidR="00100254" w:rsidRDefault="00100254" w:rsidP="004E3443">
      <w:pPr>
        <w:pStyle w:val="Body"/>
        <w:spacing w:after="0"/>
        <w:rPr>
          <w:rFonts w:ascii="Arial" w:hAnsi="Arial" w:cs="Arial"/>
        </w:rPr>
      </w:pPr>
    </w:p>
    <w:p w14:paraId="7B088C7F" w14:textId="77777777" w:rsidR="00100254" w:rsidRDefault="00100254" w:rsidP="004E3443">
      <w:pPr>
        <w:pStyle w:val="Body"/>
        <w:spacing w:after="0"/>
        <w:rPr>
          <w:rFonts w:ascii="Arial" w:hAnsi="Arial" w:cs="Arial"/>
        </w:rPr>
      </w:pPr>
    </w:p>
    <w:p w14:paraId="5C4C31FD" w14:textId="77777777" w:rsidR="00100254" w:rsidRDefault="00100254" w:rsidP="004E3443">
      <w:pPr>
        <w:pStyle w:val="Body"/>
        <w:spacing w:after="0"/>
        <w:rPr>
          <w:rFonts w:ascii="Arial" w:hAnsi="Arial" w:cs="Arial"/>
        </w:rPr>
      </w:pPr>
    </w:p>
    <w:p w14:paraId="45DF1AD6" w14:textId="77777777" w:rsidR="00100254" w:rsidRDefault="00100254" w:rsidP="004E3443">
      <w:pPr>
        <w:pStyle w:val="Body"/>
        <w:spacing w:after="0"/>
        <w:rPr>
          <w:rFonts w:ascii="Arial" w:hAnsi="Arial" w:cs="Arial"/>
        </w:rPr>
      </w:pPr>
    </w:p>
    <w:p w14:paraId="6235F283" w14:textId="203C56EA" w:rsidR="004E3443" w:rsidRPr="004E3443" w:rsidRDefault="004E3443" w:rsidP="004E3443">
      <w:pPr>
        <w:pStyle w:val="Body"/>
        <w:spacing w:after="0"/>
        <w:rPr>
          <w:rFonts w:ascii="Arial" w:hAnsi="Arial" w:cs="Arial"/>
        </w:rPr>
      </w:pPr>
      <w:r w:rsidRPr="004E3443">
        <w:rPr>
          <w:rFonts w:ascii="Arial" w:hAnsi="Arial" w:cs="Arial"/>
        </w:rPr>
        <w:t>Figure 3: Principal Component Analyses (PCAs) between pH, temperature and agronomic parameters of okra.</w:t>
      </w:r>
    </w:p>
    <w:p w14:paraId="50DE4AD4" w14:textId="77777777" w:rsidR="00431CFC" w:rsidRDefault="00431CFC" w:rsidP="004E3443">
      <w:pPr>
        <w:pStyle w:val="Body"/>
        <w:spacing w:after="0"/>
        <w:rPr>
          <w:rFonts w:ascii="Arial" w:hAnsi="Arial" w:cs="Arial"/>
          <w:b/>
        </w:rPr>
      </w:pPr>
    </w:p>
    <w:p w14:paraId="4AA5665D" w14:textId="38AFF1DC" w:rsidR="004E3443" w:rsidRPr="004E3443" w:rsidRDefault="00F87CEC" w:rsidP="004E3443">
      <w:pPr>
        <w:pStyle w:val="Body"/>
        <w:spacing w:after="0"/>
        <w:rPr>
          <w:rFonts w:ascii="Arial" w:hAnsi="Arial" w:cs="Arial"/>
          <w:b/>
        </w:rPr>
      </w:pPr>
      <w:r>
        <w:rPr>
          <w:rFonts w:ascii="Arial" w:hAnsi="Arial" w:cs="Arial"/>
          <w:b/>
        </w:rPr>
        <w:t>3.2</w:t>
      </w:r>
      <w:r w:rsidR="00E0537C">
        <w:rPr>
          <w:rFonts w:ascii="Arial" w:hAnsi="Arial" w:cs="Arial"/>
          <w:b/>
        </w:rPr>
        <w:t xml:space="preserve">. </w:t>
      </w:r>
      <w:r w:rsidR="004E3443" w:rsidRPr="004E3443">
        <w:rPr>
          <w:rFonts w:ascii="Arial" w:hAnsi="Arial" w:cs="Arial"/>
          <w:b/>
        </w:rPr>
        <w:t>Discussion</w:t>
      </w:r>
    </w:p>
    <w:p w14:paraId="4654ECFB" w14:textId="43883792" w:rsidR="004E3443" w:rsidRPr="004E3443" w:rsidRDefault="00E0537C" w:rsidP="004E3443">
      <w:pPr>
        <w:pStyle w:val="Body"/>
        <w:spacing w:after="0"/>
        <w:rPr>
          <w:rFonts w:ascii="Arial" w:hAnsi="Arial" w:cs="Arial"/>
          <w:b/>
        </w:rPr>
      </w:pPr>
      <w:r>
        <w:rPr>
          <w:rFonts w:ascii="Arial" w:hAnsi="Arial" w:cs="Arial"/>
          <w:b/>
        </w:rPr>
        <w:t xml:space="preserve">3.2.1. </w:t>
      </w:r>
      <w:r w:rsidR="004E3443" w:rsidRPr="004E3443">
        <w:rPr>
          <w:rFonts w:ascii="Arial" w:hAnsi="Arial" w:cs="Arial"/>
          <w:b/>
        </w:rPr>
        <w:t>Effects of treatments on soil pH</w:t>
      </w:r>
    </w:p>
    <w:p w14:paraId="43E2BDFB" w14:textId="257579C4" w:rsidR="00E0537C" w:rsidRDefault="004E3443" w:rsidP="004E3443">
      <w:pPr>
        <w:pStyle w:val="Body"/>
        <w:spacing w:after="0"/>
        <w:rPr>
          <w:rFonts w:ascii="Arial" w:hAnsi="Arial" w:cs="Arial"/>
        </w:rPr>
      </w:pPr>
      <w:r w:rsidRPr="004E3443">
        <w:rPr>
          <w:rFonts w:ascii="Arial" w:hAnsi="Arial" w:cs="Arial"/>
        </w:rPr>
        <w:t xml:space="preserve">The pH of the soil under </w:t>
      </w:r>
      <w:r w:rsidR="004957DE" w:rsidRPr="004957DE">
        <w:rPr>
          <w:rFonts w:ascii="Arial" w:hAnsi="Arial" w:cs="Arial"/>
        </w:rPr>
        <w:t xml:space="preserve">mixed </w:t>
      </w:r>
      <w:proofErr w:type="gramStart"/>
      <w:r w:rsidR="004957DE" w:rsidRPr="004957DE">
        <w:rPr>
          <w:rFonts w:ascii="Arial" w:hAnsi="Arial" w:cs="Arial"/>
        </w:rPr>
        <w:t>animals</w:t>
      </w:r>
      <w:proofErr w:type="gramEnd"/>
      <w:r w:rsidR="004957DE" w:rsidRPr="004957DE">
        <w:rPr>
          <w:rFonts w:ascii="Arial" w:hAnsi="Arial" w:cs="Arial"/>
        </w:rPr>
        <w:t xml:space="preserve"> waste</w:t>
      </w:r>
      <w:r w:rsidRPr="004E3443">
        <w:rPr>
          <w:rFonts w:ascii="Arial" w:hAnsi="Arial" w:cs="Arial"/>
        </w:rPr>
        <w:t xml:space="preserve"> is less acidic than that of the control soil. The stabling of the animals led to an increase in the pH units of the soil and therefore reduced the acidity of the soil. The mixture of cattle and sheep manure exerted a significant influence on soil chemistry. These results are in line with those obtained by </w:t>
      </w:r>
      <w:r w:rsidRPr="004E3443">
        <w:rPr>
          <w:rFonts w:ascii="Arial" w:hAnsi="Arial" w:cs="Arial"/>
          <w:lang w:val="fr-FR"/>
        </w:rPr>
        <w:fldChar w:fldCharType="begin"/>
      </w:r>
      <w:r w:rsidRPr="004E3443">
        <w:rPr>
          <w:rFonts w:ascii="Arial" w:hAnsi="Arial" w:cs="Arial"/>
        </w:rPr>
        <w:instrText xml:space="preserve"> ADDIN ZOTERO_ITEM CSL_CITATION {"citationID":"qpN5uvIu","properties":{"formattedCitation":"(Naramabuye &amp; Haynes, 2006)","plainCitation":"(Naramabuye &amp; Haynes, 2006)","noteIndex":0},"citationItems":[{"id":119,"uris":["http://zotero.org/users/9489841/items/YX8NT557"],"itemData":{"id":119,"type":"article-journal","container-title":"Australian Journal of Soil Research","DOI":"10.1071/SR05062","journalAbbreviation":"Australian Journal of Soil Research","title":"Short-term effects of three animal manures on soil pH and Al solubility","volume":"44","author":[{"family":"Naramabuye","given":"Francois-X"},{"family":"Haynes","given":"R."}],"issued":{"date-parts":[["2006",1,1]]}}}],"schema":"https://github.com/citation-style-language/schema/raw/master/csl-citation.json"} </w:instrText>
      </w:r>
      <w:r w:rsidRPr="004E3443">
        <w:rPr>
          <w:rFonts w:ascii="Arial" w:hAnsi="Arial" w:cs="Arial"/>
          <w:lang w:val="fr-FR"/>
        </w:rPr>
        <w:fldChar w:fldCharType="separate"/>
      </w:r>
      <w:r w:rsidRPr="004E3443">
        <w:rPr>
          <w:rFonts w:ascii="Arial" w:hAnsi="Arial" w:cs="Arial"/>
        </w:rPr>
        <w:t>Naramabuye &amp; Haynes, (2006)</w:t>
      </w:r>
      <w:r w:rsidRPr="004E3443">
        <w:rPr>
          <w:rFonts w:ascii="Arial" w:hAnsi="Arial" w:cs="Arial"/>
        </w:rPr>
        <w:fldChar w:fldCharType="end"/>
      </w:r>
      <w:r w:rsidRPr="004E3443">
        <w:rPr>
          <w:rFonts w:ascii="Arial" w:hAnsi="Arial" w:cs="Arial"/>
        </w:rPr>
        <w:t xml:space="preserve"> who found that the pH of the soil treated with cattle manure was higher than the control soil. Also, similar results were found by </w:t>
      </w:r>
      <w:r w:rsidRPr="004E3443">
        <w:rPr>
          <w:rFonts w:ascii="Arial" w:hAnsi="Arial" w:cs="Arial"/>
          <w:lang w:val="fr-FR"/>
        </w:rPr>
        <w:fldChar w:fldCharType="begin"/>
      </w:r>
      <w:r w:rsidRPr="004E3443">
        <w:rPr>
          <w:rFonts w:ascii="Arial" w:hAnsi="Arial" w:cs="Arial"/>
        </w:rPr>
        <w:instrText xml:space="preserve"> ADDIN ZOTERO_ITEM CSL_CITATION {"citationID":"Xki2ENxr","properties":{"formattedCitation":"(Cairo-Cairo et al., 2023)","plainCitation":"(Cairo-Cairo et al., 2023)","noteIndex":0},"citationItems":[{"id":340,"uris":["http://zotero.org/users/9489841/items/AJX6RZ8I"],"itemData":{"id":340,"type":"article-journal","container-title":"Archives of Agronomy and Soil Science","DOI":"10.1080/03650340.2023.2171020","ISSN":"0365-0340","issue":"13","journalAbbreviation":"Archives of Agronomy and Soil Science","note":"publisher: Taylor &amp; Francis","page":"2692-2702","title":"Effects of poultry manure on structure and some indicators of fertility in tropical soils","volume":"69","author":[{"family":"Cairo-Cairo","given":"Pedro"},{"family":"Diaz-Martin","given":"Bladimir"},{"family":"Machado-de-Armas","given":"Joaquin"},{"family":"Rodriguez-Lopez","given":"Oralia"}],"issued":{"date-parts":[["2023",11,10]]}}}],"schema":"https://github.com/citation-style-language/schema/raw/master/csl-citation.json"} </w:instrText>
      </w:r>
      <w:r w:rsidRPr="004E3443">
        <w:rPr>
          <w:rFonts w:ascii="Arial" w:hAnsi="Arial" w:cs="Arial"/>
          <w:lang w:val="fr-FR"/>
        </w:rPr>
        <w:fldChar w:fldCharType="separate"/>
      </w:r>
      <w:r w:rsidRPr="004E3443">
        <w:rPr>
          <w:rFonts w:ascii="Arial" w:hAnsi="Arial" w:cs="Arial"/>
        </w:rPr>
        <w:t>Cairo-Cairo et al., (2023)</w:t>
      </w:r>
      <w:r w:rsidRPr="004E3443">
        <w:rPr>
          <w:rFonts w:ascii="Arial" w:hAnsi="Arial" w:cs="Arial"/>
        </w:rPr>
        <w:fldChar w:fldCharType="end"/>
      </w:r>
      <w:r w:rsidRPr="004E3443">
        <w:rPr>
          <w:rFonts w:ascii="Arial" w:hAnsi="Arial" w:cs="Arial"/>
        </w:rPr>
        <w:t xml:space="preserve"> and </w:t>
      </w:r>
      <w:r w:rsidRPr="004E3443">
        <w:rPr>
          <w:rFonts w:ascii="Arial" w:hAnsi="Arial" w:cs="Arial"/>
          <w:lang w:val="fr-FR"/>
        </w:rPr>
        <w:fldChar w:fldCharType="begin"/>
      </w:r>
      <w:r w:rsidRPr="004E3443">
        <w:rPr>
          <w:rFonts w:ascii="Arial" w:hAnsi="Arial" w:cs="Arial"/>
        </w:rPr>
        <w:instrText xml:space="preserve"> ADDIN ZOTERO_ITEM CSL_CITATION {"citationID":"XRaZt7JI","properties":{"formattedCitation":"(Citak &amp; Sonmez, 2011)","plainCitation":"(Citak &amp; Sonmez, 2011)","noteIndex":0},"citationItems":[{"id":122,"uris":["http://zotero.org/users/9489841/items/7FL3QPV5"],"itemData":{"id":122,"type":"article-journal","container-title":"J. Food Agric. Environ","issue":"3","page":"739-741","title":"Effects of chemical fertilizer and different organic manure application on soil pH, EC and organic matter content","volume":"9","author":[{"family":"Citak","given":"Sedat"},{"family":"Sonmez","given":"Sahriye"}],"issued":{"date-parts":[["2011"]]}}}],"schema":"https://github.com/citation-style-language/schema/raw/master/csl-citation.json"} </w:instrText>
      </w:r>
      <w:r w:rsidRPr="004E3443">
        <w:rPr>
          <w:rFonts w:ascii="Arial" w:hAnsi="Arial" w:cs="Arial"/>
          <w:lang w:val="fr-FR"/>
        </w:rPr>
        <w:fldChar w:fldCharType="separate"/>
      </w:r>
      <w:r w:rsidRPr="004E3443">
        <w:rPr>
          <w:rFonts w:ascii="Arial" w:hAnsi="Arial" w:cs="Arial"/>
        </w:rPr>
        <w:t>Citak &amp; Sonmez, (2011)</w:t>
      </w:r>
      <w:r w:rsidRPr="004E3443">
        <w:rPr>
          <w:rFonts w:ascii="Arial" w:hAnsi="Arial" w:cs="Arial"/>
        </w:rPr>
        <w:fldChar w:fldCharType="end"/>
      </w:r>
      <w:r w:rsidRPr="004E3443">
        <w:rPr>
          <w:rFonts w:ascii="Arial" w:hAnsi="Arial" w:cs="Arial"/>
        </w:rPr>
        <w:t xml:space="preserve"> which have shown that manure increases the pH of the soil. Also </w:t>
      </w:r>
      <w:r w:rsidRPr="004E3443">
        <w:rPr>
          <w:rFonts w:ascii="Arial" w:hAnsi="Arial" w:cs="Arial"/>
          <w:lang w:val="fr-FR"/>
        </w:rPr>
        <w:fldChar w:fldCharType="begin"/>
      </w:r>
      <w:r w:rsidRPr="004E3443">
        <w:rPr>
          <w:rFonts w:ascii="Arial" w:hAnsi="Arial" w:cs="Arial"/>
        </w:rPr>
        <w:instrText xml:space="preserve"> ADDIN ZOTERO_ITEM CSL_CITATION {"citationID":"dzBoDuo7","properties":{"formattedCitation":"(Ano &amp; Ubochi, 2007)","plainCitation":"(Ano &amp; Ubochi, 2007)","noteIndex":0},"citationItems":[{"id":350,"uris":["http://zotero.org/users/9489841/items/JEKCGYJ4"],"itemData":{"id":350,"type":"article-journal","abstract":"The mechanism of reaction leading to neutralization of soil acidity by animal manures was studied in the laboratory. Five animal manures; rabbit manure (RBM), swine manure (SWM), goat manure (GTM), poultry manure (POM), and cow manure (COM) were respectively added at rates equivalent to 10, 20, 30, and 40 t ha-1 to an Ultisol having soil-water pH of 4.6 and KCl extractable acidity of 3.00 cmol kg-1. The amended soils were incubated at 70% water holding capacity for 3 weeks. Animal manures significantly increased the soil pH from 4.6 to values above 5.6 and also reduced exchangeable acidity from 3.00 cmol kg-1 to values below 0.35 cmol kg-1. The mechanism that best explained the neutralization reaction was found to be microbial decarboxylation of calcium-organic matter complex leading to the release and subsequent hydrolysis of calcium ions. The hydroxyl ions released in the hydrolytic reaction then reacts with both the exchangeable hydrogen and aluminum ions to form water and insoluble aluminum hydroxide (Al(OH)3) respectively.","container-title":"African Journal of Biotechnology","issue":"4","page":"364-368","title":"Neutralization of soil acidity by animal manures: Mechanism of reaction","volume":"6","author":[{"family":"Ano","given":"A.O"},{"family":"Ubochi","given":"C.I"}],"issued":{"date-parts":[["2007"]]}}}],"schema":"https://github.com/citation-style-language/schema/raw/master/csl-citation.json"} </w:instrText>
      </w:r>
      <w:r w:rsidRPr="004E3443">
        <w:rPr>
          <w:rFonts w:ascii="Arial" w:hAnsi="Arial" w:cs="Arial"/>
          <w:lang w:val="fr-FR"/>
        </w:rPr>
        <w:fldChar w:fldCharType="separate"/>
      </w:r>
      <w:r w:rsidRPr="004E3443">
        <w:rPr>
          <w:rFonts w:ascii="Arial" w:hAnsi="Arial" w:cs="Arial"/>
        </w:rPr>
        <w:t>Ano &amp; Ubochi, (2007)</w:t>
      </w:r>
      <w:r w:rsidRPr="004E3443">
        <w:rPr>
          <w:rFonts w:ascii="Arial" w:hAnsi="Arial" w:cs="Arial"/>
        </w:rPr>
        <w:fldChar w:fldCharType="end"/>
      </w:r>
      <w:r w:rsidRPr="004E3443">
        <w:rPr>
          <w:rFonts w:ascii="Arial" w:hAnsi="Arial" w:cs="Arial"/>
        </w:rPr>
        <w:t xml:space="preserve"> had reported a steady increase in soil pH following the application of cow manure. The increase in pH recorded is attributable to the organic matter content. The penning of animals is a source of organic matter. The corrective effect of soil pH by organic matter had been widely demonstrated </w:t>
      </w:r>
      <w:r w:rsidRPr="004E3443">
        <w:rPr>
          <w:rFonts w:ascii="Arial" w:hAnsi="Arial" w:cs="Arial"/>
          <w:lang w:val="fr-FR"/>
        </w:rPr>
        <w:fldChar w:fldCharType="begin"/>
      </w:r>
      <w:r w:rsidRPr="004E3443">
        <w:rPr>
          <w:rFonts w:ascii="Arial" w:hAnsi="Arial" w:cs="Arial"/>
        </w:rPr>
        <w:instrText xml:space="preserve"> ADDIN ZOTERO_ITEM CSL_CITATION {"citationID":"E5znCmM7","properties":{"unsorted":true,"formattedCitation":"(Hien, 2004; Koull, 2007; Adamou et al., 2009)","plainCitation":"(Hien, 2004; Koull, 2007; Adamou et al., 2009)","noteIndex":0},"citationItems":[{"id":134,"uris":["http://zotero.org/users/9489841/items/G9EN7HTI"],"itemData":{"id":134,"type":"thesis","event-place":"France","number-of-pages":"138","publisher":"Montpellier","publisher-place":"France","title":"Dynamique du carbone dans un Acrisol ferrique du Centre Ouest Burkina:  Influence des pratiques culturales sur le stock et la qualité de la matière organique.","author":[{"family":"Hien","given":"E."}],"issued":{"date-parts":[["2004"]]}},"label":"page"},{"id":133,"uris":["http://zotero.org/users/9489841/items/X99CC5P4"],"itemData":{"id":133,"type":"thesis","event-place":"Algérie","number-of-pages":"99","publisher":"Diplôme magister Université Kasdi Merbah  Ouargla","publisher-place":"Algérie","title":"Effet de la matière organique sur les propriétés physiques et chimiques  des sols sableux de la région de Ouargla","author":[{"family":"Koull","given":"N"}],"issued":{"date-parts":[["2007"]]}},"label":"page"},{"id":135,"uris":["http://zotero.org/users/9489841/items/HH599VA6"],"itemData":{"id":135,"type":"chapter","container-title":"Savanes africaines en développement : innover pour durer","event-place":"Garoua, Cameroun","page":"10","publisher":"Cirad","publisher-place":"Garoua, Cameroun","title":"Impact de la gestion de  la matière organique sur le statut minéral des sols et des récoltes dans les savanes soudano guinéennes de Ngaoundéré, Cameroun","author":[{"family":"Adamou","given":"I"},{"family":"Chimene","given":"A. F"},{"family":"Robert","given":"N"},{"family":"Mama","given":"N"}],"issued":{"date-parts":[["2009"]]}},"label":"page"}],"schema":"https://github.com/citation-style-language/schema/raw/master/csl-citation.json"} </w:instrText>
      </w:r>
      <w:r w:rsidRPr="004E3443">
        <w:rPr>
          <w:rFonts w:ascii="Arial" w:hAnsi="Arial" w:cs="Arial"/>
          <w:lang w:val="fr-FR"/>
        </w:rPr>
        <w:fldChar w:fldCharType="separate"/>
      </w:r>
      <w:r w:rsidRPr="004E3443">
        <w:rPr>
          <w:rFonts w:ascii="Arial" w:hAnsi="Arial" w:cs="Arial"/>
        </w:rPr>
        <w:t>(Hien, 2004; Koull, 2007; Adamou et al., 2009)</w:t>
      </w:r>
      <w:r w:rsidRPr="004E3443">
        <w:rPr>
          <w:rFonts w:ascii="Arial" w:hAnsi="Arial" w:cs="Arial"/>
        </w:rPr>
        <w:fldChar w:fldCharType="end"/>
      </w:r>
      <w:r w:rsidRPr="004E3443">
        <w:rPr>
          <w:rFonts w:ascii="Arial" w:hAnsi="Arial" w:cs="Arial"/>
        </w:rPr>
        <w:t xml:space="preserve">. In addition, the increase in pH can be attributed to calcium carbonate and bicarbonate in manure </w:t>
      </w:r>
      <w:r w:rsidRPr="004E3443">
        <w:rPr>
          <w:rFonts w:ascii="Arial" w:hAnsi="Arial" w:cs="Arial"/>
          <w:lang w:val="fr-FR"/>
        </w:rPr>
        <w:fldChar w:fldCharType="begin"/>
      </w:r>
      <w:r w:rsidRPr="004E3443">
        <w:rPr>
          <w:rFonts w:ascii="Arial" w:hAnsi="Arial" w:cs="Arial"/>
        </w:rPr>
        <w:instrText xml:space="preserve"> ADDIN ZOTERO_ITEM CSL_CITATION {"citationID":"c4jtLwnE","properties":{"unsorted":true,"formattedCitation":"(Whalen et al., 2000; Eghball et al., 1996)","plainCitation":"(Whalen et al., 2000; Eghball et al., 1996)","noteIndex":0},"citationItems":[{"id":366,"uris":["http://zotero.org/users/9489841/items/9GFPRXSU"],"itemData":{"id":366,"type":"article-journal","abstract":"Crop production on acid soils can be improved greatly by adjusting the pH to near neutrality. While soil acidity is commonly corrected by liming, there is evidence that animal manure amendments can increase the pH of acid soils. The effect of fresh cattle manure on soil acidity and nutrient availability was determined in the laboratory for two acid soils from Beaverlodge and Fort Vermillion in the Peace River region of Alberta, Canada. The effect of manure on soil pH was immediate and persisted during an 8</w:instrText>
      </w:r>
      <w:r w:rsidRPr="004E3443">
        <w:rPr>
          <w:rFonts w:ascii="Cambria Math" w:hAnsi="Cambria Math" w:cs="Cambria Math"/>
        </w:rPr>
        <w:instrText>‐</w:instrText>
      </w:r>
      <w:r w:rsidRPr="004E3443">
        <w:rPr>
          <w:rFonts w:ascii="Arial" w:hAnsi="Arial" w:cs="Arial"/>
        </w:rPr>
        <w:instrText>wk incubation. Manure</w:instrText>
      </w:r>
      <w:r w:rsidRPr="004E3443">
        <w:rPr>
          <w:rFonts w:ascii="Cambria Math" w:hAnsi="Cambria Math" w:cs="Cambria Math"/>
        </w:rPr>
        <w:instrText>‐</w:instrText>
      </w:r>
      <w:r w:rsidRPr="004E3443">
        <w:rPr>
          <w:rFonts w:ascii="Arial" w:hAnsi="Arial" w:cs="Arial"/>
        </w:rPr>
        <w:instrText>amended soil had significantly higher pH than unamended soil, and the highest rate (40 g manure kg\n              −1\n              , dry weight basis) increased the pH of Beaverlodge and Fort Vermillion soils from 4.8 to 6.0 and 5.5 to 6.3, respectively. The higher pH in manure</w:instrText>
      </w:r>
      <w:r w:rsidRPr="004E3443">
        <w:rPr>
          <w:rFonts w:ascii="Cambria Math" w:hAnsi="Cambria Math" w:cs="Cambria Math"/>
        </w:rPr>
        <w:instrText>‐</w:instrText>
      </w:r>
      <w:r w:rsidRPr="004E3443">
        <w:rPr>
          <w:rFonts w:ascii="Arial" w:hAnsi="Arial" w:cs="Arial"/>
        </w:rPr>
        <w:instrText xml:space="preserve">amended than unamended soils was attributed to buffering from bicarbonates and organic acids in cattle manure. Mineral N (NH\n              4\n              –N + NO\n              3\n              –N), available P, </w:instrText>
      </w:r>
      <w:r w:rsidRPr="004E3443">
        <w:rPr>
          <w:rFonts w:ascii="Arial" w:hAnsi="Arial" w:cs="Arial"/>
          <w:lang w:val="fr-FR"/>
        </w:rPr>
        <w:instrText>K, Ca, and Mg increased immediately after manure application, and available P and K remained significantly higher in manure</w:instrText>
      </w:r>
      <w:r w:rsidRPr="004E3443">
        <w:rPr>
          <w:rFonts w:ascii="Cambria Math" w:hAnsi="Cambria Math" w:cs="Cambria Math"/>
          <w:lang w:val="fr-FR"/>
        </w:rPr>
        <w:instrText>‐</w:instrText>
      </w:r>
      <w:r w:rsidRPr="004E3443">
        <w:rPr>
          <w:rFonts w:ascii="Arial" w:hAnsi="Arial" w:cs="Arial"/>
          <w:lang w:val="fr-FR"/>
        </w:rPr>
        <w:instrText>amended than unamended soil after the 8</w:instrText>
      </w:r>
      <w:r w:rsidRPr="004E3443">
        <w:rPr>
          <w:rFonts w:ascii="Cambria Math" w:hAnsi="Cambria Math" w:cs="Cambria Math"/>
          <w:lang w:val="fr-FR"/>
        </w:rPr>
        <w:instrText>‐</w:instrText>
      </w:r>
      <w:r w:rsidRPr="004E3443">
        <w:rPr>
          <w:rFonts w:ascii="Arial" w:hAnsi="Arial" w:cs="Arial"/>
          <w:lang w:val="fr-FR"/>
        </w:rPr>
        <w:instrText>wk incubation. Soils amended with 40 g manure kg\n              −1\n              had three to four times more plant</w:instrText>
      </w:r>
      <w:r w:rsidRPr="004E3443">
        <w:rPr>
          <w:rFonts w:ascii="Cambria Math" w:hAnsi="Cambria Math" w:cs="Cambria Math"/>
          <w:lang w:val="fr-FR"/>
        </w:rPr>
        <w:instrText>‐</w:instrText>
      </w:r>
      <w:r w:rsidRPr="004E3443">
        <w:rPr>
          <w:rFonts w:ascii="Arial" w:hAnsi="Arial" w:cs="Arial"/>
          <w:lang w:val="fr-FR"/>
        </w:rPr>
        <w:instrText>available P and K than unamended soils after incubation. Available S concentrations did not differ significantly in manure</w:instrText>
      </w:r>
      <w:r w:rsidRPr="004E3443">
        <w:rPr>
          <w:rFonts w:ascii="Cambria Math" w:hAnsi="Cambria Math" w:cs="Cambria Math"/>
          <w:lang w:val="fr-FR"/>
        </w:rPr>
        <w:instrText>‐</w:instrText>
      </w:r>
      <w:r w:rsidRPr="004E3443">
        <w:rPr>
          <w:rFonts w:ascii="Arial" w:hAnsi="Arial" w:cs="Arial"/>
          <w:lang w:val="fr-FR"/>
        </w:rPr>
        <w:instrText>amended and unamended soils. Extractable Al and Fe declined slightly after manure application, but did not differ in manure</w:instrText>
      </w:r>
      <w:r w:rsidRPr="004E3443">
        <w:rPr>
          <w:rFonts w:ascii="Cambria Math" w:hAnsi="Cambria Math" w:cs="Cambria Math"/>
          <w:lang w:val="fr-FR"/>
        </w:rPr>
        <w:instrText>‐</w:instrText>
      </w:r>
      <w:r w:rsidRPr="004E3443">
        <w:rPr>
          <w:rFonts w:ascii="Arial" w:hAnsi="Arial" w:cs="Arial"/>
          <w:lang w:val="fr-FR"/>
        </w:rPr>
        <w:instrText>amended or unamended soils after incubation. No change in the cation</w:instrText>
      </w:r>
      <w:r w:rsidRPr="004E3443">
        <w:rPr>
          <w:rFonts w:ascii="Cambria Math" w:hAnsi="Cambria Math" w:cs="Cambria Math"/>
          <w:lang w:val="fr-FR"/>
        </w:rPr>
        <w:instrText>‐</w:instrText>
      </w:r>
      <w:r w:rsidRPr="004E3443">
        <w:rPr>
          <w:rFonts w:ascii="Arial" w:hAnsi="Arial" w:cs="Arial"/>
          <w:lang w:val="fr-FR"/>
        </w:rPr>
        <w:instrText>exchange capacity (CEC) of manure</w:instrText>
      </w:r>
      <w:r w:rsidRPr="004E3443">
        <w:rPr>
          <w:rFonts w:ascii="Cambria Math" w:hAnsi="Cambria Math" w:cs="Cambria Math"/>
          <w:lang w:val="fr-FR"/>
        </w:rPr>
        <w:instrText>‐</w:instrText>
      </w:r>
      <w:r w:rsidRPr="004E3443">
        <w:rPr>
          <w:rFonts w:ascii="Arial" w:hAnsi="Arial" w:cs="Arial"/>
          <w:lang w:val="fr-FR"/>
        </w:rPr>
        <w:instrText>amended soils compared to unamended soils was observed in this study, and it appears that appreciable changes in Al, Fe, and CEC from manure application do not occur in the short</w:instrText>
      </w:r>
      <w:r w:rsidRPr="004E3443">
        <w:rPr>
          <w:rFonts w:ascii="Cambria Math" w:hAnsi="Cambria Math" w:cs="Cambria Math"/>
          <w:lang w:val="fr-FR"/>
        </w:rPr>
        <w:instrText>‐</w:instrText>
      </w:r>
      <w:r w:rsidRPr="004E3443">
        <w:rPr>
          <w:rFonts w:ascii="Arial" w:hAnsi="Arial" w:cs="Arial"/>
          <w:lang w:val="fr-FR"/>
        </w:rPr>
        <w:instrText xml:space="preserve">term (weeks). Our results indicate that, in the </w:instrText>
      </w:r>
      <w:r w:rsidRPr="004E3443">
        <w:rPr>
          <w:rFonts w:ascii="Arial" w:hAnsi="Arial" w:cs="Arial"/>
        </w:rPr>
        <w:instrText>short</w:instrText>
      </w:r>
      <w:r w:rsidRPr="004E3443">
        <w:rPr>
          <w:rFonts w:ascii="Cambria Math" w:hAnsi="Cambria Math" w:cs="Cambria Math"/>
        </w:rPr>
        <w:instrText>‐</w:instrText>
      </w:r>
      <w:r w:rsidRPr="004E3443">
        <w:rPr>
          <w:rFonts w:ascii="Arial" w:hAnsi="Arial" w:cs="Arial"/>
        </w:rPr>
        <w:instrText>term, cattle manure amendments can increase the pH and the quantity of plant</w:instrText>
      </w:r>
      <w:r w:rsidRPr="004E3443">
        <w:rPr>
          <w:rFonts w:ascii="Cambria Math" w:hAnsi="Cambria Math" w:cs="Cambria Math"/>
        </w:rPr>
        <w:instrText>‐</w:instrText>
      </w:r>
      <w:r w:rsidRPr="004E3443">
        <w:rPr>
          <w:rFonts w:ascii="Arial" w:hAnsi="Arial" w:cs="Arial"/>
        </w:rPr>
        <w:instrText>available P and K in acid soils.","container-title":"Soil Science Society of America Journal","DOI":"10.2136/sssaj2000.643962x","ISSN":"0361-5995, 1435-0661","issue":"3","journalAbbreviation":"Soil Science Soc of Amer J","language":"en","page":"962-966","source":"DOI.org (Crossref)","title":"Cattle Manure Amendments Can Increase the pH of Acid Soils","volume":"64","author":[{"family":"Whalen","given":"Joann K."},{"family":"Chang","given":"Chi"},{"family":"Clayton","given":"George W."},{"family":"Carefoot","given":"Janna P."}],"issued":{"date-parts":[["2000",5]]}},"label":"page"},{"id":367,"uris":["http://zotero.org/users/9489841/items/FRURFQ89"],"itemData":{"id":367,"type":"article-journal","container-title":"Journal of Environmental Quality","DOI":"10.2134/jeq1996.00472425002500060024x","ISSN":"0047-2425, 1537-2537","issue":"6","journalAbbreviation":"J. environ. qual.","language":"en","license":"http://onlinelibrary.wiley.com/termsAndConditions#vor","page":"1339-1343","source":"DOI.org (Crossref)","title":"Phosphorus Movement and Adsorption in a Soil Receiving Long</w:instrText>
      </w:r>
      <w:r w:rsidRPr="004E3443">
        <w:rPr>
          <w:rFonts w:ascii="Cambria Math" w:hAnsi="Cambria Math" w:cs="Cambria Math"/>
        </w:rPr>
        <w:instrText>‐</w:instrText>
      </w:r>
      <w:r w:rsidRPr="004E3443">
        <w:rPr>
          <w:rFonts w:ascii="Arial" w:hAnsi="Arial" w:cs="Arial"/>
        </w:rPr>
        <w:instrText xml:space="preserve">Term Manure and Fertilizer Application","volume":"25","author":[{"family":"Eghball","given":"Bahman"},{"family":"Binford","given":"G. D."},{"family":"Baltensperger","given":"David D."}],"issued":{"date-parts":[["1996",11]]}},"label":"page"}],"schema":"https://github.com/citation-style-language/schema/raw/master/csl-citation.json"} </w:instrText>
      </w:r>
      <w:r w:rsidRPr="004E3443">
        <w:rPr>
          <w:rFonts w:ascii="Arial" w:hAnsi="Arial" w:cs="Arial"/>
          <w:lang w:val="fr-FR"/>
        </w:rPr>
        <w:fldChar w:fldCharType="separate"/>
      </w:r>
      <w:r w:rsidRPr="004E3443">
        <w:rPr>
          <w:rFonts w:ascii="Arial" w:hAnsi="Arial" w:cs="Arial"/>
        </w:rPr>
        <w:t>(Whalen et al., 2000; Eghball et al., 1996)</w:t>
      </w:r>
      <w:r w:rsidRPr="004E3443">
        <w:rPr>
          <w:rFonts w:ascii="Arial" w:hAnsi="Arial" w:cs="Arial"/>
        </w:rPr>
        <w:fldChar w:fldCharType="end"/>
      </w:r>
      <w:r w:rsidRPr="004E3443">
        <w:rPr>
          <w:rFonts w:ascii="Arial" w:hAnsi="Arial" w:cs="Arial"/>
        </w:rPr>
        <w:t xml:space="preserve">. The addition of cations such as Ca and Mg </w:t>
      </w:r>
      <w:r w:rsidRPr="004E3443">
        <w:rPr>
          <w:rFonts w:ascii="Arial" w:hAnsi="Arial" w:cs="Arial"/>
          <w:lang w:val="fr-FR"/>
        </w:rPr>
        <w:fldChar w:fldCharType="begin"/>
      </w:r>
      <w:r w:rsidRPr="004E3443">
        <w:rPr>
          <w:rFonts w:ascii="Arial" w:hAnsi="Arial" w:cs="Arial"/>
        </w:rPr>
        <w:instrText xml:space="preserve"> ADDIN ZOTERO_ITEM CSL_CITATION {"citationID":"Vpy9LRuR","properties":{"formattedCitation":"(L\\uc0\\u8217{}Herroux et al., 1997)","plainCitation":"(L’Herroux et al., 1997)","noteIndex":0},"citationItems":[{"id":368,"uris":["http://zotero.org/users/9489841/items/VAYXI4SJ"],"itemData":{"id":368,"type":"article-journal","container-title":"Environmental Pollution","DOI":"10.1016/S0269-7491(97)00072-9","ISSN":"02697491","issue":"1-2","journalAbbreviation":"Environmental Pollution","language":"en","license":"https://www.elsevier.com/tdm/userlicense/1.0/","page":"119-130","source":"DOI.org (Crossref)","title":"Behaviour of metals following intensive pig slurry applications to a natural field treatment process in Brittany (France)","volume":"97","author":[{"family":"L'Herroux","given":"Loïc"},{"family":"Roux","given":"Sophie Le"},{"family":"Appriou","given":"Pierre"},{"family":"Martinez","given":"José"}],"issued":{"date-parts":[["1997"]]}}}],"schema":"https://github.com/citation-style-language/schema/raw/master/csl-citation.json"} </w:instrText>
      </w:r>
      <w:r w:rsidRPr="004E3443">
        <w:rPr>
          <w:rFonts w:ascii="Arial" w:hAnsi="Arial" w:cs="Arial"/>
          <w:lang w:val="fr-FR"/>
        </w:rPr>
        <w:fldChar w:fldCharType="separate"/>
      </w:r>
      <w:r w:rsidRPr="004E3443">
        <w:rPr>
          <w:rFonts w:ascii="Arial" w:hAnsi="Arial" w:cs="Arial"/>
        </w:rPr>
        <w:t>(L'Herroux et al., 1997)</w:t>
      </w:r>
      <w:r w:rsidRPr="004E3443">
        <w:rPr>
          <w:rFonts w:ascii="Arial" w:hAnsi="Arial" w:cs="Arial"/>
        </w:rPr>
        <w:fldChar w:fldCharType="end"/>
      </w:r>
      <w:r w:rsidRPr="004E3443">
        <w:rPr>
          <w:rFonts w:ascii="Arial" w:hAnsi="Arial" w:cs="Arial"/>
        </w:rPr>
        <w:t xml:space="preserve"> and the presence of organic anions in manure can neutralize H+ ions </w:t>
      </w:r>
      <w:r w:rsidRPr="004E3443">
        <w:rPr>
          <w:rFonts w:ascii="Arial" w:hAnsi="Arial" w:cs="Arial"/>
          <w:lang w:val="fr-FR"/>
        </w:rPr>
        <w:fldChar w:fldCharType="begin"/>
      </w:r>
      <w:r w:rsidRPr="004E3443">
        <w:rPr>
          <w:rFonts w:ascii="Arial" w:hAnsi="Arial" w:cs="Arial"/>
        </w:rPr>
        <w:instrText xml:space="preserve"> ADDIN ZOTERO_ITEM CSL_CITATION {"citationID":"sNF7lwCD","properties":{"formattedCitation":"(Butterly et al., 2013)","plainCitation":"(Butterly et al., 2013)","noteIndex":0},"citationItems":[{"id":369,"uris":["http://zotero.org/users/9489841/items/NTVRPFP3"],"itemData":{"id":369,"type":"article-journal","container-title":"Plant and Soil","DOI":"10.1007/s11104-012-1422-1","ISSN":"0032-079X, 1573-5036","issue":"1-2","journalAbbreviation":"Plant Soil","language":"en","license":"http://www.springer.com/tdm","page":"185-198","source":"DOI.org (Crossref)","title":"The contribution of crop residues to changes in soil pH under field conditions","volume":"366","author":[{"family":"Butterly","given":"C. R."},{"family":"Baldock","given":"J. A."},{"family":"Tang","given":"C."}],"issued":{"date-parts":[["2013",5]]}}}],"schema":"https://github.com/citation-style-language/schema/raw/master/csl-citation.json"} </w:instrText>
      </w:r>
      <w:r w:rsidRPr="004E3443">
        <w:rPr>
          <w:rFonts w:ascii="Arial" w:hAnsi="Arial" w:cs="Arial"/>
          <w:lang w:val="fr-FR"/>
        </w:rPr>
        <w:fldChar w:fldCharType="separate"/>
      </w:r>
      <w:r w:rsidRPr="004E3443">
        <w:rPr>
          <w:rFonts w:ascii="Arial" w:hAnsi="Arial" w:cs="Arial"/>
        </w:rPr>
        <w:t>(Butterly et al., 2013)</w:t>
      </w:r>
      <w:r w:rsidRPr="004E3443">
        <w:rPr>
          <w:rFonts w:ascii="Arial" w:hAnsi="Arial" w:cs="Arial"/>
        </w:rPr>
        <w:fldChar w:fldCharType="end"/>
      </w:r>
      <w:r w:rsidRPr="004E3443">
        <w:rPr>
          <w:rFonts w:ascii="Arial" w:hAnsi="Arial" w:cs="Arial"/>
        </w:rPr>
        <w:t xml:space="preserve">. Other authors had found that sheep manure significantly reduced soil acidification and increased soil pH </w:t>
      </w:r>
      <w:r w:rsidRPr="004E3443">
        <w:rPr>
          <w:rFonts w:ascii="Arial" w:hAnsi="Arial" w:cs="Arial"/>
          <w:lang w:val="fr-FR"/>
        </w:rPr>
        <w:fldChar w:fldCharType="begin"/>
      </w:r>
      <w:r w:rsidRPr="004E3443">
        <w:rPr>
          <w:rFonts w:ascii="Arial" w:hAnsi="Arial" w:cs="Arial"/>
        </w:rPr>
        <w:instrText xml:space="preserve"> ADDIN ZOTERO_ITEM CSL_CITATION {"citationID":"OHPUGwqP","properties":{"unsorted":true,"formattedCitation":"(De Souza et al., 2023; Traor\\uc0\\u233{} et al., 2021)","plainCitation":"(De Souza et al., 2023; Traoré et al., 2021)","noteIndex":0},"citationItems":[{"id":370,"uris":["http://zotero.org/users/9489841/items/H9DLL8B8"],"itemData":{"id":370,"type":"article-journal","container-title":"Archives of Agronomy and Soil Science","DOI":"10.1080/03650340.2022.2106369","ISSN":"0365-0340, 1476-3567","issue":"10","journalAbbreviation":"Archives of Agronomy and Soil Science","language":"en","page":"1705-1717","source":"DOI.org (Crossref)","title":"Residual effects of alkalized sewage sludge application on soil quality and sugarcane yield","volume":"69","author":[{"family":"De Souza","given":"Adriana Alves Batista"},{"family":"Ramos Da Silva","given":"William"},{"family":"Nascimento","given":"Clístenes Williams Araújo Do"},{"family":"Da Silva","given":"Ygor Jacques Agra Bezerra"},{"family":"Biondi","given":"Caroline Miranda"}],"issued":{"date-parts":[["2023",8,24]]}},"label":"page"},{"id":371,"uris":["http://zotero.org/users/9489841/items/TX7VDDL2"],"itemData":{"id":371,"type":"article-journal","abstract":"Abstract\n            \n              The\n              zaï\n              cropping system that involves precision manure placement in small excavated soil pits is designed t</w:instrText>
      </w:r>
      <w:r w:rsidRPr="004E3443">
        <w:rPr>
          <w:rFonts w:ascii="Arial" w:hAnsi="Arial" w:cs="Arial"/>
          <w:lang w:val="fr-FR"/>
        </w:rPr>
        <w:instrText xml:space="preserve">o restore the productivity of encrusted and degraded soils of the Sahel. However, there is little information on the effectiveness of\n              zaï\n              cropping to improve soil quality, particularly as to how it relates to manure sources. Therefore, our objective was to determine the effect of manure type on plant nutrient availability and soil microbial activity in relation to crop productivity. The experiment had a randomized block design with the following treatments with all manure amendments applied at 6 Mg ha\n              −1\n              : 1) sheep (\n              Ovis aries\n              ), 2) goats (\n              Capra hircus\n              ), and 3) cattle (\n              Bos indicus\n              ) manures; 4) an equal mix of all three manures; and 5) a control with no manure amendment </w:instrText>
      </w:r>
      <w:r w:rsidRPr="004E3443">
        <w:rPr>
          <w:rFonts w:ascii="Cambria Math" w:hAnsi="Cambria Math" w:cs="Cambria Math"/>
          <w:lang w:val="fr-FR"/>
        </w:rPr>
        <w:instrText>‐</w:instrText>
      </w:r>
      <w:r w:rsidRPr="004E3443">
        <w:rPr>
          <w:rFonts w:ascii="Arial" w:hAnsi="Arial" w:cs="Arial"/>
          <w:lang w:val="fr-FR"/>
        </w:rPr>
        <w:instrText xml:space="preserve"> after which sorghum (\n              Sorghum bicolor\n              [L.] Moench) was planted. Soil samples (0–20 cm) were taken from\n              zaï\n              pits at the sorghum boot stage and analyzed for a suite of plant</w:instrText>
      </w:r>
      <w:r w:rsidRPr="004E3443">
        <w:rPr>
          <w:rFonts w:ascii="Cambria Math" w:hAnsi="Cambria Math" w:cs="Cambria Math"/>
          <w:lang w:val="fr-FR"/>
        </w:rPr>
        <w:instrText>‐</w:instrText>
      </w:r>
      <w:r w:rsidRPr="004E3443">
        <w:rPr>
          <w:rFonts w:ascii="Arial" w:hAnsi="Arial" w:cs="Arial"/>
          <w:lang w:val="fr-FR"/>
        </w:rPr>
        <w:instrText>available nutrients, microbial composition, and</w:instrText>
      </w:r>
      <w:r w:rsidRPr="004E3443">
        <w:rPr>
          <w:rFonts w:ascii="Arial" w:hAnsi="Arial" w:cs="Arial"/>
        </w:rPr>
        <w:instrText xml:space="preserve"> enzyme activities. The results showed that the\n              zaï\n              system with manure amendments significantly increased soil pH, plant</w:instrText>
      </w:r>
      <w:r w:rsidRPr="004E3443">
        <w:rPr>
          <w:rFonts w:ascii="Cambria Math" w:hAnsi="Cambria Math" w:cs="Cambria Math"/>
        </w:rPr>
        <w:instrText>‐</w:instrText>
      </w:r>
      <w:r w:rsidRPr="004E3443">
        <w:rPr>
          <w:rFonts w:ascii="Arial" w:hAnsi="Arial" w:cs="Arial"/>
        </w:rPr>
        <w:instrText>available nitrogen by three</w:instrText>
      </w:r>
      <w:r w:rsidRPr="004E3443">
        <w:rPr>
          <w:rFonts w:ascii="Cambria Math" w:hAnsi="Cambria Math" w:cs="Cambria Math"/>
        </w:rPr>
        <w:instrText>‐</w:instrText>
      </w:r>
      <w:r w:rsidRPr="004E3443">
        <w:rPr>
          <w:rFonts w:ascii="Arial" w:hAnsi="Arial" w:cs="Arial"/>
        </w:rPr>
        <w:instrText>fold, and phosphorus by two</w:instrText>
      </w:r>
      <w:r w:rsidRPr="004E3443">
        <w:rPr>
          <w:rFonts w:ascii="Cambria Math" w:hAnsi="Cambria Math" w:cs="Cambria Math"/>
        </w:rPr>
        <w:instrText>‐</w:instrText>
      </w:r>
      <w:r w:rsidRPr="004E3443">
        <w:rPr>
          <w:rFonts w:ascii="Arial" w:hAnsi="Arial" w:cs="Arial"/>
        </w:rPr>
        <w:instrText>fold over the control. Goat or mixed manure amended soils had significantly higher enzyme activities than sheep or cattle manure. Manure type also shifted the EL</w:instrText>
      </w:r>
      <w:r w:rsidRPr="004E3443">
        <w:rPr>
          <w:rFonts w:ascii="Cambria Math" w:hAnsi="Cambria Math" w:cs="Cambria Math"/>
        </w:rPr>
        <w:instrText>‐</w:instrText>
      </w:r>
      <w:r w:rsidRPr="004E3443">
        <w:rPr>
          <w:rFonts w:ascii="Arial" w:hAnsi="Arial" w:cs="Arial"/>
        </w:rPr>
        <w:instrText xml:space="preserve">FAME biomarkers for bacteria, fungi, and protozoa indicating a more favorable copiotrophic environment in manure amended soils.\n              zaï\n              cropping systems amended with the higher quality or the mixed manure had greater microbial responses, nutrient availability, and crop productivity than the lower quality manure.","container-title":"Land Degradation &amp; Development","DOI":"10.1002/ldr.3979","ISSN":"1085-3278, 1099-145X","issue":"11","journalAbbreviation":"Land Degrad Dev","language":"en","page":"3248-3258","source":"DOI.org (Crossref)","title":"Effect of livestock manure on soil microbial and nutrient dynamics in &lt;i&gt;zaï&lt;/i&gt; cropping systems of the Sahel","volume":"32","author":[{"family":"Traoré","given":"Salifou"},{"family":"Ouédraogo","given":"Pauline"},{"family":"Bayen","given":"Philippe"},{"family":"Bationo","given":"Babou André"},{"family":"Lee","given":"Nathan"},{"family":"Lorenz","given":"Nicola"},{"family":"Dick","given":"Richard P."}],"issued":{"date-parts":[["2021",7,15]]}},"label":"page"}],"schema":"https://github.com/citation-style-language/schema/raw/master/csl-citation.json"} </w:instrText>
      </w:r>
      <w:r w:rsidRPr="004E3443">
        <w:rPr>
          <w:rFonts w:ascii="Arial" w:hAnsi="Arial" w:cs="Arial"/>
          <w:lang w:val="fr-FR"/>
        </w:rPr>
        <w:fldChar w:fldCharType="separate"/>
      </w:r>
      <w:r w:rsidRPr="004E3443">
        <w:rPr>
          <w:rFonts w:ascii="Arial" w:hAnsi="Arial" w:cs="Arial"/>
        </w:rPr>
        <w:t>(De Souza et al., 2023; Traoré et al., 2021)</w:t>
      </w:r>
      <w:r w:rsidRPr="004E3443">
        <w:rPr>
          <w:rFonts w:ascii="Arial" w:hAnsi="Arial" w:cs="Arial"/>
        </w:rPr>
        <w:fldChar w:fldCharType="end"/>
      </w:r>
      <w:r w:rsidRPr="004E3443">
        <w:rPr>
          <w:rFonts w:ascii="Arial" w:hAnsi="Arial" w:cs="Arial"/>
        </w:rPr>
        <w:t xml:space="preserve">. Thus, animal excrement from penning could be an alternative for regulating the pH of the soil. </w:t>
      </w:r>
    </w:p>
    <w:p w14:paraId="431421F0" w14:textId="5A8F3B4C" w:rsidR="004E3443" w:rsidRPr="004E3443" w:rsidRDefault="004E3443" w:rsidP="004E3443">
      <w:pPr>
        <w:pStyle w:val="Body"/>
        <w:spacing w:after="0"/>
        <w:rPr>
          <w:rFonts w:ascii="Arial" w:hAnsi="Arial" w:cs="Arial"/>
        </w:rPr>
      </w:pPr>
      <w:r w:rsidRPr="004E3443">
        <w:rPr>
          <w:rFonts w:ascii="Arial" w:hAnsi="Arial" w:cs="Arial"/>
        </w:rPr>
        <w:t xml:space="preserve">  </w:t>
      </w:r>
    </w:p>
    <w:p w14:paraId="7666DC56" w14:textId="62F99D71" w:rsidR="004E3443" w:rsidRPr="004E3443" w:rsidRDefault="00E0537C" w:rsidP="004E3443">
      <w:pPr>
        <w:pStyle w:val="Body"/>
        <w:spacing w:after="0"/>
        <w:rPr>
          <w:rFonts w:ascii="Arial" w:hAnsi="Arial" w:cs="Arial"/>
          <w:b/>
        </w:rPr>
      </w:pPr>
      <w:r>
        <w:rPr>
          <w:rFonts w:ascii="Arial" w:hAnsi="Arial" w:cs="Arial"/>
          <w:b/>
        </w:rPr>
        <w:t xml:space="preserve">3.2.2. </w:t>
      </w:r>
      <w:r w:rsidR="004E3443" w:rsidRPr="004E3443">
        <w:rPr>
          <w:rFonts w:ascii="Arial" w:hAnsi="Arial" w:cs="Arial"/>
          <w:b/>
        </w:rPr>
        <w:t>Effects of treatments on okra fruit weight and yield</w:t>
      </w:r>
    </w:p>
    <w:p w14:paraId="1BD877CA" w14:textId="26CD1C5C" w:rsidR="00760DC0" w:rsidRDefault="004E3443" w:rsidP="004E3443">
      <w:pPr>
        <w:pStyle w:val="Body"/>
        <w:spacing w:after="0"/>
        <w:rPr>
          <w:rFonts w:ascii="Arial" w:hAnsi="Arial" w:cs="Arial"/>
        </w:rPr>
      </w:pPr>
      <w:r w:rsidRPr="004E3443">
        <w:rPr>
          <w:rFonts w:ascii="Arial" w:hAnsi="Arial" w:cs="Arial"/>
        </w:rPr>
        <w:t xml:space="preserve">The analysis of variance shows that the treatments significantly influenced the fresh weight of okra. Animal stabling recorded the highest number of fruits per plant and the highest fruit weight. The heaviest fruits were observed in the plots under </w:t>
      </w:r>
      <w:proofErr w:type="gramStart"/>
      <w:r w:rsidRPr="004E3443">
        <w:rPr>
          <w:rFonts w:ascii="Arial" w:hAnsi="Arial" w:cs="Arial"/>
        </w:rPr>
        <w:t>stabling</w:t>
      </w:r>
      <w:proofErr w:type="gramEnd"/>
      <w:r w:rsidRPr="004E3443">
        <w:rPr>
          <w:rFonts w:ascii="Arial" w:hAnsi="Arial" w:cs="Arial"/>
        </w:rPr>
        <w:t xml:space="preserve">. Indeed, the mixture of bovine and sheep manure made it possible to note a 17.62% gain in fruit weight compared to the control. Our results corroborate those of </w:t>
      </w:r>
      <w:r w:rsidRPr="004E3443">
        <w:rPr>
          <w:rFonts w:ascii="Arial" w:hAnsi="Arial" w:cs="Arial"/>
          <w:lang w:val="fr-FR"/>
        </w:rPr>
        <w:fldChar w:fldCharType="begin"/>
      </w:r>
      <w:r w:rsidRPr="004E3443">
        <w:rPr>
          <w:rFonts w:ascii="Arial" w:hAnsi="Arial" w:cs="Arial"/>
        </w:rPr>
        <w:instrText xml:space="preserve"> ADDIN ZOTERO_ITEM CSL_CITATION {"citationID":"yrYuFZR1","properties":{"formattedCitation":"(Moyin-Jesu, 2007)","plainCitation":"(Moyin-Jesu, 2007)","noteIndex":0},"citationItems":[{"id":126,"uris":["http://zotero.org/users/9489841/items/VWH6R5MC"],"itemData":{"id":126,"type":"article-journal","abstract":"The effect of wood ash, sawdust, ground cocoa husk, spent grain and rice bran upon root development, ash content, pod yield and nutrient status and soil fertility for okra (Abelmoschus esculentum L NHAe 47 variety) was studied. The five organic fertilizer treatments were compared to chemical fertilizer (400kg/ha/crop NPK 15-15-15) and unfertilized controls in four field experiments replicated four times in a randomized complete block design. The results showed that the application of 6tha−1 of plant residues increased (P&lt;0.05) the soil N, P, K, Ca, Mg, pH, and SOM; pod N, P, K, Ca, Mg and ash; root length; and pod yield of okra in all four experiments relative to the control treatment. For instance, spent grain treatment increased the okra pod yield by 99%, 33%, 50%, 49%, 65% and 67% compared to control, NPK, wood ash, cocoa husk, rice bran and sawdust treatments respectively. In the stepwise regression, out of the total R2 value of 0.83 for the soil nutrients to the pod yield of okra; soil N accounted for 50% of the soil fertility improvement and yield of okra. Spent grain, wood ash and cocoa husk were the most effective in improving okra pod weight, pod nutrients, ash content, root length and soil fertility whereas the rice bran and sawdust were the least effective. This was because the spent grain, wood ash and cocoa husk had lower C/N ratio and higher nutrient composition than rice bran and sawdust, thus, the former enhanced an increase in pod nutrients, composition for better human dietary intake, increased the root length, pod weight of okra and improved soil fertility and plant nutrition crop. The significance of the increases in okra mineral nutrition concentration by plant residues is that consumers will consume more of these minerals in their meals and monetarily spend less for purchasing vitamins and mineral supplement drugs to meet health requirements. In addition, the increase in plant nutrition and soil fertility would help to reduce the high cost of buying synthetic inorganic fertilizers and maintain the long term productivity of soils for sustainable cultivation of okra.","container-title":"Bioresource Technology","DOI":"https://doi.org/10.1016/j.biortech.2006.03.007","ISSN":"0960-8524","issue":"11","page":"2057-2064","title":"Use of plant residues for improving soil fertility, pod nutrients, root growth and pod weight of okra (Abelmoschus esculentum L)","volume":"98","author":[{"family":"Moyin-Jesu","given":"Emmanuel Ibukunoluwa"}],"issued":{"date-parts":[["2007"]]}}}],"schema":"https://github.com/citation-style-language/schema/raw/master/csl-citation.json"} </w:instrText>
      </w:r>
      <w:r w:rsidRPr="004E3443">
        <w:rPr>
          <w:rFonts w:ascii="Arial" w:hAnsi="Arial" w:cs="Arial"/>
          <w:lang w:val="fr-FR"/>
        </w:rPr>
        <w:fldChar w:fldCharType="separate"/>
      </w:r>
      <w:r w:rsidRPr="004E3443">
        <w:rPr>
          <w:rFonts w:ascii="Arial" w:hAnsi="Arial" w:cs="Arial"/>
        </w:rPr>
        <w:t>Moyin-Jesu, (2007)</w:t>
      </w:r>
      <w:r w:rsidRPr="004E3443">
        <w:rPr>
          <w:rFonts w:ascii="Arial" w:hAnsi="Arial" w:cs="Arial"/>
        </w:rPr>
        <w:fldChar w:fldCharType="end"/>
      </w:r>
      <w:r w:rsidRPr="004E3443">
        <w:rPr>
          <w:rFonts w:ascii="Arial" w:hAnsi="Arial" w:cs="Arial"/>
        </w:rPr>
        <w:t xml:space="preserve"> which had shown that the application of 6 t ha</w:t>
      </w:r>
      <w:r w:rsidRPr="004E3443">
        <w:rPr>
          <w:rFonts w:ascii="Arial" w:hAnsi="Arial" w:cs="Arial"/>
          <w:vertAlign w:val="superscript"/>
        </w:rPr>
        <w:t>-1</w:t>
      </w:r>
      <w:r w:rsidRPr="004E3443">
        <w:rPr>
          <w:rFonts w:ascii="Arial" w:hAnsi="Arial" w:cs="Arial"/>
        </w:rPr>
        <w:t xml:space="preserve"> of plant residues increased okra fruit yield. Also </w:t>
      </w:r>
      <w:r w:rsidRPr="004E3443">
        <w:rPr>
          <w:rFonts w:ascii="Arial" w:hAnsi="Arial" w:cs="Arial"/>
          <w:lang w:val="fr-FR"/>
        </w:rPr>
        <w:fldChar w:fldCharType="begin"/>
      </w:r>
      <w:r w:rsidRPr="004E3443">
        <w:rPr>
          <w:rFonts w:ascii="Arial" w:hAnsi="Arial" w:cs="Arial"/>
        </w:rPr>
        <w:instrText xml:space="preserve"> ADDIN ZOTERO_ITEM CSL_CITATION {"citationID":"zob5fOwz","properties":{"formattedCitation":"(Abdou et al., 2022)","plainCitation":"(Abdou et al., 2022)","noteIndex":0},"citationItems":[{"id":344,"uris":["http://zotero.org/users/9489841/items/JJNASB9R"],"itemData":{"id":344,"type":"article-journal","abstract":"Au Niger, le Gombo représente l’une des plus importantes cultures maraichères. L’objectif de cette étude était d’évaluer l’impact de cinq types de fertilisants sur la productivité de trois variétés du gombo de la région de Zinder. L’étude a été conduite pendant la campagne agricole 2020-2021 en deux essais repartis sur deux périodes : la première pendant la saison de pluie (Juillet à Octobre 2020) et la deuxième en saison sèche froide (octobre 2020 à Janvier2021). Le dispositif adopté est un split-plot avec trois répétions et cinq traitements de fertilisants dont deux types de composts (Fumier de bovin et Fiente de volaille bien décomposés), deux fertilisants minéraux (NPK et Urée) et un témoin qui consistait à aucun apport de fertilisants. Les données collectées à travers 15 caractères agronomiques et morphologiques du gombo ont été analysées avec le logiciel XLSTAT version d’essai 2021. Il résulte de cette étude que les fertilisants ont eu des impacts sur la productivité des variétés du gombo. La meilleure production en biomasse et en fruits a été obtenue avec la Fiente de volaille suivie de NPK et Compost pour toutes les variétés étudiées. En effet, la fiente de volaille a augmenté de plus 70% le poids des fruits chez la variété longue. Donc la fiente de volaille et le compost pourraient constituer une bonne alternative aux engrais minéraux.","container-title":"International Journal of Biological and Chemical Sciences","DOI":"10.4314/ijbcs.v16i1.32","ISSN":"1997-342X, 1991-8631","issue":"1","journalAbbreviation":"Int. J. Bio. Chem. Sci","page":"378-389","source":"DOI.org (Crossref)","title":"Effet des fertilisants sur la productivité de trois variétés de gombo (Abelmoschus esculentus L. Moench.) de la région de Zinder (Niger)","volume":"16","author":[{"family":"Abdou","given":"Rabiou"},{"family":"Halilou","given":"Amadou Ibrahim"},{"family":"Zango","given":"Oumarou"},{"family":"Agbo So","given":"Timothée Kouassi"},{"family":"Yahaya","given":"Massaoudou Idrissa"},{"family":"Bakasso","given":"Yacoubou"}],"issued":{"date-parts":[["2022",6,8]]}}}],"schema":"https://github.com/citation-style-language/schema/raw/master/csl-citation.json"} </w:instrText>
      </w:r>
      <w:r w:rsidRPr="004E3443">
        <w:rPr>
          <w:rFonts w:ascii="Arial" w:hAnsi="Arial" w:cs="Arial"/>
          <w:lang w:val="fr-FR"/>
        </w:rPr>
        <w:fldChar w:fldCharType="separate"/>
      </w:r>
      <w:r w:rsidRPr="004E3443">
        <w:rPr>
          <w:rFonts w:ascii="Arial" w:hAnsi="Arial" w:cs="Arial"/>
        </w:rPr>
        <w:t>Abdou et al., (2022)</w:t>
      </w:r>
      <w:r w:rsidRPr="004E3443">
        <w:rPr>
          <w:rFonts w:ascii="Arial" w:hAnsi="Arial" w:cs="Arial"/>
        </w:rPr>
        <w:fldChar w:fldCharType="end"/>
      </w:r>
      <w:r w:rsidRPr="004E3443">
        <w:rPr>
          <w:rFonts w:ascii="Arial" w:hAnsi="Arial" w:cs="Arial"/>
        </w:rPr>
        <w:t xml:space="preserve"> found that cattle manure allowed for higher weights of okra fruit than the absolute control. This influence on the weight of the fruit is explained by the addition of excrement from the penning </w:t>
      </w:r>
      <w:r w:rsidRPr="004E3443">
        <w:rPr>
          <w:rFonts w:ascii="Arial" w:hAnsi="Arial" w:cs="Arial"/>
          <w:lang w:val="fr-FR"/>
        </w:rPr>
        <w:fldChar w:fldCharType="begin"/>
      </w:r>
      <w:r w:rsidRPr="004E3443">
        <w:rPr>
          <w:rFonts w:ascii="Arial" w:hAnsi="Arial" w:cs="Arial"/>
        </w:rPr>
        <w:instrText xml:space="preserve"> ADDIN ZOTERO_ITEM CSL_CITATION {"citationID":"8WPosihK","properties":{"formattedCitation":"(Ncuuri et al., 2023)","plainCitation":"(Ncuuri et al., 2023)","noteIndex":0},"citationItems":[{"id":346,"uris":["http://zotero.org/users/9489841/items/ENZ8K4DK"],"itemData":{"id":346,"type":"article-journal","abstract":"Okra farmers use inorganic fertilizers which are expensive, they result to water pollution, increases the soil acidity, which affects soil nutrients availability and uptake as well as reducing microbial activity. Organic manure improves soil physical, chemical and biological properties, and are environmental friendly. However, farmers have limited information on the utilization of these organic manure sources on growth yield, quality and net economic benefit of okra. A study was conducted to determine the effects of rate cattle, goat and poultry manure on okra growth, yield, quality and net economic benefit at KALRO-Kandara Centre in Murang’a County between 2018 and 2019. The experiment was laid out in randomized complete block design with three replications for two cultivations. There were 10 treatments, i.e., 0, 3, 6 and 7 tonne ha-1 for cattle and goat manure, and 0, 3, 5 and 7 tonnes ha-1 poultry manure that were applied before planting okra variety Pusa Sawani. Data collected included yield characteristics total fresh pod yield and quality characteristics mainly t</w:instrText>
      </w:r>
      <w:r w:rsidRPr="004E3443">
        <w:rPr>
          <w:rFonts w:ascii="Arial" w:hAnsi="Arial" w:cs="Arial"/>
          <w:lang w:val="fr-FR"/>
        </w:rPr>
        <w:instrText>otal soluble solids (TSS). Data collected was subjected to analysis of variance using SAS statistical software version 9.4 and significantly different means were separated using LSD at α = 0.05. The results showed that there was significant effect of treatments (p &lt; 0.05) on yield, quality and net economic benefit of okra. Poultry manure at the rate of 5t ha-1 recorded highest yield while control had the least. Goat manure at the rate of 6 tonnes ha-1 recorded the highest total soluble solids, hence, produced pods of the highest quality of 3.18°Brix and 3.21°Brix for Trial 1 and Trial 2, respective</w:instrText>
      </w:r>
      <w:r w:rsidRPr="004E3443">
        <w:rPr>
          <w:rFonts w:ascii="Arial" w:hAnsi="Arial" w:cs="Arial"/>
        </w:rPr>
        <w:instrText xml:space="preserve">ly, whereas the control produced pods of lowest quality of 2.31°Brix and 2.34°Brix for Trial 1 and Trial 2, respectively. Cattle manure at the rate of 6 tonnes ha-1 recorded the best net economic benefit of Ksh. 700,267 in Trial 1 and Ksh. 694,320 in Trial 2, while the control gave minimal returns of Ksh. 69,158 in Trial 1 and Ksh. 64,320 in Trial 2. This indicates an increase of net economic benefit of Ksh. 631,109 in Trial 1 and Ksh. 630,000 in Trial 2 for cattle manure compared to the control. The results of this study clearly indicate that in okra production, application of different types of animal organic manure can improve the productivity of the okra. The study recommends application of 5 tonnes ha-1 poultry manure, or   6 tonnes ha-1 of goat or cattle manure for best growth, yield, quality and net economic benefit of okra.","container-title":"Journal of Experimental Agriculture International","DOI":"10.9734/jeai/2023/v45i72141","ISSN":"2457-0591","issue":"7","journalAbbreviation":"JEAI","page":"119-131","source":"DOI.org (Crossref)","title":"Effect of Source and Rate of Livestock Manure on Yield, Quality and Net Economic Benefit of Okra (Abelmoschus esculentus (L.) Moench.)","volume":"45","author":[{"family":"Ncuuri","given":"Kamunyu Deborah"},{"family":"Kingori","given":"Gathungu Geofrey"},{"family":"Mahugu","given":"Muraya Moses"}],"issued":{"date-parts":[["2023",5,26]]}}}],"schema":"https://github.com/citation-style-language/schema/raw/master/csl-citation.json"} </w:instrText>
      </w:r>
      <w:r w:rsidRPr="004E3443">
        <w:rPr>
          <w:rFonts w:ascii="Arial" w:hAnsi="Arial" w:cs="Arial"/>
          <w:lang w:val="fr-FR"/>
        </w:rPr>
        <w:fldChar w:fldCharType="separate"/>
      </w:r>
      <w:r w:rsidRPr="004E3443">
        <w:rPr>
          <w:rFonts w:ascii="Arial" w:hAnsi="Arial" w:cs="Arial"/>
        </w:rPr>
        <w:t>(Ncuuri et al., 2023)</w:t>
      </w:r>
      <w:r w:rsidRPr="004E3443">
        <w:rPr>
          <w:rFonts w:ascii="Arial" w:hAnsi="Arial" w:cs="Arial"/>
        </w:rPr>
        <w:fldChar w:fldCharType="end"/>
      </w:r>
      <w:r w:rsidRPr="004E3443">
        <w:rPr>
          <w:rFonts w:ascii="Arial" w:hAnsi="Arial" w:cs="Arial"/>
        </w:rPr>
        <w:t xml:space="preserve">. </w:t>
      </w:r>
      <w:r w:rsidR="004455D1" w:rsidRPr="004455D1">
        <w:rPr>
          <w:rFonts w:ascii="Arial" w:hAnsi="Arial" w:cs="Arial"/>
        </w:rPr>
        <w:t xml:space="preserve">Adding compost to the soil led to </w:t>
      </w:r>
      <w:proofErr w:type="gramStart"/>
      <w:r w:rsidR="004455D1" w:rsidRPr="004455D1">
        <w:rPr>
          <w:rFonts w:ascii="Arial" w:hAnsi="Arial" w:cs="Arial"/>
        </w:rPr>
        <w:t>improve</w:t>
      </w:r>
      <w:proofErr w:type="gramEnd"/>
      <w:r w:rsidR="004455D1" w:rsidRPr="004455D1">
        <w:rPr>
          <w:rFonts w:ascii="Arial" w:hAnsi="Arial" w:cs="Arial"/>
        </w:rPr>
        <w:t xml:space="preserve"> soil health and okra growth </w:t>
      </w:r>
      <w:proofErr w:type="gramStart"/>
      <w:r w:rsidR="004455D1" w:rsidRPr="004455D1">
        <w:rPr>
          <w:rFonts w:ascii="Arial" w:hAnsi="Arial" w:cs="Arial"/>
        </w:rPr>
        <w:t xml:space="preserve">( </w:t>
      </w:r>
      <w:proofErr w:type="spellStart"/>
      <w:r w:rsidR="004455D1" w:rsidRPr="004455D1">
        <w:rPr>
          <w:rFonts w:ascii="Arial" w:hAnsi="Arial" w:cs="Arial"/>
        </w:rPr>
        <w:t>Nengi</w:t>
      </w:r>
      <w:proofErr w:type="gramEnd"/>
      <w:r w:rsidR="004455D1" w:rsidRPr="004455D1">
        <w:rPr>
          <w:rFonts w:ascii="Arial" w:hAnsi="Arial" w:cs="Arial"/>
        </w:rPr>
        <w:t>-Benwari</w:t>
      </w:r>
      <w:proofErr w:type="spellEnd"/>
      <w:r w:rsidR="004455D1" w:rsidRPr="004455D1">
        <w:rPr>
          <w:rFonts w:ascii="Arial" w:hAnsi="Arial" w:cs="Arial"/>
        </w:rPr>
        <w:t xml:space="preserve"> &amp; Abah, 2025)</w:t>
      </w:r>
      <w:r w:rsidR="004455D1">
        <w:rPr>
          <w:rFonts w:ascii="Arial" w:hAnsi="Arial" w:cs="Arial"/>
        </w:rPr>
        <w:t xml:space="preserve">. </w:t>
      </w:r>
      <w:r w:rsidRPr="004E3443">
        <w:rPr>
          <w:rFonts w:ascii="Arial" w:hAnsi="Arial" w:cs="Arial"/>
        </w:rPr>
        <w:t xml:space="preserve">These droppings increase the organic matter content </w:t>
      </w:r>
      <w:r w:rsidRPr="004E3443">
        <w:rPr>
          <w:rFonts w:ascii="Arial" w:hAnsi="Arial" w:cs="Arial"/>
          <w:lang w:val="fr-FR"/>
        </w:rPr>
        <w:fldChar w:fldCharType="begin"/>
      </w:r>
      <w:r w:rsidRPr="004E3443">
        <w:rPr>
          <w:rFonts w:ascii="Arial" w:hAnsi="Arial" w:cs="Arial"/>
        </w:rPr>
        <w:instrText xml:space="preserve"> ADDIN ZOTERO_ITEM CSL_CITATION {"citationID":"4psV0y08","properties":{"formattedCitation":"(Adekiya et al., 2020)","plainCitation":"(Adekiya et al., 2020)","noteIndex":0},"citationItems":[{"id":348,"uris":["http://zotero.org/users/9489841/items/K7VIVBRR"],"itemData":{"id":348,"type":"article-journal","abstract":"Abstract\n            \n              Use of organic manures to meet the nutrient requirement of crop would be an inevitable practice in the years to come for sustainable agriculture since organic manures generally improve the soil physical, chemical and biological properties. Hence, field experiments were carried out in 2017 and 2018 to compare the impact of different organic manures and NPK fertilizer on soil properties, growth, yield, proximate and mineral contents of okra (\n              Abelmoschus esculentus\n              L.). The treatments each year 2017 and 2018 consisted of: rabbit manure, cow dung, poultry manure, green manure [Mexican sunflower (\n              Tithonia diversifolia\n              Asteraceae)], pig manure, NPK 15-15-15 fertilizer applied at 120 kg N ha\n              −1\n              and a control (no manure/inorganic fertilizer). The seven treatments were laid out in a randomized complete block design with three replication. Organic manures and NPK fertilizer increased the soil organic matter (OM), N, P, K, Ca and Mg (NPK fertilizer did not increase OM, Ca and Mg significantly), gro</w:instrText>
      </w:r>
      <w:r w:rsidRPr="004E3443">
        <w:rPr>
          <w:rFonts w:ascii="Arial" w:hAnsi="Arial" w:cs="Arial"/>
          <w:lang w:val="fr-FR"/>
        </w:rPr>
        <w:instrText>wth, yield, minerals, protein, ash, carbohydrate and mucilage contents of okra fruit as compared with control. Organic manures improved okra yield compared with NPK fertilizer. Okra growth and yield parameters were significantly higher in 2018 compared with 2017. Control, rabbit manure, cow dung, poultry manure, green manure, pig manure and NPK fertilizer in 2018 increased the pod yield of okra by 9.7%, 35.3%, 57.9%, 36.2%, 39.2%, 45.5</w:instrText>
      </w:r>
      <w:r w:rsidRPr="004E3443">
        <w:rPr>
          <w:rFonts w:ascii="Arial" w:hAnsi="Arial" w:cs="Arial"/>
        </w:rPr>
        <w:instrText xml:space="preserve">% and 3.2%, respectively compare with the same treatment in 2017. Amongst various organic manures, poultry manure produced significantly higher plant growth, yield, mineral and proximate composition of okra because of its high soil chemical properties which could be related to its lowest C: N ratio, lignin and lignin: N ratio. Results also showed that okra grown during high intensity rainfall has higher yield but with reduced quality except its mucilage content. Therefore, planting of okra with poultry manure under moderate rainfall will enhance the health benefit from the fruit, however, those that desire its mucilage content planting during high rainfall is recommended.","container-title":"Scientific Reports","DOI":"10.1038/s41598-020-73291-x","ISSN":"2045-2322","issue":"1","journalAbbreviation":"Sci Rep","language":"en","page":"16083","source":"DOI.org (Crossref)","title":"Different organic manure sources and NPK fertilizer on soil chemical properties, growth, yield and quality of okra","volume":"10","author":[{"family":"Adekiya","given":"Aruna Olasekan"},{"family":"Ejue","given":"Wutem Sunny"},{"family":"Olayanju","given":"Adeniyi"},{"family":"Dunsin","given":"Oluwagbenga"},{"family":"Aboyeji","given":"Christopher Muyiwa"},{"family":"Aremu","given":"Charity"},{"family":"Adegbite","given":"Kehinde"},{"family":"Akinpelu","given":"Olanike"}],"issued":{"date-parts":[["2020",9,30]]}}}],"schema":"https://github.com/citation-style-language/schema/raw/master/csl-citation.json"} </w:instrText>
      </w:r>
      <w:r w:rsidRPr="004E3443">
        <w:rPr>
          <w:rFonts w:ascii="Arial" w:hAnsi="Arial" w:cs="Arial"/>
          <w:lang w:val="fr-FR"/>
        </w:rPr>
        <w:fldChar w:fldCharType="separate"/>
      </w:r>
      <w:r w:rsidRPr="004E3443">
        <w:rPr>
          <w:rFonts w:ascii="Arial" w:hAnsi="Arial" w:cs="Arial"/>
        </w:rPr>
        <w:t>(Adekiya et al., 2020)</w:t>
      </w:r>
      <w:r w:rsidRPr="004E3443">
        <w:rPr>
          <w:rFonts w:ascii="Arial" w:hAnsi="Arial" w:cs="Arial"/>
        </w:rPr>
        <w:fldChar w:fldCharType="end"/>
      </w:r>
      <w:r w:rsidRPr="004E3443">
        <w:rPr>
          <w:rFonts w:ascii="Arial" w:hAnsi="Arial" w:cs="Arial"/>
        </w:rPr>
        <w:t xml:space="preserve"> and improves soil </w:t>
      </w:r>
      <w:proofErr w:type="spellStart"/>
      <w:r w:rsidRPr="004E3443">
        <w:rPr>
          <w:rFonts w:ascii="Arial" w:hAnsi="Arial" w:cs="Arial"/>
        </w:rPr>
        <w:t>pH.</w:t>
      </w:r>
      <w:proofErr w:type="spellEnd"/>
      <w:r w:rsidRPr="004E3443">
        <w:rPr>
          <w:rFonts w:ascii="Arial" w:hAnsi="Arial" w:cs="Arial"/>
        </w:rPr>
        <w:t xml:space="preserve"> Yet, organic matter has multiple benefits due to the balanced supply of nutrients, including micronutrients, increased availability of soil nutrients due to increased soil microbial activity, decomposition of harmful elements, improvements in soil structure and root development, and increased availability of soil water </w:t>
      </w:r>
      <w:r w:rsidRPr="004E3443">
        <w:rPr>
          <w:rFonts w:ascii="Arial" w:hAnsi="Arial" w:cs="Arial"/>
          <w:lang w:val="fr-FR"/>
        </w:rPr>
        <w:fldChar w:fldCharType="begin"/>
      </w:r>
      <w:r w:rsidRPr="004E3443">
        <w:rPr>
          <w:rFonts w:ascii="Arial" w:hAnsi="Arial" w:cs="Arial"/>
        </w:rPr>
        <w:instrText xml:space="preserve"> ADDIN ZOTERO_ITEM CSL_CITATION {"citationID":"UwML0DuM","properties":{"formattedCitation":"(Han et al., 2016)","plainCitation":"(Han et al., 2016)","noteIndex":0},"citationItems":[{"id":129,"uris":["http://zotero.org/users/9489841/items/TVG33MHS"],"itemData":{"id":129,"type":"article-journal","container-title":"Forest Science and Technology","DOI":"10.1080/21580103.2015.1135827","ISSN":"2158-0103, 2158-0715","issue":"3","journalAbbreviation":"Forest Science and Technology","language":"en","page":"137-143","source":"DOI.org (Crossref)","title":"The effects of organic manure and chemical fertilizer on the growth and nutrient concentrations of yellow poplar (Liriodendron tulipifera Lin.) in a nursery system","volume":"12","author":[{"family":"Han","given":"Si Ho"},{"family":"An","given":"Ji Young"},{"family":"Hwang","given":"Jaehong"},{"family":"Kim","given":"Se Bin"},{"family":"Park","given":"Byung Bae"}],"issued":{"date-parts":[["2016",7,2]]}}}],"schema":"https://github.com/citation-style-language/schema/raw/master/csl-citation.json"} </w:instrText>
      </w:r>
      <w:r w:rsidRPr="004E3443">
        <w:rPr>
          <w:rFonts w:ascii="Arial" w:hAnsi="Arial" w:cs="Arial"/>
          <w:lang w:val="fr-FR"/>
        </w:rPr>
        <w:fldChar w:fldCharType="separate"/>
      </w:r>
      <w:r w:rsidRPr="004E3443">
        <w:rPr>
          <w:rFonts w:ascii="Arial" w:hAnsi="Arial" w:cs="Arial"/>
        </w:rPr>
        <w:t>(Han et al., 2016)</w:t>
      </w:r>
      <w:r w:rsidRPr="004E3443">
        <w:rPr>
          <w:rFonts w:ascii="Arial" w:hAnsi="Arial" w:cs="Arial"/>
        </w:rPr>
        <w:fldChar w:fldCharType="end"/>
      </w:r>
      <w:r w:rsidRPr="004E3443">
        <w:rPr>
          <w:rFonts w:ascii="Arial" w:hAnsi="Arial" w:cs="Arial"/>
        </w:rPr>
        <w:t xml:space="preserve">. Furthermore </w:t>
      </w:r>
      <w:r w:rsidRPr="004E3443">
        <w:rPr>
          <w:rFonts w:ascii="Arial" w:hAnsi="Arial" w:cs="Arial"/>
          <w:lang w:val="fr-FR"/>
        </w:rPr>
        <w:fldChar w:fldCharType="begin"/>
      </w:r>
      <w:r w:rsidRPr="004E3443">
        <w:rPr>
          <w:rFonts w:ascii="Arial" w:hAnsi="Arial" w:cs="Arial"/>
        </w:rPr>
        <w:instrText xml:space="preserve"> ADDIN ZOTERO_ITEM CSL_CITATION {"citationID":"LIyl4m4N","properties":{"formattedCitation":"(Maheshbabu et al., 2008)","plainCitation":"(Maheshbabu et al., 2008)","noteIndex":0},"citationItems":[{"id":131,"uris":["http://zotero.org/users/9489841/items/6CXI2HX2"],"itemData":{"id":131,"type":"article-journal","container-title":"Karnataka Journal of Agricultural Sciences","issue":"2","language":"English","note":"publisher: Dharwad, University of Agricultural Sciences","page":"219–221","title":"Effect of organic manures on plant growth, seed yield and quality of soybean.","volume":"21","author":[{"family":"Maheshbabu","given":"H. M."},{"family":"Hunje","given":"Ravi Hunje Ravi"},{"family":"Patil","given":"N. K. B."},{"family":"Babalad","given":"H. B."}],"issued":{"date-parts":[["2008"]]}}}],"schema":"https://github.com/citation-style-language/schema/raw/master/csl-citation.json"} </w:instrText>
      </w:r>
      <w:r w:rsidRPr="004E3443">
        <w:rPr>
          <w:rFonts w:ascii="Arial" w:hAnsi="Arial" w:cs="Arial"/>
          <w:lang w:val="fr-FR"/>
        </w:rPr>
        <w:fldChar w:fldCharType="separate"/>
      </w:r>
      <w:r w:rsidRPr="004E3443">
        <w:rPr>
          <w:rFonts w:ascii="Arial" w:hAnsi="Arial" w:cs="Arial"/>
        </w:rPr>
        <w:t>Maheshbabu et al., (2008)</w:t>
      </w:r>
      <w:r w:rsidRPr="004E3443">
        <w:rPr>
          <w:rFonts w:ascii="Arial" w:hAnsi="Arial" w:cs="Arial"/>
        </w:rPr>
        <w:fldChar w:fldCharType="end"/>
      </w:r>
      <w:r w:rsidRPr="004E3443">
        <w:rPr>
          <w:rFonts w:ascii="Arial" w:hAnsi="Arial" w:cs="Arial"/>
        </w:rPr>
        <w:t xml:space="preserve"> had indicated that the addition of manure helped boost crop yields. Also, the analysis of the main component showed a strong and positive correlation between pH and fruit weight. Indeed, the more the pH value tends towards neutrality, the more heavy fruits are formed. Thus, this improvement in pH promotes the assimilation of nutrients by the plants </w:t>
      </w:r>
      <w:r w:rsidRPr="004E3443">
        <w:rPr>
          <w:rFonts w:ascii="Arial" w:hAnsi="Arial" w:cs="Arial"/>
          <w:lang w:val="fr-FR"/>
        </w:rPr>
        <w:fldChar w:fldCharType="begin"/>
      </w:r>
      <w:r w:rsidRPr="004E3443">
        <w:rPr>
          <w:rFonts w:ascii="Arial" w:hAnsi="Arial" w:cs="Arial"/>
        </w:rPr>
        <w:instrText xml:space="preserve"> ADDIN ZOTERO_ITEM CSL_CITATION {"citationID":"JkuLTDa3","properties":{"formattedCitation":"(Genot et al., 2009)","plainCitation":"(Genot et al., 2009)","noteIndex":0},"citationItems":[{"id":132,"uris":["http://zotero.org/users/9489841/items/PN9ECFX5"],"itemData":{"id":132,"type":"article-journal","container-title":"Biotechnologie, Agronomie, Société et Environnement","journalAbbreviation":"Biotechnologie, Agronomie, Société et Environnement","title":"L'état de fertilité des terres agricoles et forestières en région wallonne (adapté du chapitre 4 - sol 1 de « L'État de l'Environnement Wallon 2006–2007 »)","volume":"13","author":[{"family":"Genot","given":"Valérie"},{"family":"Colinet","given":"Gilles"},{"family":"Brahy","given":"V."},{"family":"Bock","given":"L."}],"issued":{"date-parts":[["2009",1,1]]}}}],"schema":"https://github.com/citation-style-language/schema/raw/master/csl-citation.json"} </w:instrText>
      </w:r>
      <w:r w:rsidRPr="004E3443">
        <w:rPr>
          <w:rFonts w:ascii="Arial" w:hAnsi="Arial" w:cs="Arial"/>
          <w:lang w:val="fr-FR"/>
        </w:rPr>
        <w:fldChar w:fldCharType="separate"/>
      </w:r>
      <w:r w:rsidRPr="004E3443">
        <w:rPr>
          <w:rFonts w:ascii="Arial" w:hAnsi="Arial" w:cs="Arial"/>
        </w:rPr>
        <w:t>(Genot et al., 2009)</w:t>
      </w:r>
      <w:r w:rsidRPr="004E3443">
        <w:rPr>
          <w:rFonts w:ascii="Arial" w:hAnsi="Arial" w:cs="Arial"/>
        </w:rPr>
        <w:fldChar w:fldCharType="end"/>
      </w:r>
      <w:r w:rsidRPr="004E3443">
        <w:rPr>
          <w:rFonts w:ascii="Arial" w:hAnsi="Arial" w:cs="Arial"/>
        </w:rPr>
        <w:t xml:space="preserve"> of okra. This improvement in pH also leads to an improvement in nitrogen and carbon content. Indeed, authors had mentioned a very positive correlation between the increase in the pH value and the increase in the carbon and mineralizable nitrogen content of the soil </w:t>
      </w:r>
      <w:r w:rsidRPr="004E3443">
        <w:rPr>
          <w:rFonts w:ascii="Arial" w:hAnsi="Arial" w:cs="Arial"/>
          <w:lang w:val="fr-FR"/>
        </w:rPr>
        <w:fldChar w:fldCharType="begin"/>
      </w:r>
      <w:r w:rsidRPr="004E3443">
        <w:rPr>
          <w:rFonts w:ascii="Arial" w:hAnsi="Arial" w:cs="Arial"/>
        </w:rPr>
        <w:instrText xml:space="preserve"> ADDIN ZOTERO_ITEM CSL_CITATION {"citationID":"smwdVXH8","properties":{"unsorted":true,"formattedCitation":"(Andersson et al., 2000; Curtin et al., 1998; Neina, 2019)","plainCitation":"(Andersson et al., 2000; Curtin et al., 1998; Neina, 2019)","noteIndex":0},"citationItems":[{"id":352,"uris":["http://zotero.org/users/9489841/items/E69DILYF"],"itemData":{"id":352,"type":"article-journal","container-title":"Soil Biology and Biochemistry","DOI":"10.1016/S0038-0717(99)00103-0","ISSN":"00380717","issue":"1","journalAbbreviation":"Soil Biology and Biochemistry","language":"en","license":"https://www.elsevier.com/tdm/userlicense/1.0/","page":"1-10","source":"DOI.org (Crossref)","title":"Leaching of dissolved organic carbon (DOC) and dissolved organic nitrogen (DON) in mor humus as affected by temperature and pH","volume":"32","author":[{"family":"Andersson","given":"Stefan"},{"family":"Nilsson","given":"S.Ingvar"},{"family":"Saetre","given":"Peter"}],"issued":{"date-parts":[["2000",1]]}},"label":"page"},{"id":353,"uris":["http://zotero.org/users/9489841/items/DKVTL3ZL"],"itemData":{"id":353,"type":"article-journal","container-title":"Soil Biology and Biochemistry","DOI":"10.1016/S0038-0717(97)00094-1","ISSN":"00380717","issue":"1","journalAbbreviation":"Soil Biology and Biochemistry","language":"en","license":"</w:instrText>
      </w:r>
      <w:r w:rsidRPr="004E3443">
        <w:rPr>
          <w:rFonts w:ascii="Arial" w:hAnsi="Arial" w:cs="Arial"/>
          <w:lang w:val="fr-FR"/>
        </w:rPr>
        <w:instrText>https://www.elsevier.com/tdm/userlicense/1.0/","page":"57-64","source":"DOI.org (Crossref)","title":"Effects of acidity on mineralization: pH-dependence of organic matter mineralization in weakly acidic soils","title-short":"Effects of acidity on mineralization","volume":"30","author":[{"family":"Curtin","given":"Denis"},{"family":"Campbell","given":"C.A."},{"family":"Jalil","given":"Abdul"}],"issued":{"date-parts":[["1998",1]]}},"label":"page"},{"id":354,"uris":["http://zotero.org/users/9489841/items/CW32NBYA"],"itemData":{"id":354,"type":"article-journal","abstract":"In the natural environment, soil pH has an enormous influence on soil biogeochemical processes. Soil pH is, therefore, described as the “master soil variable</w:instrText>
      </w:r>
      <w:r w:rsidRPr="004E3443">
        <w:rPr>
          <w:rFonts w:ascii="Arial" w:hAnsi="Arial" w:cs="Arial"/>
        </w:rPr>
        <w:instrText xml:space="preserve">” that influences myriads of soil biological, chemical, and physical properties and processes that affect plant growth and biomass yield. This paper discusses how soil pH affects processes that are interlinked with the biological, geological, and chemical aspects of the soil environment as well as how these processes, through anthropogenic interventions, induce changes in soil pH. Unlike traditional discussions on the various causes of soil pH, particularly soil acidification, this paper focuses on relationships and effects as far as soil biogeochemistry is concerned. Firstly, the effects of soil pH on substance availability, mobility, and soil biological processes are discussed followed by the biogenic regulation of soil pH. It is concluded that soil pH can broadly be applied in two broad areas, i.e., nutrient cycling and plant nutrition and soil remediation (bioremediation and physicochemical remediation).","container-title":"Applied and Environmental Soil Science","DOI":"10.1155/2019/5794869","ISSN":"1687-7667, 1687-7675","journalAbbreviation":"Applied and Environmental Soil Science","language":"en","license":"http://creativecommons.org/licenses/by/4.0/","page":"1-9","source":"DOI.org (Crossref)","title":"The Role of Soil pH in Plant Nutrition and Soil Remediation","volume":"2019","author":[{"family":"Neina","given":"Dora"}],"issued":{"date-parts":[["2019",11,3]]}},"label":"page"}],"schema":"https://github.com/citation-style-language/schema/raw/master/csl-citation.json"} </w:instrText>
      </w:r>
      <w:r w:rsidRPr="004E3443">
        <w:rPr>
          <w:rFonts w:ascii="Arial" w:hAnsi="Arial" w:cs="Arial"/>
          <w:lang w:val="fr-FR"/>
        </w:rPr>
        <w:fldChar w:fldCharType="separate"/>
      </w:r>
      <w:r w:rsidRPr="004E3443">
        <w:rPr>
          <w:rFonts w:ascii="Arial" w:hAnsi="Arial" w:cs="Arial"/>
        </w:rPr>
        <w:t>(Andersson et al., 2000; Curtin et al., 1998; Neina, 2019)</w:t>
      </w:r>
      <w:r w:rsidRPr="004E3443">
        <w:rPr>
          <w:rFonts w:ascii="Arial" w:hAnsi="Arial" w:cs="Arial"/>
        </w:rPr>
        <w:fldChar w:fldCharType="end"/>
      </w:r>
      <w:r w:rsidRPr="004E3443">
        <w:rPr>
          <w:rFonts w:ascii="Arial" w:hAnsi="Arial" w:cs="Arial"/>
        </w:rPr>
        <w:t xml:space="preserve">. The weight of okra fruit under the penning is high compared to the control. This increase in weight is </w:t>
      </w:r>
      <w:r w:rsidRPr="004E3443">
        <w:rPr>
          <w:rFonts w:ascii="Arial" w:hAnsi="Arial" w:cs="Arial"/>
        </w:rPr>
        <w:lastRenderedPageBreak/>
        <w:t xml:space="preserve">explained by the improvement in pH due to the dissolution of organic matter resulting from the decomposition of bovine and sheep manure. The consequence of dissolved organic matter is the increase in mineralizable C and N and stimulates phosphorus uptake. Thus nitrogen is used by the plant to strengthen fruiting and fresh weight </w:t>
      </w:r>
      <w:r w:rsidRPr="004E3443">
        <w:rPr>
          <w:rFonts w:ascii="Arial" w:hAnsi="Arial" w:cs="Arial"/>
          <w:lang w:val="fr-FR"/>
        </w:rPr>
        <w:fldChar w:fldCharType="begin"/>
      </w:r>
      <w:r w:rsidRPr="004E3443">
        <w:rPr>
          <w:rFonts w:ascii="Arial" w:hAnsi="Arial" w:cs="Arial"/>
        </w:rPr>
        <w:instrText xml:space="preserve"> ADDIN ZOTERO_ITEM CSL_CITATION {"citationID":"TXjLmBak","properties":{"formattedCitation":"(Yang et al., 2023)","plainCitation":"(Yang et al., 2023)","noteIndex":0},"citationItems":[{"id":355,"uris":["http://zotero.org/users/9489841/items/QUEZVAJF"],"itemData":{"id":355,"type":"article-journal","container-title":"Scientia Horticulturae","DOI":"10.1016/j.scienta.2023.111915","ISSN":"03044238","journalAbbreviation":"Scientia Horticulturae","language":"en","page":"111915","source":"DOI.org (Crossref)","title":"Effects of nitrogen application level on the physiological characteristics, yield and fruit quality of blackberry","volume":"313","author":[{"family":"Yang","given":"Yuan"},{"family":"Huang","given":"Zhengjin"},{"family":"Wu","given":"Yaqiong"},{"family":"Wu","given":"Wenlong"},{"family":"Lyu","given":"Lianfei"},{"family":"Li","given":"Weilin"}],"issued":{"date-parts":[["2023",4]]}}}],"schema":"https://github.com/citation-style-language/schema/raw/master/csl-citation.json"} </w:instrText>
      </w:r>
      <w:r w:rsidRPr="004E3443">
        <w:rPr>
          <w:rFonts w:ascii="Arial" w:hAnsi="Arial" w:cs="Arial"/>
          <w:lang w:val="fr-FR"/>
        </w:rPr>
        <w:fldChar w:fldCharType="separate"/>
      </w:r>
      <w:r w:rsidRPr="004E3443">
        <w:rPr>
          <w:rFonts w:ascii="Arial" w:hAnsi="Arial" w:cs="Arial"/>
        </w:rPr>
        <w:t>(Yang et al., 2023)</w:t>
      </w:r>
      <w:r w:rsidRPr="004E3443">
        <w:rPr>
          <w:rFonts w:ascii="Arial" w:hAnsi="Arial" w:cs="Arial"/>
        </w:rPr>
        <w:fldChar w:fldCharType="end"/>
      </w:r>
      <w:r w:rsidRPr="004E3443">
        <w:rPr>
          <w:rFonts w:ascii="Arial" w:hAnsi="Arial" w:cs="Arial"/>
        </w:rPr>
        <w:t xml:space="preserve"> as it is essential for the growth and development of fruit trees and is therefore a key factor in determining productivity </w:t>
      </w:r>
      <w:r w:rsidRPr="004E3443">
        <w:rPr>
          <w:rFonts w:ascii="Arial" w:hAnsi="Arial" w:cs="Arial"/>
          <w:lang w:val="fr-FR"/>
        </w:rPr>
        <w:fldChar w:fldCharType="begin"/>
      </w:r>
      <w:r w:rsidRPr="004E3443">
        <w:rPr>
          <w:rFonts w:ascii="Arial" w:hAnsi="Arial" w:cs="Arial"/>
        </w:rPr>
        <w:instrText xml:space="preserve"> ADDIN ZOTERO_ITEM CSL_CITATION {"citationID":"mFdaGQtr","properties":{"formattedCitation":"(Zhao et al., 2008)","plainCitation":"(Zhao et al., 2008)","noteIndex":0},"citationItems":[{"id":375,"uris":["http://zotero.org/users/9489841/items/JT25YFCH"],"itemData":{"id":375,"type":"article-journal","container-title":"Forest Ecology and Management","DOI":"10.1016/j.foreco.2008.01.011","ISSN":"03781127","issue":"7","journalAbbreviation":"Forest Ecology and Management","language":"en","license":"https://www.elsevier.com/tdm/userlicense/1.0/","page":"2512-2523","source":"DOI.org (Crossref)","title":"Pine growth response to different site-preparation methods with or without post-plant herbaceous weed control on North Florida's Lower Coastal Plain","volume":"255","author":[{"family":"Zhao","given":"Dehai"},{"family":"Kane","given":"Michael"},{"family":"Borders","given":"Bruce"},{"family":"Harrison","given":"Mike"}],"issued":{"date-parts":[["2008",4]]}}}],"schema":"https://github.com/citation-style-language/schema/raw/master/csl-citation.json"} </w:instrText>
      </w:r>
      <w:r w:rsidRPr="004E3443">
        <w:rPr>
          <w:rFonts w:ascii="Arial" w:hAnsi="Arial" w:cs="Arial"/>
          <w:lang w:val="fr-FR"/>
        </w:rPr>
        <w:fldChar w:fldCharType="separate"/>
      </w:r>
      <w:r w:rsidRPr="004E3443">
        <w:rPr>
          <w:rFonts w:ascii="Arial" w:hAnsi="Arial" w:cs="Arial"/>
        </w:rPr>
        <w:t>(Zhao et al., 2008)</w:t>
      </w:r>
      <w:r w:rsidRPr="004E3443">
        <w:rPr>
          <w:rFonts w:ascii="Arial" w:hAnsi="Arial" w:cs="Arial"/>
        </w:rPr>
        <w:fldChar w:fldCharType="end"/>
      </w:r>
      <w:r w:rsidRPr="004E3443">
        <w:rPr>
          <w:rFonts w:ascii="Arial" w:hAnsi="Arial" w:cs="Arial"/>
        </w:rPr>
        <w:t xml:space="preserve">. Moreover, phosphorus fertilization significantly improves vegetative growth parameters and yield performance of okra </w:t>
      </w:r>
      <w:r w:rsidRPr="004E3443">
        <w:rPr>
          <w:rFonts w:ascii="Arial" w:hAnsi="Arial" w:cs="Arial"/>
        </w:rPr>
        <w:fldChar w:fldCharType="begin"/>
      </w:r>
      <w:r w:rsidRPr="004E3443">
        <w:rPr>
          <w:rFonts w:ascii="Arial" w:hAnsi="Arial" w:cs="Arial"/>
        </w:rPr>
        <w:instrText xml:space="preserve"> ADDIN ZOTERO_ITEM CSL_CITATION {"citationID":"Q8paiDdz","properties":{"formattedCitation":"(Hasan et al., 2025)","plainCitation":"(Hasan et al., 2025)","noteIndex":0},"citationItems":[{"id":376,"uris":["http://zotero.org/users/9489841/items/6RQ6UUQG"],"itemData":{"id":376,"type":"article-journal","abstract":"Okra (Abelmoschus esculentus L.) plays a prominent role in the culinary traditions of various tropical and subtropical regions, such as the Southern United States, India, West Africa, and the Middle East. The nutritional contribution of okra extends to being a rich source of dietary fibre, vitamins and minerals like potassium and magnesium. Understanding the relation between okra growth and phosphorus levels can help increase agricultural yield while reducing the adverse environmental impacts. In order to support sustainable agricultural practices, this study intends to investigate the effects of varying phosphorus levels on the growth attributes and productivity of okra. The experiment was conducted at the field experimental station of Sher-e-Bangla Agricultural University (SAU), Dhaka, during the Kharif season (April to August) of 2023 using a randomised complete block design (RCBD) with four replications. The experimental treatments consisted of two okra varieties, namely 'BARI Dherosh-2' and 'Chamak' and four levels of phosphorus, viz., 0.0, 70.0, 90.0, and 110 kg P</w:instrText>
      </w:r>
      <w:r w:rsidRPr="004E3443">
        <w:rPr>
          <w:rFonts w:ascii="Cambria Math" w:hAnsi="Cambria Math" w:cs="Cambria Math"/>
        </w:rPr>
        <w:instrText>₂</w:instrText>
      </w:r>
      <w:r w:rsidRPr="004E3443">
        <w:rPr>
          <w:rFonts w:ascii="Arial" w:hAnsi="Arial" w:cs="Arial"/>
        </w:rPr>
        <w:instrText>O</w:instrText>
      </w:r>
      <w:r w:rsidRPr="004E3443">
        <w:rPr>
          <w:rFonts w:ascii="Cambria Math" w:hAnsi="Cambria Math" w:cs="Cambria Math"/>
        </w:rPr>
        <w:instrText>₅</w:instrText>
      </w:r>
      <w:r w:rsidRPr="004E3443">
        <w:rPr>
          <w:rFonts w:ascii="Arial" w:hAnsi="Arial" w:cs="Arial"/>
        </w:rPr>
        <w:instrText xml:space="preserve"> ha</w:instrText>
      </w:r>
      <w:r w:rsidRPr="004E3443">
        <w:rPr>
          <w:rFonts w:ascii="Cambria Math" w:hAnsi="Cambria Math" w:cs="Cambria Math"/>
        </w:rPr>
        <w:instrText>⁻</w:instrText>
      </w:r>
      <w:r w:rsidRPr="004E3443">
        <w:rPr>
          <w:rFonts w:ascii="Arial" w:hAnsi="Arial" w:cs="Arial"/>
        </w:rPr>
        <w:instrText>¹. Data on plant height and leaves per plant were recorded at 20, 40, 60, 80, and 100 days after sowing (DAS). Days required to first flowering, number of floral buds per plant, number of pods per plant, individual pod weight, pod length and diameter, pod yield, and dry matter accumulation in different plant parts were also recorded. The result indicated that the vegetative growth parameters and yield-contributing characters were significantly improved with phosphorus fertilisation. The ‘BARI Dherosh-2’ when treated with 90 P</w:instrText>
      </w:r>
      <w:r w:rsidRPr="004E3443">
        <w:rPr>
          <w:rFonts w:ascii="Cambria Math" w:hAnsi="Cambria Math" w:cs="Cambria Math"/>
        </w:rPr>
        <w:instrText>₂</w:instrText>
      </w:r>
      <w:r w:rsidRPr="004E3443">
        <w:rPr>
          <w:rFonts w:ascii="Arial" w:hAnsi="Arial" w:cs="Arial"/>
        </w:rPr>
        <w:instrText>O</w:instrText>
      </w:r>
      <w:r w:rsidRPr="004E3443">
        <w:rPr>
          <w:rFonts w:ascii="Cambria Math" w:hAnsi="Cambria Math" w:cs="Cambria Math"/>
        </w:rPr>
        <w:instrText>₅</w:instrText>
      </w:r>
      <w:r w:rsidRPr="004E3443">
        <w:rPr>
          <w:rFonts w:ascii="Arial" w:hAnsi="Arial" w:cs="Arial"/>
        </w:rPr>
        <w:instrText xml:space="preserve"> ha</w:instrText>
      </w:r>
      <w:r w:rsidRPr="004E3443">
        <w:rPr>
          <w:rFonts w:ascii="Cambria Math" w:hAnsi="Cambria Math" w:cs="Cambria Math"/>
        </w:rPr>
        <w:instrText>⁻</w:instrText>
      </w:r>
      <w:r w:rsidRPr="004E3443">
        <w:rPr>
          <w:rFonts w:ascii="Arial" w:hAnsi="Arial" w:cs="Arial"/>
        </w:rPr>
        <w:instrText>¹ resulted in maximum plant height (99.27 cm at 100 DAS), branches per plant (4.68 at 100 DAS), fruits per plant (36.65), and fruit yield (14.94 t ha</w:instrText>
      </w:r>
      <w:r w:rsidRPr="004E3443">
        <w:rPr>
          <w:rFonts w:ascii="Cambria Math" w:hAnsi="Cambria Math" w:cs="Cambria Math"/>
        </w:rPr>
        <w:instrText>⁻</w:instrText>
      </w:r>
      <w:r w:rsidRPr="004E3443">
        <w:rPr>
          <w:rFonts w:ascii="Arial" w:hAnsi="Arial" w:cs="Arial"/>
        </w:rPr>
        <w:instrText>¹). The results were statistically similar to those obtained with the treatment combination using the same variety at 110 P</w:instrText>
      </w:r>
      <w:r w:rsidRPr="004E3443">
        <w:rPr>
          <w:rFonts w:ascii="Cambria Math" w:hAnsi="Cambria Math" w:cs="Cambria Math"/>
        </w:rPr>
        <w:instrText>₂</w:instrText>
      </w:r>
      <w:r w:rsidRPr="004E3443">
        <w:rPr>
          <w:rFonts w:ascii="Arial" w:hAnsi="Arial" w:cs="Arial"/>
        </w:rPr>
        <w:instrText>O</w:instrText>
      </w:r>
      <w:r w:rsidRPr="004E3443">
        <w:rPr>
          <w:rFonts w:ascii="Cambria Math" w:hAnsi="Cambria Math" w:cs="Cambria Math"/>
        </w:rPr>
        <w:instrText>₅</w:instrText>
      </w:r>
      <w:r w:rsidRPr="004E3443">
        <w:rPr>
          <w:rFonts w:ascii="Arial" w:hAnsi="Arial" w:cs="Arial"/>
        </w:rPr>
        <w:instrText xml:space="preserve"> ha</w:instrText>
      </w:r>
      <w:r w:rsidRPr="004E3443">
        <w:rPr>
          <w:rFonts w:ascii="Cambria Math" w:hAnsi="Cambria Math" w:cs="Cambria Math"/>
        </w:rPr>
        <w:instrText>⁻</w:instrText>
      </w:r>
      <w:r w:rsidRPr="004E3443">
        <w:rPr>
          <w:rFonts w:ascii="Arial" w:hAnsi="Arial" w:cs="Arial"/>
        </w:rPr>
        <w:instrText>¹. It has been concluded that 'BARI Dherosh-2', along with a dosage of 90 kg P</w:instrText>
      </w:r>
      <w:r w:rsidRPr="004E3443">
        <w:rPr>
          <w:rFonts w:ascii="Cambria Math" w:hAnsi="Cambria Math" w:cs="Cambria Math"/>
        </w:rPr>
        <w:instrText>₂</w:instrText>
      </w:r>
      <w:r w:rsidRPr="004E3443">
        <w:rPr>
          <w:rFonts w:ascii="Arial" w:hAnsi="Arial" w:cs="Arial"/>
        </w:rPr>
        <w:instrText>O</w:instrText>
      </w:r>
      <w:r w:rsidRPr="004E3443">
        <w:rPr>
          <w:rFonts w:ascii="Cambria Math" w:hAnsi="Cambria Math" w:cs="Cambria Math"/>
        </w:rPr>
        <w:instrText>₅</w:instrText>
      </w:r>
      <w:r w:rsidRPr="004E3443">
        <w:rPr>
          <w:rFonts w:ascii="Arial" w:hAnsi="Arial" w:cs="Arial"/>
        </w:rPr>
        <w:instrText xml:space="preserve"> per hectare, could be a suitable dose for cultivating okra during the Kharif season in Bangladesh.","container-title":"International Journal of Plant &amp; Soil Science","DOI":"10.9734/ijpss/2025/v37i85621","ISSN":"2320-7035","issue":"8","journalAbbreviation":"Int. J. Plant Soil Sci.","page":"194-204","source":"DOI.org (Crossref)","title":"Phosphorus Application Improved Growth and Yield of Okra (Abelmoschus esculentus L.) during the Kharif Season in Bangladesh","volume":"37","author":[{"family":"Hasan","given":"Md. Rakibul"},{"family":"Hossain","given":"Md. Elias"},{"family":"Bhadra","given":"Asim Kumar"},{"family":"Chowdhury","given":"Binita"},{"family":"Haque","given":"Md. Moinul"},{"family":"Bonna","given":"Rezowana"},{"family":"Nahar","given":"Lutfun"},{"family":"Islam","given":"Faiza"}],"issued":{"date-parts":[["2025",7,24]]}}}],"schema":"https://github.com/citation-style-language/schema/raw/master/csl-citation.json"} </w:instrText>
      </w:r>
      <w:r w:rsidRPr="004E3443">
        <w:rPr>
          <w:rFonts w:ascii="Arial" w:hAnsi="Arial" w:cs="Arial"/>
        </w:rPr>
        <w:fldChar w:fldCharType="separate"/>
      </w:r>
      <w:r w:rsidRPr="004E3443">
        <w:rPr>
          <w:rFonts w:ascii="Arial" w:hAnsi="Arial" w:cs="Arial"/>
        </w:rPr>
        <w:t>(Hasan et al., 2025)</w:t>
      </w:r>
      <w:r w:rsidRPr="004E3443">
        <w:rPr>
          <w:rFonts w:ascii="Arial" w:hAnsi="Arial" w:cs="Arial"/>
        </w:rPr>
        <w:fldChar w:fldCharType="end"/>
      </w:r>
      <w:r w:rsidRPr="004E3443">
        <w:rPr>
          <w:rFonts w:ascii="Arial" w:hAnsi="Arial" w:cs="Arial"/>
        </w:rPr>
        <w:t xml:space="preserve"> and farmyard manure increased okra yields by more than 50% </w:t>
      </w:r>
      <w:r w:rsidRPr="004E3443">
        <w:rPr>
          <w:rFonts w:ascii="Arial" w:hAnsi="Arial" w:cs="Arial"/>
        </w:rPr>
        <w:fldChar w:fldCharType="begin"/>
      </w:r>
      <w:r w:rsidRPr="004E3443">
        <w:rPr>
          <w:rFonts w:ascii="Arial" w:hAnsi="Arial" w:cs="Arial"/>
        </w:rPr>
        <w:instrText xml:space="preserve"> ADDIN ZOTERO_ITEM CSL_CITATION {"citationID":"hO3GODup","properties":{"formattedCitation":"(Thakur, 2025)","plainCitation":"(Thakur, 2025)","noteIndex":0},"citationItems":[{"id":377,"uris":["http://zotero.org/users/9489841/items/9DG3VYV7"],"itemData":{"id":377,"type":"article-journal","abstract":"The effects of different nutrition viz., organic, natural and their combinations were studied in okra for productivity and profitability analysis. Field experiments were conducted at Research Farm of the School of Organic Farming, Punjab Agricultural University, Ludhiana for three years from 2019-2021. The experiment was comprised of different nutritional treatments viz., T1- 100% recommended N (nitrogen) from Farm yard manure (FYM), T2- natural farming (NF) practices, T3- 100% N from FYM + NF practices, T4-75% N from FYM + 25% N from vermicompost and T5- unfertilized control in main plots involving two sub-plots with paddy straw mulching (S2) and without mulching (S1) treatment following split plot design with three replications. Results revealed that maximum average plant height (81.23 cm), pod length (11.23 cm), no of branches per plant (8.43) and yield (96.04 q/ha) were recorded in T3 treatment involving combination of organic and natural farming practices whereas the minimum values were observed in T5 (unfertilized control) treatment. Results also showed that in subplots maximum average plant height (71.21 cm), pod length (10.87cm), no of branches per plant (7.66), TSS (6.50°Brix) and yield were recorded in S2 treatment (paddy straw mulching) than S1 treatment (without mulching). Overall, on the basis of economic perspective highest benefit cost ratio were obtained with FYM in main nutrition plots and with paddy straw mulch in sub plots.","container-title":"International Journal of Plant &amp; Soil Science","DOI":"10.9734/ijpss/2025/v37i85648","ISSN":"2320-7035","issue":"8","journalAbbreviation":"Int. J. Plant Soil Sci.","page":"473-481","source":"DOI.org (Crossref)","title":"Response of Organic and Natural Farming Management Practices on Productivity and Profitability of Okra [Abelmoschus esculentus (L.) Moench]","volume":"37","author":[{"family":"Thakur","given":"Manisha"}],"issued":{"date-parts":[["2025",8,4]]}}}],"schema":"https://github.com/citation-style-language/schema/raw/master/csl-citation.json"} </w:instrText>
      </w:r>
      <w:r w:rsidRPr="004E3443">
        <w:rPr>
          <w:rFonts w:ascii="Arial" w:hAnsi="Arial" w:cs="Arial"/>
        </w:rPr>
        <w:fldChar w:fldCharType="separate"/>
      </w:r>
      <w:r w:rsidRPr="004E3443">
        <w:rPr>
          <w:rFonts w:ascii="Arial" w:hAnsi="Arial" w:cs="Arial"/>
        </w:rPr>
        <w:t>(Thakur, 2025)</w:t>
      </w:r>
      <w:r w:rsidRPr="004E3443">
        <w:rPr>
          <w:rFonts w:ascii="Arial" w:hAnsi="Arial" w:cs="Arial"/>
        </w:rPr>
        <w:fldChar w:fldCharType="end"/>
      </w:r>
      <w:r w:rsidRPr="004E3443">
        <w:rPr>
          <w:rFonts w:ascii="Arial" w:hAnsi="Arial" w:cs="Arial"/>
        </w:rPr>
        <w:t>.</w:t>
      </w:r>
      <w:r w:rsidR="004338DB">
        <w:rPr>
          <w:rFonts w:ascii="Arial" w:hAnsi="Arial" w:cs="Arial"/>
        </w:rPr>
        <w:t xml:space="preserve"> </w:t>
      </w:r>
      <w:r w:rsidRPr="004E3443">
        <w:rPr>
          <w:rFonts w:ascii="Arial" w:hAnsi="Arial" w:cs="Arial"/>
        </w:rPr>
        <w:t>In addition, an analysis of the carbon and nitrogen and assimilable phosphorus contents should be carried out to confirm this dependence.  Mixing cattle and sheep manure is an alternative to regulate pH and increase soil organic matter content for increased okra productivity in Burkina Faso</w:t>
      </w:r>
      <w:r>
        <w:rPr>
          <w:rFonts w:ascii="Arial" w:hAnsi="Arial" w:cs="Arial"/>
        </w:rPr>
        <w:t>.</w:t>
      </w:r>
    </w:p>
    <w:p w14:paraId="331B24F4" w14:textId="77777777" w:rsidR="00760DC0" w:rsidRDefault="00760DC0" w:rsidP="00773BDB">
      <w:pPr>
        <w:pStyle w:val="Body"/>
        <w:spacing w:after="0"/>
        <w:rPr>
          <w:rFonts w:ascii="Arial" w:hAnsi="Arial" w:cs="Arial"/>
        </w:rPr>
      </w:pPr>
    </w:p>
    <w:p w14:paraId="6C44710D" w14:textId="248583D8" w:rsidR="00773BDB" w:rsidRPr="0026009F" w:rsidRDefault="00773BDB" w:rsidP="00773BDB">
      <w:pPr>
        <w:pStyle w:val="Body"/>
        <w:spacing w:after="0"/>
        <w:rPr>
          <w:rFonts w:ascii="Arial" w:hAnsi="Arial" w:cs="Arial"/>
        </w:rPr>
      </w:pPr>
    </w:p>
    <w:p w14:paraId="092769C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8123ADB" w14:textId="77777777" w:rsidR="00790ADA" w:rsidRPr="00FB3A86" w:rsidRDefault="00790ADA" w:rsidP="00441B6F">
      <w:pPr>
        <w:pStyle w:val="ConcHead"/>
        <w:spacing w:after="0"/>
        <w:jc w:val="both"/>
        <w:rPr>
          <w:rFonts w:ascii="Arial" w:hAnsi="Arial" w:cs="Arial"/>
        </w:rPr>
      </w:pPr>
    </w:p>
    <w:p w14:paraId="7E68C08B" w14:textId="2AF27603" w:rsidR="00B01FCD" w:rsidRDefault="000D1D5B" w:rsidP="00441B6F">
      <w:pPr>
        <w:pStyle w:val="Body"/>
        <w:spacing w:after="0"/>
        <w:rPr>
          <w:rFonts w:ascii="Arial" w:hAnsi="Arial" w:cs="Arial"/>
        </w:rPr>
      </w:pPr>
      <w:r w:rsidRPr="000D1D5B">
        <w:rPr>
          <w:rFonts w:ascii="Arial" w:hAnsi="Arial" w:cs="Arial"/>
        </w:rPr>
        <w:t xml:space="preserve">The study consisted of evaluating the influence of mixed cattle and sheep pens on the soil and okra productivity in the </w:t>
      </w:r>
      <w:proofErr w:type="spellStart"/>
      <w:r w:rsidRPr="000D1D5B">
        <w:rPr>
          <w:rFonts w:ascii="Arial" w:hAnsi="Arial" w:cs="Arial"/>
        </w:rPr>
        <w:t>Sudanian</w:t>
      </w:r>
      <w:proofErr w:type="spellEnd"/>
      <w:r w:rsidRPr="000D1D5B">
        <w:rPr>
          <w:rFonts w:ascii="Arial" w:hAnsi="Arial" w:cs="Arial"/>
        </w:rPr>
        <w:t xml:space="preserve"> zone of Burkina Faso. The results revealed that penning positively affects soil chemistry </w:t>
      </w:r>
      <w:r w:rsidR="00581BAD" w:rsidRPr="00581BAD">
        <w:rPr>
          <w:rFonts w:ascii="Arial" w:hAnsi="Arial" w:cs="Arial"/>
        </w:rPr>
        <w:t xml:space="preserve">(P=0.0162) </w:t>
      </w:r>
      <w:r w:rsidRPr="000D1D5B">
        <w:rPr>
          <w:rFonts w:ascii="Arial" w:hAnsi="Arial" w:cs="Arial"/>
        </w:rPr>
        <w:t>and okra yield</w:t>
      </w:r>
      <w:r w:rsidR="00191F58">
        <w:rPr>
          <w:rFonts w:ascii="Arial" w:hAnsi="Arial" w:cs="Arial"/>
        </w:rPr>
        <w:t xml:space="preserve"> </w:t>
      </w:r>
      <w:r w:rsidR="00191F58" w:rsidRPr="00191F58">
        <w:rPr>
          <w:rFonts w:ascii="Arial" w:hAnsi="Arial" w:cs="Arial"/>
        </w:rPr>
        <w:t>(P = 0.00419)</w:t>
      </w:r>
      <w:r w:rsidRPr="000D1D5B">
        <w:rPr>
          <w:rFonts w:ascii="Arial" w:hAnsi="Arial" w:cs="Arial"/>
        </w:rPr>
        <w:t>. The highest pH values and fruit weight are recorded under the mixed cattle and sheep penning treatment. Thus, these results highlight that it is possible to improve okra productivity through the practice of penning. Therefore, the adoption of penning could be a good alternative to restore soils, improve the availability of organic matter and increase okra productivity in the Sudano-Sahelian zone of Burkina Faso</w:t>
      </w:r>
      <w:r>
        <w:rPr>
          <w:rFonts w:ascii="Arial" w:hAnsi="Arial" w:cs="Arial"/>
        </w:rPr>
        <w:t>.</w:t>
      </w:r>
    </w:p>
    <w:p w14:paraId="13AF7E4C" w14:textId="77777777" w:rsidR="00790ADA" w:rsidRPr="00FB3A86" w:rsidRDefault="00790ADA" w:rsidP="00441B6F">
      <w:pPr>
        <w:pStyle w:val="Body"/>
        <w:spacing w:after="0"/>
        <w:rPr>
          <w:rFonts w:ascii="Arial" w:hAnsi="Arial" w:cs="Arial"/>
        </w:rPr>
      </w:pPr>
    </w:p>
    <w:p w14:paraId="229BB6B2" w14:textId="77777777" w:rsidR="00586C19" w:rsidRDefault="00586C19" w:rsidP="00441B6F">
      <w:pPr>
        <w:pStyle w:val="ReferHead"/>
        <w:spacing w:after="0"/>
        <w:jc w:val="both"/>
        <w:rPr>
          <w:rFonts w:ascii="Arial" w:hAnsi="Arial" w:cs="Arial"/>
          <w:b w:val="0"/>
          <w:caps w:val="0"/>
          <w:sz w:val="20"/>
        </w:rPr>
      </w:pPr>
    </w:p>
    <w:p w14:paraId="753E0259" w14:textId="77777777" w:rsidR="00586C19" w:rsidRDefault="00586C19" w:rsidP="00441B6F">
      <w:pPr>
        <w:pStyle w:val="ReferHead"/>
        <w:spacing w:after="0"/>
        <w:jc w:val="both"/>
        <w:rPr>
          <w:rFonts w:ascii="Arial" w:hAnsi="Arial" w:cs="Arial"/>
          <w:b w:val="0"/>
          <w:caps w:val="0"/>
          <w:sz w:val="20"/>
        </w:rPr>
      </w:pPr>
    </w:p>
    <w:p w14:paraId="5EAD972B" w14:textId="77777777" w:rsidR="00586C19" w:rsidRPr="00586C19" w:rsidRDefault="00586C19" w:rsidP="00586C19">
      <w:pPr>
        <w:spacing w:after="200" w:line="276" w:lineRule="auto"/>
        <w:jc w:val="both"/>
        <w:outlineLvl w:val="0"/>
        <w:rPr>
          <w:rFonts w:ascii="Arial" w:eastAsiaTheme="minorEastAsia" w:hAnsi="Arial" w:cs="Arial"/>
          <w:sz w:val="22"/>
          <w:szCs w:val="22"/>
          <w:lang w:val="en-GB" w:eastAsia="en-GB"/>
        </w:rPr>
      </w:pPr>
      <w:r w:rsidRPr="00586C19">
        <w:rPr>
          <w:rFonts w:ascii="Arial" w:eastAsiaTheme="minorEastAsia" w:hAnsi="Arial" w:cs="Arial"/>
          <w:b/>
          <w:bCs/>
          <w:sz w:val="22"/>
          <w:szCs w:val="22"/>
          <w:lang w:val="en-GB" w:eastAsia="en-GB"/>
        </w:rPr>
        <w:t>COMPETING INTERESTS DISCLAIMER:</w:t>
      </w:r>
    </w:p>
    <w:p w14:paraId="448D2855" w14:textId="2136AD2E" w:rsidR="00586C19" w:rsidRDefault="00586C19" w:rsidP="00586C19">
      <w:pPr>
        <w:spacing w:after="200" w:line="276" w:lineRule="auto"/>
        <w:rPr>
          <w:rFonts w:asciiTheme="minorHAnsi" w:eastAsiaTheme="minorEastAsia" w:hAnsiTheme="minorHAnsi" w:cstheme="minorBidi"/>
          <w:sz w:val="22"/>
          <w:szCs w:val="22"/>
          <w:lang w:val="en-GB" w:eastAsia="en-GB"/>
        </w:rPr>
      </w:pPr>
      <w:r w:rsidRPr="00586C19">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99E90E2" w14:textId="6328F967" w:rsidR="00B33053" w:rsidRDefault="00B33053" w:rsidP="00586C19">
      <w:pPr>
        <w:spacing w:after="200" w:line="276" w:lineRule="auto"/>
        <w:rPr>
          <w:rFonts w:asciiTheme="minorHAnsi" w:eastAsiaTheme="minorEastAsia" w:hAnsiTheme="minorHAnsi" w:cstheme="minorBidi"/>
          <w:sz w:val="22"/>
          <w:szCs w:val="22"/>
          <w:lang w:val="en-GB" w:eastAsia="en-GB"/>
        </w:rPr>
      </w:pPr>
    </w:p>
    <w:p w14:paraId="2F2D9B0B" w14:textId="77777777" w:rsidR="00B33053" w:rsidRPr="009C5487" w:rsidRDefault="00B33053" w:rsidP="00B33053">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03A1C6E6" w14:textId="77777777" w:rsidR="00B33053" w:rsidRPr="009C5487" w:rsidRDefault="00B33053" w:rsidP="00B33053">
      <w:pPr>
        <w:rPr>
          <w:rFonts w:ascii="Calibri" w:eastAsia="Calibri" w:hAnsi="Calibri"/>
          <w:kern w:val="2"/>
          <w:highlight w:val="yellow"/>
        </w:rPr>
      </w:pPr>
      <w:r w:rsidRPr="009C5487">
        <w:rPr>
          <w:rFonts w:ascii="Calibri" w:eastAsia="Calibri" w:hAnsi="Calibri"/>
          <w:kern w:val="2"/>
          <w:highlight w:val="yellow"/>
        </w:rPr>
        <w:t xml:space="preserve">Option 1: </w:t>
      </w:r>
    </w:p>
    <w:p w14:paraId="7058071F" w14:textId="77777777" w:rsidR="00B33053" w:rsidRPr="009C5487" w:rsidRDefault="00B33053" w:rsidP="00B33053">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NO generative AI technologies such as Large Language Models (ChatGPT, COPILOT, etc.) and text-to-image generators have been used during the writing or editing of this manuscript. </w:t>
      </w:r>
    </w:p>
    <w:bookmarkEnd w:id="0"/>
    <w:bookmarkEnd w:id="1"/>
    <w:bookmarkEnd w:id="2"/>
    <w:p w14:paraId="35F4D350" w14:textId="77777777" w:rsidR="00B33053" w:rsidRPr="00586C19" w:rsidRDefault="00B33053" w:rsidP="00586C19">
      <w:pPr>
        <w:spacing w:after="200" w:line="276" w:lineRule="auto"/>
        <w:rPr>
          <w:rFonts w:asciiTheme="minorHAnsi" w:eastAsiaTheme="minorEastAsia" w:hAnsiTheme="minorHAnsi" w:cstheme="minorBidi"/>
          <w:sz w:val="22"/>
          <w:szCs w:val="22"/>
          <w:lang w:val="en-GB" w:eastAsia="en-GB"/>
        </w:rPr>
      </w:pPr>
    </w:p>
    <w:p w14:paraId="0F5B8968" w14:textId="77777777" w:rsidR="00586C19" w:rsidRPr="00F469F0" w:rsidRDefault="00586C19" w:rsidP="00441B6F">
      <w:pPr>
        <w:pStyle w:val="ReferHead"/>
        <w:spacing w:after="0"/>
        <w:jc w:val="both"/>
        <w:rPr>
          <w:rFonts w:ascii="Arial" w:hAnsi="Arial" w:cs="Arial"/>
          <w:b w:val="0"/>
          <w:caps w:val="0"/>
          <w:sz w:val="20"/>
          <w:u w:val="single"/>
        </w:rPr>
      </w:pPr>
    </w:p>
    <w:p w14:paraId="4AC9F975" w14:textId="77777777" w:rsidR="002B685A" w:rsidRDefault="002B685A" w:rsidP="00441B6F">
      <w:pPr>
        <w:pStyle w:val="ReferHead"/>
        <w:spacing w:after="0"/>
        <w:jc w:val="both"/>
        <w:rPr>
          <w:rFonts w:ascii="Arial" w:hAnsi="Arial" w:cs="Arial"/>
          <w:b w:val="0"/>
          <w:caps w:val="0"/>
          <w:sz w:val="20"/>
        </w:rPr>
      </w:pPr>
    </w:p>
    <w:p w14:paraId="61188B1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59CC594" w14:textId="77777777" w:rsidR="00790ADA" w:rsidRPr="00FB3A86" w:rsidRDefault="00790ADA" w:rsidP="00441B6F">
      <w:pPr>
        <w:pStyle w:val="ReferHead"/>
        <w:spacing w:after="0"/>
        <w:jc w:val="both"/>
        <w:rPr>
          <w:rFonts w:ascii="Arial" w:hAnsi="Arial" w:cs="Arial"/>
        </w:rPr>
      </w:pPr>
    </w:p>
    <w:p w14:paraId="0CD973AE" w14:textId="77777777" w:rsidR="000733AF" w:rsidRDefault="000733AF" w:rsidP="000733AF">
      <w:pPr>
        <w:pStyle w:val="Body"/>
      </w:pPr>
      <w:r>
        <w:t xml:space="preserve">Abdou, R., </w:t>
      </w:r>
      <w:proofErr w:type="spellStart"/>
      <w:r>
        <w:t>Halilou</w:t>
      </w:r>
      <w:proofErr w:type="spellEnd"/>
      <w:r>
        <w:t xml:space="preserve">, A. I., Zango, O., Agbo So, T. K., Yahaya, M. I., &amp; </w:t>
      </w:r>
      <w:proofErr w:type="spellStart"/>
      <w:r>
        <w:t>Bakasso</w:t>
      </w:r>
      <w:proofErr w:type="spellEnd"/>
      <w:r>
        <w:t>, Y. (2022). Effect of Fertilizers on the Productivity of Three Varieties of Okra (Abelmoschus esculentus L. Moench.) in the Zinder Region (Niger). International Journal of Biological and Chemical Sciences, 16(1), 378–389. https://doi.org/10.4314/ijbcs.v16i1.32</w:t>
      </w:r>
    </w:p>
    <w:p w14:paraId="0D378C6B" w14:textId="77777777" w:rsidR="000733AF" w:rsidRDefault="000733AF" w:rsidP="000733AF">
      <w:pPr>
        <w:pStyle w:val="Body"/>
      </w:pPr>
      <w:r w:rsidRPr="00961A7B">
        <w:rPr>
          <w:lang w:val="fr-FR"/>
        </w:rPr>
        <w:t xml:space="preserve">Adamou, I., </w:t>
      </w:r>
      <w:proofErr w:type="spellStart"/>
      <w:r w:rsidRPr="00961A7B">
        <w:rPr>
          <w:lang w:val="fr-FR"/>
        </w:rPr>
        <w:t>Chimene</w:t>
      </w:r>
      <w:proofErr w:type="spellEnd"/>
      <w:r w:rsidRPr="00961A7B">
        <w:rPr>
          <w:lang w:val="fr-FR"/>
        </w:rPr>
        <w:t xml:space="preserve">, A. F., Robert, N., &amp; Mama, N. (2009). </w:t>
      </w:r>
      <w:r>
        <w:t xml:space="preserve">Impact of Organic Matter Management on the Mineral Status of Soils and Crops in the Sudano-Guinean Savannahs of </w:t>
      </w:r>
      <w:proofErr w:type="spellStart"/>
      <w:r>
        <w:t>Ngaoundéré</w:t>
      </w:r>
      <w:proofErr w:type="spellEnd"/>
      <w:r>
        <w:t>, Cameroon. In African Savannahs in Development: Innovating to Last (p. 10). CIRAD.</w:t>
      </w:r>
    </w:p>
    <w:p w14:paraId="27128CCF" w14:textId="6C7009B9" w:rsidR="000733AF" w:rsidRDefault="000733AF" w:rsidP="000733AF">
      <w:pPr>
        <w:pStyle w:val="Body"/>
      </w:pPr>
      <w:proofErr w:type="spellStart"/>
      <w:r>
        <w:t>Adekiya</w:t>
      </w:r>
      <w:proofErr w:type="spellEnd"/>
      <w:r>
        <w:t xml:space="preserve">, A. O., </w:t>
      </w:r>
      <w:proofErr w:type="spellStart"/>
      <w:r>
        <w:t>Ejue</w:t>
      </w:r>
      <w:proofErr w:type="spellEnd"/>
      <w:r>
        <w:t xml:space="preserve">, W. S., </w:t>
      </w:r>
      <w:proofErr w:type="spellStart"/>
      <w:r>
        <w:t>Olayanju</w:t>
      </w:r>
      <w:proofErr w:type="spellEnd"/>
      <w:r>
        <w:t xml:space="preserve">, A., </w:t>
      </w:r>
      <w:proofErr w:type="spellStart"/>
      <w:r>
        <w:t>Dunsin</w:t>
      </w:r>
      <w:proofErr w:type="spellEnd"/>
      <w:r>
        <w:t xml:space="preserve">, O., </w:t>
      </w:r>
      <w:proofErr w:type="spellStart"/>
      <w:r>
        <w:t>Aboyeji</w:t>
      </w:r>
      <w:proofErr w:type="spellEnd"/>
      <w:r>
        <w:t xml:space="preserve">, C. M., Aremu, C., Adegbite, K., &amp; Akinpelu, O. (2020). Different organic manure sources and NPK fertilizer on soil chemical properties, growth, yield and quality of okra. Scientific Reports, 10(1), 16083. </w:t>
      </w:r>
      <w:hyperlink r:id="rId17" w:history="1">
        <w:r w:rsidR="00B54B81" w:rsidRPr="00BE2D8B">
          <w:rPr>
            <w:rStyle w:val="Lienhypertexte"/>
          </w:rPr>
          <w:t>https://doi.org/10.1038/s41598-020-73291-x</w:t>
        </w:r>
      </w:hyperlink>
    </w:p>
    <w:p w14:paraId="139498E0" w14:textId="578D495D" w:rsidR="00B54B81" w:rsidRDefault="00B54B81" w:rsidP="000733AF">
      <w:pPr>
        <w:pStyle w:val="Body"/>
      </w:pPr>
      <w:r w:rsidRPr="00B54B81">
        <w:t xml:space="preserve">A.O., </w:t>
      </w:r>
      <w:proofErr w:type="spellStart"/>
      <w:r w:rsidRPr="00B54B81">
        <w:t>Nengi-Benwari</w:t>
      </w:r>
      <w:proofErr w:type="spellEnd"/>
      <w:r w:rsidRPr="00B54B81">
        <w:t xml:space="preserve">, and Abah, B. M. 2025. “Impact of Compost Levels on Soil Properties and Growth Performance of Okra”. Asian Journal of Research in Crop Science 10 (1):150-61. </w:t>
      </w:r>
      <w:hyperlink r:id="rId18" w:history="1">
        <w:r w:rsidR="009C37B3" w:rsidRPr="00BE2D8B">
          <w:rPr>
            <w:rStyle w:val="Lienhypertexte"/>
          </w:rPr>
          <w:t>https://doi.org/10.9734/ajrcs/2025/v10i1340</w:t>
        </w:r>
      </w:hyperlink>
      <w:r w:rsidR="009C37B3">
        <w:t xml:space="preserve"> </w:t>
      </w:r>
    </w:p>
    <w:p w14:paraId="0DB0B3EC" w14:textId="77777777" w:rsidR="000733AF" w:rsidRDefault="000733AF" w:rsidP="000733AF">
      <w:pPr>
        <w:pStyle w:val="Body"/>
      </w:pPr>
      <w:r>
        <w:t xml:space="preserve">Andersson, S., Nilsson, S. I., &amp; </w:t>
      </w:r>
      <w:proofErr w:type="spellStart"/>
      <w:r>
        <w:t>Saetre</w:t>
      </w:r>
      <w:proofErr w:type="spellEnd"/>
      <w:r>
        <w:t xml:space="preserve">, P. (2000). Leaching of dissolved organic carbon (DOC) and dissolved organic nitrogen (DON) in mor humus as affected by temperature and </w:t>
      </w:r>
      <w:proofErr w:type="spellStart"/>
      <w:r>
        <w:t>pH.</w:t>
      </w:r>
      <w:proofErr w:type="spellEnd"/>
      <w:r>
        <w:t xml:space="preserve"> Soil Biology and Biochemistry, 32(1), 1–10. https://doi.org/10.1016/S0038-0717(99)00103-0</w:t>
      </w:r>
    </w:p>
    <w:p w14:paraId="4EF32C97" w14:textId="77777777" w:rsidR="000733AF" w:rsidRDefault="000733AF" w:rsidP="000733AF">
      <w:pPr>
        <w:pStyle w:val="Body"/>
      </w:pPr>
      <w:r>
        <w:lastRenderedPageBreak/>
        <w:t xml:space="preserve">Ano, A. O., &amp; </w:t>
      </w:r>
      <w:proofErr w:type="spellStart"/>
      <w:r>
        <w:t>Ubochi</w:t>
      </w:r>
      <w:proofErr w:type="spellEnd"/>
      <w:r>
        <w:t>, C. I. (2007). Neutralization of soil acidity by animal manure: Mechanism of reaction. African Journal of Biotechnology, 6(4), 364–368.</w:t>
      </w:r>
    </w:p>
    <w:p w14:paraId="62027E1C" w14:textId="77777777" w:rsidR="000733AF" w:rsidRDefault="000733AF" w:rsidP="000733AF">
      <w:pPr>
        <w:pStyle w:val="Body"/>
      </w:pPr>
      <w:r>
        <w:t xml:space="preserve">Butterly, C. R., </w:t>
      </w:r>
      <w:proofErr w:type="spellStart"/>
      <w:r>
        <w:t>Baldock</w:t>
      </w:r>
      <w:proofErr w:type="spellEnd"/>
      <w:r>
        <w:t>, J. A., &amp; Tang, C. (2013). The contribution of crop residues to changes in soil pH under field conditions. Plant and Soil, 366(1–2), 185–198. https://doi.org/10.1007/s11104-012-1422-1</w:t>
      </w:r>
    </w:p>
    <w:p w14:paraId="14ACEF89" w14:textId="77777777" w:rsidR="000733AF" w:rsidRDefault="000733AF" w:rsidP="000733AF">
      <w:pPr>
        <w:pStyle w:val="Body"/>
      </w:pPr>
      <w:r>
        <w:t>Cairo-Cairo, P., Diaz-Martin, B., Machado-de-Armas, J., &amp; Rodriguez-Lopez, O. (2023). Effects of poultry manure on structure and some indicators of fertility in tropical soils. Archives of Agronomy and Soil Science, 69(13), 2692–2702. https://doi.org/10.1080/03650340.2023.2171020</w:t>
      </w:r>
    </w:p>
    <w:p w14:paraId="496E1BCF" w14:textId="77777777" w:rsidR="000733AF" w:rsidRDefault="000733AF" w:rsidP="000733AF">
      <w:pPr>
        <w:pStyle w:val="Body"/>
      </w:pPr>
      <w:r>
        <w:t xml:space="preserve">Citak, S., &amp; Sonmez, S. (2011). Effects of chemical fertilizer and different organic manure </w:t>
      </w:r>
      <w:proofErr w:type="gramStart"/>
      <w:r>
        <w:t>application</w:t>
      </w:r>
      <w:proofErr w:type="gramEnd"/>
      <w:r>
        <w:t xml:space="preserve"> on soil pH, EC and organic matter content. J. Food Agriculture. Environ, 9(3), 739–741.</w:t>
      </w:r>
    </w:p>
    <w:p w14:paraId="202DA127" w14:textId="77777777" w:rsidR="000733AF" w:rsidRDefault="000733AF" w:rsidP="000733AF">
      <w:pPr>
        <w:pStyle w:val="Body"/>
      </w:pPr>
      <w:r>
        <w:t>Curtin, D., Campbell, C.A., &amp; Jalil, A. (1998). Effects of acidity on mineralization: pH-dependence of organic matter mineralization in weakly acidic soils. Soil Biology and Biochemistry, 30(1), 57–64. https://doi.org/10.1016/S0038-0717(97)00094-1</w:t>
      </w:r>
    </w:p>
    <w:p w14:paraId="118C1D8D" w14:textId="77777777" w:rsidR="000733AF" w:rsidRPr="00961A7B" w:rsidRDefault="000733AF" w:rsidP="000733AF">
      <w:pPr>
        <w:pStyle w:val="Body"/>
        <w:rPr>
          <w:lang w:val="it-IT"/>
        </w:rPr>
      </w:pPr>
      <w:r>
        <w:t xml:space="preserve">Dantas, T. L., Alonso Buriti, F. C., &amp; Florentino, E. R. (2021). Okra (Abelmoschus esculentus L.) as a Potential Functional Food Source of Mucilage and Bioactive Compounds with Technological Applications and Health Benefits. </w:t>
      </w:r>
      <w:r w:rsidRPr="00961A7B">
        <w:rPr>
          <w:lang w:val="it-IT"/>
        </w:rPr>
        <w:t>Plants, 10(8), 1683. https://doi.org/10.3390/plants10081683</w:t>
      </w:r>
    </w:p>
    <w:p w14:paraId="47566F88" w14:textId="77777777" w:rsidR="000733AF" w:rsidRDefault="000733AF" w:rsidP="000733AF">
      <w:pPr>
        <w:pStyle w:val="Body"/>
      </w:pPr>
      <w:r w:rsidRPr="00961A7B">
        <w:rPr>
          <w:lang w:val="it-IT"/>
        </w:rPr>
        <w:t xml:space="preserve">De Souza, A. A. B., Ramos Da Silva, W., Nascimento, C. W. A. D., Da Silva, Y. J. A. B., &amp; Biondi, C. M. (2023). </w:t>
      </w:r>
      <w:r>
        <w:t>Residual effects of alkalized sewage sludge application on soil quality and sugarcane yield. Archives of Agronomy and Soil Science, 69(10), 1705–1717. https://doi.org/10.1080/03650340.2022.2106369</w:t>
      </w:r>
    </w:p>
    <w:p w14:paraId="5A018EEB" w14:textId="77777777" w:rsidR="000733AF" w:rsidRDefault="000733AF" w:rsidP="000733AF">
      <w:pPr>
        <w:pStyle w:val="Body"/>
      </w:pPr>
      <w:r>
        <w:t xml:space="preserve">Diakité, B., Dalanda Diallo, M., </w:t>
      </w:r>
      <w:proofErr w:type="spellStart"/>
      <w:r>
        <w:t>Goalbaye</w:t>
      </w:r>
      <w:proofErr w:type="spellEnd"/>
      <w:r>
        <w:t xml:space="preserve">, T., </w:t>
      </w:r>
      <w:proofErr w:type="spellStart"/>
      <w:r>
        <w:t>Diédhiou</w:t>
      </w:r>
      <w:proofErr w:type="spellEnd"/>
      <w:r>
        <w:t xml:space="preserve">, S., Diallo, A., Talla, R., Diop, A., &amp; </w:t>
      </w:r>
      <w:proofErr w:type="spellStart"/>
      <w:r>
        <w:t>Guissé</w:t>
      </w:r>
      <w:proofErr w:type="spellEnd"/>
      <w:r>
        <w:t xml:space="preserve">, A. (2020). Effect of applying different doses of organic fertilizers on the growth and yield of tomato (Solanum </w:t>
      </w:r>
      <w:proofErr w:type="spellStart"/>
      <w:r>
        <w:t>lycopersicum</w:t>
      </w:r>
      <w:proofErr w:type="spellEnd"/>
      <w:r>
        <w:t xml:space="preserve"> L.) under semi-controlled conditions. Journal of Animal &amp; Plant Sciences, 44.1, 7553–7566. https://doi.org/10.35759/JAnmPlSci.v44-1.2</w:t>
      </w:r>
    </w:p>
    <w:p w14:paraId="08D4B766" w14:textId="77777777" w:rsidR="000733AF" w:rsidRDefault="000733AF" w:rsidP="000733AF">
      <w:pPr>
        <w:pStyle w:val="Body"/>
      </w:pPr>
      <w:r w:rsidRPr="00961A7B">
        <w:rPr>
          <w:lang w:val="it-IT"/>
        </w:rPr>
        <w:t xml:space="preserve">Durazzo, A., Lucarini, M., Novellino, E., Souto, E. B., Daliu, P., &amp; Santini, A. (2018). </w:t>
      </w:r>
      <w:r>
        <w:t>Abelmoschus esculentus (L.): Bioactive Components’ Beneficial Properties—Focused on Antidiabetic Role—For Sustainable Health Applications. Molecules, 24(1), 38. https://doi.org/10.3390/molecules24010038</w:t>
      </w:r>
    </w:p>
    <w:p w14:paraId="638C785A" w14:textId="77777777" w:rsidR="000733AF" w:rsidRDefault="000733AF" w:rsidP="000733AF">
      <w:pPr>
        <w:pStyle w:val="Body"/>
      </w:pPr>
      <w:proofErr w:type="spellStart"/>
      <w:r>
        <w:t>Eghball</w:t>
      </w:r>
      <w:proofErr w:type="spellEnd"/>
      <w:r>
        <w:t xml:space="preserve">, B., Binford, G. D., &amp; </w:t>
      </w:r>
      <w:proofErr w:type="spellStart"/>
      <w:r>
        <w:t>Baltensperger</w:t>
      </w:r>
      <w:proofErr w:type="spellEnd"/>
      <w:r>
        <w:t>, D. D. (1996). Phosphorus Movement and Adsorption in a Soil Receiving Long</w:t>
      </w:r>
      <w:r>
        <w:rPr>
          <w:rFonts w:ascii="Cambria Math" w:hAnsi="Cambria Math" w:cs="Cambria Math"/>
        </w:rPr>
        <w:t>‐</w:t>
      </w:r>
      <w:r>
        <w:t>Term Manure and Fertilizer Application. Journal of Environmental Quality, 25(6), 1339</w:t>
      </w:r>
      <w:r>
        <w:rPr>
          <w:rFonts w:cs="Helvetica"/>
        </w:rPr>
        <w:t>–</w:t>
      </w:r>
      <w:r>
        <w:t>1343. https://doi.org/10.2134/jeq1996.00472425002500060024x</w:t>
      </w:r>
    </w:p>
    <w:p w14:paraId="74A0FEFE" w14:textId="534778DE" w:rsidR="000733AF" w:rsidRDefault="000733AF" w:rsidP="000733AF">
      <w:pPr>
        <w:pStyle w:val="Body"/>
      </w:pPr>
      <w:r>
        <w:t xml:space="preserve">FAOSTAT. (2025). Data Mining. </w:t>
      </w:r>
      <w:hyperlink r:id="rId19" w:anchor="data/QCL" w:history="1">
        <w:r w:rsidRPr="00D93AE1">
          <w:rPr>
            <w:rStyle w:val="Lienhypertexte"/>
          </w:rPr>
          <w:t>https://www.fao.org/faostat/fr/#data/QCL</w:t>
        </w:r>
      </w:hyperlink>
    </w:p>
    <w:p w14:paraId="0256E6D0" w14:textId="77777777" w:rsidR="000733AF" w:rsidRDefault="000733AF" w:rsidP="000733AF">
      <w:pPr>
        <w:pStyle w:val="Body"/>
      </w:pPr>
      <w:proofErr w:type="spellStart"/>
      <w:r>
        <w:t>Genot</w:t>
      </w:r>
      <w:proofErr w:type="spellEnd"/>
      <w:r>
        <w:t xml:space="preserve">, V., </w:t>
      </w:r>
      <w:proofErr w:type="spellStart"/>
      <w:r>
        <w:t>Colinet</w:t>
      </w:r>
      <w:proofErr w:type="spellEnd"/>
      <w:r>
        <w:t xml:space="preserve">, G., </w:t>
      </w:r>
      <w:proofErr w:type="spellStart"/>
      <w:r>
        <w:t>Brahy</w:t>
      </w:r>
      <w:proofErr w:type="spellEnd"/>
      <w:r>
        <w:t>, V., &amp; Bock, L. (2009). The Fertility Status of Agricultural and Forest Lands in the Walloon Region (adapted from Chapter 4—Soil 1 of “The State of the Walloon Environment 2006–2007”). Biotechnology, Agronomy, Society and Environment, 13.</w:t>
      </w:r>
    </w:p>
    <w:p w14:paraId="5AE15A14" w14:textId="77777777" w:rsidR="000733AF" w:rsidRDefault="000733AF" w:rsidP="000733AF">
      <w:pPr>
        <w:pStyle w:val="Body"/>
      </w:pPr>
      <w:r>
        <w:t>Guinko, S. (1984). Vegetation of Upper Volta [PhD Thesis]. University of Bordeaux III, France.</w:t>
      </w:r>
    </w:p>
    <w:p w14:paraId="1249AB08" w14:textId="77777777" w:rsidR="000733AF" w:rsidRDefault="000733AF" w:rsidP="000733AF">
      <w:pPr>
        <w:pStyle w:val="Body"/>
      </w:pPr>
      <w:r>
        <w:t xml:space="preserve">Han, S. H., An, J. Y., Hwang, J., Kim, S. B., &amp; Park, B. B. (2016). The Effects of Organic Manure and Chemical Fertilizer on the Growth and Nutrient Concentrations of Yellow Poplar (Liriodendron </w:t>
      </w:r>
      <w:proofErr w:type="spellStart"/>
      <w:r>
        <w:t>tulipifera</w:t>
      </w:r>
      <w:proofErr w:type="spellEnd"/>
      <w:r>
        <w:t xml:space="preserve"> Lin.) in a Nursery System. Forest Science and Technology, 12(3), 137–143. https://doi.org/10.1080/21580103.2015.1135827</w:t>
      </w:r>
    </w:p>
    <w:p w14:paraId="2F32FC64" w14:textId="77777777" w:rsidR="000733AF" w:rsidRDefault="000733AF" w:rsidP="000733AF">
      <w:pPr>
        <w:pStyle w:val="Body"/>
      </w:pPr>
      <w:r>
        <w:t>Hasan, Md. R., Hossain, Md. E., Bhadra, A. K., Chowdhury, B., Haque, Md. M., Bonna, R., Nahar, L., &amp; Islam, F. (2025). Phosphorus Application Improved Growth and Yield of Okra (Abelmoschus esculentus L.) during the Kharif Season in Bangladesh. International Journal of Plant &amp; Soil Science, 37(8), 194–204. https://doi.org/10.9734/ijpss/2025/v37i85621</w:t>
      </w:r>
    </w:p>
    <w:p w14:paraId="520961CB" w14:textId="77777777" w:rsidR="000733AF" w:rsidRDefault="000733AF" w:rsidP="000733AF">
      <w:pPr>
        <w:pStyle w:val="Body"/>
      </w:pPr>
      <w:r>
        <w:t xml:space="preserve">Hien, E. (2004). Carbon Dynamics in a Ferric </w:t>
      </w:r>
      <w:proofErr w:type="spellStart"/>
      <w:r>
        <w:t>Acrisol</w:t>
      </w:r>
      <w:proofErr w:type="spellEnd"/>
      <w:r>
        <w:t xml:space="preserve"> of West-Central Burkina Faso: Influence of Cultivation Practices on the Stock and Quality of Organic Matter. Montpellier.</w:t>
      </w:r>
    </w:p>
    <w:p w14:paraId="4CF97DF0" w14:textId="77777777" w:rsidR="000733AF" w:rsidRDefault="000733AF" w:rsidP="000733AF">
      <w:pPr>
        <w:pStyle w:val="Body"/>
      </w:pPr>
      <w:r>
        <w:t>INSD. (2023). In-depth Analysis of the Characteristics of Agricultural Households in Burkina Faso (p. 128) [Technical]. National Institute of Statistics and Demography.</w:t>
      </w:r>
    </w:p>
    <w:p w14:paraId="1A614E2F" w14:textId="77777777" w:rsidR="000733AF" w:rsidRDefault="000733AF" w:rsidP="000733AF">
      <w:pPr>
        <w:pStyle w:val="Body"/>
      </w:pPr>
      <w:r>
        <w:lastRenderedPageBreak/>
        <w:t>INSD. (2024). National Accounts for 2023 (p. 11) [Technical]. Ministry of Economy, Finance and Forecasting.</w:t>
      </w:r>
    </w:p>
    <w:p w14:paraId="22012D6E" w14:textId="77777777" w:rsidR="000733AF" w:rsidRDefault="000733AF" w:rsidP="000733AF">
      <w:pPr>
        <w:pStyle w:val="Body"/>
      </w:pPr>
      <w:proofErr w:type="spellStart"/>
      <w:r>
        <w:t>Koull</w:t>
      </w:r>
      <w:proofErr w:type="spellEnd"/>
      <w:r>
        <w:t xml:space="preserve">, N. (2007). Effect of Organic Matter on the Physical and Chemical Properties of Sandy Soils in the Ouargla Region. Master's Degree, </w:t>
      </w:r>
      <w:proofErr w:type="spellStart"/>
      <w:r>
        <w:t>Kasdi</w:t>
      </w:r>
      <w:proofErr w:type="spellEnd"/>
      <w:r>
        <w:t xml:space="preserve"> </w:t>
      </w:r>
      <w:proofErr w:type="spellStart"/>
      <w:r>
        <w:t>Merbah</w:t>
      </w:r>
      <w:proofErr w:type="spellEnd"/>
      <w:r>
        <w:t xml:space="preserve"> University, Ouargla.</w:t>
      </w:r>
    </w:p>
    <w:p w14:paraId="22388BF6" w14:textId="77777777" w:rsidR="000733AF" w:rsidRPr="00961A7B" w:rsidRDefault="000733AF" w:rsidP="000733AF">
      <w:pPr>
        <w:pStyle w:val="Body"/>
        <w:rPr>
          <w:lang w:val="fr-FR"/>
        </w:rPr>
      </w:pPr>
      <w:proofErr w:type="spellStart"/>
      <w:r>
        <w:t>L’Herroux</w:t>
      </w:r>
      <w:proofErr w:type="spellEnd"/>
      <w:r>
        <w:t xml:space="preserve">, L., Roux, S. L., </w:t>
      </w:r>
      <w:proofErr w:type="spellStart"/>
      <w:r>
        <w:t>Appriou</w:t>
      </w:r>
      <w:proofErr w:type="spellEnd"/>
      <w:r>
        <w:t xml:space="preserve">, P., &amp; Martinez, J. (1997). Behavior of metals following intensive pig slurry applications to a natural field treatment process in Brittany (France). </w:t>
      </w:r>
      <w:proofErr w:type="spellStart"/>
      <w:r w:rsidRPr="00961A7B">
        <w:rPr>
          <w:lang w:val="fr-FR"/>
        </w:rPr>
        <w:t>Environmental</w:t>
      </w:r>
      <w:proofErr w:type="spellEnd"/>
      <w:r w:rsidRPr="00961A7B">
        <w:rPr>
          <w:lang w:val="fr-FR"/>
        </w:rPr>
        <w:t xml:space="preserve"> Pollution, 97(1–2), 119–130. https://doi.org/10.1016/S0269-7491(97)00072-9</w:t>
      </w:r>
    </w:p>
    <w:p w14:paraId="6E5E1C47" w14:textId="77777777" w:rsidR="000733AF" w:rsidRDefault="000733AF" w:rsidP="000733AF">
      <w:pPr>
        <w:pStyle w:val="Body"/>
      </w:pPr>
      <w:proofErr w:type="spellStart"/>
      <w:r w:rsidRPr="00961A7B">
        <w:rPr>
          <w:lang w:val="fr-FR"/>
        </w:rPr>
        <w:t>Maheshbabu</w:t>
      </w:r>
      <w:proofErr w:type="spellEnd"/>
      <w:r w:rsidRPr="00961A7B">
        <w:rPr>
          <w:lang w:val="fr-FR"/>
        </w:rPr>
        <w:t xml:space="preserve">, H. M., </w:t>
      </w:r>
      <w:proofErr w:type="spellStart"/>
      <w:r w:rsidRPr="00961A7B">
        <w:rPr>
          <w:lang w:val="fr-FR"/>
        </w:rPr>
        <w:t>Hunje</w:t>
      </w:r>
      <w:proofErr w:type="spellEnd"/>
      <w:r w:rsidRPr="00961A7B">
        <w:rPr>
          <w:lang w:val="fr-FR"/>
        </w:rPr>
        <w:t xml:space="preserve">, R. H. R., Patil, N. K. B., &amp; </w:t>
      </w:r>
      <w:proofErr w:type="spellStart"/>
      <w:r w:rsidRPr="00961A7B">
        <w:rPr>
          <w:lang w:val="fr-FR"/>
        </w:rPr>
        <w:t>Babalad</w:t>
      </w:r>
      <w:proofErr w:type="spellEnd"/>
      <w:r w:rsidRPr="00961A7B">
        <w:rPr>
          <w:lang w:val="fr-FR"/>
        </w:rPr>
        <w:t xml:space="preserve">, H. B. (2008). </w:t>
      </w:r>
      <w:r>
        <w:t>Effect of organic manures on plant growth, seed yield and quality of soybean. Karnataka Journal of Agricultural Sciences, 21(2), 219–221.</w:t>
      </w:r>
    </w:p>
    <w:p w14:paraId="2B6FCDAD" w14:textId="77777777" w:rsidR="000733AF" w:rsidRDefault="000733AF" w:rsidP="000733AF">
      <w:pPr>
        <w:pStyle w:val="Body"/>
      </w:pPr>
      <w:proofErr w:type="spellStart"/>
      <w:r>
        <w:t>Moyin</w:t>
      </w:r>
      <w:proofErr w:type="spellEnd"/>
      <w:r>
        <w:t>-Jesu, E. I. (2007). Use of plant residues for improving soil fertility, pod nutrients, root growth and pod weight of okra (Abelmoschus esculentum L). Bioresource Technology, 98(11), 2057–2064. https://doi.org/10.1016/j.biortech.2006.03.007</w:t>
      </w:r>
    </w:p>
    <w:p w14:paraId="7B321F50" w14:textId="77777777" w:rsidR="000733AF" w:rsidRPr="00961A7B" w:rsidRDefault="000733AF" w:rsidP="000733AF">
      <w:pPr>
        <w:pStyle w:val="Body"/>
        <w:rPr>
          <w:lang w:val="fr-FR"/>
        </w:rPr>
      </w:pPr>
      <w:r>
        <w:t xml:space="preserve">Mukalay, M. J., </w:t>
      </w:r>
      <w:proofErr w:type="spellStart"/>
      <w:r>
        <w:t>Shutcha</w:t>
      </w:r>
      <w:proofErr w:type="spellEnd"/>
      <w:r>
        <w:t xml:space="preserve">, M. N., </w:t>
      </w:r>
      <w:proofErr w:type="spellStart"/>
      <w:r>
        <w:t>Tshomba</w:t>
      </w:r>
      <w:proofErr w:type="spellEnd"/>
      <w:r>
        <w:t xml:space="preserve">, K. J., Mulowayi, K., Kamb, C. F., &amp; Ngongo, L. M. (2008). Causes of high plant heterogeneity in a maize field under the pedoclimatic conditions of Lubumbashi. </w:t>
      </w:r>
      <w:r w:rsidRPr="00961A7B">
        <w:rPr>
          <w:lang w:val="fr-FR"/>
        </w:rPr>
        <w:t>Presses Universitaires de Lubumbashi, Annales Faculté Des Sciences Agronomiques, 1(1), 4–11.</w:t>
      </w:r>
    </w:p>
    <w:p w14:paraId="4CE84C7A" w14:textId="77777777" w:rsidR="000733AF" w:rsidRDefault="000733AF" w:rsidP="000733AF">
      <w:pPr>
        <w:pStyle w:val="Body"/>
      </w:pPr>
      <w:proofErr w:type="spellStart"/>
      <w:r w:rsidRPr="00961A7B">
        <w:rPr>
          <w:lang w:val="fr-FR"/>
        </w:rPr>
        <w:t>Naramabuye</w:t>
      </w:r>
      <w:proofErr w:type="spellEnd"/>
      <w:r w:rsidRPr="00961A7B">
        <w:rPr>
          <w:lang w:val="fr-FR"/>
        </w:rPr>
        <w:t xml:space="preserve">, F.-X., &amp; Haynes, R. (2006). </w:t>
      </w:r>
      <w:r>
        <w:t>Short-term effects of three animal manures on soil pH and Al solubility. Australian Journal of Soil Research, 44. https://doi.org/10.1071/SR05062</w:t>
      </w:r>
    </w:p>
    <w:p w14:paraId="06CACD73" w14:textId="77777777" w:rsidR="000733AF" w:rsidRDefault="000733AF" w:rsidP="000733AF">
      <w:pPr>
        <w:pStyle w:val="Body"/>
      </w:pPr>
      <w:proofErr w:type="spellStart"/>
      <w:r>
        <w:t>Ncuuri</w:t>
      </w:r>
      <w:proofErr w:type="spellEnd"/>
      <w:r>
        <w:t>, K. D., Kingori, G. G., &amp; Mahugu, M. M. (2023). Effect of Source and Rate of Livestock Manure on Yield, Quality and Net Economic Benefit of Okra (Abelmoschus esculentus (L.) Moench.). Journal of Experimental Agriculture International, 45(7), 119–131. https://doi.org/10.9734/jeai/2023/v45i72141</w:t>
      </w:r>
    </w:p>
    <w:p w14:paraId="2D38622F" w14:textId="77777777" w:rsidR="000733AF" w:rsidRDefault="000733AF" w:rsidP="000733AF">
      <w:pPr>
        <w:pStyle w:val="Body"/>
      </w:pPr>
      <w:r w:rsidRPr="00961A7B">
        <w:rPr>
          <w:lang w:val="fr-FR"/>
        </w:rPr>
        <w:t>N’</w:t>
      </w:r>
      <w:proofErr w:type="spellStart"/>
      <w:r w:rsidRPr="00961A7B">
        <w:rPr>
          <w:lang w:val="fr-FR"/>
        </w:rPr>
        <w:t>Dayegamiye</w:t>
      </w:r>
      <w:proofErr w:type="spellEnd"/>
      <w:r w:rsidRPr="00961A7B">
        <w:rPr>
          <w:lang w:val="fr-FR"/>
        </w:rPr>
        <w:t xml:space="preserve">, A., Drapeau, A., &amp; Laverdière, M. R. (2005). </w:t>
      </w:r>
      <w:r>
        <w:t xml:space="preserve">Effects of Household Residues Compost Additions on Crop Yields and Selected Soil Properties. </w:t>
      </w:r>
      <w:proofErr w:type="spellStart"/>
      <w:r>
        <w:t>Agrosolutions</w:t>
      </w:r>
      <w:proofErr w:type="spellEnd"/>
      <w:r>
        <w:t>, 16(2), 57–71.</w:t>
      </w:r>
    </w:p>
    <w:p w14:paraId="671B81C2" w14:textId="77777777" w:rsidR="000733AF" w:rsidRDefault="000733AF" w:rsidP="000733AF">
      <w:pPr>
        <w:pStyle w:val="Body"/>
      </w:pPr>
      <w:r>
        <w:t>Neina, D. (2019). The Role of Soil pH in Plant Nutrition and Soil Remediation. Applied and Environmental Soil Science, 2019, 1–9. https://doi.org/10.1155/2019/5794869</w:t>
      </w:r>
    </w:p>
    <w:p w14:paraId="254DE3C4" w14:textId="77777777" w:rsidR="000733AF" w:rsidRDefault="000733AF" w:rsidP="000733AF">
      <w:pPr>
        <w:pStyle w:val="Body"/>
      </w:pPr>
      <w:r>
        <w:t>Thakur, M. (2025). Response of Organic and Natural Farming Management Practices on Productivity and Profitability of Okra [Abelmoschus esculentus (L.) Moench]. International Journal of Plant &amp; Soil Science, 37(8), 473–481. https://doi.org/10.9734/ijpss/2025/v37i85648</w:t>
      </w:r>
    </w:p>
    <w:p w14:paraId="3827AC72" w14:textId="77777777" w:rsidR="000733AF" w:rsidRDefault="000733AF" w:rsidP="000733AF">
      <w:pPr>
        <w:pStyle w:val="Body"/>
      </w:pPr>
      <w:r>
        <w:t xml:space="preserve">Traoré, S., Ouédraogo, P., Bayen, P., Bationo, B. A., Lee, N., Lorenz, N., &amp; Dick, R. P. (2021). Effect of livestock manure on soil microbial and nutrient dynamics in </w:t>
      </w:r>
      <w:proofErr w:type="spellStart"/>
      <w:r>
        <w:t>zaï</w:t>
      </w:r>
      <w:proofErr w:type="spellEnd"/>
      <w:r>
        <w:t xml:space="preserve"> cropping systems of the Sahel. Land Degradation &amp; Development, 32(11), 3248–3258. https://doi.org/10.1002/ldr.3979</w:t>
      </w:r>
    </w:p>
    <w:p w14:paraId="650F6DE0" w14:textId="77777777" w:rsidR="000733AF" w:rsidRDefault="000733AF" w:rsidP="000733AF">
      <w:pPr>
        <w:pStyle w:val="Body"/>
      </w:pPr>
      <w:r>
        <w:t xml:space="preserve">Whalen, J.K., Chang, C., Clayton, G.W., &amp; </w:t>
      </w:r>
      <w:proofErr w:type="spellStart"/>
      <w:r>
        <w:t>Carefoot</w:t>
      </w:r>
      <w:proofErr w:type="spellEnd"/>
      <w:r>
        <w:t>, J.P. (2000). Cattle Manure Amendments Can Increase the pH of Acid Soils. Soil Science Society of America Journal, 64(3), 962–966. https://doi.org/10.2136/sssaj2000.643962x</w:t>
      </w:r>
    </w:p>
    <w:p w14:paraId="1BF709C3" w14:textId="77777777" w:rsidR="000733AF" w:rsidRDefault="000733AF" w:rsidP="000733AF">
      <w:pPr>
        <w:pStyle w:val="Body"/>
      </w:pPr>
      <w:r>
        <w:t xml:space="preserve">Yang, Y., Huang, Z., Wu, Y., Wu, W., Lyu, L., &amp; Li, W. (2023). Effects of nitrogen application level on the physiological characteristics, yield and fruit quality of blackberry. Scientia </w:t>
      </w:r>
      <w:proofErr w:type="spellStart"/>
      <w:r>
        <w:t>Horticulturae</w:t>
      </w:r>
      <w:proofErr w:type="spellEnd"/>
      <w:r>
        <w:t>, 313, 111915. https://doi.org/10.1016/j.scienta.2023.111915</w:t>
      </w:r>
    </w:p>
    <w:p w14:paraId="19B8F24E" w14:textId="6F3E3A14" w:rsidR="00B01FCD" w:rsidRPr="001C2A66" w:rsidRDefault="000733AF" w:rsidP="000733AF">
      <w:pPr>
        <w:pStyle w:val="Body"/>
      </w:pPr>
      <w:r>
        <w:t>Zhao, D., Kane, M., Borders, B., &amp; Harrison, M. (2008). Pine growth response to different site-preparation methods with or without post-plant herbaceous weed control on North Florida’s Lower Coastal Plain. Forest Ecology and Management, 255(7), 2512–2523. https://doi.org/10.1016/j.foreco.2008.01.011.</w:t>
      </w:r>
    </w:p>
    <w:sectPr w:rsidR="00B01FCD" w:rsidRPr="001C2A66" w:rsidSect="00DD5C86">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C4FB7" w14:textId="77777777" w:rsidR="00EE494B" w:rsidRDefault="00EE494B" w:rsidP="00C37E61">
      <w:r>
        <w:separator/>
      </w:r>
    </w:p>
  </w:endnote>
  <w:endnote w:type="continuationSeparator" w:id="0">
    <w:p w14:paraId="61323E8E" w14:textId="77777777" w:rsidR="00EE494B" w:rsidRDefault="00EE494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A1D0" w14:textId="77777777" w:rsidR="00DD5C86" w:rsidRDefault="00DD5C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014C" w14:textId="4DE33E03" w:rsidR="00C37E61" w:rsidRPr="00FA7922" w:rsidRDefault="00C7416E" w:rsidP="00FA7922">
    <w:pPr>
      <w:pStyle w:val="Pieddepage"/>
    </w:pPr>
    <w:r w:rsidRPr="00FA792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B088" w14:textId="2279B989" w:rsidR="00754C9A" w:rsidRPr="00DD5C86" w:rsidRDefault="00754C9A" w:rsidP="00DD5C8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6721" w14:textId="77777777" w:rsidR="00C37E61" w:rsidRPr="00C37E61" w:rsidRDefault="00C37E6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302E1" w14:textId="77777777" w:rsidR="00EE494B" w:rsidRDefault="00EE494B" w:rsidP="00C37E61">
      <w:r>
        <w:separator/>
      </w:r>
    </w:p>
  </w:footnote>
  <w:footnote w:type="continuationSeparator" w:id="0">
    <w:p w14:paraId="0602B6DF" w14:textId="77777777" w:rsidR="00EE494B" w:rsidRDefault="00EE494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6573" w14:textId="0460F0B3" w:rsidR="00DD5C86" w:rsidRDefault="00961A7B">
    <w:pPr>
      <w:pStyle w:val="En-tte"/>
    </w:pPr>
    <w:r>
      <w:rPr>
        <w:noProof/>
      </w:rPr>
      <w:pict w14:anchorId="30C15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8B30" w14:textId="2C821E37" w:rsidR="00DD5C86" w:rsidRDefault="00961A7B">
    <w:pPr>
      <w:pStyle w:val="En-tte"/>
    </w:pPr>
    <w:r>
      <w:rPr>
        <w:noProof/>
      </w:rPr>
      <w:pict w14:anchorId="7138D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FE5C" w14:textId="0EA6F2B0" w:rsidR="00296529" w:rsidRPr="00296529" w:rsidRDefault="00961A7B" w:rsidP="00296529">
    <w:pPr>
      <w:ind w:left="2160"/>
      <w:jc w:val="center"/>
      <w:rPr>
        <w:rFonts w:ascii="Times New Roman" w:eastAsia="Calibri" w:hAnsi="Times New Roman"/>
        <w:i/>
        <w:sz w:val="18"/>
        <w:szCs w:val="22"/>
      </w:rPr>
    </w:pPr>
    <w:r>
      <w:rPr>
        <w:noProof/>
      </w:rPr>
      <w:pict w14:anchorId="6ED22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0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EFDC4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E3376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9D09A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BFEED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3A28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32E539" w14:textId="77777777" w:rsidR="00296529" w:rsidRDefault="00754C9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2DCC" w14:textId="69087D66" w:rsidR="00DD5C86" w:rsidRDefault="00961A7B">
    <w:pPr>
      <w:pStyle w:val="En-tte"/>
    </w:pPr>
    <w:r>
      <w:rPr>
        <w:noProof/>
      </w:rPr>
      <w:pict w14:anchorId="22A9D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1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B8BD" w14:textId="2E5A5A6A" w:rsidR="00DD5C86" w:rsidRDefault="00961A7B">
    <w:pPr>
      <w:pStyle w:val="En-tte"/>
    </w:pPr>
    <w:r>
      <w:rPr>
        <w:noProof/>
      </w:rPr>
      <w:pict w14:anchorId="4A8D6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1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AE4D" w14:textId="2CEB757C" w:rsidR="00DD5C86" w:rsidRDefault="00961A7B">
    <w:pPr>
      <w:pStyle w:val="En-tte"/>
    </w:pPr>
    <w:r>
      <w:rPr>
        <w:noProof/>
      </w:rPr>
      <w:pict w14:anchorId="75392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0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00DCE"/>
    <w:multiLevelType w:val="hybridMultilevel"/>
    <w:tmpl w:val="702221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872791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71780600">
    <w:abstractNumId w:val="15"/>
  </w:num>
  <w:num w:numId="3" w16cid:durableId="2053843588">
    <w:abstractNumId w:val="24"/>
  </w:num>
  <w:num w:numId="4" w16cid:durableId="4595295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59168257">
    <w:abstractNumId w:val="7"/>
  </w:num>
  <w:num w:numId="6" w16cid:durableId="1758600180">
    <w:abstractNumId w:val="6"/>
  </w:num>
  <w:num w:numId="7" w16cid:durableId="1193496516">
    <w:abstractNumId w:val="1"/>
  </w:num>
  <w:num w:numId="8" w16cid:durableId="1494368695">
    <w:abstractNumId w:val="12"/>
  </w:num>
  <w:num w:numId="9" w16cid:durableId="2140955532">
    <w:abstractNumId w:val="26"/>
  </w:num>
  <w:num w:numId="10" w16cid:durableId="1638142385">
    <w:abstractNumId w:val="2"/>
  </w:num>
  <w:num w:numId="11" w16cid:durableId="1601718971">
    <w:abstractNumId w:val="19"/>
  </w:num>
  <w:num w:numId="12" w16cid:durableId="1298218951">
    <w:abstractNumId w:val="3"/>
  </w:num>
  <w:num w:numId="13" w16cid:durableId="601229623">
    <w:abstractNumId w:val="18"/>
  </w:num>
  <w:num w:numId="14" w16cid:durableId="515581194">
    <w:abstractNumId w:val="8"/>
  </w:num>
  <w:num w:numId="15" w16cid:durableId="1914928273">
    <w:abstractNumId w:val="22"/>
  </w:num>
  <w:num w:numId="16" w16cid:durableId="1654484582">
    <w:abstractNumId w:val="5"/>
  </w:num>
  <w:num w:numId="17" w16cid:durableId="1335065682">
    <w:abstractNumId w:val="23"/>
  </w:num>
  <w:num w:numId="18" w16cid:durableId="345986968">
    <w:abstractNumId w:val="14"/>
  </w:num>
  <w:num w:numId="19" w16cid:durableId="1880705174">
    <w:abstractNumId w:val="29"/>
  </w:num>
  <w:num w:numId="20" w16cid:durableId="959067780">
    <w:abstractNumId w:val="11"/>
  </w:num>
  <w:num w:numId="21" w16cid:durableId="683435642">
    <w:abstractNumId w:val="9"/>
  </w:num>
  <w:num w:numId="22" w16cid:durableId="1176067854">
    <w:abstractNumId w:val="13"/>
  </w:num>
  <w:num w:numId="23" w16cid:durableId="1843277725">
    <w:abstractNumId w:val="20"/>
  </w:num>
  <w:num w:numId="24" w16cid:durableId="649099879">
    <w:abstractNumId w:val="27"/>
  </w:num>
  <w:num w:numId="25" w16cid:durableId="373502522">
    <w:abstractNumId w:val="4"/>
  </w:num>
  <w:num w:numId="26" w16cid:durableId="588777943">
    <w:abstractNumId w:val="16"/>
  </w:num>
  <w:num w:numId="27" w16cid:durableId="643777780">
    <w:abstractNumId w:val="21"/>
  </w:num>
  <w:num w:numId="28" w16cid:durableId="1617982720">
    <w:abstractNumId w:val="28"/>
  </w:num>
  <w:num w:numId="29" w16cid:durableId="727536524">
    <w:abstractNumId w:val="25"/>
  </w:num>
  <w:num w:numId="30" w16cid:durableId="285619973">
    <w:abstractNumId w:val="10"/>
  </w:num>
  <w:num w:numId="31" w16cid:durableId="858736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703"/>
    <w:rsid w:val="00030174"/>
    <w:rsid w:val="00032FEE"/>
    <w:rsid w:val="00034053"/>
    <w:rsid w:val="0004579C"/>
    <w:rsid w:val="000733AF"/>
    <w:rsid w:val="000A47FA"/>
    <w:rsid w:val="000A65D3"/>
    <w:rsid w:val="000A7C93"/>
    <w:rsid w:val="000B1E33"/>
    <w:rsid w:val="000D1D5B"/>
    <w:rsid w:val="000D689F"/>
    <w:rsid w:val="000E7B7B"/>
    <w:rsid w:val="000E7D62"/>
    <w:rsid w:val="00100254"/>
    <w:rsid w:val="00103357"/>
    <w:rsid w:val="00104CAF"/>
    <w:rsid w:val="0011476C"/>
    <w:rsid w:val="00123C9F"/>
    <w:rsid w:val="00126190"/>
    <w:rsid w:val="00130F17"/>
    <w:rsid w:val="001320BF"/>
    <w:rsid w:val="0016330A"/>
    <w:rsid w:val="00163BC4"/>
    <w:rsid w:val="00175693"/>
    <w:rsid w:val="00186344"/>
    <w:rsid w:val="00191062"/>
    <w:rsid w:val="00191F58"/>
    <w:rsid w:val="00192B72"/>
    <w:rsid w:val="001A29D8"/>
    <w:rsid w:val="001A5CAA"/>
    <w:rsid w:val="001B0427"/>
    <w:rsid w:val="001B1852"/>
    <w:rsid w:val="001B4D79"/>
    <w:rsid w:val="001C2A66"/>
    <w:rsid w:val="001D3A51"/>
    <w:rsid w:val="001E10D2"/>
    <w:rsid w:val="001E224C"/>
    <w:rsid w:val="001E25B4"/>
    <w:rsid w:val="001E44FE"/>
    <w:rsid w:val="00200595"/>
    <w:rsid w:val="00202177"/>
    <w:rsid w:val="00204835"/>
    <w:rsid w:val="002075A0"/>
    <w:rsid w:val="00211B8D"/>
    <w:rsid w:val="00224A58"/>
    <w:rsid w:val="00231920"/>
    <w:rsid w:val="0023195C"/>
    <w:rsid w:val="00234EB1"/>
    <w:rsid w:val="0024282C"/>
    <w:rsid w:val="002460DC"/>
    <w:rsid w:val="00250985"/>
    <w:rsid w:val="002515E1"/>
    <w:rsid w:val="0025196E"/>
    <w:rsid w:val="002556F6"/>
    <w:rsid w:val="0026009F"/>
    <w:rsid w:val="00283105"/>
    <w:rsid w:val="00284C4C"/>
    <w:rsid w:val="00287E68"/>
    <w:rsid w:val="00296529"/>
    <w:rsid w:val="002A775B"/>
    <w:rsid w:val="002B27FB"/>
    <w:rsid w:val="002B685A"/>
    <w:rsid w:val="002C57D2"/>
    <w:rsid w:val="002E0D56"/>
    <w:rsid w:val="002E30E7"/>
    <w:rsid w:val="00315186"/>
    <w:rsid w:val="003221D8"/>
    <w:rsid w:val="0033343E"/>
    <w:rsid w:val="003512C2"/>
    <w:rsid w:val="0036796E"/>
    <w:rsid w:val="00371FB6"/>
    <w:rsid w:val="003763C1"/>
    <w:rsid w:val="00376BBE"/>
    <w:rsid w:val="0039224F"/>
    <w:rsid w:val="003A43A4"/>
    <w:rsid w:val="003A7E18"/>
    <w:rsid w:val="003C0906"/>
    <w:rsid w:val="003C4C86"/>
    <w:rsid w:val="003C5394"/>
    <w:rsid w:val="003C6258"/>
    <w:rsid w:val="003D0228"/>
    <w:rsid w:val="003E2904"/>
    <w:rsid w:val="00401927"/>
    <w:rsid w:val="0041027F"/>
    <w:rsid w:val="00412475"/>
    <w:rsid w:val="00423789"/>
    <w:rsid w:val="00431CFC"/>
    <w:rsid w:val="004338DB"/>
    <w:rsid w:val="0043431D"/>
    <w:rsid w:val="00440F43"/>
    <w:rsid w:val="00441B6F"/>
    <w:rsid w:val="004455D1"/>
    <w:rsid w:val="0044616F"/>
    <w:rsid w:val="00446221"/>
    <w:rsid w:val="00446B2B"/>
    <w:rsid w:val="00447E88"/>
    <w:rsid w:val="00450E62"/>
    <w:rsid w:val="004539DB"/>
    <w:rsid w:val="00470018"/>
    <w:rsid w:val="004709F1"/>
    <w:rsid w:val="00471A80"/>
    <w:rsid w:val="004851F4"/>
    <w:rsid w:val="004854F2"/>
    <w:rsid w:val="004957DE"/>
    <w:rsid w:val="004B64CD"/>
    <w:rsid w:val="004C1F05"/>
    <w:rsid w:val="004C513F"/>
    <w:rsid w:val="004D305E"/>
    <w:rsid w:val="004D4277"/>
    <w:rsid w:val="004D7F4B"/>
    <w:rsid w:val="004E2656"/>
    <w:rsid w:val="004E3443"/>
    <w:rsid w:val="004F5351"/>
    <w:rsid w:val="00502516"/>
    <w:rsid w:val="00505F06"/>
    <w:rsid w:val="00506828"/>
    <w:rsid w:val="005070EA"/>
    <w:rsid w:val="00516578"/>
    <w:rsid w:val="005165F0"/>
    <w:rsid w:val="0053056E"/>
    <w:rsid w:val="00530B08"/>
    <w:rsid w:val="00533022"/>
    <w:rsid w:val="005504DF"/>
    <w:rsid w:val="00550BF4"/>
    <w:rsid w:val="00554FDA"/>
    <w:rsid w:val="00581BAD"/>
    <w:rsid w:val="00586C19"/>
    <w:rsid w:val="005A1E4A"/>
    <w:rsid w:val="005B6A3C"/>
    <w:rsid w:val="005C331F"/>
    <w:rsid w:val="005C784C"/>
    <w:rsid w:val="005D17F6"/>
    <w:rsid w:val="005E3D46"/>
    <w:rsid w:val="005E5539"/>
    <w:rsid w:val="005E620C"/>
    <w:rsid w:val="00602BF5"/>
    <w:rsid w:val="00615E38"/>
    <w:rsid w:val="00617FDD"/>
    <w:rsid w:val="00633614"/>
    <w:rsid w:val="00633F68"/>
    <w:rsid w:val="00635682"/>
    <w:rsid w:val="00636EB2"/>
    <w:rsid w:val="006375B8"/>
    <w:rsid w:val="0066510A"/>
    <w:rsid w:val="00673F9F"/>
    <w:rsid w:val="00686953"/>
    <w:rsid w:val="006879DB"/>
    <w:rsid w:val="00687DEA"/>
    <w:rsid w:val="00687E67"/>
    <w:rsid w:val="006967F7"/>
    <w:rsid w:val="006A1357"/>
    <w:rsid w:val="006A250C"/>
    <w:rsid w:val="006B21D3"/>
    <w:rsid w:val="006B57D0"/>
    <w:rsid w:val="006D1DA3"/>
    <w:rsid w:val="006D30FF"/>
    <w:rsid w:val="006D5666"/>
    <w:rsid w:val="006D6940"/>
    <w:rsid w:val="006E0745"/>
    <w:rsid w:val="006E6A8E"/>
    <w:rsid w:val="006F11EC"/>
    <w:rsid w:val="006F7CED"/>
    <w:rsid w:val="0070082C"/>
    <w:rsid w:val="00725A00"/>
    <w:rsid w:val="0073180A"/>
    <w:rsid w:val="00732589"/>
    <w:rsid w:val="007369E6"/>
    <w:rsid w:val="00737283"/>
    <w:rsid w:val="00746E59"/>
    <w:rsid w:val="00754C9A"/>
    <w:rsid w:val="0075599A"/>
    <w:rsid w:val="00760DC0"/>
    <w:rsid w:val="00761D52"/>
    <w:rsid w:val="007650E0"/>
    <w:rsid w:val="00773BDB"/>
    <w:rsid w:val="0077749E"/>
    <w:rsid w:val="00790ADA"/>
    <w:rsid w:val="007B45DA"/>
    <w:rsid w:val="007D2288"/>
    <w:rsid w:val="007D3132"/>
    <w:rsid w:val="007E088F"/>
    <w:rsid w:val="007F4A13"/>
    <w:rsid w:val="007F7B32"/>
    <w:rsid w:val="00804BC2"/>
    <w:rsid w:val="008123F6"/>
    <w:rsid w:val="0081431A"/>
    <w:rsid w:val="00821F4B"/>
    <w:rsid w:val="00823F41"/>
    <w:rsid w:val="00824CF9"/>
    <w:rsid w:val="0083216F"/>
    <w:rsid w:val="00844793"/>
    <w:rsid w:val="008456D6"/>
    <w:rsid w:val="008576F3"/>
    <w:rsid w:val="00860000"/>
    <w:rsid w:val="00863BD3"/>
    <w:rsid w:val="008641ED"/>
    <w:rsid w:val="00866D66"/>
    <w:rsid w:val="008671C6"/>
    <w:rsid w:val="00873C16"/>
    <w:rsid w:val="00875803"/>
    <w:rsid w:val="008903AB"/>
    <w:rsid w:val="008A44DD"/>
    <w:rsid w:val="008A6960"/>
    <w:rsid w:val="008B459E"/>
    <w:rsid w:val="008D1039"/>
    <w:rsid w:val="008E13AE"/>
    <w:rsid w:val="008E1506"/>
    <w:rsid w:val="008E710C"/>
    <w:rsid w:val="008F69D6"/>
    <w:rsid w:val="00902823"/>
    <w:rsid w:val="00915CA6"/>
    <w:rsid w:val="00927834"/>
    <w:rsid w:val="00945EB9"/>
    <w:rsid w:val="009500A6"/>
    <w:rsid w:val="00951713"/>
    <w:rsid w:val="00957C18"/>
    <w:rsid w:val="00961A7B"/>
    <w:rsid w:val="009659BA"/>
    <w:rsid w:val="009671D9"/>
    <w:rsid w:val="0097208D"/>
    <w:rsid w:val="00982E97"/>
    <w:rsid w:val="00983040"/>
    <w:rsid w:val="009A61A9"/>
    <w:rsid w:val="009B3FB9"/>
    <w:rsid w:val="009B5157"/>
    <w:rsid w:val="009C2465"/>
    <w:rsid w:val="009C37B3"/>
    <w:rsid w:val="009C74F1"/>
    <w:rsid w:val="009D35A0"/>
    <w:rsid w:val="009D7EB7"/>
    <w:rsid w:val="009E048A"/>
    <w:rsid w:val="009E08E9"/>
    <w:rsid w:val="009E3DB9"/>
    <w:rsid w:val="009E6E35"/>
    <w:rsid w:val="009F0266"/>
    <w:rsid w:val="009F0EDA"/>
    <w:rsid w:val="00A03B96"/>
    <w:rsid w:val="00A05B19"/>
    <w:rsid w:val="00A1134E"/>
    <w:rsid w:val="00A1172A"/>
    <w:rsid w:val="00A24E7E"/>
    <w:rsid w:val="00A258C3"/>
    <w:rsid w:val="00A347C0"/>
    <w:rsid w:val="00A45473"/>
    <w:rsid w:val="00A51431"/>
    <w:rsid w:val="00A539AD"/>
    <w:rsid w:val="00A56B5D"/>
    <w:rsid w:val="00A67924"/>
    <w:rsid w:val="00A87B7A"/>
    <w:rsid w:val="00A94063"/>
    <w:rsid w:val="00AA5BA0"/>
    <w:rsid w:val="00AA6219"/>
    <w:rsid w:val="00AA74E0"/>
    <w:rsid w:val="00AB703F"/>
    <w:rsid w:val="00AC6BB8"/>
    <w:rsid w:val="00AD42F6"/>
    <w:rsid w:val="00AE008F"/>
    <w:rsid w:val="00AE41DD"/>
    <w:rsid w:val="00AF786E"/>
    <w:rsid w:val="00B01FCD"/>
    <w:rsid w:val="00B1776C"/>
    <w:rsid w:val="00B33053"/>
    <w:rsid w:val="00B52583"/>
    <w:rsid w:val="00B52896"/>
    <w:rsid w:val="00B54B81"/>
    <w:rsid w:val="00B76EF0"/>
    <w:rsid w:val="00B905F5"/>
    <w:rsid w:val="00B95236"/>
    <w:rsid w:val="00B96BD9"/>
    <w:rsid w:val="00B97416"/>
    <w:rsid w:val="00BA1B01"/>
    <w:rsid w:val="00BA2641"/>
    <w:rsid w:val="00BB37AA"/>
    <w:rsid w:val="00BB567B"/>
    <w:rsid w:val="00BC53A0"/>
    <w:rsid w:val="00BE62AD"/>
    <w:rsid w:val="00BF121F"/>
    <w:rsid w:val="00BF1F80"/>
    <w:rsid w:val="00C12945"/>
    <w:rsid w:val="00C13FEC"/>
    <w:rsid w:val="00C166EF"/>
    <w:rsid w:val="00C17EB0"/>
    <w:rsid w:val="00C205C8"/>
    <w:rsid w:val="00C27F5F"/>
    <w:rsid w:val="00C30A0F"/>
    <w:rsid w:val="00C37E61"/>
    <w:rsid w:val="00C5284F"/>
    <w:rsid w:val="00C70F1B"/>
    <w:rsid w:val="00C71A47"/>
    <w:rsid w:val="00C7416E"/>
    <w:rsid w:val="00C7464C"/>
    <w:rsid w:val="00C85588"/>
    <w:rsid w:val="00CB4D01"/>
    <w:rsid w:val="00CC4D8D"/>
    <w:rsid w:val="00CD6755"/>
    <w:rsid w:val="00CD6856"/>
    <w:rsid w:val="00CE0089"/>
    <w:rsid w:val="00CE793C"/>
    <w:rsid w:val="00CF193C"/>
    <w:rsid w:val="00D16D4F"/>
    <w:rsid w:val="00D173F1"/>
    <w:rsid w:val="00D30A55"/>
    <w:rsid w:val="00D516E8"/>
    <w:rsid w:val="00D517C8"/>
    <w:rsid w:val="00D72330"/>
    <w:rsid w:val="00D725A0"/>
    <w:rsid w:val="00D74CB0"/>
    <w:rsid w:val="00D8295D"/>
    <w:rsid w:val="00DC2A65"/>
    <w:rsid w:val="00DD44B6"/>
    <w:rsid w:val="00DD5C86"/>
    <w:rsid w:val="00DE15F0"/>
    <w:rsid w:val="00DE5663"/>
    <w:rsid w:val="00DE78AA"/>
    <w:rsid w:val="00E0537C"/>
    <w:rsid w:val="00E053D0"/>
    <w:rsid w:val="00E07EEA"/>
    <w:rsid w:val="00E15994"/>
    <w:rsid w:val="00E3114E"/>
    <w:rsid w:val="00E31A70"/>
    <w:rsid w:val="00E35B02"/>
    <w:rsid w:val="00E66496"/>
    <w:rsid w:val="00E66B35"/>
    <w:rsid w:val="00E66E10"/>
    <w:rsid w:val="00E769F6"/>
    <w:rsid w:val="00E77481"/>
    <w:rsid w:val="00E8407C"/>
    <w:rsid w:val="00E84F3C"/>
    <w:rsid w:val="00EA012C"/>
    <w:rsid w:val="00EA46F3"/>
    <w:rsid w:val="00EC6A55"/>
    <w:rsid w:val="00ED0288"/>
    <w:rsid w:val="00ED7BEA"/>
    <w:rsid w:val="00EE1AF2"/>
    <w:rsid w:val="00EE494B"/>
    <w:rsid w:val="00EE52CB"/>
    <w:rsid w:val="00EE5804"/>
    <w:rsid w:val="00EF581D"/>
    <w:rsid w:val="00EF7FD8"/>
    <w:rsid w:val="00F06F59"/>
    <w:rsid w:val="00F17988"/>
    <w:rsid w:val="00F469F0"/>
    <w:rsid w:val="00F53273"/>
    <w:rsid w:val="00F755E4"/>
    <w:rsid w:val="00F77D02"/>
    <w:rsid w:val="00F87CEC"/>
    <w:rsid w:val="00F9357B"/>
    <w:rsid w:val="00FA6A37"/>
    <w:rsid w:val="00FA7922"/>
    <w:rsid w:val="00FB3A86"/>
    <w:rsid w:val="00FC5A6D"/>
    <w:rsid w:val="00FD36C8"/>
    <w:rsid w:val="00FD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paragraph" w:styleId="Bibliographie">
    <w:name w:val="Bibliography"/>
    <w:basedOn w:val="Normal"/>
    <w:next w:val="Normal"/>
    <w:uiPriority w:val="37"/>
    <w:semiHidden/>
    <w:unhideWhenUsed/>
    <w:rsid w:val="0097208D"/>
  </w:style>
  <w:style w:type="paragraph" w:styleId="Rvision">
    <w:name w:val="Revision"/>
    <w:hidden/>
    <w:uiPriority w:val="99"/>
    <w:semiHidden/>
    <w:rsid w:val="00725A0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9734/ajrcs/2025/v10i1340"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38/s41598-020-73291-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fao.org/faostat/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GOMBO!$E$11</c:f>
              <c:strCache>
                <c:ptCount val="1"/>
                <c:pt idx="0">
                  <c:v>pH</c:v>
                </c:pt>
              </c:strCache>
            </c:strRef>
          </c:tx>
          <c:spPr>
            <a:solidFill>
              <a:schemeClr val="accent2"/>
            </a:solidFill>
            <a:ln>
              <a:noFill/>
            </a:ln>
            <a:effectLst/>
          </c:spPr>
          <c:invertIfNegative val="0"/>
          <c:dPt>
            <c:idx val="1"/>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1-1706-4681-83D7-E5D41E7428F2}"/>
              </c:ext>
            </c:extLst>
          </c:dPt>
          <c:dLbls>
            <c:dLbl>
              <c:idx val="0"/>
              <c:tx>
                <c:rich>
                  <a:bodyPr/>
                  <a:lstStyle/>
                  <a:p>
                    <a:r>
                      <a:rPr lang="en-US" sz="1100" b="1"/>
                      <a:t>a</a:t>
                    </a:r>
                    <a:endParaRPr lang="en-US" b="1"/>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706-4681-83D7-E5D41E7428F2}"/>
                </c:ext>
              </c:extLst>
            </c:dLbl>
            <c:dLbl>
              <c:idx val="1"/>
              <c:tx>
                <c:rich>
                  <a:bodyPr/>
                  <a:lstStyle/>
                  <a:p>
                    <a:r>
                      <a:rPr lang="en-US" sz="1100" b="1"/>
                      <a:t>b</a:t>
                    </a:r>
                    <a:endParaRPr lang="en-US" b="1"/>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706-4681-83D7-E5D41E7428F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GOMBO!$E$17:$E$18</c:f>
                <c:numCache>
                  <c:formatCode>General</c:formatCode>
                  <c:ptCount val="2"/>
                  <c:pt idx="0">
                    <c:v>0.13149778198382939</c:v>
                  </c:pt>
                  <c:pt idx="1">
                    <c:v>0.13133925536563709</c:v>
                  </c:pt>
                </c:numCache>
              </c:numRef>
            </c:plus>
            <c:minus>
              <c:numRef>
                <c:f>GOMBO!$E$17:$E$18</c:f>
                <c:numCache>
                  <c:formatCode>General</c:formatCode>
                  <c:ptCount val="2"/>
                  <c:pt idx="0">
                    <c:v>0.13149778198382939</c:v>
                  </c:pt>
                  <c:pt idx="1">
                    <c:v>0.13133925536563709</c:v>
                  </c:pt>
                </c:numCache>
              </c:numRef>
            </c:minus>
            <c:spPr>
              <a:noFill/>
              <a:ln w="9525" cap="flat" cmpd="sng" algn="ctr">
                <a:solidFill>
                  <a:schemeClr val="tx1">
                    <a:lumMod val="65000"/>
                    <a:lumOff val="35000"/>
                  </a:schemeClr>
                </a:solidFill>
                <a:round/>
              </a:ln>
              <a:effectLst/>
            </c:spPr>
          </c:errBars>
          <c:cat>
            <c:strRef>
              <c:f>GOMBO!$A$12:$A$13</c:f>
              <c:strCache>
                <c:ptCount val="2"/>
                <c:pt idx="0">
                  <c:v>TA</c:v>
                </c:pt>
                <c:pt idx="1">
                  <c:v>PR</c:v>
                </c:pt>
              </c:strCache>
            </c:strRef>
          </c:cat>
          <c:val>
            <c:numRef>
              <c:f>GOMBO!$E$12:$E$13</c:f>
              <c:numCache>
                <c:formatCode>General</c:formatCode>
                <c:ptCount val="2"/>
                <c:pt idx="0">
                  <c:v>5.9624999999999995</c:v>
                </c:pt>
                <c:pt idx="1">
                  <c:v>6.2700000000000005</c:v>
                </c:pt>
              </c:numCache>
            </c:numRef>
          </c:val>
          <c:extLst>
            <c:ext xmlns:c16="http://schemas.microsoft.com/office/drawing/2014/chart" uri="{C3380CC4-5D6E-409C-BE32-E72D297353CC}">
              <c16:uniqueId val="{00000003-1706-4681-83D7-E5D41E7428F2}"/>
            </c:ext>
          </c:extLst>
        </c:ser>
        <c:dLbls>
          <c:dLblPos val="outEnd"/>
          <c:showLegendKey val="0"/>
          <c:showVal val="1"/>
          <c:showCatName val="0"/>
          <c:showSerName val="0"/>
          <c:showPercent val="0"/>
          <c:showBubbleSize val="0"/>
        </c:dLbls>
        <c:gapWidth val="219"/>
        <c:overlap val="-27"/>
        <c:axId val="1658543487"/>
        <c:axId val="1658532447"/>
      </c:barChart>
      <c:catAx>
        <c:axId val="1658543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1658532447"/>
        <c:crosses val="autoZero"/>
        <c:auto val="1"/>
        <c:lblAlgn val="ctr"/>
        <c:lblOffset val="100"/>
        <c:noMultiLvlLbl val="0"/>
      </c:catAx>
      <c:valAx>
        <c:axId val="1658532447"/>
        <c:scaling>
          <c:orientation val="minMax"/>
          <c:min val="4"/>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fr-FR" b="1">
                    <a:solidFill>
                      <a:sysClr val="windowText" lastClr="000000"/>
                    </a:solidFill>
                  </a:rPr>
                  <a:t>Average pH value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658543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GOMBO!$J$11</c:f>
              <c:strCache>
                <c:ptCount val="1"/>
                <c:pt idx="0">
                  <c:v>Rdt (kg)</c:v>
                </c:pt>
              </c:strCache>
            </c:strRef>
          </c:tx>
          <c:spPr>
            <a:solidFill>
              <a:schemeClr val="accent1"/>
            </a:solidFill>
            <a:ln>
              <a:noFill/>
            </a:ln>
            <a:effectLst/>
          </c:spPr>
          <c:invertIfNegative val="0"/>
          <c:dPt>
            <c:idx val="0"/>
            <c:invertIfNegative val="0"/>
            <c:bubble3D val="0"/>
            <c:spPr>
              <a:pattFill prst="wdDnDiag">
                <a:fgClr>
                  <a:schemeClr val="tx1"/>
                </a:fgClr>
                <a:bgClr>
                  <a:schemeClr val="bg1"/>
                </a:bgClr>
              </a:pattFill>
              <a:ln w="12700">
                <a:solidFill>
                  <a:schemeClr val="tx1"/>
                </a:solidFill>
              </a:ln>
              <a:effectLst/>
            </c:spPr>
            <c:extLst>
              <c:ext xmlns:c16="http://schemas.microsoft.com/office/drawing/2014/chart" uri="{C3380CC4-5D6E-409C-BE32-E72D297353CC}">
                <c16:uniqueId val="{00000001-687E-4D1B-A679-CE3CD1C1E028}"/>
              </c:ext>
            </c:extLst>
          </c:dPt>
          <c:dPt>
            <c:idx val="1"/>
            <c:invertIfNegative val="0"/>
            <c:bubble3D val="0"/>
            <c:spPr>
              <a:pattFill prst="zigZag">
                <a:fgClr>
                  <a:schemeClr val="tx1"/>
                </a:fgClr>
                <a:bgClr>
                  <a:schemeClr val="bg1"/>
                </a:bgClr>
              </a:pattFill>
              <a:ln w="12700">
                <a:solidFill>
                  <a:schemeClr val="tx1"/>
                </a:solidFill>
              </a:ln>
              <a:effectLst/>
            </c:spPr>
            <c:extLst>
              <c:ext xmlns:c16="http://schemas.microsoft.com/office/drawing/2014/chart" uri="{C3380CC4-5D6E-409C-BE32-E72D297353CC}">
                <c16:uniqueId val="{00000003-687E-4D1B-A679-CE3CD1C1E028}"/>
              </c:ext>
            </c:extLst>
          </c:dPt>
          <c:dLbls>
            <c:dLbl>
              <c:idx val="0"/>
              <c:tx>
                <c:rich>
                  <a:bodyPr/>
                  <a:lstStyle/>
                  <a:p>
                    <a:r>
                      <a:rPr lang="en-US" sz="1050" b="1">
                        <a:solidFill>
                          <a:sysClr val="windowText" lastClr="000000"/>
                        </a:solidFill>
                      </a:rPr>
                      <a:t>b</a:t>
                    </a:r>
                    <a:endParaRPr lang="en-US" b="1">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87E-4D1B-A679-CE3CD1C1E028}"/>
                </c:ext>
              </c:extLst>
            </c:dLbl>
            <c:dLbl>
              <c:idx val="1"/>
              <c:tx>
                <c:rich>
                  <a:bodyPr/>
                  <a:lstStyle/>
                  <a:p>
                    <a:r>
                      <a:rPr lang="en-US" sz="1050" b="1">
                        <a:solidFill>
                          <a:sysClr val="windowText" lastClr="000000"/>
                        </a:solidFill>
                      </a:rPr>
                      <a:t>a</a:t>
                    </a:r>
                    <a:endParaRPr lang="en-US" b="1">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87E-4D1B-A679-CE3CD1C1E0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fixedVal"/>
            <c:noEndCap val="0"/>
            <c:val val="100"/>
            <c:spPr>
              <a:noFill/>
              <a:ln w="9525" cap="flat" cmpd="sng" algn="ctr">
                <a:solidFill>
                  <a:schemeClr val="tx1">
                    <a:lumMod val="65000"/>
                    <a:lumOff val="35000"/>
                  </a:schemeClr>
                </a:solidFill>
                <a:round/>
              </a:ln>
              <a:effectLst/>
            </c:spPr>
          </c:errBars>
          <c:cat>
            <c:strRef>
              <c:f>GOMBO!$A$12:$A$13</c:f>
              <c:strCache>
                <c:ptCount val="2"/>
                <c:pt idx="0">
                  <c:v>TA</c:v>
                </c:pt>
                <c:pt idx="1">
                  <c:v>PR</c:v>
                </c:pt>
              </c:strCache>
            </c:strRef>
          </c:cat>
          <c:val>
            <c:numRef>
              <c:f>GOMBO!$J$12:$J$13</c:f>
              <c:numCache>
                <c:formatCode>General</c:formatCode>
                <c:ptCount val="2"/>
                <c:pt idx="0">
                  <c:v>2350</c:v>
                </c:pt>
                <c:pt idx="1">
                  <c:v>2752.5</c:v>
                </c:pt>
              </c:numCache>
            </c:numRef>
          </c:val>
          <c:extLst>
            <c:ext xmlns:c16="http://schemas.microsoft.com/office/drawing/2014/chart" uri="{C3380CC4-5D6E-409C-BE32-E72D297353CC}">
              <c16:uniqueId val="{00000004-687E-4D1B-A679-CE3CD1C1E028}"/>
            </c:ext>
          </c:extLst>
        </c:ser>
        <c:dLbls>
          <c:showLegendKey val="0"/>
          <c:showVal val="0"/>
          <c:showCatName val="0"/>
          <c:showSerName val="0"/>
          <c:showPercent val="0"/>
          <c:showBubbleSize val="0"/>
        </c:dLbls>
        <c:gapWidth val="219"/>
        <c:overlap val="-27"/>
        <c:axId val="174280111"/>
        <c:axId val="174281551"/>
      </c:barChart>
      <c:catAx>
        <c:axId val="1742801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174281551"/>
        <c:crosses val="autoZero"/>
        <c:auto val="1"/>
        <c:lblAlgn val="ctr"/>
        <c:lblOffset val="100"/>
        <c:noMultiLvlLbl val="0"/>
      </c:catAx>
      <c:valAx>
        <c:axId val="17428155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100" b="1">
                    <a:solidFill>
                      <a:sysClr val="windowText" lastClr="000000"/>
                    </a:solidFill>
                  </a:rPr>
                  <a:t>Yield </a:t>
                </a:r>
                <a:r>
                  <a:rPr lang="fr-FR" sz="1100" b="1" baseline="0">
                    <a:solidFill>
                      <a:sysClr val="windowText" lastClr="000000"/>
                    </a:solidFill>
                  </a:rPr>
                  <a:t>(Kg/ha)</a:t>
                </a:r>
                <a:endParaRPr lang="fr-FR" sz="11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74280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569F-183F-48FD-9185-08AD4671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529</TotalTime>
  <Pages>7</Pages>
  <Words>10317</Words>
  <Characters>56749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66933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Harouna  OUEDRAOGO (CORAF)</cp:lastModifiedBy>
  <cp:revision>157</cp:revision>
  <cp:lastPrinted>1999-07-06T11:00:00Z</cp:lastPrinted>
  <dcterms:created xsi:type="dcterms:W3CDTF">2014-10-25T14:34:00Z</dcterms:created>
  <dcterms:modified xsi:type="dcterms:W3CDTF">2025-08-19T05:46:00Z</dcterms:modified>
</cp:coreProperties>
</file>