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44311" w14:textId="77777777" w:rsidR="00D10E34" w:rsidRDefault="00D10E34" w:rsidP="00083FAA">
      <w:pPr>
        <w:jc w:val="center"/>
        <w:rPr>
          <w:rFonts w:ascii="Times New Roman" w:hAnsi="Times New Roman" w:cs="Times New Roman"/>
          <w:b/>
          <w:bCs/>
        </w:rPr>
      </w:pPr>
      <w:r w:rsidRPr="00D10E34">
        <w:rPr>
          <w:rFonts w:ascii="Times New Roman" w:hAnsi="Times New Roman" w:cs="Times New Roman"/>
          <w:b/>
          <w:bCs/>
        </w:rPr>
        <w:t>Review Article</w:t>
      </w:r>
    </w:p>
    <w:p w14:paraId="29D8A223" w14:textId="2437E7B0" w:rsidR="00D30137" w:rsidRDefault="00D30137" w:rsidP="00083FAA">
      <w:pPr>
        <w:jc w:val="center"/>
        <w:rPr>
          <w:rFonts w:ascii="Times New Roman" w:hAnsi="Times New Roman" w:cs="Times New Roman"/>
          <w:b/>
          <w:bCs/>
        </w:rPr>
      </w:pPr>
    </w:p>
    <w:p w14:paraId="7FBFB409" w14:textId="77777777" w:rsidR="00D30137" w:rsidRDefault="00D30137" w:rsidP="00083FAA">
      <w:pPr>
        <w:jc w:val="center"/>
        <w:rPr>
          <w:rFonts w:ascii="Times New Roman" w:hAnsi="Times New Roman" w:cs="Times New Roman"/>
          <w:b/>
          <w:bCs/>
        </w:rPr>
      </w:pPr>
    </w:p>
    <w:p w14:paraId="4761BF52" w14:textId="6C57F46F" w:rsidR="00D30137" w:rsidRPr="00AB4312" w:rsidRDefault="00D30137" w:rsidP="00083FAA">
      <w:pPr>
        <w:jc w:val="center"/>
        <w:rPr>
          <w:rFonts w:ascii="Times New Roman" w:hAnsi="Times New Roman" w:cs="Times New Roman"/>
          <w:b/>
          <w:bCs/>
          <w:sz w:val="32"/>
          <w:szCs w:val="32"/>
        </w:rPr>
      </w:pPr>
      <w:r w:rsidRPr="00AB4312">
        <w:rPr>
          <w:rFonts w:ascii="Times New Roman" w:hAnsi="Times New Roman" w:cs="Times New Roman"/>
          <w:b/>
          <w:bCs/>
          <w:sz w:val="32"/>
          <w:szCs w:val="32"/>
          <w:highlight w:val="yellow"/>
        </w:rPr>
        <w:t>A Review of Soil Organic Carbon Dynamics under Regenerative Agricultural Practices</w:t>
      </w:r>
    </w:p>
    <w:p w14:paraId="1F0BECC1" w14:textId="77777777" w:rsidR="001461CD" w:rsidRPr="00AB4312" w:rsidRDefault="001461CD" w:rsidP="00083FAA">
      <w:pPr>
        <w:jc w:val="center"/>
        <w:rPr>
          <w:rFonts w:ascii="Times New Roman" w:hAnsi="Times New Roman" w:cs="Times New Roman"/>
          <w:b/>
          <w:bCs/>
          <w:sz w:val="32"/>
          <w:szCs w:val="32"/>
        </w:rPr>
      </w:pPr>
    </w:p>
    <w:p w14:paraId="69F52302" w14:textId="74412D3A" w:rsidR="00890836" w:rsidRDefault="00EA27E4" w:rsidP="00890836">
      <w:pPr>
        <w:spacing w:line="256" w:lineRule="auto"/>
        <w:jc w:val="center"/>
        <w:rPr>
          <w:rFonts w:ascii="Times New Roman" w:eastAsia="Calibri" w:hAnsi="Times New Roman" w:cs="Times New Roman"/>
        </w:rPr>
      </w:pPr>
      <w:r>
        <w:rPr>
          <w:rFonts w:ascii="Times New Roman" w:eastAsia="Calibri" w:hAnsi="Times New Roman" w:cs="Times New Roman"/>
        </w:rPr>
        <w:t xml:space="preserve"> </w:t>
      </w:r>
    </w:p>
    <w:p w14:paraId="235A0F2D" w14:textId="77777777" w:rsidR="00C94FAB" w:rsidRPr="00890836" w:rsidRDefault="00C94FAB" w:rsidP="00890836">
      <w:pPr>
        <w:spacing w:line="256" w:lineRule="auto"/>
        <w:jc w:val="center"/>
        <w:rPr>
          <w:rFonts w:ascii="Times New Roman" w:eastAsia="Calibri" w:hAnsi="Times New Roman" w:cs="Times New Roman"/>
        </w:rPr>
      </w:pPr>
    </w:p>
    <w:p w14:paraId="4673EEB6" w14:textId="77777777" w:rsidR="006A4B5E" w:rsidRPr="009E1DC1" w:rsidRDefault="006A4B5E" w:rsidP="006A4B5E">
      <w:pPr>
        <w:jc w:val="center"/>
        <w:rPr>
          <w:rFonts w:ascii="Times New Roman" w:hAnsi="Times New Roman" w:cs="Times New Roman"/>
          <w:b/>
          <w:bCs/>
        </w:rPr>
      </w:pPr>
      <w:r w:rsidRPr="009E1DC1">
        <w:rPr>
          <w:rFonts w:ascii="Times New Roman" w:hAnsi="Times New Roman" w:cs="Times New Roman"/>
          <w:b/>
          <w:bCs/>
        </w:rPr>
        <w:t xml:space="preserve">Abstract </w:t>
      </w:r>
    </w:p>
    <w:p w14:paraId="245B6A6A" w14:textId="601A04B6" w:rsidR="006C3677" w:rsidRDefault="009D777C" w:rsidP="006C3677">
      <w:pPr>
        <w:jc w:val="both"/>
        <w:rPr>
          <w:rFonts w:ascii="Times New Roman" w:hAnsi="Times New Roman" w:cs="Times New Roman"/>
        </w:rPr>
      </w:pPr>
      <w:r w:rsidRPr="009E1DC1">
        <w:rPr>
          <w:rFonts w:ascii="Times New Roman" w:hAnsi="Times New Roman" w:cs="Times New Roman"/>
        </w:rPr>
        <w:t>Regenerative agriculture represents a holistic approach to restoring degraded soils and enhancing soil carbon sequestration through ecologically informed land management practices.</w:t>
      </w:r>
      <w:r w:rsidR="00327EB6">
        <w:rPr>
          <w:rFonts w:ascii="Times New Roman" w:hAnsi="Times New Roman" w:cs="Times New Roman"/>
        </w:rPr>
        <w:t xml:space="preserve"> </w:t>
      </w:r>
      <w:r w:rsidR="004B674C" w:rsidRPr="00AB4312">
        <w:rPr>
          <w:rFonts w:ascii="Times New Roman" w:hAnsi="Times New Roman" w:cs="Times New Roman"/>
          <w:highlight w:val="yellow"/>
        </w:rPr>
        <w:t>Unlike conventional systems that often degrade soil over time, regenerative practices aim to increase soil carbon, improve water cycles, and support ecosystem services. The philosophy centres on continuous improvement and resilience, integrating ecological design with production efficiency</w:t>
      </w:r>
      <w:r w:rsidR="004B674C">
        <w:rPr>
          <w:rFonts w:ascii="Times New Roman" w:hAnsi="Times New Roman" w:cs="Times New Roman"/>
          <w:highlight w:val="yellow"/>
        </w:rPr>
        <w:t xml:space="preserve">. </w:t>
      </w:r>
      <w:r w:rsidR="004B674C" w:rsidRPr="00AB4312">
        <w:rPr>
          <w:rFonts w:ascii="Times New Roman" w:hAnsi="Times New Roman" w:cs="Times New Roman"/>
          <w:highlight w:val="yellow"/>
        </w:rPr>
        <w:t>This review explores soil organic carbon dynamics under regenerative agricultural practices.</w:t>
      </w:r>
      <w:r w:rsidR="006C3677">
        <w:rPr>
          <w:rFonts w:ascii="Times New Roman" w:hAnsi="Times New Roman" w:cs="Times New Roman"/>
        </w:rPr>
        <w:t xml:space="preserve"> </w:t>
      </w:r>
      <w:r w:rsidR="00327EB6">
        <w:rPr>
          <w:rFonts w:ascii="Times New Roman" w:hAnsi="Times New Roman" w:cs="Times New Roman"/>
        </w:rPr>
        <w:t>S</w:t>
      </w:r>
      <w:r w:rsidRPr="009E1DC1">
        <w:rPr>
          <w:rFonts w:ascii="Times New Roman" w:hAnsi="Times New Roman" w:cs="Times New Roman"/>
        </w:rPr>
        <w:t xml:space="preserve">cientific evidence on the principles, mechanisms, practices, and outcomes associated with regenerative systems </w:t>
      </w:r>
      <w:r w:rsidR="005B6D5E" w:rsidRPr="00AB4312">
        <w:rPr>
          <w:rFonts w:ascii="Times New Roman" w:hAnsi="Times New Roman" w:cs="Times New Roman"/>
          <w:highlight w:val="yellow"/>
        </w:rPr>
        <w:t>emphasises</w:t>
      </w:r>
      <w:r w:rsidRPr="00AB4312">
        <w:rPr>
          <w:rFonts w:ascii="Times New Roman" w:hAnsi="Times New Roman" w:cs="Times New Roman"/>
          <w:highlight w:val="yellow"/>
        </w:rPr>
        <w:t xml:space="preserve"> </w:t>
      </w:r>
      <w:r w:rsidRPr="009E1DC1">
        <w:rPr>
          <w:rFonts w:ascii="Times New Roman" w:hAnsi="Times New Roman" w:cs="Times New Roman"/>
        </w:rPr>
        <w:t>their role in enhancing soil organic carbon (SOC) across diverse agroecological zones. Key practices</w:t>
      </w:r>
      <w:r w:rsidR="005B6D5E">
        <w:rPr>
          <w:rFonts w:ascii="Times New Roman" w:hAnsi="Times New Roman" w:cs="Times New Roman"/>
        </w:rPr>
        <w:t>,</w:t>
      </w:r>
      <w:r w:rsidRPr="009E1DC1">
        <w:rPr>
          <w:rFonts w:ascii="Times New Roman" w:hAnsi="Times New Roman" w:cs="Times New Roman"/>
        </w:rPr>
        <w:t xml:space="preserve"> including conservation tillage, cover cropping, organic amendments, diversified crop rotations, agroforestry, and managed grazing</w:t>
      </w:r>
      <w:r w:rsidR="005B6D5E">
        <w:rPr>
          <w:rFonts w:ascii="Times New Roman" w:hAnsi="Times New Roman" w:cs="Times New Roman"/>
        </w:rPr>
        <w:t>,</w:t>
      </w:r>
      <w:r w:rsidRPr="009E1DC1">
        <w:rPr>
          <w:rFonts w:ascii="Times New Roman" w:hAnsi="Times New Roman" w:cs="Times New Roman"/>
        </w:rPr>
        <w:t xml:space="preserve"> have demonstrated the capacity to improve SOC through physical protection within soil aggregates, chemical stabili</w:t>
      </w:r>
      <w:r w:rsidR="005B6D5E">
        <w:rPr>
          <w:rFonts w:ascii="Times New Roman" w:hAnsi="Times New Roman" w:cs="Times New Roman"/>
        </w:rPr>
        <w:t>s</w:t>
      </w:r>
      <w:r w:rsidRPr="009E1DC1">
        <w:rPr>
          <w:rFonts w:ascii="Times New Roman" w:hAnsi="Times New Roman" w:cs="Times New Roman"/>
        </w:rPr>
        <w:t xml:space="preserve">ation via mineral associations, and biological </w:t>
      </w:r>
      <w:r w:rsidR="005B6D5E" w:rsidRPr="00AB4312">
        <w:rPr>
          <w:rFonts w:ascii="Times New Roman" w:hAnsi="Times New Roman" w:cs="Times New Roman"/>
          <w:highlight w:val="yellow"/>
        </w:rPr>
        <w:t>stabilisation</w:t>
      </w:r>
      <w:r w:rsidRPr="00AB4312">
        <w:rPr>
          <w:rFonts w:ascii="Times New Roman" w:hAnsi="Times New Roman" w:cs="Times New Roman"/>
          <w:highlight w:val="yellow"/>
        </w:rPr>
        <w:t xml:space="preserve"> </w:t>
      </w:r>
      <w:r w:rsidRPr="009E1DC1">
        <w:rPr>
          <w:rFonts w:ascii="Times New Roman" w:hAnsi="Times New Roman" w:cs="Times New Roman"/>
        </w:rPr>
        <w:t>through microbial processing. Long-term trials and meta-analyses indicate that regenerative practices can sequester carbon at rates ranging from 0.2 to 1.5 Mg C ha⁻¹</w:t>
      </w:r>
      <w:r w:rsidR="005B6D5E">
        <w:rPr>
          <w:rFonts w:ascii="Times New Roman" w:hAnsi="Times New Roman" w:cs="Times New Roman"/>
        </w:rPr>
        <w:t xml:space="preserve"> </w:t>
      </w:r>
      <w:r w:rsidRPr="009E1DC1">
        <w:rPr>
          <w:rFonts w:ascii="Times New Roman" w:hAnsi="Times New Roman" w:cs="Times New Roman"/>
        </w:rPr>
        <w:t xml:space="preserve">yr⁻¹, with notable co-benefits such as improved water retention, enhanced biodiversity, and increased nutrient efficiency. Empirical case studies from semi-arid, humid, and tropical regions confirm that site-specific adaptation of regenerative techniques can yield positive outcomes for both productivity and ecological resilience. Despite these benefits, challenges persist, including high initial </w:t>
      </w:r>
      <w:r w:rsidR="004F1C65" w:rsidRPr="009E1DC1">
        <w:rPr>
          <w:rFonts w:ascii="Times New Roman" w:hAnsi="Times New Roman" w:cs="Times New Roman"/>
        </w:rPr>
        <w:t>labour</w:t>
      </w:r>
      <w:r w:rsidRPr="009E1DC1">
        <w:rPr>
          <w:rFonts w:ascii="Times New Roman" w:hAnsi="Times New Roman" w:cs="Times New Roman"/>
        </w:rPr>
        <w:t xml:space="preserve"> and material costs, limited access to organic inputs, insufficient extension support, and potential short-term yield declines during the transition phase. These constraints underscore the need for integrated policies, farmer-centric research, knowledge-sharing platforms, and financial incentives to facilitate the transition toward regenerative farming. The use of direct carbon measurement methods, remote sensing technologies, and modelling tools such as Century, RothC, and COMET-Farm further supports the quantification and validation of SOC gains. </w:t>
      </w:r>
      <w:r w:rsidR="00327EB6">
        <w:rPr>
          <w:rFonts w:ascii="Times New Roman" w:hAnsi="Times New Roman" w:cs="Times New Roman"/>
        </w:rPr>
        <w:t>W</w:t>
      </w:r>
      <w:r w:rsidRPr="009E1DC1">
        <w:rPr>
          <w:rFonts w:ascii="Times New Roman" w:hAnsi="Times New Roman" w:cs="Times New Roman"/>
        </w:rPr>
        <w:t>idespread adoption of regenerative practices, underpinned by robust empirical data and institutional support, is critical to restoring soil carbon sinks, enhancing agroecosystem services, and ensuring long-term agricultural sustainability under climate variability.</w:t>
      </w:r>
      <w:r w:rsidR="006C3677">
        <w:rPr>
          <w:rFonts w:ascii="Times New Roman" w:hAnsi="Times New Roman" w:cs="Times New Roman"/>
        </w:rPr>
        <w:t xml:space="preserve"> </w:t>
      </w:r>
      <w:r w:rsidR="006C3677" w:rsidRPr="00AB4312">
        <w:rPr>
          <w:rFonts w:ascii="Times New Roman" w:hAnsi="Times New Roman" w:cs="Times New Roman"/>
          <w:highlight w:val="yellow"/>
        </w:rPr>
        <w:t xml:space="preserve">This review emphasised that the </w:t>
      </w:r>
      <w:r w:rsidR="006C3677" w:rsidRPr="006C3677">
        <w:rPr>
          <w:rFonts w:ascii="Times New Roman" w:hAnsi="Times New Roman" w:cs="Times New Roman"/>
          <w:highlight w:val="yellow"/>
        </w:rPr>
        <w:t>i</w:t>
      </w:r>
      <w:r w:rsidR="006C3677" w:rsidRPr="00AB4312">
        <w:rPr>
          <w:rFonts w:ascii="Times New Roman" w:hAnsi="Times New Roman" w:cs="Times New Roman"/>
          <w:highlight w:val="yellow"/>
        </w:rPr>
        <w:t>ntegration of scientific knowledge with policy support, extension services, and market incentives is essential to scale regenerative models. Accelerating their adoption can significantly contribute to carbon neutrality goals, sustainable agriculture, and food security under increasingly variable climatic conditions.</w:t>
      </w:r>
    </w:p>
    <w:p w14:paraId="6899A22B" w14:textId="620E1FD9" w:rsidR="006A4B5E" w:rsidRPr="009E1DC1" w:rsidRDefault="006A4B5E" w:rsidP="009D777C">
      <w:pPr>
        <w:jc w:val="both"/>
        <w:rPr>
          <w:rFonts w:ascii="Times New Roman" w:hAnsi="Times New Roman" w:cs="Times New Roman"/>
        </w:rPr>
      </w:pPr>
    </w:p>
    <w:p w14:paraId="68EF3498" w14:textId="77777777" w:rsidR="006A4B5E" w:rsidRPr="009E1DC1" w:rsidRDefault="009D777C" w:rsidP="009D777C">
      <w:pPr>
        <w:rPr>
          <w:rFonts w:ascii="Times New Roman" w:hAnsi="Times New Roman" w:cs="Times New Roman"/>
          <w:b/>
          <w:bCs/>
        </w:rPr>
      </w:pPr>
      <w:r w:rsidRPr="009E1DC1">
        <w:rPr>
          <w:rFonts w:ascii="Times New Roman" w:hAnsi="Times New Roman" w:cs="Times New Roman"/>
          <w:b/>
          <w:bCs/>
        </w:rPr>
        <w:t xml:space="preserve">Keywords: </w:t>
      </w:r>
      <w:r w:rsidRPr="009E1DC1">
        <w:rPr>
          <w:rFonts w:ascii="Times New Roman" w:hAnsi="Times New Roman" w:cs="Times New Roman"/>
          <w:i/>
          <w:iCs/>
        </w:rPr>
        <w:t>Regeneration, Sequestration, Soil, Carbon, Biodiversity, Agroforestry, Sustainability</w:t>
      </w:r>
    </w:p>
    <w:p w14:paraId="3BC1976A" w14:textId="77777777" w:rsidR="006C1830" w:rsidRPr="006C1830" w:rsidRDefault="006C1830" w:rsidP="006C1830">
      <w:pPr>
        <w:jc w:val="both"/>
        <w:rPr>
          <w:rFonts w:ascii="Times New Roman" w:hAnsi="Times New Roman" w:cs="Times New Roman"/>
        </w:rPr>
      </w:pPr>
      <w:r w:rsidRPr="006C1830">
        <w:rPr>
          <w:rFonts w:ascii="Times New Roman" w:hAnsi="Times New Roman" w:cs="Times New Roman"/>
          <w:b/>
          <w:bCs/>
        </w:rPr>
        <w:t>I. Introduction</w:t>
      </w:r>
    </w:p>
    <w:p w14:paraId="384E4E92" w14:textId="69EE8198" w:rsidR="006C1830" w:rsidRPr="006C1830" w:rsidRDefault="006C1830" w:rsidP="006C1830">
      <w:pPr>
        <w:jc w:val="both"/>
        <w:rPr>
          <w:rFonts w:ascii="Times New Roman" w:hAnsi="Times New Roman" w:cs="Times New Roman"/>
        </w:rPr>
      </w:pPr>
      <w:r w:rsidRPr="006C1830">
        <w:rPr>
          <w:rFonts w:ascii="Times New Roman" w:hAnsi="Times New Roman" w:cs="Times New Roman"/>
        </w:rPr>
        <w:lastRenderedPageBreak/>
        <w:t>Regenerative agriculture is a system of farming principles and practices that focuses on restoring and enhancing the health and vitality of farm</w:t>
      </w:r>
      <w:r w:rsidR="00627498">
        <w:rPr>
          <w:rFonts w:ascii="Times New Roman" w:hAnsi="Times New Roman" w:cs="Times New Roman"/>
        </w:rPr>
        <w:t xml:space="preserve"> soil through natural processes (Khangura </w:t>
      </w:r>
      <w:r w:rsidR="00627498" w:rsidRPr="00627498">
        <w:rPr>
          <w:rFonts w:ascii="Times New Roman" w:hAnsi="Times New Roman" w:cs="Times New Roman"/>
          <w:i/>
        </w:rPr>
        <w:t>et.al.,</w:t>
      </w:r>
      <w:r w:rsidR="00627498">
        <w:rPr>
          <w:rFonts w:ascii="Times New Roman" w:hAnsi="Times New Roman" w:cs="Times New Roman"/>
        </w:rPr>
        <w:t xml:space="preserve"> 2023).</w:t>
      </w:r>
      <w:r w:rsidRPr="006C1830">
        <w:rPr>
          <w:rFonts w:ascii="Times New Roman" w:hAnsi="Times New Roman" w:cs="Times New Roman"/>
        </w:rPr>
        <w:t xml:space="preserve"> It </w:t>
      </w:r>
      <w:r w:rsidR="005B6D5E" w:rsidRPr="00AB4312">
        <w:rPr>
          <w:rFonts w:ascii="Times New Roman" w:hAnsi="Times New Roman" w:cs="Times New Roman"/>
          <w:highlight w:val="yellow"/>
        </w:rPr>
        <w:t>emphasises</w:t>
      </w:r>
      <w:r w:rsidR="005B6D5E" w:rsidRPr="006C1830">
        <w:rPr>
          <w:rFonts w:ascii="Times New Roman" w:hAnsi="Times New Roman" w:cs="Times New Roman"/>
        </w:rPr>
        <w:t xml:space="preserve"> </w:t>
      </w:r>
      <w:r w:rsidRPr="006C1830">
        <w:rPr>
          <w:rFonts w:ascii="Times New Roman" w:hAnsi="Times New Roman" w:cs="Times New Roman"/>
        </w:rPr>
        <w:t xml:space="preserve">biodiversity, organic matter enrichment, reduced tillage, integrated livestock, cover cropping, and agroforestry. </w:t>
      </w:r>
      <w:r w:rsidR="004464EB" w:rsidRPr="00AB4312">
        <w:rPr>
          <w:rFonts w:ascii="Times New Roman" w:hAnsi="Times New Roman" w:cs="Times New Roman"/>
          <w:highlight w:val="yellow"/>
        </w:rPr>
        <w:t>Studies presenting economic issues mentioned that regenerative agriculture creates, e.g. ‘long-term economic sustainability’, ‘improves crop yields’, ‘improves soil productivity’ and ‘political-economic repositioning’ (</w:t>
      </w:r>
      <w:r w:rsidR="004464EB" w:rsidRPr="00DD4A3E">
        <w:rPr>
          <w:rFonts w:ascii="Times New Roman" w:hAnsi="Times New Roman" w:cs="Times New Roman"/>
          <w:highlight w:val="yellow"/>
        </w:rPr>
        <w:t>Schreefel</w:t>
      </w:r>
      <w:r w:rsidR="004464EB">
        <w:rPr>
          <w:rFonts w:ascii="Times New Roman" w:hAnsi="Times New Roman" w:cs="Times New Roman"/>
          <w:highlight w:val="yellow"/>
        </w:rPr>
        <w:t xml:space="preserve"> et al., 2020</w:t>
      </w:r>
      <w:r w:rsidR="004464EB" w:rsidRPr="00AB4312">
        <w:rPr>
          <w:rFonts w:ascii="Times New Roman" w:hAnsi="Times New Roman" w:cs="Times New Roman"/>
          <w:highlight w:val="yellow"/>
        </w:rPr>
        <w:t>).</w:t>
      </w:r>
      <w:r w:rsidR="004464EB">
        <w:rPr>
          <w:rFonts w:ascii="Times New Roman" w:hAnsi="Times New Roman" w:cs="Times New Roman"/>
        </w:rPr>
        <w:t xml:space="preserve"> </w:t>
      </w:r>
      <w:r w:rsidRPr="006C1830">
        <w:rPr>
          <w:rFonts w:ascii="Times New Roman" w:hAnsi="Times New Roman" w:cs="Times New Roman"/>
        </w:rPr>
        <w:t xml:space="preserve">Unlike conventional systems that often degrade soil over time, regenerative practices aim to increase soil carbon, improve water cycles, </w:t>
      </w:r>
      <w:r w:rsidR="00627498">
        <w:rPr>
          <w:rFonts w:ascii="Times New Roman" w:hAnsi="Times New Roman" w:cs="Times New Roman"/>
        </w:rPr>
        <w:t>and support ecosystem services</w:t>
      </w:r>
      <w:r w:rsidRPr="006C1830">
        <w:rPr>
          <w:rFonts w:ascii="Times New Roman" w:hAnsi="Times New Roman" w:cs="Times New Roman"/>
        </w:rPr>
        <w:t xml:space="preserve">. The philosophy </w:t>
      </w:r>
      <w:r w:rsidR="004F1C65" w:rsidRPr="006C1830">
        <w:rPr>
          <w:rFonts w:ascii="Times New Roman" w:hAnsi="Times New Roman" w:cs="Times New Roman"/>
        </w:rPr>
        <w:t>centres</w:t>
      </w:r>
      <w:r w:rsidRPr="006C1830">
        <w:rPr>
          <w:rFonts w:ascii="Times New Roman" w:hAnsi="Times New Roman" w:cs="Times New Roman"/>
        </w:rPr>
        <w:t xml:space="preserve"> on continuous improvement and resilience, integrating ecological design with production efficiency.</w:t>
      </w:r>
      <w:r w:rsidR="00890836">
        <w:rPr>
          <w:rFonts w:ascii="Times New Roman" w:hAnsi="Times New Roman" w:cs="Times New Roman"/>
        </w:rPr>
        <w:t xml:space="preserve"> </w:t>
      </w:r>
      <w:r w:rsidRPr="006C1830">
        <w:rPr>
          <w:rFonts w:ascii="Times New Roman" w:hAnsi="Times New Roman" w:cs="Times New Roman"/>
        </w:rPr>
        <w:t>Soil carbon, particularly soil organic carbon (SOC), plays a central role in soil fertility, structure, water r</w:t>
      </w:r>
      <w:r w:rsidR="00627498">
        <w:rPr>
          <w:rFonts w:ascii="Times New Roman" w:hAnsi="Times New Roman" w:cs="Times New Roman"/>
        </w:rPr>
        <w:t xml:space="preserve">etention, and nutrient cycling (Han </w:t>
      </w:r>
      <w:r w:rsidR="00627498" w:rsidRPr="00627498">
        <w:rPr>
          <w:rFonts w:ascii="Times New Roman" w:hAnsi="Times New Roman" w:cs="Times New Roman"/>
          <w:i/>
        </w:rPr>
        <w:t>et.al.,</w:t>
      </w:r>
      <w:r w:rsidR="00627498">
        <w:rPr>
          <w:rFonts w:ascii="Times New Roman" w:hAnsi="Times New Roman" w:cs="Times New Roman"/>
        </w:rPr>
        <w:t xml:space="preserve"> 2016). </w:t>
      </w:r>
      <w:r w:rsidRPr="006C1830">
        <w:rPr>
          <w:rFonts w:ascii="Times New Roman" w:hAnsi="Times New Roman" w:cs="Times New Roman"/>
        </w:rPr>
        <w:t>It serves as a key indicator of soil health and productivity. SOC acts as a reservoir for essential nutrients like nitrogen and phosphorus, supports microbial activity, and enhances the buffering capacity of soils</w:t>
      </w:r>
      <w:r w:rsidR="00947B44">
        <w:rPr>
          <w:rFonts w:ascii="Times New Roman" w:hAnsi="Times New Roman" w:cs="Times New Roman"/>
        </w:rPr>
        <w:t xml:space="preserve"> </w:t>
      </w:r>
      <w:r w:rsidR="00947B44" w:rsidRPr="00AB4312">
        <w:rPr>
          <w:rFonts w:ascii="Times New Roman" w:hAnsi="Times New Roman" w:cs="Times New Roman"/>
          <w:highlight w:val="yellow"/>
        </w:rPr>
        <w:t>(Rathi et al., 2024)</w:t>
      </w:r>
      <w:r w:rsidRPr="00AB4312">
        <w:rPr>
          <w:rFonts w:ascii="Times New Roman" w:hAnsi="Times New Roman" w:cs="Times New Roman"/>
          <w:highlight w:val="yellow"/>
        </w:rPr>
        <w:t xml:space="preserve">. </w:t>
      </w:r>
      <w:r w:rsidR="007A31CE" w:rsidRPr="00AB4312">
        <w:rPr>
          <w:rFonts w:ascii="Times New Roman" w:hAnsi="Times New Roman" w:cs="Times New Roman"/>
          <w:highlight w:val="yellow"/>
        </w:rPr>
        <w:t>The SOC pool profoundly affects soil productive potential by enhancing its physical, chemical, and biological attributes, thereby contributing to a more fertile and resilient soil ecosystem. Organic amendments, including straw return and manure application, have been put forward as an efficient strategy to enhance soil aggregation, stimulate SOC turnover, and simultaneously boost SOC sequestration</w:t>
      </w:r>
      <w:r w:rsidR="007A31CE" w:rsidRPr="00AB4312">
        <w:rPr>
          <w:rFonts w:ascii="Times New Roman" w:hAnsi="Times New Roman" w:cs="Times New Roman"/>
          <w:highlight w:val="yellow"/>
        </w:rPr>
        <w:t xml:space="preserve"> (</w:t>
      </w:r>
      <w:r w:rsidR="00DD0A08">
        <w:rPr>
          <w:rFonts w:ascii="Times New Roman" w:hAnsi="Times New Roman" w:cs="Times New Roman"/>
          <w:highlight w:val="yellow"/>
        </w:rPr>
        <w:t>Wu et al., 2024</w:t>
      </w:r>
      <w:r w:rsidR="00293E97">
        <w:rPr>
          <w:rFonts w:ascii="Times New Roman" w:hAnsi="Times New Roman" w:cs="Times New Roman"/>
          <w:highlight w:val="yellow"/>
        </w:rPr>
        <w:t xml:space="preserve">; </w:t>
      </w:r>
      <w:r w:rsidR="00293E97" w:rsidRPr="00293E97">
        <w:rPr>
          <w:rFonts w:ascii="Times New Roman" w:hAnsi="Times New Roman" w:cs="Times New Roman"/>
          <w:highlight w:val="yellow"/>
        </w:rPr>
        <w:t>Borah</w:t>
      </w:r>
      <w:r w:rsidR="00293E97">
        <w:rPr>
          <w:rFonts w:ascii="Times New Roman" w:hAnsi="Times New Roman" w:cs="Times New Roman"/>
          <w:highlight w:val="yellow"/>
        </w:rPr>
        <w:t xml:space="preserve"> </w:t>
      </w:r>
      <w:r w:rsidR="00293E97" w:rsidRPr="00293E97">
        <w:rPr>
          <w:rFonts w:ascii="Times New Roman" w:hAnsi="Times New Roman" w:cs="Times New Roman"/>
          <w:highlight w:val="yellow"/>
        </w:rPr>
        <w:t>&amp; Parmar,</w:t>
      </w:r>
      <w:r w:rsidR="00293E97">
        <w:rPr>
          <w:rFonts w:ascii="Times New Roman" w:hAnsi="Times New Roman" w:cs="Times New Roman"/>
          <w:highlight w:val="yellow"/>
        </w:rPr>
        <w:t xml:space="preserve"> </w:t>
      </w:r>
      <w:r w:rsidR="00293E97" w:rsidRPr="00293E97">
        <w:rPr>
          <w:rFonts w:ascii="Times New Roman" w:hAnsi="Times New Roman" w:cs="Times New Roman"/>
          <w:highlight w:val="yellow"/>
        </w:rPr>
        <w:t>2024</w:t>
      </w:r>
      <w:r w:rsidR="007A31CE" w:rsidRPr="00AB4312">
        <w:rPr>
          <w:rFonts w:ascii="Times New Roman" w:hAnsi="Times New Roman" w:cs="Times New Roman"/>
          <w:highlight w:val="yellow"/>
        </w:rPr>
        <w:t>).</w:t>
      </w:r>
      <w:r w:rsidR="007A31CE">
        <w:rPr>
          <w:rFonts w:ascii="Times New Roman" w:hAnsi="Times New Roman" w:cs="Times New Roman"/>
        </w:rPr>
        <w:t xml:space="preserve"> </w:t>
      </w:r>
      <w:r w:rsidRPr="006C1830">
        <w:rPr>
          <w:rFonts w:ascii="Times New Roman" w:hAnsi="Times New Roman" w:cs="Times New Roman"/>
        </w:rPr>
        <w:t xml:space="preserve">Studies report that for every 1% increase in SOC, water holding capacity increases by approximately 20,000–27,000 </w:t>
      </w:r>
      <w:r w:rsidR="005B6D5E" w:rsidRPr="00AB4312">
        <w:rPr>
          <w:rFonts w:ascii="Times New Roman" w:hAnsi="Times New Roman" w:cs="Times New Roman"/>
          <w:highlight w:val="yellow"/>
        </w:rPr>
        <w:t>litres</w:t>
      </w:r>
      <w:r w:rsidR="005B6D5E">
        <w:rPr>
          <w:rFonts w:ascii="Times New Roman" w:hAnsi="Times New Roman" w:cs="Times New Roman"/>
        </w:rPr>
        <w:t xml:space="preserve"> </w:t>
      </w:r>
      <w:r w:rsidR="00627498">
        <w:rPr>
          <w:rFonts w:ascii="Times New Roman" w:hAnsi="Times New Roman" w:cs="Times New Roman"/>
        </w:rPr>
        <w:t>per hectare</w:t>
      </w:r>
      <w:r w:rsidRPr="006C1830">
        <w:rPr>
          <w:rFonts w:ascii="Times New Roman" w:hAnsi="Times New Roman" w:cs="Times New Roman"/>
        </w:rPr>
        <w:t>. Soil carbon also plays a major role in mitigating climate change by acting as a sink for atmospheric carbon dioxide through biological sequestration.</w:t>
      </w:r>
      <w:r w:rsidR="00890836">
        <w:rPr>
          <w:rFonts w:ascii="Times New Roman" w:hAnsi="Times New Roman" w:cs="Times New Roman"/>
        </w:rPr>
        <w:t xml:space="preserve"> </w:t>
      </w:r>
      <w:r w:rsidRPr="006C1830">
        <w:rPr>
          <w:rFonts w:ascii="Times New Roman" w:hAnsi="Times New Roman" w:cs="Times New Roman"/>
        </w:rPr>
        <w:t>Globally, soils have lost between 25–75% of their original carbon stocks due to unsustainable land use, overg</w:t>
      </w:r>
      <w:r w:rsidR="00344F7F">
        <w:rPr>
          <w:rFonts w:ascii="Times New Roman" w:hAnsi="Times New Roman" w:cs="Times New Roman"/>
        </w:rPr>
        <w:t xml:space="preserve">razing, and intensive cropping (Tsegay </w:t>
      </w:r>
      <w:r w:rsidR="00344F7F" w:rsidRPr="00344F7F">
        <w:rPr>
          <w:rFonts w:ascii="Times New Roman" w:hAnsi="Times New Roman" w:cs="Times New Roman"/>
          <w:i/>
        </w:rPr>
        <w:t>et.al.,</w:t>
      </w:r>
      <w:r w:rsidR="00344F7F">
        <w:rPr>
          <w:rFonts w:ascii="Times New Roman" w:hAnsi="Times New Roman" w:cs="Times New Roman"/>
        </w:rPr>
        <w:t xml:space="preserve"> 2021).</w:t>
      </w:r>
      <w:r w:rsidR="00627498">
        <w:rPr>
          <w:rFonts w:ascii="Times New Roman" w:hAnsi="Times New Roman" w:cs="Times New Roman"/>
        </w:rPr>
        <w:t xml:space="preserve"> FAO </w:t>
      </w:r>
      <w:r w:rsidRPr="006C1830">
        <w:rPr>
          <w:rFonts w:ascii="Times New Roman" w:hAnsi="Times New Roman" w:cs="Times New Roman"/>
        </w:rPr>
        <w:t>estimated that 33% of the world’s soils are degraded, with significant carbon loss from the topsoil. The tropical and subtropical regions are particularly vulnerable due to higher decomposition rates and frequent cultivation. India’s average SOC content in cultivated land is below 0.5%, whic</w:t>
      </w:r>
      <w:r w:rsidR="00627498">
        <w:rPr>
          <w:rFonts w:ascii="Times New Roman" w:hAnsi="Times New Roman" w:cs="Times New Roman"/>
        </w:rPr>
        <w:t>h is considered critically low</w:t>
      </w:r>
      <w:r w:rsidRPr="006C1830">
        <w:rPr>
          <w:rFonts w:ascii="Times New Roman" w:hAnsi="Times New Roman" w:cs="Times New Roman"/>
        </w:rPr>
        <w:t>. Intensive monocropping, residue burning, excessive tillage, and low organic matter inputs are lead</w:t>
      </w:r>
      <w:r w:rsidR="00627498">
        <w:rPr>
          <w:rFonts w:ascii="Times New Roman" w:hAnsi="Times New Roman" w:cs="Times New Roman"/>
        </w:rPr>
        <w:t>ing contributors to carbon loss (P</w:t>
      </w:r>
      <w:r w:rsidR="006B02EF">
        <w:rPr>
          <w:rFonts w:ascii="Times New Roman" w:hAnsi="Times New Roman" w:cs="Times New Roman"/>
        </w:rPr>
        <w:t xml:space="preserve">urwanto </w:t>
      </w:r>
      <w:r w:rsidR="006B02EF" w:rsidRPr="006B02EF">
        <w:rPr>
          <w:rFonts w:ascii="Times New Roman" w:hAnsi="Times New Roman" w:cs="Times New Roman"/>
          <w:i/>
        </w:rPr>
        <w:t>et.al.,</w:t>
      </w:r>
      <w:r w:rsidR="006B02EF">
        <w:rPr>
          <w:rFonts w:ascii="Times New Roman" w:hAnsi="Times New Roman" w:cs="Times New Roman"/>
        </w:rPr>
        <w:t xml:space="preserve"> 2020).</w:t>
      </w:r>
      <w:r w:rsidRPr="006C1830">
        <w:rPr>
          <w:rFonts w:ascii="Times New Roman" w:hAnsi="Times New Roman" w:cs="Times New Roman"/>
        </w:rPr>
        <w:t xml:space="preserve"> These depleted soils exhibit reduced productivity, water stress, and vulnerability to erosion.</w:t>
      </w:r>
    </w:p>
    <w:p w14:paraId="2F291659" w14:textId="77777777" w:rsidR="006C1830" w:rsidRPr="006C1830" w:rsidRDefault="006C1830" w:rsidP="006C1830">
      <w:pPr>
        <w:jc w:val="both"/>
        <w:rPr>
          <w:rFonts w:ascii="Times New Roman" w:hAnsi="Times New Roman" w:cs="Times New Roman"/>
        </w:rPr>
      </w:pPr>
      <w:r w:rsidRPr="006C1830">
        <w:rPr>
          <w:rFonts w:ascii="Times New Roman" w:hAnsi="Times New Roman" w:cs="Times New Roman"/>
          <w:b/>
          <w:bCs/>
        </w:rPr>
        <w:t>II. Soil Carbon Dynamics and Degradation</w:t>
      </w:r>
    </w:p>
    <w:p w14:paraId="2F230754" w14:textId="46FB1ACE" w:rsidR="006C1830" w:rsidRPr="006C1830" w:rsidRDefault="006C1830" w:rsidP="006C1830">
      <w:pPr>
        <w:jc w:val="both"/>
        <w:rPr>
          <w:rFonts w:ascii="Times New Roman" w:hAnsi="Times New Roman" w:cs="Times New Roman"/>
        </w:rPr>
      </w:pPr>
      <w:r w:rsidRPr="006C1830">
        <w:rPr>
          <w:rFonts w:ascii="Times New Roman" w:hAnsi="Times New Roman" w:cs="Times New Roman"/>
        </w:rPr>
        <w:t>Soil carbon exists in two major forms: soil organic carbon (SOC) a</w:t>
      </w:r>
      <w:r w:rsidR="006B02EF">
        <w:rPr>
          <w:rFonts w:ascii="Times New Roman" w:hAnsi="Times New Roman" w:cs="Times New Roman"/>
        </w:rPr>
        <w:t xml:space="preserve">nd soil inorganic carbon (SIC) (Mi </w:t>
      </w:r>
      <w:r w:rsidR="006B02EF" w:rsidRPr="006B02EF">
        <w:rPr>
          <w:rFonts w:ascii="Times New Roman" w:hAnsi="Times New Roman" w:cs="Times New Roman"/>
          <w:i/>
        </w:rPr>
        <w:t>et.al.,</w:t>
      </w:r>
      <w:r w:rsidR="006B02EF">
        <w:rPr>
          <w:rFonts w:ascii="Times New Roman" w:hAnsi="Times New Roman" w:cs="Times New Roman"/>
        </w:rPr>
        <w:t xml:space="preserve"> 2008). </w:t>
      </w:r>
      <w:r w:rsidRPr="006C1830">
        <w:rPr>
          <w:rFonts w:ascii="Times New Roman" w:hAnsi="Times New Roman" w:cs="Times New Roman"/>
        </w:rPr>
        <w:t>SOC is derived from decaying plant and animal residues, root exudates, microbial biomass, and organic amendments. It is dynamic, biologically active, and largely responsible for nutrient cycling, soil structure, and moisture regulation. SOC contributes to the formation of humus, a stable fraction essential for long-term soil fertility. SIC comprises carbonates such as calcium and magnesium carbonates, primarily found in arid and semi-arid soils. It is more stable and less responsive to biological processes, but it plays a role in buffering soil pH and inte</w:t>
      </w:r>
      <w:r w:rsidR="00627498">
        <w:rPr>
          <w:rFonts w:ascii="Times New Roman" w:hAnsi="Times New Roman" w:cs="Times New Roman"/>
        </w:rPr>
        <w:t xml:space="preserve">racting with SOC </w:t>
      </w:r>
      <w:r w:rsidR="005B6D5E" w:rsidRPr="00AB4312">
        <w:rPr>
          <w:rFonts w:ascii="Times New Roman" w:hAnsi="Times New Roman" w:cs="Times New Roman"/>
          <w:highlight w:val="yellow"/>
        </w:rPr>
        <w:t>stabilisation</w:t>
      </w:r>
      <w:r w:rsidRPr="006C1830">
        <w:rPr>
          <w:rFonts w:ascii="Times New Roman" w:hAnsi="Times New Roman" w:cs="Times New Roman"/>
        </w:rPr>
        <w:t xml:space="preserve">. SOC dominates in humid and temperate regions, while SIC can constitute up to 50% of total </w:t>
      </w:r>
      <w:r w:rsidR="00627498">
        <w:rPr>
          <w:rFonts w:ascii="Times New Roman" w:hAnsi="Times New Roman" w:cs="Times New Roman"/>
        </w:rPr>
        <w:t>soil carbon in dryland systems.</w:t>
      </w:r>
      <w:r w:rsidR="00890836">
        <w:rPr>
          <w:rFonts w:ascii="Times New Roman" w:hAnsi="Times New Roman" w:cs="Times New Roman"/>
        </w:rPr>
        <w:t xml:space="preserve"> </w:t>
      </w:r>
      <w:r w:rsidRPr="006C1830">
        <w:rPr>
          <w:rFonts w:ascii="Times New Roman" w:hAnsi="Times New Roman" w:cs="Times New Roman"/>
        </w:rPr>
        <w:t>Soil carbon is lost through several physical, chem</w:t>
      </w:r>
      <w:r w:rsidR="006B02EF">
        <w:rPr>
          <w:rFonts w:ascii="Times New Roman" w:hAnsi="Times New Roman" w:cs="Times New Roman"/>
        </w:rPr>
        <w:t xml:space="preserve">ical, and biological processes (Delgado </w:t>
      </w:r>
      <w:r w:rsidR="006B02EF" w:rsidRPr="006B02EF">
        <w:rPr>
          <w:rFonts w:ascii="Times New Roman" w:hAnsi="Times New Roman" w:cs="Times New Roman"/>
          <w:i/>
        </w:rPr>
        <w:t>et.al.,</w:t>
      </w:r>
      <w:r w:rsidR="006B02EF">
        <w:rPr>
          <w:rFonts w:ascii="Times New Roman" w:hAnsi="Times New Roman" w:cs="Times New Roman"/>
        </w:rPr>
        <w:t xml:space="preserve"> 2017). </w:t>
      </w:r>
      <w:r w:rsidRPr="006C1830">
        <w:rPr>
          <w:rFonts w:ascii="Times New Roman" w:hAnsi="Times New Roman" w:cs="Times New Roman"/>
        </w:rPr>
        <w:t xml:space="preserve">The major pathways include microbial decomposition, soil erosion, leaching, and </w:t>
      </w:r>
      <w:r w:rsidR="005B6D5E" w:rsidRPr="00AB4312">
        <w:rPr>
          <w:rFonts w:ascii="Times New Roman" w:hAnsi="Times New Roman" w:cs="Times New Roman"/>
          <w:highlight w:val="yellow"/>
        </w:rPr>
        <w:t>volatilisation</w:t>
      </w:r>
      <w:r w:rsidRPr="006C1830">
        <w:rPr>
          <w:rFonts w:ascii="Times New Roman" w:hAnsi="Times New Roman" w:cs="Times New Roman"/>
        </w:rPr>
        <w:t>. Intensive tillage exposes organic matter to oxygen, accelerating microbial oxidation a</w:t>
      </w:r>
      <w:r w:rsidR="00627498">
        <w:rPr>
          <w:rFonts w:ascii="Times New Roman" w:hAnsi="Times New Roman" w:cs="Times New Roman"/>
        </w:rPr>
        <w:t>nd carbon dioxide release</w:t>
      </w:r>
      <w:r w:rsidRPr="006C1830">
        <w:rPr>
          <w:rFonts w:ascii="Times New Roman" w:hAnsi="Times New Roman" w:cs="Times New Roman"/>
        </w:rPr>
        <w:t>. Erosive forces transport carbon-rich topsoil, leading to permanent loss unless redeposited in stable locations. Decomposition rates increase with temperature and moisture fluctuations, particularly in tropical zones, reducing carbon retention. Carbon losses also occur through leaching of dissolved organic carbon and emissions of greenhouse gases such as CO₂, CH₄, and N₂O from poorly managed soils. Residue burning contributes directly to atmospheric CO₂ while depleting the soil's organic inputs.</w:t>
      </w:r>
      <w:r w:rsidR="00890836">
        <w:rPr>
          <w:rFonts w:ascii="Times New Roman" w:hAnsi="Times New Roman" w:cs="Times New Roman"/>
        </w:rPr>
        <w:t xml:space="preserve"> </w:t>
      </w:r>
      <w:r w:rsidRPr="006C1830">
        <w:rPr>
          <w:rFonts w:ascii="Times New Roman" w:hAnsi="Times New Roman" w:cs="Times New Roman"/>
        </w:rPr>
        <w:t xml:space="preserve">High-input monoculture systems, frequent tillage, and synthetic agrochemical dependency </w:t>
      </w:r>
      <w:r w:rsidR="006B02EF">
        <w:rPr>
          <w:rFonts w:ascii="Times New Roman" w:hAnsi="Times New Roman" w:cs="Times New Roman"/>
        </w:rPr>
        <w:t xml:space="preserve">significantly reduce SOC stocks (Crews </w:t>
      </w:r>
      <w:r w:rsidR="006B02EF" w:rsidRPr="006B02EF">
        <w:rPr>
          <w:rFonts w:ascii="Times New Roman" w:hAnsi="Times New Roman" w:cs="Times New Roman"/>
          <w:i/>
        </w:rPr>
        <w:t>et.al.,</w:t>
      </w:r>
      <w:r w:rsidR="006B02EF">
        <w:rPr>
          <w:rFonts w:ascii="Times New Roman" w:hAnsi="Times New Roman" w:cs="Times New Roman"/>
        </w:rPr>
        <w:t xml:space="preserve"> 2018).</w:t>
      </w:r>
      <w:r w:rsidRPr="006C1830">
        <w:rPr>
          <w:rFonts w:ascii="Times New Roman" w:hAnsi="Times New Roman" w:cs="Times New Roman"/>
        </w:rPr>
        <w:t xml:space="preserve"> Studies have shown that conventional ploughing leads to a 20–60% dec</w:t>
      </w:r>
      <w:r w:rsidR="00627498">
        <w:rPr>
          <w:rFonts w:ascii="Times New Roman" w:hAnsi="Times New Roman" w:cs="Times New Roman"/>
        </w:rPr>
        <w:t xml:space="preserve">line in SOC over a few decades. </w:t>
      </w:r>
      <w:r w:rsidRPr="006C1830">
        <w:rPr>
          <w:rFonts w:ascii="Times New Roman" w:hAnsi="Times New Roman" w:cs="Times New Roman"/>
        </w:rPr>
        <w:t xml:space="preserve">Shallow-rooted annual crops and </w:t>
      </w:r>
      <w:r w:rsidR="005B6D5E" w:rsidRPr="00AB4312">
        <w:rPr>
          <w:rFonts w:ascii="Times New Roman" w:hAnsi="Times New Roman" w:cs="Times New Roman"/>
          <w:highlight w:val="yellow"/>
        </w:rPr>
        <w:t xml:space="preserve">the </w:t>
      </w:r>
      <w:r w:rsidRPr="006C1830">
        <w:rPr>
          <w:rFonts w:ascii="Times New Roman" w:hAnsi="Times New Roman" w:cs="Times New Roman"/>
        </w:rPr>
        <w:t xml:space="preserve">removal of crop residues reduce carbon inputs to the soil. </w:t>
      </w:r>
      <w:r w:rsidR="005B6D5E" w:rsidRPr="00AB4312">
        <w:rPr>
          <w:rFonts w:ascii="Times New Roman" w:hAnsi="Times New Roman" w:cs="Times New Roman"/>
          <w:highlight w:val="yellow"/>
        </w:rPr>
        <w:t>Fertiliser-induced</w:t>
      </w:r>
      <w:r w:rsidRPr="00AB4312">
        <w:rPr>
          <w:rFonts w:ascii="Times New Roman" w:hAnsi="Times New Roman" w:cs="Times New Roman"/>
          <w:highlight w:val="yellow"/>
        </w:rPr>
        <w:t xml:space="preserve"> </w:t>
      </w:r>
      <w:r w:rsidRPr="006C1830">
        <w:rPr>
          <w:rFonts w:ascii="Times New Roman" w:hAnsi="Times New Roman" w:cs="Times New Roman"/>
        </w:rPr>
        <w:t xml:space="preserve">microbial priming often accelerates organic matter breakdown rather than </w:t>
      </w:r>
      <w:r w:rsidRPr="006C1830">
        <w:rPr>
          <w:rFonts w:ascii="Times New Roman" w:hAnsi="Times New Roman" w:cs="Times New Roman"/>
        </w:rPr>
        <w:lastRenderedPageBreak/>
        <w:t>enhancing sequestration. Continuous cropping without organic amendments leads to carbon mining</w:t>
      </w:r>
      <w:r w:rsidR="005B6D5E">
        <w:rPr>
          <w:rFonts w:ascii="Times New Roman" w:hAnsi="Times New Roman" w:cs="Times New Roman"/>
        </w:rPr>
        <w:t xml:space="preserve">, </w:t>
      </w:r>
      <w:r w:rsidRPr="006C1830">
        <w:rPr>
          <w:rFonts w:ascii="Times New Roman" w:hAnsi="Times New Roman" w:cs="Times New Roman"/>
        </w:rPr>
        <w:t>where carbon export exceeds replenishment. The Green Revolution’s input-intensive model has resulted in declining SOC levels in major food-producing belts, und</w:t>
      </w:r>
      <w:r w:rsidR="00627498">
        <w:rPr>
          <w:rFonts w:ascii="Times New Roman" w:hAnsi="Times New Roman" w:cs="Times New Roman"/>
        </w:rPr>
        <w:t>ermining long-term soil health</w:t>
      </w:r>
      <w:r w:rsidRPr="006C1830">
        <w:rPr>
          <w:rFonts w:ascii="Times New Roman" w:hAnsi="Times New Roman" w:cs="Times New Roman"/>
        </w:rPr>
        <w:t>.</w:t>
      </w:r>
      <w:r w:rsidR="00890836">
        <w:rPr>
          <w:rFonts w:ascii="Times New Roman" w:hAnsi="Times New Roman" w:cs="Times New Roman"/>
        </w:rPr>
        <w:t xml:space="preserve"> </w:t>
      </w:r>
      <w:r w:rsidRPr="006C1830">
        <w:rPr>
          <w:rFonts w:ascii="Times New Roman" w:hAnsi="Times New Roman" w:cs="Times New Roman"/>
        </w:rPr>
        <w:t>The depletion of SOC severely impairs soil function. Reduced carbon levels lead to decreased microbial activity, compromised soil aggregation, a</w:t>
      </w:r>
      <w:r w:rsidR="006B02EF">
        <w:rPr>
          <w:rFonts w:ascii="Times New Roman" w:hAnsi="Times New Roman" w:cs="Times New Roman"/>
        </w:rPr>
        <w:t xml:space="preserve">nd lower water holding capacity (Gupta </w:t>
      </w:r>
      <w:r w:rsidR="006B02EF" w:rsidRPr="006B02EF">
        <w:rPr>
          <w:rFonts w:ascii="Times New Roman" w:hAnsi="Times New Roman" w:cs="Times New Roman"/>
          <w:i/>
        </w:rPr>
        <w:t>et.al.,</w:t>
      </w:r>
      <w:r w:rsidR="006B02EF">
        <w:rPr>
          <w:rFonts w:ascii="Times New Roman" w:hAnsi="Times New Roman" w:cs="Times New Roman"/>
        </w:rPr>
        <w:t xml:space="preserve"> 2015).</w:t>
      </w:r>
      <w:r w:rsidRPr="006C1830">
        <w:rPr>
          <w:rFonts w:ascii="Times New Roman" w:hAnsi="Times New Roman" w:cs="Times New Roman"/>
        </w:rPr>
        <w:t xml:space="preserve"> Soils with low SOC are more prone to compaction, crusting, and erosion, decreasing root penetration and nutrient uptake. Yield stability is affected, particularly under rainfed conditions. From a climate perspective, carbon-depleted soils become net emitters of greenhouse gases. </w:t>
      </w:r>
      <w:r w:rsidR="00627498">
        <w:rPr>
          <w:rFonts w:ascii="Times New Roman" w:hAnsi="Times New Roman" w:cs="Times New Roman"/>
        </w:rPr>
        <w:t>H</w:t>
      </w:r>
      <w:r w:rsidRPr="006C1830">
        <w:rPr>
          <w:rFonts w:ascii="Times New Roman" w:hAnsi="Times New Roman" w:cs="Times New Roman"/>
        </w:rPr>
        <w:t>istoric agricultural land conversion has released over 78 Gt of carbon into the atmosphere. Restoring 1 ton of carbon per hectare per year in degraded soils could offset 3.5 billion tons of CO₂ globally, highlighting the mitigation potential of s</w:t>
      </w:r>
      <w:r w:rsidR="00627498">
        <w:rPr>
          <w:rFonts w:ascii="Times New Roman" w:hAnsi="Times New Roman" w:cs="Times New Roman"/>
        </w:rPr>
        <w:t>oil-centric approaches</w:t>
      </w:r>
      <w:r w:rsidRPr="006C1830">
        <w:rPr>
          <w:rFonts w:ascii="Times New Roman" w:hAnsi="Times New Roman" w:cs="Times New Roman"/>
        </w:rPr>
        <w:t xml:space="preserve">. Thus, carbon degradation not only </w:t>
      </w:r>
      <w:r w:rsidR="005B6D5E" w:rsidRPr="00AB4312">
        <w:rPr>
          <w:rFonts w:ascii="Times New Roman" w:hAnsi="Times New Roman" w:cs="Times New Roman"/>
          <w:highlight w:val="yellow"/>
        </w:rPr>
        <w:t xml:space="preserve">jeopardises </w:t>
      </w:r>
      <w:r w:rsidRPr="006C1830">
        <w:rPr>
          <w:rFonts w:ascii="Times New Roman" w:hAnsi="Times New Roman" w:cs="Times New Roman"/>
        </w:rPr>
        <w:t>food security but also exacerbates climate instability.</w:t>
      </w:r>
    </w:p>
    <w:p w14:paraId="6DDCE579" w14:textId="77777777" w:rsidR="006C1830" w:rsidRPr="006C1830" w:rsidRDefault="006C1830" w:rsidP="006C1830">
      <w:pPr>
        <w:jc w:val="both"/>
        <w:rPr>
          <w:rFonts w:ascii="Times New Roman" w:hAnsi="Times New Roman" w:cs="Times New Roman"/>
        </w:rPr>
      </w:pPr>
      <w:r w:rsidRPr="006C1830">
        <w:rPr>
          <w:rFonts w:ascii="Times New Roman" w:hAnsi="Times New Roman" w:cs="Times New Roman"/>
          <w:b/>
          <w:bCs/>
        </w:rPr>
        <w:t>III. Principles of Regenerative Agriculture</w:t>
      </w:r>
    </w:p>
    <w:p w14:paraId="457C4E66" w14:textId="3884E132" w:rsidR="006C1830" w:rsidRPr="006C1830" w:rsidRDefault="006C1830" w:rsidP="006C1830">
      <w:pPr>
        <w:jc w:val="both"/>
        <w:rPr>
          <w:rFonts w:ascii="Times New Roman" w:hAnsi="Times New Roman" w:cs="Times New Roman"/>
        </w:rPr>
      </w:pPr>
      <w:r w:rsidRPr="006C1830">
        <w:rPr>
          <w:rFonts w:ascii="Times New Roman" w:hAnsi="Times New Roman" w:cs="Times New Roman"/>
        </w:rPr>
        <w:t>Regenerative agriculture is grounded in the philosophy of healing the land through biologically driven processes that restore the natur</w:t>
      </w:r>
      <w:r w:rsidR="006B02EF">
        <w:rPr>
          <w:rFonts w:ascii="Times New Roman" w:hAnsi="Times New Roman" w:cs="Times New Roman"/>
        </w:rPr>
        <w:t xml:space="preserve">al functions of agroecosystems (Babaniyi </w:t>
      </w:r>
      <w:r w:rsidR="006B02EF" w:rsidRPr="006B02EF">
        <w:rPr>
          <w:rFonts w:ascii="Times New Roman" w:hAnsi="Times New Roman" w:cs="Times New Roman"/>
          <w:i/>
        </w:rPr>
        <w:t>et.al.,</w:t>
      </w:r>
      <w:r w:rsidR="006B02EF">
        <w:rPr>
          <w:rFonts w:ascii="Times New Roman" w:hAnsi="Times New Roman" w:cs="Times New Roman"/>
        </w:rPr>
        <w:t xml:space="preserve"> 2024). </w:t>
      </w:r>
      <w:r w:rsidRPr="006C1830">
        <w:rPr>
          <w:rFonts w:ascii="Times New Roman" w:hAnsi="Times New Roman" w:cs="Times New Roman"/>
        </w:rPr>
        <w:t>Its foundational goals include rebuilding soil organic matter, enhancing biodiversity, restoring water cycles, increasing nutrient use efficiency, and improving farmer resilience. Unlike extractive farming models that deplete ecological capital, regenerative approaches aim to create a net posi</w:t>
      </w:r>
      <w:r w:rsidR="00627498">
        <w:rPr>
          <w:rFonts w:ascii="Times New Roman" w:hAnsi="Times New Roman" w:cs="Times New Roman"/>
        </w:rPr>
        <w:t>tive impact on the environment</w:t>
      </w:r>
      <w:r w:rsidRPr="006C1830">
        <w:rPr>
          <w:rFonts w:ascii="Times New Roman" w:hAnsi="Times New Roman" w:cs="Times New Roman"/>
        </w:rPr>
        <w:t xml:space="preserve">. Key principles include </w:t>
      </w:r>
      <w:r w:rsidR="005B6D5E" w:rsidRPr="00AB4312">
        <w:rPr>
          <w:rFonts w:ascii="Times New Roman" w:hAnsi="Times New Roman" w:cs="Times New Roman"/>
          <w:highlight w:val="yellow"/>
        </w:rPr>
        <w:t xml:space="preserve">minimising </w:t>
      </w:r>
      <w:r w:rsidRPr="006C1830">
        <w:rPr>
          <w:rFonts w:ascii="Times New Roman" w:hAnsi="Times New Roman" w:cs="Times New Roman"/>
        </w:rPr>
        <w:t xml:space="preserve">soil disturbance, </w:t>
      </w:r>
      <w:r w:rsidR="005B6D5E" w:rsidRPr="00AB4312">
        <w:rPr>
          <w:rFonts w:ascii="Times New Roman" w:hAnsi="Times New Roman" w:cs="Times New Roman"/>
          <w:highlight w:val="yellow"/>
        </w:rPr>
        <w:t xml:space="preserve">maximising </w:t>
      </w:r>
      <w:r w:rsidRPr="006C1830">
        <w:rPr>
          <w:rFonts w:ascii="Times New Roman" w:hAnsi="Times New Roman" w:cs="Times New Roman"/>
        </w:rPr>
        <w:t xml:space="preserve">soil cover through cover crops or mulches, promoting crop diversity, integrating livestock for nutrient recycling, and fostering symbiotic microbial communities. These practices </w:t>
      </w:r>
      <w:r w:rsidR="005B6D5E" w:rsidRPr="00AB4312">
        <w:rPr>
          <w:rFonts w:ascii="Times New Roman" w:hAnsi="Times New Roman" w:cs="Times New Roman"/>
          <w:highlight w:val="yellow"/>
        </w:rPr>
        <w:t xml:space="preserve">prioritise </w:t>
      </w:r>
      <w:r w:rsidRPr="006C1830">
        <w:rPr>
          <w:rFonts w:ascii="Times New Roman" w:hAnsi="Times New Roman" w:cs="Times New Roman"/>
        </w:rPr>
        <w:t>soil health as the central axis of sustainability and productivity, aligning agriculture with natural regenerative cycles.</w:t>
      </w:r>
      <w:r w:rsidR="00890836">
        <w:rPr>
          <w:rFonts w:ascii="Times New Roman" w:hAnsi="Times New Roman" w:cs="Times New Roman"/>
        </w:rPr>
        <w:t xml:space="preserve"> </w:t>
      </w:r>
      <w:r w:rsidRPr="006C1830">
        <w:rPr>
          <w:rFonts w:ascii="Times New Roman" w:hAnsi="Times New Roman" w:cs="Times New Roman"/>
        </w:rPr>
        <w:t xml:space="preserve">Conventional agriculture is typically </w:t>
      </w:r>
      <w:r w:rsidR="005B6D5E" w:rsidRPr="00AB4312">
        <w:rPr>
          <w:rFonts w:ascii="Times New Roman" w:hAnsi="Times New Roman" w:cs="Times New Roman"/>
          <w:highlight w:val="yellow"/>
        </w:rPr>
        <w:t xml:space="preserve">characterised </w:t>
      </w:r>
      <w:r w:rsidRPr="006C1830">
        <w:rPr>
          <w:rFonts w:ascii="Times New Roman" w:hAnsi="Times New Roman" w:cs="Times New Roman"/>
        </w:rPr>
        <w:t xml:space="preserve">by intensive tillage, heavy synthetic input use, monocultures, and </w:t>
      </w:r>
      <w:r w:rsidR="005B6D5E" w:rsidRPr="00AB4312">
        <w:rPr>
          <w:rFonts w:ascii="Times New Roman" w:hAnsi="Times New Roman" w:cs="Times New Roman"/>
          <w:highlight w:val="yellow"/>
        </w:rPr>
        <w:t xml:space="preserve">mechanised </w:t>
      </w:r>
      <w:r w:rsidRPr="006C1830">
        <w:rPr>
          <w:rFonts w:ascii="Times New Roman" w:hAnsi="Times New Roman" w:cs="Times New Roman"/>
        </w:rPr>
        <w:t xml:space="preserve">operations aimed </w:t>
      </w:r>
      <w:r w:rsidR="006B02EF">
        <w:rPr>
          <w:rFonts w:ascii="Times New Roman" w:hAnsi="Times New Roman" w:cs="Times New Roman"/>
        </w:rPr>
        <w:t xml:space="preserve">at </w:t>
      </w:r>
      <w:r w:rsidR="005B6D5E" w:rsidRPr="00AB4312">
        <w:rPr>
          <w:rFonts w:ascii="Times New Roman" w:hAnsi="Times New Roman" w:cs="Times New Roman"/>
          <w:highlight w:val="yellow"/>
        </w:rPr>
        <w:t xml:space="preserve">maximising </w:t>
      </w:r>
      <w:r w:rsidR="006B02EF">
        <w:rPr>
          <w:rFonts w:ascii="Times New Roman" w:hAnsi="Times New Roman" w:cs="Times New Roman"/>
        </w:rPr>
        <w:t xml:space="preserve">short-term yields (Durham </w:t>
      </w:r>
      <w:r w:rsidR="006B02EF" w:rsidRPr="006B02EF">
        <w:rPr>
          <w:rFonts w:ascii="Times New Roman" w:hAnsi="Times New Roman" w:cs="Times New Roman"/>
          <w:i/>
        </w:rPr>
        <w:t>et.al.,</w:t>
      </w:r>
      <w:r w:rsidR="006B02EF">
        <w:rPr>
          <w:rFonts w:ascii="Times New Roman" w:hAnsi="Times New Roman" w:cs="Times New Roman"/>
        </w:rPr>
        <w:t xml:space="preserve"> 2021).</w:t>
      </w:r>
      <w:r w:rsidRPr="006C1830">
        <w:rPr>
          <w:rFonts w:ascii="Times New Roman" w:hAnsi="Times New Roman" w:cs="Times New Roman"/>
        </w:rPr>
        <w:t xml:space="preserve"> This model often leads to degradation of soil organic carbon, water po</w:t>
      </w:r>
      <w:r w:rsidR="00627498">
        <w:rPr>
          <w:rFonts w:ascii="Times New Roman" w:hAnsi="Times New Roman" w:cs="Times New Roman"/>
        </w:rPr>
        <w:t>llution, and biodiversity loss</w:t>
      </w:r>
      <w:r w:rsidRPr="006C1830">
        <w:rPr>
          <w:rFonts w:ascii="Times New Roman" w:hAnsi="Times New Roman" w:cs="Times New Roman"/>
        </w:rPr>
        <w:t>. Conservation agriculture, by contrast, includes principles like minimal tillage, permanent soil cover, and crop rotation to maintain productivity while reducing environmental harm. While it offers significant improvements over conventional practices, conservation agriculture often stops short of actively rebuilding soil function or biodiversity. Regenerative agriculture encompasses conservation agriculture's core tenets but goes beyond by seeking to regenerate rather than merely sustain. For example, while conservation systems may reduce soil loss, regenerative systems aim to increase soil carbon stocks annu</w:t>
      </w:r>
      <w:r w:rsidR="00627498">
        <w:rPr>
          <w:rFonts w:ascii="Times New Roman" w:hAnsi="Times New Roman" w:cs="Times New Roman"/>
        </w:rPr>
        <w:t>ally by 0.2–0.5 Mg C ha⁻¹ yr⁻¹</w:t>
      </w:r>
      <w:r w:rsidR="006B02EF">
        <w:rPr>
          <w:rFonts w:ascii="Times New Roman" w:hAnsi="Times New Roman" w:cs="Times New Roman"/>
        </w:rPr>
        <w:t xml:space="preserve"> (Jordon </w:t>
      </w:r>
      <w:r w:rsidR="006B02EF" w:rsidRPr="006B02EF">
        <w:rPr>
          <w:rFonts w:ascii="Times New Roman" w:hAnsi="Times New Roman" w:cs="Times New Roman"/>
          <w:i/>
        </w:rPr>
        <w:t>et.al.,</w:t>
      </w:r>
      <w:r w:rsidR="006B02EF">
        <w:rPr>
          <w:rFonts w:ascii="Times New Roman" w:hAnsi="Times New Roman" w:cs="Times New Roman"/>
        </w:rPr>
        <w:t xml:space="preserve"> 2022). </w:t>
      </w:r>
      <w:r w:rsidRPr="006C1830">
        <w:rPr>
          <w:rFonts w:ascii="Times New Roman" w:hAnsi="Times New Roman" w:cs="Times New Roman"/>
        </w:rPr>
        <w:t>This makes regenerative agriculture not only a sustainable but also a restorative strategy with a broader environmental and social agenda.</w:t>
      </w:r>
    </w:p>
    <w:p w14:paraId="4CD880E9" w14:textId="5CC02051" w:rsidR="006C1830" w:rsidRPr="006C1830" w:rsidRDefault="006C1830" w:rsidP="006C1830">
      <w:pPr>
        <w:jc w:val="both"/>
        <w:rPr>
          <w:rFonts w:ascii="Times New Roman" w:hAnsi="Times New Roman" w:cs="Times New Roman"/>
        </w:rPr>
      </w:pPr>
      <w:r w:rsidRPr="006C1830">
        <w:rPr>
          <w:rFonts w:ascii="Times New Roman" w:hAnsi="Times New Roman" w:cs="Times New Roman"/>
        </w:rPr>
        <w:br/>
        <w:t xml:space="preserve">Ecological intensification seeks to enhance agricultural productivity by </w:t>
      </w:r>
      <w:r w:rsidR="005B6D5E" w:rsidRPr="00AB4312">
        <w:rPr>
          <w:rFonts w:ascii="Times New Roman" w:hAnsi="Times New Roman" w:cs="Times New Roman"/>
          <w:highlight w:val="yellow"/>
        </w:rPr>
        <w:t>optimising</w:t>
      </w:r>
      <w:r w:rsidR="005B6D5E" w:rsidRPr="006C1830">
        <w:rPr>
          <w:rFonts w:ascii="Times New Roman" w:hAnsi="Times New Roman" w:cs="Times New Roman"/>
        </w:rPr>
        <w:t xml:space="preserve"> </w:t>
      </w:r>
      <w:r w:rsidRPr="006C1830">
        <w:rPr>
          <w:rFonts w:ascii="Times New Roman" w:hAnsi="Times New Roman" w:cs="Times New Roman"/>
        </w:rPr>
        <w:t>ecosystem functions rather than increasing external inputs</w:t>
      </w:r>
      <w:r w:rsidR="006B02EF">
        <w:rPr>
          <w:rFonts w:ascii="Times New Roman" w:hAnsi="Times New Roman" w:cs="Times New Roman"/>
        </w:rPr>
        <w:t xml:space="preserve"> (Bommarco </w:t>
      </w:r>
      <w:r w:rsidR="006B02EF" w:rsidRPr="006B02EF">
        <w:rPr>
          <w:rFonts w:ascii="Times New Roman" w:hAnsi="Times New Roman" w:cs="Times New Roman"/>
          <w:i/>
        </w:rPr>
        <w:t>et.al.,</w:t>
      </w:r>
      <w:r w:rsidR="006B02EF">
        <w:rPr>
          <w:rFonts w:ascii="Times New Roman" w:hAnsi="Times New Roman" w:cs="Times New Roman"/>
        </w:rPr>
        <w:t xml:space="preserve"> 2013).</w:t>
      </w:r>
      <w:r w:rsidRPr="006C1830">
        <w:rPr>
          <w:rFonts w:ascii="Times New Roman" w:hAnsi="Times New Roman" w:cs="Times New Roman"/>
        </w:rPr>
        <w:t xml:space="preserve"> Regenerative agriculture fits this paradigm by leveraging natural processes—such as nutrient cycling, biological pest control, and symbiotic nitrogen fixation—to increase output without com</w:t>
      </w:r>
      <w:r w:rsidR="00627498">
        <w:rPr>
          <w:rFonts w:ascii="Times New Roman" w:hAnsi="Times New Roman" w:cs="Times New Roman"/>
        </w:rPr>
        <w:t>promising ecological integrity</w:t>
      </w:r>
      <w:r w:rsidRPr="006C1830">
        <w:rPr>
          <w:rFonts w:ascii="Times New Roman" w:hAnsi="Times New Roman" w:cs="Times New Roman"/>
        </w:rPr>
        <w:t>. For example, legume-based rotations improve nitrogen availability, while multi-species cover crops reduce erosion and increase biomass input, thus enhancing carbon sequestration. Regenerative systems are inherently more resilient to climate variability due to improved water retention, reduced temperature fluctuations in the root zone, and enhanced biological buffering capacity. A meta-analysis highlighted that healthy soils with high organic matter content can absorb 20–50% more rainfall, reducing runoff and drought stress. Practices like agroforestry, managed grazing, and organic amendments build adaptive capacity by fostering soil–plant–microbe interactions critical for stress tolerance and nutrient efficiency. By realigning agriculture with ecological thresholds, regenerative farming offers a climate-adaptive pathway that improves livelihoods whil</w:t>
      </w:r>
      <w:r w:rsidR="006B02EF">
        <w:rPr>
          <w:rFonts w:ascii="Times New Roman" w:hAnsi="Times New Roman" w:cs="Times New Roman"/>
        </w:rPr>
        <w:t xml:space="preserve">e restoring ecosystem functions (Fuchs </w:t>
      </w:r>
      <w:r w:rsidR="006B02EF" w:rsidRPr="006B02EF">
        <w:rPr>
          <w:rFonts w:ascii="Times New Roman" w:hAnsi="Times New Roman" w:cs="Times New Roman"/>
          <w:i/>
        </w:rPr>
        <w:t>et.al.,</w:t>
      </w:r>
      <w:r w:rsidR="006B02EF">
        <w:rPr>
          <w:rFonts w:ascii="Times New Roman" w:hAnsi="Times New Roman" w:cs="Times New Roman"/>
        </w:rPr>
        <w:t xml:space="preserve"> 2025).</w:t>
      </w:r>
    </w:p>
    <w:p w14:paraId="28D64D07" w14:textId="77777777" w:rsidR="006C1830" w:rsidRPr="006C1830" w:rsidRDefault="006C1830" w:rsidP="006C1830">
      <w:pPr>
        <w:jc w:val="both"/>
        <w:rPr>
          <w:rFonts w:ascii="Times New Roman" w:hAnsi="Times New Roman" w:cs="Times New Roman"/>
        </w:rPr>
      </w:pPr>
      <w:r w:rsidRPr="006C1830">
        <w:rPr>
          <w:rFonts w:ascii="Times New Roman" w:hAnsi="Times New Roman" w:cs="Times New Roman"/>
          <w:b/>
          <w:bCs/>
        </w:rPr>
        <w:lastRenderedPageBreak/>
        <w:t>IV. Key Regenerative Practices for Soil Carbon Enhancement</w:t>
      </w:r>
    </w:p>
    <w:p w14:paraId="4055CBFA" w14:textId="77777777" w:rsidR="006C1830" w:rsidRPr="006C1830" w:rsidRDefault="006C1830" w:rsidP="006C1830">
      <w:pPr>
        <w:jc w:val="both"/>
        <w:rPr>
          <w:rFonts w:ascii="Times New Roman" w:hAnsi="Times New Roman" w:cs="Times New Roman"/>
        </w:rPr>
      </w:pPr>
      <w:r w:rsidRPr="006C1830">
        <w:rPr>
          <w:rFonts w:ascii="Times New Roman" w:hAnsi="Times New Roman" w:cs="Times New Roman"/>
          <w:b/>
          <w:bCs/>
        </w:rPr>
        <w:t>A. Conservation Tillage and Zero Tillage</w:t>
      </w:r>
    </w:p>
    <w:p w14:paraId="420D2923" w14:textId="2FA5007E" w:rsidR="006C1830" w:rsidRPr="006C1830" w:rsidRDefault="006C1830" w:rsidP="006C1830">
      <w:pPr>
        <w:jc w:val="both"/>
        <w:rPr>
          <w:rFonts w:ascii="Times New Roman" w:hAnsi="Times New Roman" w:cs="Times New Roman"/>
        </w:rPr>
      </w:pPr>
      <w:r w:rsidRPr="006C1830">
        <w:rPr>
          <w:rFonts w:ascii="Times New Roman" w:hAnsi="Times New Roman" w:cs="Times New Roman"/>
        </w:rPr>
        <w:t>Conservation tillage and zero tillage minimize mechanical disturbance, preserving soil structure and reduc</w:t>
      </w:r>
      <w:r w:rsidR="006B02EF">
        <w:rPr>
          <w:rFonts w:ascii="Times New Roman" w:hAnsi="Times New Roman" w:cs="Times New Roman"/>
        </w:rPr>
        <w:t xml:space="preserve">ing oxidation of organic matter (Boincean </w:t>
      </w:r>
      <w:r w:rsidR="006B02EF" w:rsidRPr="006B02EF">
        <w:rPr>
          <w:rFonts w:ascii="Times New Roman" w:hAnsi="Times New Roman" w:cs="Times New Roman"/>
          <w:i/>
        </w:rPr>
        <w:t>et.al.,</w:t>
      </w:r>
      <w:r w:rsidR="006B02EF">
        <w:rPr>
          <w:rFonts w:ascii="Times New Roman" w:hAnsi="Times New Roman" w:cs="Times New Roman"/>
        </w:rPr>
        <w:t xml:space="preserve"> 2019).</w:t>
      </w:r>
      <w:r w:rsidRPr="006C1830">
        <w:rPr>
          <w:rFonts w:ascii="Times New Roman" w:hAnsi="Times New Roman" w:cs="Times New Roman"/>
        </w:rPr>
        <w:t xml:space="preserve"> Zero tillage leaves at least 30% of the soil surface covered with crop residues, limiting erosion and promoting organic carbon retention in the topsoil. Studies report that zero tillage systems can increase SOC content by 0.15–0.30 Mg C ha⁻¹ </w:t>
      </w:r>
      <w:r w:rsidR="00627498">
        <w:rPr>
          <w:rFonts w:ascii="Times New Roman" w:hAnsi="Times New Roman" w:cs="Times New Roman"/>
        </w:rPr>
        <w:t>yr⁻¹ over conventional tillage</w:t>
      </w:r>
      <w:r w:rsidRPr="006C1830">
        <w:rPr>
          <w:rFonts w:ascii="Times New Roman" w:hAnsi="Times New Roman" w:cs="Times New Roman"/>
        </w:rPr>
        <w:t>. Soil microbial communities benefit from retained residues, which serve as continuous organic inputs.</w:t>
      </w:r>
      <w:r w:rsidR="00890836">
        <w:rPr>
          <w:rFonts w:ascii="Times New Roman" w:hAnsi="Times New Roman" w:cs="Times New Roman"/>
        </w:rPr>
        <w:t xml:space="preserve"> </w:t>
      </w:r>
      <w:r w:rsidRPr="006C1830">
        <w:rPr>
          <w:rFonts w:ascii="Times New Roman" w:hAnsi="Times New Roman" w:cs="Times New Roman"/>
        </w:rPr>
        <w:t>Minimal disturbance under zero tillage enhances the stability of soil aggregates a</w:t>
      </w:r>
      <w:r w:rsidR="006B02EF">
        <w:rPr>
          <w:rFonts w:ascii="Times New Roman" w:hAnsi="Times New Roman" w:cs="Times New Roman"/>
        </w:rPr>
        <w:t xml:space="preserve">nd supports beneficial microbes (Lupwayi </w:t>
      </w:r>
      <w:r w:rsidR="006B02EF" w:rsidRPr="006B02EF">
        <w:rPr>
          <w:rFonts w:ascii="Times New Roman" w:hAnsi="Times New Roman" w:cs="Times New Roman"/>
          <w:i/>
        </w:rPr>
        <w:t>et.al.,</w:t>
      </w:r>
      <w:r w:rsidR="006B02EF">
        <w:rPr>
          <w:rFonts w:ascii="Times New Roman" w:hAnsi="Times New Roman" w:cs="Times New Roman"/>
        </w:rPr>
        <w:t xml:space="preserve"> 2001).</w:t>
      </w:r>
      <w:r w:rsidRPr="006C1830">
        <w:rPr>
          <w:rFonts w:ascii="Times New Roman" w:hAnsi="Times New Roman" w:cs="Times New Roman"/>
        </w:rPr>
        <w:t xml:space="preserve"> Aggregates physically protect organic carbon from decomposition by isolating it from microbial access. Microbial biomass carbon has been observed to increase by 20–30% under long-term zero-tillage systems co</w:t>
      </w:r>
      <w:r w:rsidR="00627498">
        <w:rPr>
          <w:rFonts w:ascii="Times New Roman" w:hAnsi="Times New Roman" w:cs="Times New Roman"/>
        </w:rPr>
        <w:t>mpared to conventional systems</w:t>
      </w:r>
      <w:r w:rsidRPr="006C1830">
        <w:rPr>
          <w:rFonts w:ascii="Times New Roman" w:hAnsi="Times New Roman" w:cs="Times New Roman"/>
        </w:rPr>
        <w:t>. Improved aggregation also increases water infiltration and reduces runoff, enabling deeper root penetration and enhancing below-ground carbon inputs.</w:t>
      </w:r>
    </w:p>
    <w:p w14:paraId="0DF00400" w14:textId="77777777" w:rsidR="006C1830" w:rsidRPr="006C1830" w:rsidRDefault="006C1830" w:rsidP="006C1830">
      <w:pPr>
        <w:jc w:val="both"/>
        <w:rPr>
          <w:rFonts w:ascii="Times New Roman" w:hAnsi="Times New Roman" w:cs="Times New Roman"/>
        </w:rPr>
      </w:pPr>
      <w:r w:rsidRPr="006C1830">
        <w:rPr>
          <w:rFonts w:ascii="Times New Roman" w:hAnsi="Times New Roman" w:cs="Times New Roman"/>
          <w:b/>
          <w:bCs/>
        </w:rPr>
        <w:t>B. Cover Cropping and Green Manuring</w:t>
      </w:r>
    </w:p>
    <w:p w14:paraId="740E09F6" w14:textId="6C1F14CA" w:rsidR="006C1830" w:rsidRPr="006C1830" w:rsidRDefault="006C1830" w:rsidP="006C1830">
      <w:pPr>
        <w:jc w:val="both"/>
        <w:rPr>
          <w:rFonts w:ascii="Times New Roman" w:hAnsi="Times New Roman" w:cs="Times New Roman"/>
        </w:rPr>
      </w:pPr>
      <w:r w:rsidRPr="006C1830">
        <w:rPr>
          <w:rFonts w:ascii="Times New Roman" w:hAnsi="Times New Roman" w:cs="Times New Roman"/>
        </w:rPr>
        <w:t xml:space="preserve">Cover crops such as legumes, grasses, and brassicas provide living roots that deposit </w:t>
      </w:r>
      <w:r w:rsidR="006B02EF">
        <w:rPr>
          <w:rFonts w:ascii="Times New Roman" w:hAnsi="Times New Roman" w:cs="Times New Roman"/>
        </w:rPr>
        <w:t xml:space="preserve">carbon via exudates and biomass (Wendling </w:t>
      </w:r>
      <w:r w:rsidR="006B02EF" w:rsidRPr="006B02EF">
        <w:rPr>
          <w:rFonts w:ascii="Times New Roman" w:hAnsi="Times New Roman" w:cs="Times New Roman"/>
          <w:i/>
        </w:rPr>
        <w:t>et.al.,</w:t>
      </w:r>
      <w:r w:rsidR="006B02EF">
        <w:rPr>
          <w:rFonts w:ascii="Times New Roman" w:hAnsi="Times New Roman" w:cs="Times New Roman"/>
        </w:rPr>
        <w:t xml:space="preserve"> 2016).</w:t>
      </w:r>
      <w:r w:rsidRPr="006C1830">
        <w:rPr>
          <w:rFonts w:ascii="Times New Roman" w:hAnsi="Times New Roman" w:cs="Times New Roman"/>
        </w:rPr>
        <w:t xml:space="preserve"> They contribute significantly to belowground carbon pools. Hairy vetch and rye, for example, can add 1.5 to 4.5 Mg of biomass per hectare, contributing substantial organic matter to the s</w:t>
      </w:r>
      <w:r w:rsidR="00627498">
        <w:rPr>
          <w:rFonts w:ascii="Times New Roman" w:hAnsi="Times New Roman" w:cs="Times New Roman"/>
        </w:rPr>
        <w:t>oil</w:t>
      </w:r>
      <w:r w:rsidRPr="006C1830">
        <w:rPr>
          <w:rFonts w:ascii="Times New Roman" w:hAnsi="Times New Roman" w:cs="Times New Roman"/>
        </w:rPr>
        <w:t>. Root exudates also stimulate microbial activity and promote carbon stabilization through microbial necromass.</w:t>
      </w:r>
      <w:r w:rsidR="00890836">
        <w:rPr>
          <w:rFonts w:ascii="Times New Roman" w:hAnsi="Times New Roman" w:cs="Times New Roman"/>
        </w:rPr>
        <w:t xml:space="preserve"> </w:t>
      </w:r>
      <w:r w:rsidRPr="006C1830">
        <w:rPr>
          <w:rFonts w:ascii="Times New Roman" w:hAnsi="Times New Roman" w:cs="Times New Roman"/>
        </w:rPr>
        <w:t>The effectiveness of cover crops depends on seasonal compatibility, biomass produc</w:t>
      </w:r>
      <w:r w:rsidR="006B02EF">
        <w:rPr>
          <w:rFonts w:ascii="Times New Roman" w:hAnsi="Times New Roman" w:cs="Times New Roman"/>
        </w:rPr>
        <w:t xml:space="preserve">tivity, and termination methods (Wortman </w:t>
      </w:r>
      <w:r w:rsidR="006B02EF" w:rsidRPr="006B02EF">
        <w:rPr>
          <w:rFonts w:ascii="Times New Roman" w:hAnsi="Times New Roman" w:cs="Times New Roman"/>
          <w:i/>
        </w:rPr>
        <w:t>et.al.,</w:t>
      </w:r>
      <w:r w:rsidR="006B02EF">
        <w:rPr>
          <w:rFonts w:ascii="Times New Roman" w:hAnsi="Times New Roman" w:cs="Times New Roman"/>
        </w:rPr>
        <w:t xml:space="preserve"> 2012).</w:t>
      </w:r>
      <w:r w:rsidRPr="006C1830">
        <w:rPr>
          <w:rFonts w:ascii="Times New Roman" w:hAnsi="Times New Roman" w:cs="Times New Roman"/>
        </w:rPr>
        <w:t xml:space="preserve"> Diverse mixtures with legumes (e.g., clover), cereals (e.g., rye), and crucifers (e.g., radish) enhance the functional diversity of soil microbial communities. Multi-species cover crops have been shown to sequester more carbon than monocultures, with incre</w:t>
      </w:r>
      <w:r w:rsidR="00627498">
        <w:rPr>
          <w:rFonts w:ascii="Times New Roman" w:hAnsi="Times New Roman" w:cs="Times New Roman"/>
        </w:rPr>
        <w:t>ases of 0.2–0.4 Mg C ha⁻¹ yr⁻¹</w:t>
      </w:r>
      <w:r w:rsidRPr="006C1830">
        <w:rPr>
          <w:rFonts w:ascii="Times New Roman" w:hAnsi="Times New Roman" w:cs="Times New Roman"/>
        </w:rPr>
        <w:t>.</w:t>
      </w:r>
    </w:p>
    <w:p w14:paraId="59A110CF" w14:textId="77777777" w:rsidR="006C1830" w:rsidRPr="006C1830" w:rsidRDefault="006C1830" w:rsidP="006C1830">
      <w:pPr>
        <w:jc w:val="both"/>
        <w:rPr>
          <w:rFonts w:ascii="Times New Roman" w:hAnsi="Times New Roman" w:cs="Times New Roman"/>
        </w:rPr>
      </w:pPr>
      <w:r w:rsidRPr="006C1830">
        <w:rPr>
          <w:rFonts w:ascii="Times New Roman" w:hAnsi="Times New Roman" w:cs="Times New Roman"/>
          <w:b/>
          <w:bCs/>
        </w:rPr>
        <w:t>C. Organic Amendments (Compost, Farmyard Manure, Biochar)</w:t>
      </w:r>
    </w:p>
    <w:p w14:paraId="39A23329" w14:textId="6C420482" w:rsidR="006C1830" w:rsidRPr="006C1830" w:rsidRDefault="006C1830" w:rsidP="006C1830">
      <w:pPr>
        <w:jc w:val="both"/>
        <w:rPr>
          <w:rFonts w:ascii="Times New Roman" w:hAnsi="Times New Roman" w:cs="Times New Roman"/>
        </w:rPr>
      </w:pPr>
      <w:r w:rsidRPr="006C1830">
        <w:rPr>
          <w:rFonts w:ascii="Times New Roman" w:hAnsi="Times New Roman" w:cs="Times New Roman"/>
        </w:rPr>
        <w:t>The application of compost, farmyard manure (FYM), and biochar enhances SOC levels by supplying stable organic substrates. These materials decompose at different rates; FYM provides labile carbon, while compost and biochar contribute more stable fractions. FYM can increase SOC by 0.12–0.25 Mg C ha⁻¹ yr⁻¹ depending on applicatio</w:t>
      </w:r>
      <w:r w:rsidR="00627498">
        <w:rPr>
          <w:rFonts w:ascii="Times New Roman" w:hAnsi="Times New Roman" w:cs="Times New Roman"/>
        </w:rPr>
        <w:t>n rate and climatic conditions</w:t>
      </w:r>
      <w:r w:rsidRPr="006C1830">
        <w:rPr>
          <w:rFonts w:ascii="Times New Roman" w:hAnsi="Times New Roman" w:cs="Times New Roman"/>
        </w:rPr>
        <w:t>.</w:t>
      </w:r>
      <w:r w:rsidR="00890836">
        <w:rPr>
          <w:rFonts w:ascii="Times New Roman" w:hAnsi="Times New Roman" w:cs="Times New Roman"/>
        </w:rPr>
        <w:t xml:space="preserve"> </w:t>
      </w:r>
      <w:r w:rsidRPr="006C1830">
        <w:rPr>
          <w:rFonts w:ascii="Times New Roman" w:hAnsi="Times New Roman" w:cs="Times New Roman"/>
        </w:rPr>
        <w:t xml:space="preserve">Biochar, a product of </w:t>
      </w:r>
      <w:r w:rsidR="005B6D5E" w:rsidRPr="00AB4312">
        <w:rPr>
          <w:rFonts w:ascii="Times New Roman" w:hAnsi="Times New Roman" w:cs="Times New Roman"/>
          <w:highlight w:val="yellow"/>
        </w:rPr>
        <w:t>pyrolysed</w:t>
      </w:r>
      <w:r w:rsidR="005B6D5E" w:rsidRPr="006C1830">
        <w:rPr>
          <w:rFonts w:ascii="Times New Roman" w:hAnsi="Times New Roman" w:cs="Times New Roman"/>
        </w:rPr>
        <w:t xml:space="preserve"> </w:t>
      </w:r>
      <w:r w:rsidRPr="006C1830">
        <w:rPr>
          <w:rFonts w:ascii="Times New Roman" w:hAnsi="Times New Roman" w:cs="Times New Roman"/>
        </w:rPr>
        <w:t>biomass, offers long-term stability due t</w:t>
      </w:r>
      <w:r w:rsidR="0012442F">
        <w:rPr>
          <w:rFonts w:ascii="Times New Roman" w:hAnsi="Times New Roman" w:cs="Times New Roman"/>
        </w:rPr>
        <w:t xml:space="preserve">o its aromatic carbon structure (Leng </w:t>
      </w:r>
      <w:r w:rsidR="0012442F" w:rsidRPr="0012442F">
        <w:rPr>
          <w:rFonts w:ascii="Times New Roman" w:hAnsi="Times New Roman" w:cs="Times New Roman"/>
          <w:i/>
        </w:rPr>
        <w:t xml:space="preserve">et.al., </w:t>
      </w:r>
      <w:r w:rsidR="0012442F">
        <w:rPr>
          <w:rFonts w:ascii="Times New Roman" w:hAnsi="Times New Roman" w:cs="Times New Roman"/>
        </w:rPr>
        <w:t>2019).</w:t>
      </w:r>
      <w:r w:rsidRPr="006C1830">
        <w:rPr>
          <w:rFonts w:ascii="Times New Roman" w:hAnsi="Times New Roman" w:cs="Times New Roman"/>
        </w:rPr>
        <w:t xml:space="preserve"> </w:t>
      </w:r>
      <w:r w:rsidR="005B6D5E" w:rsidRPr="00AB4312">
        <w:rPr>
          <w:rFonts w:ascii="Times New Roman" w:hAnsi="Times New Roman" w:cs="Times New Roman"/>
          <w:highlight w:val="yellow"/>
        </w:rPr>
        <w:t xml:space="preserve">It means the </w:t>
      </w:r>
      <w:r w:rsidRPr="006C1830">
        <w:rPr>
          <w:rFonts w:ascii="Times New Roman" w:hAnsi="Times New Roman" w:cs="Times New Roman"/>
        </w:rPr>
        <w:t>residence time in soil exceeds 100 years. A meta-analysis indicated that biochar-amended soils showed a 10–50% increase in total SOC. Compost and FYM also contribute to microbial biomass and humic substance formation, essential for carbon sequestration and nutrient retention.</w:t>
      </w:r>
    </w:p>
    <w:p w14:paraId="1E918C2E" w14:textId="77777777" w:rsidR="006C1830" w:rsidRPr="006C1830" w:rsidRDefault="006C1830" w:rsidP="006C1830">
      <w:pPr>
        <w:jc w:val="both"/>
        <w:rPr>
          <w:rFonts w:ascii="Times New Roman" w:hAnsi="Times New Roman" w:cs="Times New Roman"/>
        </w:rPr>
      </w:pPr>
      <w:r w:rsidRPr="006C1830">
        <w:rPr>
          <w:rFonts w:ascii="Times New Roman" w:hAnsi="Times New Roman" w:cs="Times New Roman"/>
          <w:b/>
          <w:bCs/>
        </w:rPr>
        <w:t>D. Crop Rotation and Polyculture Systems</w:t>
      </w:r>
    </w:p>
    <w:p w14:paraId="44BDEC15" w14:textId="677B451B" w:rsidR="006C1830" w:rsidRPr="006C1830" w:rsidRDefault="006C1830" w:rsidP="006C1830">
      <w:pPr>
        <w:jc w:val="both"/>
        <w:rPr>
          <w:rFonts w:ascii="Times New Roman" w:hAnsi="Times New Roman" w:cs="Times New Roman"/>
        </w:rPr>
      </w:pPr>
      <w:r w:rsidRPr="006C1830">
        <w:rPr>
          <w:rFonts w:ascii="Times New Roman" w:hAnsi="Times New Roman" w:cs="Times New Roman"/>
        </w:rPr>
        <w:t xml:space="preserve">Rotating crops with varying root architectures and growth periods enhances carbon allocation both vertically and horizontally in soil. Deep-rooted crops like pigeon pea and maize contribute to deeper carbon deposition, while shallow-rooted legumes enrich the topsoil. Crop rotations have </w:t>
      </w:r>
      <w:r w:rsidR="005B6D5E" w:rsidRPr="00AB4312">
        <w:rPr>
          <w:rFonts w:ascii="Times New Roman" w:hAnsi="Times New Roman" w:cs="Times New Roman"/>
          <w:highlight w:val="yellow"/>
        </w:rPr>
        <w:t xml:space="preserve">been </w:t>
      </w:r>
      <w:r w:rsidRPr="006C1830">
        <w:rPr>
          <w:rFonts w:ascii="Times New Roman" w:hAnsi="Times New Roman" w:cs="Times New Roman"/>
        </w:rPr>
        <w:t>shown to increase SOC by 5–15</w:t>
      </w:r>
      <w:r w:rsidR="00627498">
        <w:rPr>
          <w:rFonts w:ascii="Times New Roman" w:hAnsi="Times New Roman" w:cs="Times New Roman"/>
        </w:rPr>
        <w:t>% over continuous monocropping</w:t>
      </w:r>
      <w:r w:rsidRPr="006C1830">
        <w:rPr>
          <w:rFonts w:ascii="Times New Roman" w:hAnsi="Times New Roman" w:cs="Times New Roman"/>
        </w:rPr>
        <w:t>.</w:t>
      </w:r>
      <w:r w:rsidR="00890836">
        <w:rPr>
          <w:rFonts w:ascii="Times New Roman" w:hAnsi="Times New Roman" w:cs="Times New Roman"/>
        </w:rPr>
        <w:t xml:space="preserve"> </w:t>
      </w:r>
      <w:r w:rsidRPr="006C1830">
        <w:rPr>
          <w:rFonts w:ascii="Times New Roman" w:hAnsi="Times New Roman" w:cs="Times New Roman"/>
        </w:rPr>
        <w:t xml:space="preserve">Polyculture systems support functional biodiversity, enhancing rhizosphere processes, microbial </w:t>
      </w:r>
      <w:r w:rsidR="0012442F">
        <w:rPr>
          <w:rFonts w:ascii="Times New Roman" w:hAnsi="Times New Roman" w:cs="Times New Roman"/>
        </w:rPr>
        <w:t xml:space="preserve">activity, and nutrient turnover (Altieri </w:t>
      </w:r>
      <w:r w:rsidR="0012442F" w:rsidRPr="0012442F">
        <w:rPr>
          <w:rFonts w:ascii="Times New Roman" w:hAnsi="Times New Roman" w:cs="Times New Roman"/>
          <w:i/>
        </w:rPr>
        <w:t>et.al.,</w:t>
      </w:r>
      <w:r w:rsidR="0012442F">
        <w:rPr>
          <w:rFonts w:ascii="Times New Roman" w:hAnsi="Times New Roman" w:cs="Times New Roman"/>
        </w:rPr>
        <w:t xml:space="preserve"> 2017).</w:t>
      </w:r>
      <w:r w:rsidRPr="006C1830">
        <w:rPr>
          <w:rFonts w:ascii="Times New Roman" w:hAnsi="Times New Roman" w:cs="Times New Roman"/>
        </w:rPr>
        <w:t xml:space="preserve"> Intercropping cereals with legumes, such as maize-cowpea or sorghum-pigeon pea, improves nitrogen fixation and microbial carbon use efficiency, resulting in more stable soil organic matter pools. Such systems improve synchrony between carbon input and microbial assimilation.</w:t>
      </w:r>
    </w:p>
    <w:p w14:paraId="4516A9B6" w14:textId="77777777" w:rsidR="006C1830" w:rsidRPr="006C1830" w:rsidRDefault="006C1830" w:rsidP="006C1830">
      <w:pPr>
        <w:jc w:val="both"/>
        <w:rPr>
          <w:rFonts w:ascii="Times New Roman" w:hAnsi="Times New Roman" w:cs="Times New Roman"/>
        </w:rPr>
      </w:pPr>
      <w:r w:rsidRPr="006C1830">
        <w:rPr>
          <w:rFonts w:ascii="Times New Roman" w:hAnsi="Times New Roman" w:cs="Times New Roman"/>
          <w:b/>
          <w:bCs/>
        </w:rPr>
        <w:t>E. Agroforestry and Silvopastoral Systems</w:t>
      </w:r>
    </w:p>
    <w:p w14:paraId="7C6D4E01" w14:textId="3BB3D342" w:rsidR="006C1830" w:rsidRPr="006C1830" w:rsidRDefault="006C1830" w:rsidP="006C1830">
      <w:pPr>
        <w:jc w:val="both"/>
        <w:rPr>
          <w:rFonts w:ascii="Times New Roman" w:hAnsi="Times New Roman" w:cs="Times New Roman"/>
        </w:rPr>
      </w:pPr>
      <w:r w:rsidRPr="006C1830">
        <w:rPr>
          <w:rFonts w:ascii="Times New Roman" w:hAnsi="Times New Roman" w:cs="Times New Roman"/>
        </w:rPr>
        <w:t>Agroforestry integrates perennial trees with crops or livestock, enhancing carbon sequestration through continuous litter fall, root b</w:t>
      </w:r>
      <w:r w:rsidR="0012442F">
        <w:rPr>
          <w:rFonts w:ascii="Times New Roman" w:hAnsi="Times New Roman" w:cs="Times New Roman"/>
        </w:rPr>
        <w:t xml:space="preserve">iomass, and reduced disturbance (Lorenz </w:t>
      </w:r>
      <w:r w:rsidR="0012442F" w:rsidRPr="0012442F">
        <w:rPr>
          <w:rFonts w:ascii="Times New Roman" w:hAnsi="Times New Roman" w:cs="Times New Roman"/>
          <w:i/>
        </w:rPr>
        <w:t>et.al.,</w:t>
      </w:r>
      <w:r w:rsidR="0012442F">
        <w:rPr>
          <w:rFonts w:ascii="Times New Roman" w:hAnsi="Times New Roman" w:cs="Times New Roman"/>
        </w:rPr>
        <w:t xml:space="preserve"> 2014).</w:t>
      </w:r>
      <w:r w:rsidRPr="006C1830">
        <w:rPr>
          <w:rFonts w:ascii="Times New Roman" w:hAnsi="Times New Roman" w:cs="Times New Roman"/>
        </w:rPr>
        <w:t xml:space="preserve"> Trees such as </w:t>
      </w:r>
      <w:r w:rsidRPr="006C1830">
        <w:rPr>
          <w:rFonts w:ascii="Times New Roman" w:hAnsi="Times New Roman" w:cs="Times New Roman"/>
          <w:i/>
          <w:iCs/>
        </w:rPr>
        <w:t>Azadirachta indica</w:t>
      </w:r>
      <w:r w:rsidRPr="006C1830">
        <w:rPr>
          <w:rFonts w:ascii="Times New Roman" w:hAnsi="Times New Roman" w:cs="Times New Roman"/>
        </w:rPr>
        <w:t xml:space="preserve"> and </w:t>
      </w:r>
      <w:r w:rsidRPr="006C1830">
        <w:rPr>
          <w:rFonts w:ascii="Times New Roman" w:hAnsi="Times New Roman" w:cs="Times New Roman"/>
          <w:i/>
          <w:iCs/>
        </w:rPr>
        <w:t>Gliricidia sepium</w:t>
      </w:r>
      <w:r w:rsidRPr="006C1830">
        <w:rPr>
          <w:rFonts w:ascii="Times New Roman" w:hAnsi="Times New Roman" w:cs="Times New Roman"/>
        </w:rPr>
        <w:t xml:space="preserve"> sequester 1–3 Mg C ha⁻¹ yr⁻¹ depend</w:t>
      </w:r>
      <w:r w:rsidR="00627498">
        <w:rPr>
          <w:rFonts w:ascii="Times New Roman" w:hAnsi="Times New Roman" w:cs="Times New Roman"/>
        </w:rPr>
        <w:t xml:space="preserve">ing on species and </w:t>
      </w:r>
      <w:r w:rsidR="00627498">
        <w:rPr>
          <w:rFonts w:ascii="Times New Roman" w:hAnsi="Times New Roman" w:cs="Times New Roman"/>
        </w:rPr>
        <w:lastRenderedPageBreak/>
        <w:t>density</w:t>
      </w:r>
      <w:r w:rsidRPr="006C1830">
        <w:rPr>
          <w:rFonts w:ascii="Times New Roman" w:hAnsi="Times New Roman" w:cs="Times New Roman"/>
        </w:rPr>
        <w:t>. These systems also support nutrient cycling through leaf litter decomposition and root-microbe interactions.</w:t>
      </w:r>
      <w:r w:rsidR="00890836">
        <w:rPr>
          <w:rFonts w:ascii="Times New Roman" w:hAnsi="Times New Roman" w:cs="Times New Roman"/>
        </w:rPr>
        <w:t xml:space="preserve"> </w:t>
      </w:r>
      <w:r w:rsidRPr="006C1830">
        <w:rPr>
          <w:rFonts w:ascii="Times New Roman" w:hAnsi="Times New Roman" w:cs="Times New Roman"/>
        </w:rPr>
        <w:t xml:space="preserve">Tree-based systems contribute organic inputs via aboveground litter and belowground rhizodeposition. Perennial roots exude carbon throughout the year, </w:t>
      </w:r>
      <w:r w:rsidR="005B6D5E" w:rsidRPr="00AB4312">
        <w:rPr>
          <w:rFonts w:ascii="Times New Roman" w:hAnsi="Times New Roman" w:cs="Times New Roman"/>
          <w:highlight w:val="yellow"/>
        </w:rPr>
        <w:t xml:space="preserve">stabilising </w:t>
      </w:r>
      <w:r w:rsidRPr="006C1830">
        <w:rPr>
          <w:rFonts w:ascii="Times New Roman" w:hAnsi="Times New Roman" w:cs="Times New Roman"/>
        </w:rPr>
        <w:t>microbial biomass and forming stable aggregates. These contributions enhance the passive pool of SOC, critical for long-term carbon retention.</w:t>
      </w:r>
    </w:p>
    <w:p w14:paraId="085664E4" w14:textId="77777777" w:rsidR="006C1830" w:rsidRPr="006C1830" w:rsidRDefault="006C1830" w:rsidP="006C1830">
      <w:pPr>
        <w:jc w:val="both"/>
        <w:rPr>
          <w:rFonts w:ascii="Times New Roman" w:hAnsi="Times New Roman" w:cs="Times New Roman"/>
        </w:rPr>
      </w:pPr>
      <w:r w:rsidRPr="006C1830">
        <w:rPr>
          <w:rFonts w:ascii="Times New Roman" w:hAnsi="Times New Roman" w:cs="Times New Roman"/>
          <w:b/>
          <w:bCs/>
        </w:rPr>
        <w:t>F. Managed Grazing and Pasture Regeneration</w:t>
      </w:r>
    </w:p>
    <w:p w14:paraId="61FA9224" w14:textId="7CBC5155" w:rsidR="006C1830" w:rsidRPr="00AB4312" w:rsidRDefault="006C1830" w:rsidP="006C1830">
      <w:pPr>
        <w:jc w:val="both"/>
        <w:rPr>
          <w:rFonts w:ascii="Times New Roman" w:hAnsi="Times New Roman" w:cs="Times New Roman"/>
          <w:highlight w:val="yellow"/>
        </w:rPr>
      </w:pPr>
      <w:r w:rsidRPr="006C1830">
        <w:rPr>
          <w:rFonts w:ascii="Times New Roman" w:hAnsi="Times New Roman" w:cs="Times New Roman"/>
        </w:rPr>
        <w:t>Properly managed grazing stimulates root growth and photosynthetic activity in grasslands, enhancing soil carbon</w:t>
      </w:r>
      <w:r w:rsidR="0012442F">
        <w:rPr>
          <w:rFonts w:ascii="Times New Roman" w:hAnsi="Times New Roman" w:cs="Times New Roman"/>
        </w:rPr>
        <w:t xml:space="preserve"> inputs (Chen </w:t>
      </w:r>
      <w:r w:rsidR="0012442F" w:rsidRPr="0012442F">
        <w:rPr>
          <w:rFonts w:ascii="Times New Roman" w:hAnsi="Times New Roman" w:cs="Times New Roman"/>
          <w:i/>
        </w:rPr>
        <w:t>et.al.,</w:t>
      </w:r>
      <w:r w:rsidR="0012442F">
        <w:rPr>
          <w:rFonts w:ascii="Times New Roman" w:hAnsi="Times New Roman" w:cs="Times New Roman"/>
        </w:rPr>
        <w:t xml:space="preserve"> 2015).</w:t>
      </w:r>
      <w:r w:rsidRPr="006C1830">
        <w:rPr>
          <w:rFonts w:ascii="Times New Roman" w:hAnsi="Times New Roman" w:cs="Times New Roman"/>
        </w:rPr>
        <w:t xml:space="preserve"> Adaptive grazing strategies such as rotational grazing allow recovery periods for vegetation, improving biomass accumulation and root turnover. Grasslands under rotational grazing can se</w:t>
      </w:r>
      <w:r w:rsidR="00627498">
        <w:rPr>
          <w:rFonts w:ascii="Times New Roman" w:hAnsi="Times New Roman" w:cs="Times New Roman"/>
        </w:rPr>
        <w:t>quester 0.3–1.2 Mg C ha⁻¹ yr⁻¹</w:t>
      </w:r>
      <w:r w:rsidRPr="006C1830">
        <w:rPr>
          <w:rFonts w:ascii="Times New Roman" w:hAnsi="Times New Roman" w:cs="Times New Roman"/>
        </w:rPr>
        <w:t>.</w:t>
      </w:r>
      <w:r w:rsidR="00890836">
        <w:rPr>
          <w:rFonts w:ascii="Times New Roman" w:hAnsi="Times New Roman" w:cs="Times New Roman"/>
        </w:rPr>
        <w:t xml:space="preserve"> </w:t>
      </w:r>
      <w:r w:rsidRPr="006C1830">
        <w:rPr>
          <w:rFonts w:ascii="Times New Roman" w:hAnsi="Times New Roman" w:cs="Times New Roman"/>
        </w:rPr>
        <w:t xml:space="preserve">The intensity and timing of grazing influence both carbon input and retention. Overgrazing leads to soil compaction and reduced photosynthetic capacity, whereas moderate grazing enhances microbial activity and root carbon allocation. Integrating legumes in pasture systems improves forage quality and contributes nitrogen-rich organic matter that supports microbial-mediated carbon </w:t>
      </w:r>
      <w:r w:rsidR="005B6D5E" w:rsidRPr="00AB4312">
        <w:rPr>
          <w:rFonts w:ascii="Times New Roman" w:hAnsi="Times New Roman" w:cs="Times New Roman"/>
          <w:highlight w:val="yellow"/>
        </w:rPr>
        <w:t>stabilisation</w:t>
      </w:r>
      <w:r w:rsidRPr="00AB4312">
        <w:rPr>
          <w:rFonts w:ascii="Times New Roman" w:hAnsi="Times New Roman" w:cs="Times New Roman"/>
          <w:highlight w:val="yellow"/>
        </w:rPr>
        <w:t>.</w:t>
      </w:r>
    </w:p>
    <w:p w14:paraId="64C55C66" w14:textId="77777777" w:rsidR="006C1830" w:rsidRPr="006C1830" w:rsidRDefault="006C1830" w:rsidP="006C1830">
      <w:pPr>
        <w:jc w:val="both"/>
        <w:rPr>
          <w:rFonts w:ascii="Times New Roman" w:hAnsi="Times New Roman" w:cs="Times New Roman"/>
        </w:rPr>
      </w:pPr>
      <w:r w:rsidRPr="006C1830">
        <w:rPr>
          <w:rFonts w:ascii="Times New Roman" w:hAnsi="Times New Roman" w:cs="Times New Roman"/>
          <w:b/>
          <w:bCs/>
        </w:rPr>
        <w:t>V. Soil Carbon Sequestration Mechanisms Under Regenerative Systems</w:t>
      </w:r>
    </w:p>
    <w:p w14:paraId="6631B4E9" w14:textId="64E9172E" w:rsidR="006C1830" w:rsidRPr="006C1830" w:rsidRDefault="006C1830" w:rsidP="006C1830">
      <w:pPr>
        <w:jc w:val="both"/>
        <w:rPr>
          <w:rFonts w:ascii="Times New Roman" w:hAnsi="Times New Roman" w:cs="Times New Roman"/>
        </w:rPr>
      </w:pPr>
      <w:r w:rsidRPr="006C1830">
        <w:rPr>
          <w:rFonts w:ascii="Times New Roman" w:hAnsi="Times New Roman" w:cs="Times New Roman"/>
        </w:rPr>
        <w:t xml:space="preserve">Soil aggregation plays a pivotal role in </w:t>
      </w:r>
      <w:r w:rsidR="005B6D5E" w:rsidRPr="00AB4312">
        <w:rPr>
          <w:rFonts w:ascii="Times New Roman" w:hAnsi="Times New Roman" w:cs="Times New Roman"/>
          <w:highlight w:val="yellow"/>
        </w:rPr>
        <w:t xml:space="preserve">stabilising </w:t>
      </w:r>
      <w:r w:rsidRPr="006C1830">
        <w:rPr>
          <w:rFonts w:ascii="Times New Roman" w:hAnsi="Times New Roman" w:cs="Times New Roman"/>
        </w:rPr>
        <w:t>organic carbon by creating microenvironments that limit mic</w:t>
      </w:r>
      <w:r w:rsidR="0012442F">
        <w:rPr>
          <w:rFonts w:ascii="Times New Roman" w:hAnsi="Times New Roman" w:cs="Times New Roman"/>
        </w:rPr>
        <w:t xml:space="preserve">robial access and decomposition (Gupta </w:t>
      </w:r>
      <w:r w:rsidR="0012442F" w:rsidRPr="0012442F">
        <w:rPr>
          <w:rFonts w:ascii="Times New Roman" w:hAnsi="Times New Roman" w:cs="Times New Roman"/>
          <w:i/>
        </w:rPr>
        <w:t>et.al.,</w:t>
      </w:r>
      <w:r w:rsidR="0012442F">
        <w:rPr>
          <w:rFonts w:ascii="Times New Roman" w:hAnsi="Times New Roman" w:cs="Times New Roman"/>
        </w:rPr>
        <w:t xml:space="preserve"> 2015).</w:t>
      </w:r>
      <w:r w:rsidRPr="006C1830">
        <w:rPr>
          <w:rFonts w:ascii="Times New Roman" w:hAnsi="Times New Roman" w:cs="Times New Roman"/>
        </w:rPr>
        <w:t xml:space="preserve"> Macroaggregates (&gt;250 µm) and microaggregates (53–250 µm) are formed through root exudates, fungal hyphae, and polysaccharides secreted by microbes. These structures entrap organic particles, physically isolating them from enzymatic breakdown. Regenerative practices such as reduced tillage, cover cropping, and organic amendments significantly enhance aggregate formation. </w:t>
      </w:r>
      <w:r w:rsidR="00627498">
        <w:rPr>
          <w:rFonts w:ascii="Times New Roman" w:hAnsi="Times New Roman" w:cs="Times New Roman"/>
        </w:rPr>
        <w:t xml:space="preserve"> P</w:t>
      </w:r>
      <w:r w:rsidRPr="006C1830">
        <w:rPr>
          <w:rFonts w:ascii="Times New Roman" w:hAnsi="Times New Roman" w:cs="Times New Roman"/>
        </w:rPr>
        <w:t xml:space="preserve">lant roots and hyphal networks are central to the formation of stable aggregates that encapsulate particulate organic matter (POM). Studies have shown that soils under no-tillage and continuous residue cover can increase aggregate-associated carbon by 15–40% compared </w:t>
      </w:r>
      <w:r w:rsidR="00627498">
        <w:rPr>
          <w:rFonts w:ascii="Times New Roman" w:hAnsi="Times New Roman" w:cs="Times New Roman"/>
        </w:rPr>
        <w:t>to conventionally tilled soils</w:t>
      </w:r>
      <w:r w:rsidRPr="006C1830">
        <w:rPr>
          <w:rFonts w:ascii="Times New Roman" w:hAnsi="Times New Roman" w:cs="Times New Roman"/>
        </w:rPr>
        <w:t>. Such physical entrapment is critical for long-term carbon persistence in soil matrices, making it one of the most effective mech</w:t>
      </w:r>
      <w:r w:rsidR="0012442F">
        <w:rPr>
          <w:rFonts w:ascii="Times New Roman" w:hAnsi="Times New Roman" w:cs="Times New Roman"/>
        </w:rPr>
        <w:t xml:space="preserve">anisms for carbon sequestration (Dynarski </w:t>
      </w:r>
      <w:r w:rsidR="0012442F" w:rsidRPr="0012442F">
        <w:rPr>
          <w:rFonts w:ascii="Times New Roman" w:hAnsi="Times New Roman" w:cs="Times New Roman"/>
          <w:i/>
        </w:rPr>
        <w:t>et.al.,</w:t>
      </w:r>
      <w:r w:rsidR="0012442F">
        <w:rPr>
          <w:rFonts w:ascii="Times New Roman" w:hAnsi="Times New Roman" w:cs="Times New Roman"/>
        </w:rPr>
        <w:t xml:space="preserve"> 2020).</w:t>
      </w:r>
      <w:r w:rsidR="00890836">
        <w:rPr>
          <w:rFonts w:ascii="Times New Roman" w:hAnsi="Times New Roman" w:cs="Times New Roman"/>
        </w:rPr>
        <w:t xml:space="preserve"> </w:t>
      </w:r>
      <w:r w:rsidRPr="006C1830">
        <w:rPr>
          <w:rFonts w:ascii="Times New Roman" w:hAnsi="Times New Roman" w:cs="Times New Roman"/>
        </w:rPr>
        <w:t>Soil minerals</w:t>
      </w:r>
      <w:r w:rsidR="005B6D5E">
        <w:rPr>
          <w:rFonts w:ascii="Times New Roman" w:hAnsi="Times New Roman" w:cs="Times New Roman"/>
        </w:rPr>
        <w:t>,</w:t>
      </w:r>
      <w:r w:rsidR="00890836">
        <w:rPr>
          <w:rFonts w:ascii="Times New Roman" w:hAnsi="Times New Roman" w:cs="Times New Roman"/>
        </w:rPr>
        <w:t xml:space="preserve"> </w:t>
      </w:r>
      <w:r w:rsidRPr="006C1830">
        <w:rPr>
          <w:rFonts w:ascii="Times New Roman" w:hAnsi="Times New Roman" w:cs="Times New Roman"/>
        </w:rPr>
        <w:t xml:space="preserve">particularly clays and metal </w:t>
      </w:r>
      <w:r w:rsidR="00890836" w:rsidRPr="006C1830">
        <w:rPr>
          <w:rFonts w:ascii="Times New Roman" w:hAnsi="Times New Roman" w:cs="Times New Roman"/>
        </w:rPr>
        <w:t>oxides</w:t>
      </w:r>
      <w:r w:rsidR="005B6D5E">
        <w:rPr>
          <w:rFonts w:ascii="Times New Roman" w:hAnsi="Times New Roman" w:cs="Times New Roman"/>
        </w:rPr>
        <w:t>,</w:t>
      </w:r>
      <w:r w:rsidR="00890836" w:rsidRPr="006C1830">
        <w:rPr>
          <w:rFonts w:ascii="Times New Roman" w:hAnsi="Times New Roman" w:cs="Times New Roman"/>
        </w:rPr>
        <w:t xml:space="preserve"> interact</w:t>
      </w:r>
      <w:r w:rsidRPr="006C1830">
        <w:rPr>
          <w:rFonts w:ascii="Times New Roman" w:hAnsi="Times New Roman" w:cs="Times New Roman"/>
        </w:rPr>
        <w:t xml:space="preserve"> with organic molecules to form organo-mineral complexes that resist microbial degradation. Fine-textured soils containing kaolinite, montmorillonite, and Fe/Al oxides exhibit high potential for chemically </w:t>
      </w:r>
      <w:r w:rsidR="005B6D5E" w:rsidRPr="00AB4312">
        <w:rPr>
          <w:rFonts w:ascii="Times New Roman" w:hAnsi="Times New Roman" w:cs="Times New Roman"/>
          <w:highlight w:val="yellow"/>
        </w:rPr>
        <w:t xml:space="preserve">stabilising </w:t>
      </w:r>
      <w:r w:rsidRPr="006C1830">
        <w:rPr>
          <w:rFonts w:ascii="Times New Roman" w:hAnsi="Times New Roman" w:cs="Times New Roman"/>
        </w:rPr>
        <w:t>carbon through adsorption and ligand exchange. These associations shield organic matter from enzymatic action, prolonging its residence time from decades to centuries. Regenerative inputs such as compost and biochar enhance the availability of rea</w:t>
      </w:r>
      <w:r w:rsidR="0012442F">
        <w:rPr>
          <w:rFonts w:ascii="Times New Roman" w:hAnsi="Times New Roman" w:cs="Times New Roman"/>
        </w:rPr>
        <w:t xml:space="preserve">ctive sites for carbon binding (Beesley </w:t>
      </w:r>
      <w:r w:rsidR="0012442F" w:rsidRPr="0012442F">
        <w:rPr>
          <w:rFonts w:ascii="Times New Roman" w:hAnsi="Times New Roman" w:cs="Times New Roman"/>
          <w:i/>
        </w:rPr>
        <w:t>et.al.,</w:t>
      </w:r>
      <w:r w:rsidR="0012442F">
        <w:rPr>
          <w:rFonts w:ascii="Times New Roman" w:hAnsi="Times New Roman" w:cs="Times New Roman"/>
        </w:rPr>
        <w:t xml:space="preserve"> 2011). </w:t>
      </w:r>
      <w:r w:rsidR="00627498">
        <w:rPr>
          <w:rFonts w:ascii="Times New Roman" w:hAnsi="Times New Roman" w:cs="Times New Roman"/>
        </w:rPr>
        <w:t>M</w:t>
      </w:r>
      <w:r w:rsidRPr="006C1830">
        <w:rPr>
          <w:rFonts w:ascii="Times New Roman" w:hAnsi="Times New Roman" w:cs="Times New Roman"/>
        </w:rPr>
        <w:t xml:space="preserve">ineral-associated organic matter (MAOM) can constitute up to 60–80% of total SOC in temperate and tropical soils. This mechanism is particularly important in humid environments, where rapid decomposition would otherwise lead to substantial carbon loss. Empirical studies indicate that mineral-associated carbon </w:t>
      </w:r>
      <w:r w:rsidR="005B6D5E" w:rsidRPr="00AB4312">
        <w:rPr>
          <w:rFonts w:ascii="Times New Roman" w:hAnsi="Times New Roman" w:cs="Times New Roman"/>
          <w:highlight w:val="yellow"/>
        </w:rPr>
        <w:t xml:space="preserve">stabilisation </w:t>
      </w:r>
      <w:r w:rsidRPr="006C1830">
        <w:rPr>
          <w:rFonts w:ascii="Times New Roman" w:hAnsi="Times New Roman" w:cs="Times New Roman"/>
        </w:rPr>
        <w:t>is more efficient in soils with high cation exch</w:t>
      </w:r>
      <w:r w:rsidR="00627498">
        <w:rPr>
          <w:rFonts w:ascii="Times New Roman" w:hAnsi="Times New Roman" w:cs="Times New Roman"/>
        </w:rPr>
        <w:t>ange capacity and surface area</w:t>
      </w:r>
      <w:r w:rsidRPr="006C1830">
        <w:rPr>
          <w:rFonts w:ascii="Times New Roman" w:hAnsi="Times New Roman" w:cs="Times New Roman"/>
        </w:rPr>
        <w:t>, both of which are improved by long-term regenerative land management.</w:t>
      </w:r>
      <w:r w:rsidR="00890836">
        <w:rPr>
          <w:rFonts w:ascii="Times New Roman" w:hAnsi="Times New Roman" w:cs="Times New Roman"/>
        </w:rPr>
        <w:t xml:space="preserve"> </w:t>
      </w:r>
      <w:r w:rsidRPr="006C1830">
        <w:rPr>
          <w:rFonts w:ascii="Times New Roman" w:hAnsi="Times New Roman" w:cs="Times New Roman"/>
        </w:rPr>
        <w:t xml:space="preserve">Microbial processing is a dynamic pathway where soil organisms decompose plant and root-derived residues, converting labile carbon into </w:t>
      </w:r>
      <w:r w:rsidR="0012442F">
        <w:rPr>
          <w:rFonts w:ascii="Times New Roman" w:hAnsi="Times New Roman" w:cs="Times New Roman"/>
        </w:rPr>
        <w:t xml:space="preserve">microbial biomass and necromass (Bailey </w:t>
      </w:r>
      <w:r w:rsidR="0012442F" w:rsidRPr="0012442F">
        <w:rPr>
          <w:rFonts w:ascii="Times New Roman" w:hAnsi="Times New Roman" w:cs="Times New Roman"/>
          <w:i/>
        </w:rPr>
        <w:t>et.al.,</w:t>
      </w:r>
      <w:r w:rsidR="0012442F">
        <w:rPr>
          <w:rFonts w:ascii="Times New Roman" w:hAnsi="Times New Roman" w:cs="Times New Roman"/>
        </w:rPr>
        <w:t xml:space="preserve"> 2019).</w:t>
      </w:r>
      <w:r w:rsidRPr="006C1830">
        <w:rPr>
          <w:rFonts w:ascii="Times New Roman" w:hAnsi="Times New Roman" w:cs="Times New Roman"/>
        </w:rPr>
        <w:t xml:space="preserve"> This microbial necromass becomes </w:t>
      </w:r>
      <w:r w:rsidR="005B6D5E" w:rsidRPr="00AB4312">
        <w:rPr>
          <w:rFonts w:ascii="Times New Roman" w:hAnsi="Times New Roman" w:cs="Times New Roman"/>
          <w:highlight w:val="yellow"/>
        </w:rPr>
        <w:t xml:space="preserve">stabilised </w:t>
      </w:r>
      <w:r w:rsidRPr="006C1830">
        <w:rPr>
          <w:rFonts w:ascii="Times New Roman" w:hAnsi="Times New Roman" w:cs="Times New Roman"/>
        </w:rPr>
        <w:t xml:space="preserve">through its incorporation into aggregates and interactions with minerals. Microorganisms also produce extracellular polymeric substances (EPS) that contribute to aggregate stability and carbon encapsulation. Regenerative systems that supply continuous organic inputs from cover crops, green manure, and root exudates support diverse and abundant microbial populations. </w:t>
      </w:r>
      <w:r w:rsidR="00627498">
        <w:rPr>
          <w:rFonts w:ascii="Times New Roman" w:hAnsi="Times New Roman" w:cs="Times New Roman"/>
        </w:rPr>
        <w:t>M</w:t>
      </w:r>
      <w:r w:rsidRPr="006C1830">
        <w:rPr>
          <w:rFonts w:ascii="Times New Roman" w:hAnsi="Times New Roman" w:cs="Times New Roman"/>
        </w:rPr>
        <w:t xml:space="preserve">icrobial-derived carbon forms a substantial portion of persistent SOM due to its selective </w:t>
      </w:r>
      <w:r w:rsidR="005B6D5E" w:rsidRPr="00AB4312">
        <w:rPr>
          <w:rFonts w:ascii="Times New Roman" w:hAnsi="Times New Roman" w:cs="Times New Roman"/>
          <w:highlight w:val="yellow"/>
        </w:rPr>
        <w:t xml:space="preserve">stabilisation </w:t>
      </w:r>
      <w:r w:rsidRPr="006C1830">
        <w:rPr>
          <w:rFonts w:ascii="Times New Roman" w:hAnsi="Times New Roman" w:cs="Times New Roman"/>
        </w:rPr>
        <w:t>by soil particles. Such systems foster copiotrophic microbial taxa</w:t>
      </w:r>
      <w:r w:rsidR="005B6D5E">
        <w:rPr>
          <w:rFonts w:ascii="Times New Roman" w:hAnsi="Times New Roman" w:cs="Times New Roman"/>
        </w:rPr>
        <w:t xml:space="preserve"> </w:t>
      </w:r>
      <w:r w:rsidRPr="006C1830">
        <w:rPr>
          <w:rFonts w:ascii="Times New Roman" w:hAnsi="Times New Roman" w:cs="Times New Roman"/>
        </w:rPr>
        <w:t>organisms efficient at assimilating carbon</w:t>
      </w:r>
      <w:r w:rsidR="005B6D5E">
        <w:rPr>
          <w:rFonts w:ascii="Times New Roman" w:hAnsi="Times New Roman" w:cs="Times New Roman"/>
        </w:rPr>
        <w:t>,</w:t>
      </w:r>
      <w:r w:rsidR="00AA0D26">
        <w:rPr>
          <w:rFonts w:ascii="Times New Roman" w:hAnsi="Times New Roman" w:cs="Times New Roman"/>
        </w:rPr>
        <w:t xml:space="preserve"> </w:t>
      </w:r>
      <w:r w:rsidRPr="006C1830">
        <w:rPr>
          <w:rFonts w:ascii="Times New Roman" w:hAnsi="Times New Roman" w:cs="Times New Roman"/>
        </w:rPr>
        <w:t xml:space="preserve">which are essential for converting fresh inputs into stable organic forms. Additionally, fungi play a key role in promoting carbon </w:t>
      </w:r>
      <w:r w:rsidR="005B6D5E" w:rsidRPr="00AB4312">
        <w:rPr>
          <w:rFonts w:ascii="Times New Roman" w:hAnsi="Times New Roman" w:cs="Times New Roman"/>
          <w:highlight w:val="yellow"/>
        </w:rPr>
        <w:t xml:space="preserve">stabilisation </w:t>
      </w:r>
      <w:r w:rsidRPr="006C1830">
        <w:rPr>
          <w:rFonts w:ascii="Times New Roman" w:hAnsi="Times New Roman" w:cs="Times New Roman"/>
        </w:rPr>
        <w:t xml:space="preserve">via hyphal networks that enhance aggregate formation and reduce decomposition rates. Systems that promote soil </w:t>
      </w:r>
      <w:r w:rsidRPr="006C1830">
        <w:rPr>
          <w:rFonts w:ascii="Times New Roman" w:hAnsi="Times New Roman" w:cs="Times New Roman"/>
        </w:rPr>
        <w:lastRenderedPageBreak/>
        <w:t>biodiversity not only enhance nutrient cycling but also increase microbial carbon use efficiency (CUE), which directly contributes to the</w:t>
      </w:r>
      <w:r w:rsidR="0012442F">
        <w:rPr>
          <w:rFonts w:ascii="Times New Roman" w:hAnsi="Times New Roman" w:cs="Times New Roman"/>
        </w:rPr>
        <w:t xml:space="preserve"> buildup of stable carbon pools (Adingo </w:t>
      </w:r>
      <w:r w:rsidR="0012442F" w:rsidRPr="0012442F">
        <w:rPr>
          <w:rFonts w:ascii="Times New Roman" w:hAnsi="Times New Roman" w:cs="Times New Roman"/>
          <w:i/>
        </w:rPr>
        <w:t>et.al.,</w:t>
      </w:r>
      <w:r w:rsidR="0012442F">
        <w:rPr>
          <w:rFonts w:ascii="Times New Roman" w:hAnsi="Times New Roman" w:cs="Times New Roman"/>
        </w:rPr>
        <w:t xml:space="preserve"> 2021).</w:t>
      </w:r>
    </w:p>
    <w:p w14:paraId="1BF6367F" w14:textId="77777777" w:rsidR="006C1830" w:rsidRPr="006C1830" w:rsidRDefault="006C1830" w:rsidP="006C1830">
      <w:pPr>
        <w:jc w:val="both"/>
        <w:rPr>
          <w:rFonts w:ascii="Times New Roman" w:hAnsi="Times New Roman" w:cs="Times New Roman"/>
        </w:rPr>
      </w:pPr>
      <w:r w:rsidRPr="006C1830">
        <w:rPr>
          <w:rFonts w:ascii="Times New Roman" w:hAnsi="Times New Roman" w:cs="Times New Roman"/>
          <w:b/>
          <w:bCs/>
        </w:rPr>
        <w:t>VI. Measurement, Monitoring, and Modelling of Soil Carbon</w:t>
      </w:r>
    </w:p>
    <w:p w14:paraId="33F13BCA" w14:textId="21837C8A" w:rsidR="006C1830" w:rsidRPr="006C1830" w:rsidRDefault="006C1830" w:rsidP="006C1830">
      <w:pPr>
        <w:jc w:val="both"/>
        <w:rPr>
          <w:rFonts w:ascii="Times New Roman" w:hAnsi="Times New Roman" w:cs="Times New Roman"/>
        </w:rPr>
      </w:pPr>
      <w:r w:rsidRPr="006C1830">
        <w:rPr>
          <w:rFonts w:ascii="Times New Roman" w:hAnsi="Times New Roman" w:cs="Times New Roman"/>
        </w:rPr>
        <w:t>Quantitative assessment of soil carbon is essential for understanding sequestration potential and evaluating the i</w:t>
      </w:r>
      <w:r w:rsidR="0012442F">
        <w:rPr>
          <w:rFonts w:ascii="Times New Roman" w:hAnsi="Times New Roman" w:cs="Times New Roman"/>
        </w:rPr>
        <w:t xml:space="preserve">mpact of regenerative practices (Villat </w:t>
      </w:r>
      <w:r w:rsidR="0012442F" w:rsidRPr="0012442F">
        <w:rPr>
          <w:rFonts w:ascii="Times New Roman" w:hAnsi="Times New Roman" w:cs="Times New Roman"/>
          <w:i/>
        </w:rPr>
        <w:t>et.al.,</w:t>
      </w:r>
      <w:r w:rsidR="0012442F">
        <w:rPr>
          <w:rFonts w:ascii="Times New Roman" w:hAnsi="Times New Roman" w:cs="Times New Roman"/>
        </w:rPr>
        <w:t xml:space="preserve"> 2024).</w:t>
      </w:r>
      <w:r w:rsidRPr="006C1830">
        <w:rPr>
          <w:rFonts w:ascii="Times New Roman" w:hAnsi="Times New Roman" w:cs="Times New Roman"/>
        </w:rPr>
        <w:t xml:space="preserve"> Dry combustion and wet oxidation are the two principal direct methods employed for estimating soil organic carbon (SOC). Dry combustion, often using automated elemental </w:t>
      </w:r>
      <w:r w:rsidR="006A4B5E" w:rsidRPr="009E1DC1">
        <w:rPr>
          <w:rFonts w:ascii="Times New Roman" w:hAnsi="Times New Roman" w:cs="Times New Roman"/>
        </w:rPr>
        <w:t>analysers</w:t>
      </w:r>
      <w:r w:rsidRPr="006C1830">
        <w:rPr>
          <w:rFonts w:ascii="Times New Roman" w:hAnsi="Times New Roman" w:cs="Times New Roman"/>
        </w:rPr>
        <w:t xml:space="preserve"> such as the LECO CN </w:t>
      </w:r>
      <w:r w:rsidR="006A4B5E" w:rsidRPr="009E1DC1">
        <w:rPr>
          <w:rFonts w:ascii="Times New Roman" w:hAnsi="Times New Roman" w:cs="Times New Roman"/>
        </w:rPr>
        <w:t>analyser</w:t>
      </w:r>
      <w:r w:rsidRPr="006C1830">
        <w:rPr>
          <w:rFonts w:ascii="Times New Roman" w:hAnsi="Times New Roman" w:cs="Times New Roman"/>
        </w:rPr>
        <w:t xml:space="preserve">, measures carbon content by </w:t>
      </w:r>
      <w:r w:rsidR="005B6D5E" w:rsidRPr="00AB4312">
        <w:rPr>
          <w:rFonts w:ascii="Times New Roman" w:hAnsi="Times New Roman" w:cs="Times New Roman"/>
          <w:highlight w:val="yellow"/>
        </w:rPr>
        <w:t xml:space="preserve">oxidising </w:t>
      </w:r>
      <w:r w:rsidRPr="006C1830">
        <w:rPr>
          <w:rFonts w:ascii="Times New Roman" w:hAnsi="Times New Roman" w:cs="Times New Roman"/>
        </w:rPr>
        <w:t>the sample at high temperatures (900–1000°C) in the presence of oxygen. This method provides accurate total carbon measurements and is considered the gold standard due to i</w:t>
      </w:r>
      <w:r w:rsidR="00627498">
        <w:rPr>
          <w:rFonts w:ascii="Times New Roman" w:hAnsi="Times New Roman" w:cs="Times New Roman"/>
        </w:rPr>
        <w:t>ts precision and repeatability</w:t>
      </w:r>
      <w:r w:rsidRPr="006C1830">
        <w:rPr>
          <w:rFonts w:ascii="Times New Roman" w:hAnsi="Times New Roman" w:cs="Times New Roman"/>
        </w:rPr>
        <w:t xml:space="preserve">. Wet oxidation, such as the Walkley–Black method, uses potassium dichromate and sulfuric acid to </w:t>
      </w:r>
      <w:r w:rsidR="005B6D5E" w:rsidRPr="00AB4312">
        <w:rPr>
          <w:rFonts w:ascii="Times New Roman" w:hAnsi="Times New Roman" w:cs="Times New Roman"/>
          <w:highlight w:val="yellow"/>
        </w:rPr>
        <w:t xml:space="preserve">oxidise </w:t>
      </w:r>
      <w:r w:rsidRPr="006C1830">
        <w:rPr>
          <w:rFonts w:ascii="Times New Roman" w:hAnsi="Times New Roman" w:cs="Times New Roman"/>
        </w:rPr>
        <w:t>organic matter, and the amount of unreacted dichromate is titrated to determine SOC content. While more cost-effective, it typically underestimates total carbon by 20–30% compared to dry combustion. To enhance accuracy, correction factors or modified digestion protocols are employed. Direct methods are indispensable in long-term field experiments and carbon accounting studies.</w:t>
      </w:r>
      <w:r w:rsidR="00890836">
        <w:rPr>
          <w:rFonts w:ascii="Times New Roman" w:hAnsi="Times New Roman" w:cs="Times New Roman"/>
        </w:rPr>
        <w:t xml:space="preserve"> </w:t>
      </w:r>
      <w:r w:rsidRPr="006C1830">
        <w:rPr>
          <w:rFonts w:ascii="Times New Roman" w:hAnsi="Times New Roman" w:cs="Times New Roman"/>
        </w:rPr>
        <w:t>Technological advancements in remote sensing (RS) and geographic information systems (GIS) have enabled spatial and temporal mapping of SOC</w:t>
      </w:r>
      <w:r w:rsidR="0012442F">
        <w:rPr>
          <w:rFonts w:ascii="Times New Roman" w:hAnsi="Times New Roman" w:cs="Times New Roman"/>
        </w:rPr>
        <w:t xml:space="preserve"> at regional to global scales (Croft </w:t>
      </w:r>
      <w:r w:rsidR="0012442F" w:rsidRPr="0012442F">
        <w:rPr>
          <w:rFonts w:ascii="Times New Roman" w:hAnsi="Times New Roman" w:cs="Times New Roman"/>
          <w:i/>
        </w:rPr>
        <w:t>et.al.,</w:t>
      </w:r>
      <w:r w:rsidR="0012442F">
        <w:rPr>
          <w:rFonts w:ascii="Times New Roman" w:hAnsi="Times New Roman" w:cs="Times New Roman"/>
        </w:rPr>
        <w:t xml:space="preserve"> 2012).</w:t>
      </w:r>
      <w:r w:rsidRPr="006C1830">
        <w:rPr>
          <w:rFonts w:ascii="Times New Roman" w:hAnsi="Times New Roman" w:cs="Times New Roman"/>
        </w:rPr>
        <w:t xml:space="preserve"> Sensors on platforms such as Landsat, Sentinel-2, and MODIS capture vegetation indices (e.g., NDVI, SAVI) and surface reflectance data that correlate with biomass productivity and, indirectly, with carbon input potential. Integration of field-sampled SOC data with spectral reflectance allows for calibration models using machine learning techniques like random forests and support vector machines. GIS platforms facilitate the </w:t>
      </w:r>
      <w:r w:rsidR="005B6D5E" w:rsidRPr="00AB4312">
        <w:rPr>
          <w:rFonts w:ascii="Times New Roman" w:hAnsi="Times New Roman" w:cs="Times New Roman"/>
          <w:highlight w:val="yellow"/>
        </w:rPr>
        <w:t xml:space="preserve">visualisation </w:t>
      </w:r>
      <w:r w:rsidRPr="006C1830">
        <w:rPr>
          <w:rFonts w:ascii="Times New Roman" w:hAnsi="Times New Roman" w:cs="Times New Roman"/>
        </w:rPr>
        <w:t xml:space="preserve">and interpolation of SOC distribution based on topography, land use, and management variables. Researchers have used digital soil mapping approaches such as SoilGrids and ISRIC’s WoSIS to generate global SOC estimates with spatial </w:t>
      </w:r>
      <w:r w:rsidR="00627498">
        <w:rPr>
          <w:rFonts w:ascii="Times New Roman" w:hAnsi="Times New Roman" w:cs="Times New Roman"/>
        </w:rPr>
        <w:t>resolutions of 250–1000 meters</w:t>
      </w:r>
      <w:r w:rsidRPr="006C1830">
        <w:rPr>
          <w:rFonts w:ascii="Times New Roman" w:hAnsi="Times New Roman" w:cs="Times New Roman"/>
        </w:rPr>
        <w:t>. These tools are particularly useful for decision-making and targeting regenerative interventions at vulnerable or high-potential sites.</w:t>
      </w:r>
    </w:p>
    <w:p w14:paraId="439291EF" w14:textId="4A3AF47C" w:rsidR="006C1830" w:rsidRPr="006C1830" w:rsidRDefault="006C1830" w:rsidP="006C1830">
      <w:pPr>
        <w:jc w:val="both"/>
        <w:rPr>
          <w:rFonts w:ascii="Times New Roman" w:hAnsi="Times New Roman" w:cs="Times New Roman"/>
        </w:rPr>
      </w:pPr>
      <w:r w:rsidRPr="006C1830">
        <w:rPr>
          <w:rFonts w:ascii="Times New Roman" w:hAnsi="Times New Roman" w:cs="Times New Roman"/>
        </w:rPr>
        <w:t>Process-based models simulate soil carbon dynamics over time under varying land-use and</w:t>
      </w:r>
      <w:r w:rsidR="0012442F">
        <w:rPr>
          <w:rFonts w:ascii="Times New Roman" w:hAnsi="Times New Roman" w:cs="Times New Roman"/>
        </w:rPr>
        <w:t xml:space="preserve"> management scenarios (Zhang </w:t>
      </w:r>
      <w:r w:rsidR="0012442F" w:rsidRPr="0012442F">
        <w:rPr>
          <w:rFonts w:ascii="Times New Roman" w:hAnsi="Times New Roman" w:cs="Times New Roman"/>
          <w:i/>
        </w:rPr>
        <w:t>et.al.,</w:t>
      </w:r>
      <w:r w:rsidR="0012442F">
        <w:rPr>
          <w:rFonts w:ascii="Times New Roman" w:hAnsi="Times New Roman" w:cs="Times New Roman"/>
        </w:rPr>
        <w:t xml:space="preserve"> 2023).</w:t>
      </w:r>
      <w:r w:rsidRPr="006C1830">
        <w:rPr>
          <w:rFonts w:ascii="Times New Roman" w:hAnsi="Times New Roman" w:cs="Times New Roman"/>
        </w:rPr>
        <w:t xml:space="preserve"> The Century model simulates carbon, nitrogen, phosphorus, and sulfur flows in grassland, forest, and crop ecosystems based on inputs such as climate, soil texture, and management practices. It partitions SOC into active, slow, and passive pools and has been validated in nu</w:t>
      </w:r>
      <w:r w:rsidR="00627498">
        <w:rPr>
          <w:rFonts w:ascii="Times New Roman" w:hAnsi="Times New Roman" w:cs="Times New Roman"/>
        </w:rPr>
        <w:t>merous agroecological settings</w:t>
      </w:r>
      <w:r w:rsidRPr="006C1830">
        <w:rPr>
          <w:rFonts w:ascii="Times New Roman" w:hAnsi="Times New Roman" w:cs="Times New Roman"/>
        </w:rPr>
        <w:t xml:space="preserve">. The RothC (Rothamsted Carbon) model is designed to simulate SOC turnover in non-waterlogged topsoils. It divides SOC into decomposable plant material, resistant plant material, microbial biomass, humified organic matter, and inert organic matter. RothC is user-friendly and extensively used to estimate SOC change under organic </w:t>
      </w:r>
      <w:r w:rsidR="00627498">
        <w:rPr>
          <w:rFonts w:ascii="Times New Roman" w:hAnsi="Times New Roman" w:cs="Times New Roman"/>
        </w:rPr>
        <w:t>amendments and tillage regimes</w:t>
      </w:r>
      <w:r w:rsidRPr="006C1830">
        <w:rPr>
          <w:rFonts w:ascii="Times New Roman" w:hAnsi="Times New Roman" w:cs="Times New Roman"/>
        </w:rPr>
        <w:t>. COMET-Farm, a model developed by USDA-NRCS, provides an online decision support tool that allows farmers and land managers to estimate greenhouse gas emissions and SOC changes under d</w:t>
      </w:r>
      <w:r w:rsidR="006D42ED">
        <w:rPr>
          <w:rFonts w:ascii="Times New Roman" w:hAnsi="Times New Roman" w:cs="Times New Roman"/>
        </w:rPr>
        <w:t xml:space="preserve">ifferent regenerative practices (Paustian </w:t>
      </w:r>
      <w:r w:rsidR="006D42ED" w:rsidRPr="006D42ED">
        <w:rPr>
          <w:rFonts w:ascii="Times New Roman" w:hAnsi="Times New Roman" w:cs="Times New Roman"/>
          <w:i/>
        </w:rPr>
        <w:t xml:space="preserve">et.al., </w:t>
      </w:r>
      <w:r w:rsidR="006D42ED">
        <w:rPr>
          <w:rFonts w:ascii="Times New Roman" w:hAnsi="Times New Roman" w:cs="Times New Roman"/>
        </w:rPr>
        <w:t xml:space="preserve">2020). </w:t>
      </w:r>
      <w:r w:rsidRPr="006C1830">
        <w:rPr>
          <w:rFonts w:ascii="Times New Roman" w:hAnsi="Times New Roman" w:cs="Times New Roman"/>
        </w:rPr>
        <w:t xml:space="preserve"> It integrates IPCC Tier 2 methodologies and empirical datasets, making it suitable for carbon accounting under voluntary carbon markets.</w:t>
      </w:r>
      <w:r w:rsidR="00890836">
        <w:rPr>
          <w:rFonts w:ascii="Times New Roman" w:hAnsi="Times New Roman" w:cs="Times New Roman"/>
        </w:rPr>
        <w:t xml:space="preserve"> </w:t>
      </w:r>
      <w:r w:rsidRPr="006C1830">
        <w:rPr>
          <w:rFonts w:ascii="Times New Roman" w:hAnsi="Times New Roman" w:cs="Times New Roman"/>
        </w:rPr>
        <w:t>Soil carbon monitoring must account for variability over both time and space. Temporal dynamics are influenced by climatic events, seasonal biomass inputs, and microbial activity, necessitating periodic measurement across cropping cycles. Long-term monitoring (≥5 years) is essential to capture the cumulative effects of regenerative practices. Spatial heterogeneity arises from variations in soil texture, topography, land use, and historical management. Stratified random sampling and geostatistical methods such as kriging and co-kriging are often employed to address this variability. The IPCC recommends a minimum bulk density and SOC sampling depth of 0–30 cm for reporting carbon stock c</w:t>
      </w:r>
      <w:r w:rsidR="00627498">
        <w:rPr>
          <w:rFonts w:ascii="Times New Roman" w:hAnsi="Times New Roman" w:cs="Times New Roman"/>
        </w:rPr>
        <w:t>hanges in agricultural systems</w:t>
      </w:r>
      <w:r w:rsidRPr="006C1830">
        <w:rPr>
          <w:rFonts w:ascii="Times New Roman" w:hAnsi="Times New Roman" w:cs="Times New Roman"/>
        </w:rPr>
        <w:t>. Combining high-resolution temporal and spatial data enhances the reliability of carbon models and supports site-specific policy develo</w:t>
      </w:r>
      <w:r w:rsidR="006D42ED">
        <w:rPr>
          <w:rFonts w:ascii="Times New Roman" w:hAnsi="Times New Roman" w:cs="Times New Roman"/>
        </w:rPr>
        <w:t xml:space="preserve">pment and carbon credit schemes (Guan </w:t>
      </w:r>
      <w:r w:rsidR="006D42ED" w:rsidRPr="006D42ED">
        <w:rPr>
          <w:rFonts w:ascii="Times New Roman" w:hAnsi="Times New Roman" w:cs="Times New Roman"/>
          <w:i/>
        </w:rPr>
        <w:t>et.al.,</w:t>
      </w:r>
      <w:r w:rsidR="006D42ED">
        <w:rPr>
          <w:rFonts w:ascii="Times New Roman" w:hAnsi="Times New Roman" w:cs="Times New Roman"/>
        </w:rPr>
        <w:t xml:space="preserve"> 2023).</w:t>
      </w:r>
    </w:p>
    <w:p w14:paraId="68F55F4E" w14:textId="77777777" w:rsidR="006C1830" w:rsidRPr="006C1830" w:rsidRDefault="006C1830" w:rsidP="006C1830">
      <w:pPr>
        <w:jc w:val="both"/>
        <w:rPr>
          <w:rFonts w:ascii="Times New Roman" w:hAnsi="Times New Roman" w:cs="Times New Roman"/>
        </w:rPr>
      </w:pPr>
      <w:r w:rsidRPr="006C1830">
        <w:rPr>
          <w:rFonts w:ascii="Times New Roman" w:hAnsi="Times New Roman" w:cs="Times New Roman"/>
          <w:b/>
          <w:bCs/>
        </w:rPr>
        <w:t>VIII. Co-benefits of Regenerative Practices</w:t>
      </w:r>
    </w:p>
    <w:p w14:paraId="653C161F" w14:textId="00348E18" w:rsidR="006C1830" w:rsidRPr="006C1830" w:rsidRDefault="006C1830" w:rsidP="006C1830">
      <w:pPr>
        <w:jc w:val="both"/>
        <w:rPr>
          <w:rFonts w:ascii="Times New Roman" w:hAnsi="Times New Roman" w:cs="Times New Roman"/>
        </w:rPr>
      </w:pPr>
      <w:r w:rsidRPr="006C1830">
        <w:rPr>
          <w:rFonts w:ascii="Times New Roman" w:hAnsi="Times New Roman" w:cs="Times New Roman"/>
        </w:rPr>
        <w:lastRenderedPageBreak/>
        <w:t>Regenerative agricultural practices significantly improve soil structure, porosity, and organic matter content, leading to increased water infiltration and retention. Soils with higher organic carbon can hold more moisture due to the sponge-like properties of humic substances. Each 1% increase in soil organic matter can improve water holding capacity by approximately 20,00</w:t>
      </w:r>
      <w:r w:rsidR="00627498">
        <w:rPr>
          <w:rFonts w:ascii="Times New Roman" w:hAnsi="Times New Roman" w:cs="Times New Roman"/>
        </w:rPr>
        <w:t xml:space="preserve">0 to 27,000 </w:t>
      </w:r>
      <w:r w:rsidR="005B6D5E" w:rsidRPr="00AB4312">
        <w:rPr>
          <w:rFonts w:ascii="Times New Roman" w:hAnsi="Times New Roman" w:cs="Times New Roman"/>
          <w:highlight w:val="yellow"/>
        </w:rPr>
        <w:t>litres</w:t>
      </w:r>
      <w:r w:rsidR="005B6D5E">
        <w:rPr>
          <w:rFonts w:ascii="Times New Roman" w:hAnsi="Times New Roman" w:cs="Times New Roman"/>
        </w:rPr>
        <w:t xml:space="preserve"> </w:t>
      </w:r>
      <w:r w:rsidR="00627498">
        <w:rPr>
          <w:rFonts w:ascii="Times New Roman" w:hAnsi="Times New Roman" w:cs="Times New Roman"/>
        </w:rPr>
        <w:t>per hectare</w:t>
      </w:r>
      <w:r w:rsidRPr="006C1830">
        <w:rPr>
          <w:rFonts w:ascii="Times New Roman" w:hAnsi="Times New Roman" w:cs="Times New Roman"/>
        </w:rPr>
        <w:t>. Zero tillage, cover cropping, and compost amendments enhance aggregate stability, reduce runoff, and promote percolation. For example, a study demonstrated that no-till and cover cropping systems in the Midwest United States reduced water runoff by 30–50% and increased soil water retention by up to 21%. Enhanced water infiltration mitigates both drought stress and erosion, making cropping systems more robust under</w:t>
      </w:r>
      <w:r w:rsidR="006D42ED">
        <w:rPr>
          <w:rFonts w:ascii="Times New Roman" w:hAnsi="Times New Roman" w:cs="Times New Roman"/>
        </w:rPr>
        <w:t xml:space="preserve"> variable precipitation regimes (Brempong </w:t>
      </w:r>
      <w:r w:rsidR="006D42ED" w:rsidRPr="006D42ED">
        <w:rPr>
          <w:rFonts w:ascii="Times New Roman" w:hAnsi="Times New Roman" w:cs="Times New Roman"/>
          <w:i/>
        </w:rPr>
        <w:t>et.al.,</w:t>
      </w:r>
      <w:r w:rsidR="006D42ED">
        <w:rPr>
          <w:rFonts w:ascii="Times New Roman" w:hAnsi="Times New Roman" w:cs="Times New Roman"/>
        </w:rPr>
        <w:t xml:space="preserve"> 2023).</w:t>
      </w:r>
      <w:r w:rsidR="00890836">
        <w:rPr>
          <w:rFonts w:ascii="Times New Roman" w:hAnsi="Times New Roman" w:cs="Times New Roman"/>
        </w:rPr>
        <w:t xml:space="preserve"> </w:t>
      </w:r>
      <w:r w:rsidRPr="006C1830">
        <w:rPr>
          <w:rFonts w:ascii="Times New Roman" w:hAnsi="Times New Roman" w:cs="Times New Roman"/>
        </w:rPr>
        <w:t>Diversified regenerative systems support a rich variety of organisms above and below ground. Practices like intercropping, agroforestry, and maintaining hedgerows and flowering strips provide food, habitat, and nesting sites for pollinators and beneficial insects. Soil biodiversity also improves through increased microbial biomass, fungal diversity, an</w:t>
      </w:r>
      <w:r w:rsidR="00627498">
        <w:rPr>
          <w:rFonts w:ascii="Times New Roman" w:hAnsi="Times New Roman" w:cs="Times New Roman"/>
        </w:rPr>
        <w:t xml:space="preserve">d arthropod activity. A </w:t>
      </w:r>
      <w:r w:rsidR="00890836">
        <w:rPr>
          <w:rFonts w:ascii="Times New Roman" w:hAnsi="Times New Roman" w:cs="Times New Roman"/>
        </w:rPr>
        <w:t xml:space="preserve">review </w:t>
      </w:r>
      <w:r w:rsidR="00890836" w:rsidRPr="006C1830">
        <w:rPr>
          <w:rFonts w:ascii="Times New Roman" w:hAnsi="Times New Roman" w:cs="Times New Roman"/>
        </w:rPr>
        <w:t>found</w:t>
      </w:r>
      <w:r w:rsidRPr="006C1830">
        <w:rPr>
          <w:rFonts w:ascii="Times New Roman" w:hAnsi="Times New Roman" w:cs="Times New Roman"/>
        </w:rPr>
        <w:t xml:space="preserve"> that organic and diversified systems support 30% more species richness and 50% higher abundance of pollinators compared to conventional monocultures. Mycorrhizal fungi and rhizobacteria flourish in biologically active soils, enhancing nutrient uptake and plant health. Regenerative approaches, by eliminating synthetic inputs and enhancing ecological niches, promote stable predator-prey relatio</w:t>
      </w:r>
      <w:r w:rsidR="006D42ED">
        <w:rPr>
          <w:rFonts w:ascii="Times New Roman" w:hAnsi="Times New Roman" w:cs="Times New Roman"/>
        </w:rPr>
        <w:t xml:space="preserve">nships and natural pest control (Pickett </w:t>
      </w:r>
      <w:r w:rsidR="006D42ED" w:rsidRPr="006D42ED">
        <w:rPr>
          <w:rFonts w:ascii="Times New Roman" w:hAnsi="Times New Roman" w:cs="Times New Roman"/>
          <w:i/>
        </w:rPr>
        <w:t>et.al.,</w:t>
      </w:r>
      <w:r w:rsidR="006D42ED">
        <w:rPr>
          <w:rFonts w:ascii="Times New Roman" w:hAnsi="Times New Roman" w:cs="Times New Roman"/>
        </w:rPr>
        <w:t xml:space="preserve"> 1998).</w:t>
      </w:r>
      <w:r w:rsidRPr="006C1830">
        <w:rPr>
          <w:rFonts w:ascii="Times New Roman" w:hAnsi="Times New Roman" w:cs="Times New Roman"/>
        </w:rPr>
        <w:br/>
        <w:t xml:space="preserve">Enhanced organic matter content and microbial activity under regenerative systems accelerate decomposition and nutrient </w:t>
      </w:r>
      <w:r w:rsidR="005B6D5E" w:rsidRPr="00AB4312">
        <w:rPr>
          <w:rFonts w:ascii="Times New Roman" w:hAnsi="Times New Roman" w:cs="Times New Roman"/>
          <w:highlight w:val="yellow"/>
        </w:rPr>
        <w:t xml:space="preserve">mineralisation </w:t>
      </w:r>
      <w:r w:rsidRPr="006C1830">
        <w:rPr>
          <w:rFonts w:ascii="Times New Roman" w:hAnsi="Times New Roman" w:cs="Times New Roman"/>
        </w:rPr>
        <w:t>processes. Legume integration and compost application increase nitrogen availability through biological nitrogen fixation and organic amendments. Mycorrhizal associations expand the root absorptive surface, improving uptake of phosphorus, zinc, and other micronutrien</w:t>
      </w:r>
      <w:r w:rsidR="00627498">
        <w:rPr>
          <w:rFonts w:ascii="Times New Roman" w:hAnsi="Times New Roman" w:cs="Times New Roman"/>
        </w:rPr>
        <w:t>ts. The Soil Health Institute</w:t>
      </w:r>
      <w:r w:rsidRPr="006C1830">
        <w:rPr>
          <w:rFonts w:ascii="Times New Roman" w:hAnsi="Times New Roman" w:cs="Times New Roman"/>
        </w:rPr>
        <w:t xml:space="preserve"> reported that regenerative farms exhibit up to 78% higher soil enzymatic activity, a key indicator of nut</w:t>
      </w:r>
      <w:r w:rsidR="006D42ED">
        <w:rPr>
          <w:rFonts w:ascii="Times New Roman" w:hAnsi="Times New Roman" w:cs="Times New Roman"/>
        </w:rPr>
        <w:t xml:space="preserve">rient transformation efficiency (Xu </w:t>
      </w:r>
      <w:r w:rsidR="006D42ED" w:rsidRPr="006D42ED">
        <w:rPr>
          <w:rFonts w:ascii="Times New Roman" w:hAnsi="Times New Roman" w:cs="Times New Roman"/>
          <w:i/>
        </w:rPr>
        <w:t>et.al.,</w:t>
      </w:r>
      <w:r w:rsidR="006D42ED">
        <w:rPr>
          <w:rFonts w:ascii="Times New Roman" w:hAnsi="Times New Roman" w:cs="Times New Roman"/>
        </w:rPr>
        <w:t xml:space="preserve"> 2022).</w:t>
      </w:r>
      <w:r w:rsidRPr="006C1830">
        <w:rPr>
          <w:rFonts w:ascii="Times New Roman" w:hAnsi="Times New Roman" w:cs="Times New Roman"/>
        </w:rPr>
        <w:t xml:space="preserve"> Additionally, cover crops scavenge residual nutrients and reduce leaching losses. A study showed that legume-based cover cropping systems returned up to 120 kg N ha⁻¹ annually, reducing dependency on synthetic </w:t>
      </w:r>
      <w:r w:rsidR="00930853" w:rsidRPr="00AB4312">
        <w:rPr>
          <w:rFonts w:ascii="Times New Roman" w:hAnsi="Times New Roman" w:cs="Times New Roman"/>
          <w:highlight w:val="yellow"/>
        </w:rPr>
        <w:t>fertilisers</w:t>
      </w:r>
      <w:r w:rsidRPr="006C1830">
        <w:rPr>
          <w:rFonts w:ascii="Times New Roman" w:hAnsi="Times New Roman" w:cs="Times New Roman"/>
        </w:rPr>
        <w:t>. Over time, improved nutrient cycling reduces input costs, enhances crop nutrient density, and sustains productivity.</w:t>
      </w:r>
      <w:r w:rsidR="00890836">
        <w:rPr>
          <w:rFonts w:ascii="Times New Roman" w:hAnsi="Times New Roman" w:cs="Times New Roman"/>
        </w:rPr>
        <w:t xml:space="preserve"> </w:t>
      </w:r>
      <w:r w:rsidRPr="006C1830">
        <w:rPr>
          <w:rFonts w:ascii="Times New Roman" w:hAnsi="Times New Roman" w:cs="Times New Roman"/>
        </w:rPr>
        <w:t>Regenerative agriculture contributes to livelihood security by improving farm profitability, risk diversification, and adaptive capacity. Reduced dependence on costly agrochemicals and external inputs lowers production costs. Integration of livestock, trees, and multiple crop species generates diversified income streams. Regenerative practices improve soil buffering capacity, enabling crops to better withstand droughts, floods, and temperature extremes. A study across 30 farms in the U.S. Corn Belt reported that regenerative farms were 78% more profitable than conventional ones, despite lower input use. Additionally, the ability of such systems to sequester carbon and improve soil moisture supports climate mitigation and adaptation. Enhanced ecological function and community engagement foster long-term food and income security, especially for smallholder and rainfed farming systems vuln</w:t>
      </w:r>
      <w:r w:rsidR="006D42ED">
        <w:rPr>
          <w:rFonts w:ascii="Times New Roman" w:hAnsi="Times New Roman" w:cs="Times New Roman"/>
        </w:rPr>
        <w:t xml:space="preserve">erable to climate variability (Kerr </w:t>
      </w:r>
      <w:r w:rsidR="006D42ED" w:rsidRPr="006D42ED">
        <w:rPr>
          <w:rFonts w:ascii="Times New Roman" w:hAnsi="Times New Roman" w:cs="Times New Roman"/>
          <w:i/>
        </w:rPr>
        <w:t>et.al.,</w:t>
      </w:r>
      <w:r w:rsidR="006D42ED">
        <w:rPr>
          <w:rFonts w:ascii="Times New Roman" w:hAnsi="Times New Roman" w:cs="Times New Roman"/>
        </w:rPr>
        <w:t xml:space="preserve"> 2019).</w:t>
      </w:r>
    </w:p>
    <w:p w14:paraId="4D299DD8" w14:textId="77777777" w:rsidR="006C1830" w:rsidRPr="006C1830" w:rsidRDefault="006C1830" w:rsidP="006C1830">
      <w:pPr>
        <w:jc w:val="both"/>
        <w:rPr>
          <w:rFonts w:ascii="Times New Roman" w:hAnsi="Times New Roman" w:cs="Times New Roman"/>
        </w:rPr>
      </w:pPr>
      <w:r w:rsidRPr="006C1830">
        <w:rPr>
          <w:rFonts w:ascii="Times New Roman" w:hAnsi="Times New Roman" w:cs="Times New Roman"/>
          <w:b/>
          <w:bCs/>
        </w:rPr>
        <w:t>IX. Constraints and Trade-offs</w:t>
      </w:r>
    </w:p>
    <w:p w14:paraId="235CBA82" w14:textId="75608624" w:rsidR="006C1830" w:rsidRPr="006C1830" w:rsidRDefault="006C1830" w:rsidP="006C1830">
      <w:pPr>
        <w:jc w:val="both"/>
        <w:rPr>
          <w:rFonts w:ascii="Times New Roman" w:hAnsi="Times New Roman" w:cs="Times New Roman"/>
        </w:rPr>
      </w:pPr>
      <w:r w:rsidRPr="006C1830">
        <w:rPr>
          <w:rFonts w:ascii="Times New Roman" w:hAnsi="Times New Roman" w:cs="Times New Roman"/>
        </w:rPr>
        <w:t>The transition to regenerative agriculture often entails higher upfront investments compared to conventional systems. These costs arise from acquiring composting units, cover crop seeds, mulching materials, fencing for rotational grazing, or establishing agroforestry systems. For example, adopting conservation tillage and cover crops in maize–soybean systems can cost an additional $50–100 per hectare dur</w:t>
      </w:r>
      <w:r w:rsidR="00627498">
        <w:rPr>
          <w:rFonts w:ascii="Times New Roman" w:hAnsi="Times New Roman" w:cs="Times New Roman"/>
        </w:rPr>
        <w:t>ing the initial years</w:t>
      </w:r>
      <w:r w:rsidRPr="006C1830">
        <w:rPr>
          <w:rFonts w:ascii="Times New Roman" w:hAnsi="Times New Roman" w:cs="Times New Roman"/>
        </w:rPr>
        <w:t xml:space="preserve">. </w:t>
      </w:r>
      <w:r w:rsidR="00930853" w:rsidRPr="00AB4312">
        <w:rPr>
          <w:rFonts w:ascii="Times New Roman" w:hAnsi="Times New Roman" w:cs="Times New Roman"/>
          <w:highlight w:val="yellow"/>
        </w:rPr>
        <w:t xml:space="preserve">Labour </w:t>
      </w:r>
      <w:r w:rsidRPr="006C1830">
        <w:rPr>
          <w:rFonts w:ascii="Times New Roman" w:hAnsi="Times New Roman" w:cs="Times New Roman"/>
        </w:rPr>
        <w:t xml:space="preserve">requirements also increase due to practices like manual mulching, compost preparation, and diversified cropping schedules. Smallholders may face difficulties affording </w:t>
      </w:r>
      <w:r w:rsidR="00930853" w:rsidRPr="00AB4312">
        <w:rPr>
          <w:rFonts w:ascii="Times New Roman" w:hAnsi="Times New Roman" w:cs="Times New Roman"/>
          <w:highlight w:val="yellow"/>
        </w:rPr>
        <w:t xml:space="preserve">mechanisation </w:t>
      </w:r>
      <w:r w:rsidRPr="006C1830">
        <w:rPr>
          <w:rFonts w:ascii="Times New Roman" w:hAnsi="Times New Roman" w:cs="Times New Roman"/>
        </w:rPr>
        <w:t>suited to low-disturbance operations or lack access to institutional credit that supports regenerative transitions. These economic barriers can delay adoption unless offset by public incentives or long-term profitability guarantees.</w:t>
      </w:r>
      <w:r w:rsidR="00890836">
        <w:rPr>
          <w:rFonts w:ascii="Times New Roman" w:hAnsi="Times New Roman" w:cs="Times New Roman"/>
        </w:rPr>
        <w:t xml:space="preserve"> </w:t>
      </w:r>
      <w:r w:rsidRPr="006C1830">
        <w:rPr>
          <w:rFonts w:ascii="Times New Roman" w:hAnsi="Times New Roman" w:cs="Times New Roman"/>
        </w:rPr>
        <w:t xml:space="preserve">Many regenerative practices depend on external biomass sources such as crop residues, animal manure, </w:t>
      </w:r>
      <w:r w:rsidR="006D42ED">
        <w:rPr>
          <w:rFonts w:ascii="Times New Roman" w:hAnsi="Times New Roman" w:cs="Times New Roman"/>
        </w:rPr>
        <w:t xml:space="preserve">compost, or green manure crops (Tindwa </w:t>
      </w:r>
      <w:r w:rsidR="006D42ED" w:rsidRPr="006D42ED">
        <w:rPr>
          <w:rFonts w:ascii="Times New Roman" w:hAnsi="Times New Roman" w:cs="Times New Roman"/>
          <w:i/>
        </w:rPr>
        <w:t>et</w:t>
      </w:r>
      <w:r w:rsidR="00930853">
        <w:rPr>
          <w:rFonts w:ascii="Times New Roman" w:hAnsi="Times New Roman" w:cs="Times New Roman"/>
          <w:i/>
        </w:rPr>
        <w:t xml:space="preserve"> </w:t>
      </w:r>
      <w:r w:rsidR="006D42ED" w:rsidRPr="006D42ED">
        <w:rPr>
          <w:rFonts w:ascii="Times New Roman" w:hAnsi="Times New Roman" w:cs="Times New Roman"/>
          <w:i/>
        </w:rPr>
        <w:t>al.,</w:t>
      </w:r>
      <w:r w:rsidR="006D42ED">
        <w:rPr>
          <w:rFonts w:ascii="Times New Roman" w:hAnsi="Times New Roman" w:cs="Times New Roman"/>
        </w:rPr>
        <w:t xml:space="preserve"> 2024). </w:t>
      </w:r>
      <w:r w:rsidRPr="006C1830">
        <w:rPr>
          <w:rFonts w:ascii="Times New Roman" w:hAnsi="Times New Roman" w:cs="Times New Roman"/>
        </w:rPr>
        <w:t xml:space="preserve">Availability is constrained in high-intensity or residue-scarce systems, particularly in dryland farming or regions with competing demands for fodder and fuelwood. For </w:t>
      </w:r>
      <w:r w:rsidRPr="006C1830">
        <w:rPr>
          <w:rFonts w:ascii="Times New Roman" w:hAnsi="Times New Roman" w:cs="Times New Roman"/>
        </w:rPr>
        <w:lastRenderedPageBreak/>
        <w:t>instance, studies in semi-arid Africa reported that less than 35% of households had sufficient livestock to generate FYM r</w:t>
      </w:r>
      <w:r w:rsidR="00627498">
        <w:rPr>
          <w:rFonts w:ascii="Times New Roman" w:hAnsi="Times New Roman" w:cs="Times New Roman"/>
        </w:rPr>
        <w:t>equired for organic amendments</w:t>
      </w:r>
      <w:r w:rsidRPr="006C1830">
        <w:rPr>
          <w:rFonts w:ascii="Times New Roman" w:hAnsi="Times New Roman" w:cs="Times New Roman"/>
        </w:rPr>
        <w:t>. The production of quality compost also requires infrastructure, water, and training. Without reliable biomass, farmers struggle to implement cover cropping, mulching, or biochar use at scale, limiting soil carbon accumulation and regenerative potential.</w:t>
      </w:r>
    </w:p>
    <w:p w14:paraId="41588B2D" w14:textId="0DA18F31" w:rsidR="006C1830" w:rsidRPr="006C1830" w:rsidRDefault="006C1830" w:rsidP="006C1830">
      <w:pPr>
        <w:jc w:val="both"/>
        <w:rPr>
          <w:rFonts w:ascii="Times New Roman" w:hAnsi="Times New Roman" w:cs="Times New Roman"/>
        </w:rPr>
      </w:pPr>
      <w:r w:rsidRPr="006C1830">
        <w:rPr>
          <w:rFonts w:ascii="Times New Roman" w:hAnsi="Times New Roman" w:cs="Times New Roman"/>
        </w:rPr>
        <w:t xml:space="preserve">Effective adoption of regenerative practices requires </w:t>
      </w:r>
      <w:r w:rsidR="00930853">
        <w:rPr>
          <w:rFonts w:ascii="Times New Roman" w:hAnsi="Times New Roman" w:cs="Times New Roman"/>
        </w:rPr>
        <w:t xml:space="preserve">a </w:t>
      </w:r>
      <w:r w:rsidRPr="006C1830">
        <w:rPr>
          <w:rFonts w:ascii="Times New Roman" w:hAnsi="Times New Roman" w:cs="Times New Roman"/>
        </w:rPr>
        <w:t>deep understanding of site-specific ecology, soil biology, crop-livestock interac</w:t>
      </w:r>
      <w:r w:rsidR="006D42ED">
        <w:rPr>
          <w:rFonts w:ascii="Times New Roman" w:hAnsi="Times New Roman" w:cs="Times New Roman"/>
        </w:rPr>
        <w:t xml:space="preserve">tions, and adaptive management (Sher </w:t>
      </w:r>
      <w:r w:rsidR="006D42ED" w:rsidRPr="006D42ED">
        <w:rPr>
          <w:rFonts w:ascii="Times New Roman" w:hAnsi="Times New Roman" w:cs="Times New Roman"/>
          <w:i/>
        </w:rPr>
        <w:t>et.al.,</w:t>
      </w:r>
      <w:r w:rsidR="006D42ED">
        <w:rPr>
          <w:rFonts w:ascii="Times New Roman" w:hAnsi="Times New Roman" w:cs="Times New Roman"/>
        </w:rPr>
        <w:t xml:space="preserve"> 2024). </w:t>
      </w:r>
      <w:r w:rsidRPr="006C1830">
        <w:rPr>
          <w:rFonts w:ascii="Times New Roman" w:hAnsi="Times New Roman" w:cs="Times New Roman"/>
        </w:rPr>
        <w:t>Knowledge-intensive practices such as crop rotation design, composting techniques, or integrated pest management are often underrepresented in extension curricula. Studies have shown that fewer than 40% of agricultural extension programs globally include modules on organic soil health managem</w:t>
      </w:r>
      <w:r w:rsidR="00627498">
        <w:rPr>
          <w:rFonts w:ascii="Times New Roman" w:hAnsi="Times New Roman" w:cs="Times New Roman"/>
        </w:rPr>
        <w:t>ent or climate-smart practices</w:t>
      </w:r>
      <w:r w:rsidRPr="006C1830">
        <w:rPr>
          <w:rFonts w:ascii="Times New Roman" w:hAnsi="Times New Roman" w:cs="Times New Roman"/>
        </w:rPr>
        <w:t xml:space="preserve">. Farmers may lack exposure to regenerative models or peer learning platforms, which hinders widespread </w:t>
      </w:r>
      <w:r w:rsidR="006A4B5E" w:rsidRPr="009E1DC1">
        <w:rPr>
          <w:rFonts w:ascii="Times New Roman" w:hAnsi="Times New Roman" w:cs="Times New Roman"/>
        </w:rPr>
        <w:t>behavioural</w:t>
      </w:r>
      <w:r w:rsidRPr="006C1830">
        <w:rPr>
          <w:rFonts w:ascii="Times New Roman" w:hAnsi="Times New Roman" w:cs="Times New Roman"/>
        </w:rPr>
        <w:t xml:space="preserve"> change. Moreover, extension agents often lack training or resources to support ecological approaches, resulting in low adoption despite interest. Strengthening research–extension–farmer linkages and participatory trials is crucial f</w:t>
      </w:r>
      <w:r w:rsidR="006D42ED">
        <w:rPr>
          <w:rFonts w:ascii="Times New Roman" w:hAnsi="Times New Roman" w:cs="Times New Roman"/>
        </w:rPr>
        <w:t xml:space="preserve">or scaling regenerative systems (Staley </w:t>
      </w:r>
      <w:r w:rsidR="006D42ED" w:rsidRPr="006D42ED">
        <w:rPr>
          <w:rFonts w:ascii="Times New Roman" w:hAnsi="Times New Roman" w:cs="Times New Roman"/>
          <w:i/>
        </w:rPr>
        <w:t>et.al.,</w:t>
      </w:r>
      <w:r w:rsidR="006D42ED">
        <w:rPr>
          <w:rFonts w:ascii="Times New Roman" w:hAnsi="Times New Roman" w:cs="Times New Roman"/>
        </w:rPr>
        <w:t xml:space="preserve"> 2024).</w:t>
      </w:r>
      <w:r w:rsidR="00890836">
        <w:rPr>
          <w:rFonts w:ascii="Times New Roman" w:hAnsi="Times New Roman" w:cs="Times New Roman"/>
        </w:rPr>
        <w:t xml:space="preserve"> </w:t>
      </w:r>
      <w:r w:rsidRPr="006C1830">
        <w:rPr>
          <w:rFonts w:ascii="Times New Roman" w:hAnsi="Times New Roman" w:cs="Times New Roman"/>
        </w:rPr>
        <w:t>During the transition phase, regenerative practices may not deliver immediate yield benefits, particularly in degraded so</w:t>
      </w:r>
      <w:r w:rsidR="006D42ED">
        <w:rPr>
          <w:rFonts w:ascii="Times New Roman" w:hAnsi="Times New Roman" w:cs="Times New Roman"/>
        </w:rPr>
        <w:t xml:space="preserve">ils or unfamiliar agroecologies (Ryan </w:t>
      </w:r>
      <w:r w:rsidR="006D42ED" w:rsidRPr="006D42ED">
        <w:rPr>
          <w:rFonts w:ascii="Times New Roman" w:hAnsi="Times New Roman" w:cs="Times New Roman"/>
          <w:i/>
        </w:rPr>
        <w:t>et.al.,</w:t>
      </w:r>
      <w:r w:rsidR="006D42ED">
        <w:rPr>
          <w:rFonts w:ascii="Times New Roman" w:hAnsi="Times New Roman" w:cs="Times New Roman"/>
        </w:rPr>
        <w:t xml:space="preserve"> 2017).</w:t>
      </w:r>
      <w:r w:rsidRPr="006C1830">
        <w:rPr>
          <w:rFonts w:ascii="Times New Roman" w:hAnsi="Times New Roman" w:cs="Times New Roman"/>
        </w:rPr>
        <w:t xml:space="preserve"> Yield reductions of 5–25% have been reported in early years due to factors like nutrient </w:t>
      </w:r>
      <w:r w:rsidR="00930853" w:rsidRPr="00AB4312">
        <w:rPr>
          <w:rFonts w:ascii="Times New Roman" w:hAnsi="Times New Roman" w:cs="Times New Roman"/>
          <w:highlight w:val="yellow"/>
        </w:rPr>
        <w:t>immobilisation</w:t>
      </w:r>
      <w:r w:rsidRPr="006C1830">
        <w:rPr>
          <w:rFonts w:ascii="Times New Roman" w:hAnsi="Times New Roman" w:cs="Times New Roman"/>
        </w:rPr>
        <w:t>, weed pressure,</w:t>
      </w:r>
      <w:r w:rsidR="00627498">
        <w:rPr>
          <w:rFonts w:ascii="Times New Roman" w:hAnsi="Times New Roman" w:cs="Times New Roman"/>
        </w:rPr>
        <w:t xml:space="preserve"> or poor biomass establishment</w:t>
      </w:r>
      <w:r w:rsidRPr="006C1830">
        <w:rPr>
          <w:rFonts w:ascii="Times New Roman" w:hAnsi="Times New Roman" w:cs="Times New Roman"/>
        </w:rPr>
        <w:t xml:space="preserve">. For example, switching to organic inputs without adequate nitrogen replacement may initially suppress cereal yields. Regenerative models such as agroforestry and polyculture systems often take multiple seasons to </w:t>
      </w:r>
      <w:r w:rsidR="00930853" w:rsidRPr="00AB4312">
        <w:rPr>
          <w:rFonts w:ascii="Times New Roman" w:hAnsi="Times New Roman" w:cs="Times New Roman"/>
          <w:highlight w:val="yellow"/>
        </w:rPr>
        <w:t xml:space="preserve">stabilise </w:t>
      </w:r>
      <w:r w:rsidRPr="006C1830">
        <w:rPr>
          <w:rFonts w:ascii="Times New Roman" w:hAnsi="Times New Roman" w:cs="Times New Roman"/>
        </w:rPr>
        <w:t>and express their full ecological benefits. This temporal lag creates disincentives, especially for smallholders dependent on consistent annual output. Market access, certification delays, and lack of carbon payment mechanisms further contribute to the opportunity cost associated with adoption. Balancing ecological restoration with economic viability requires adaptive financial models, such as ecosystem service payments, transition</w:t>
      </w:r>
      <w:r w:rsidR="006D42ED">
        <w:rPr>
          <w:rFonts w:ascii="Times New Roman" w:hAnsi="Times New Roman" w:cs="Times New Roman"/>
        </w:rPr>
        <w:t xml:space="preserve">al subsidies, or carbon credits (Vanderklift </w:t>
      </w:r>
      <w:r w:rsidR="006D42ED" w:rsidRPr="006D42ED">
        <w:rPr>
          <w:rFonts w:ascii="Times New Roman" w:hAnsi="Times New Roman" w:cs="Times New Roman"/>
          <w:i/>
        </w:rPr>
        <w:t xml:space="preserve">et.al., </w:t>
      </w:r>
      <w:r w:rsidR="006D42ED">
        <w:rPr>
          <w:rFonts w:ascii="Times New Roman" w:hAnsi="Times New Roman" w:cs="Times New Roman"/>
        </w:rPr>
        <w:t>2019).</w:t>
      </w:r>
    </w:p>
    <w:p w14:paraId="7CE01430" w14:textId="144A1F67" w:rsidR="003A5B36" w:rsidRPr="003A5B36" w:rsidRDefault="003A5B36" w:rsidP="006C1830">
      <w:pPr>
        <w:jc w:val="both"/>
        <w:rPr>
          <w:rFonts w:ascii="Times New Roman" w:hAnsi="Times New Roman" w:cs="Times New Roman"/>
        </w:rPr>
      </w:pPr>
      <w:r w:rsidRPr="003A5B36">
        <w:rPr>
          <w:rFonts w:ascii="Times New Roman" w:hAnsi="Times New Roman" w:cs="Times New Roman"/>
          <w:b/>
          <w:bCs/>
        </w:rPr>
        <w:t>Conclusion</w:t>
      </w:r>
    </w:p>
    <w:p w14:paraId="3B736348" w14:textId="09FEF7E9" w:rsidR="006C1830" w:rsidRDefault="006C1830" w:rsidP="006C1830">
      <w:pPr>
        <w:jc w:val="both"/>
        <w:rPr>
          <w:rFonts w:ascii="Times New Roman" w:hAnsi="Times New Roman" w:cs="Times New Roman"/>
        </w:rPr>
      </w:pPr>
      <w:r w:rsidRPr="009E1DC1">
        <w:rPr>
          <w:rFonts w:ascii="Times New Roman" w:hAnsi="Times New Roman" w:cs="Times New Roman"/>
        </w:rPr>
        <w:t xml:space="preserve">Regenerative agricultural practices offer a transformative pathway to restore soil carbon, enhance ecosystem functionality, and build climate resilience in agroecosystems. Through conservation tillage, cover cropping, organic amendments, crop diversification, agroforestry, and managed grazing, these practices promote physical, chemical, and biological mechanisms that </w:t>
      </w:r>
      <w:r w:rsidR="00930853" w:rsidRPr="00AB4312">
        <w:rPr>
          <w:rFonts w:ascii="Times New Roman" w:hAnsi="Times New Roman" w:cs="Times New Roman"/>
          <w:highlight w:val="yellow"/>
        </w:rPr>
        <w:t xml:space="preserve">stabilise </w:t>
      </w:r>
      <w:r w:rsidRPr="009E1DC1">
        <w:rPr>
          <w:rFonts w:ascii="Times New Roman" w:hAnsi="Times New Roman" w:cs="Times New Roman"/>
        </w:rPr>
        <w:t>soil organic carbon. Empirical evidence from long-term trials, meta-analyses, and regional case studies consistently shows that regenerative systems can sequester 0.2 to 1.5 Mg C ha⁻¹ yr⁻¹ while improving water retention, biodiversity, nutrient cycling, and farmer livelihoods. Despite initial costs, knowledge gaps, and short-term trade-offs, the long-term environmental and economic co-benefits outweigh the challenges. Integration of scientific knowledge with policy support, extension services, and market incentives is essential to scale regenerative models. Accelerating their adoption can significantly contribute to carbon neutrality goals, sustainable agriculture, and food security under increasingly variable climatic conditions.</w:t>
      </w:r>
    </w:p>
    <w:p w14:paraId="4E0E3158" w14:textId="77777777" w:rsidR="00184CC4" w:rsidRPr="009C5487" w:rsidRDefault="00184CC4" w:rsidP="00184CC4">
      <w:pPr>
        <w:rPr>
          <w:rFonts w:ascii="Calibri" w:eastAsia="Calibri" w:hAnsi="Calibri" w:cs="Times New Roman"/>
          <w:highlight w:val="yellow"/>
          <w:lang w:val="en-US"/>
        </w:rPr>
      </w:pPr>
      <w:bookmarkStart w:id="0" w:name="_Hlk197682619"/>
      <w:bookmarkStart w:id="1" w:name="_Hlk180402183"/>
      <w:bookmarkStart w:id="2" w:name="_Hlk183680988"/>
      <w:r w:rsidRPr="009C5487">
        <w:rPr>
          <w:rFonts w:ascii="Calibri" w:eastAsia="Calibri" w:hAnsi="Calibri" w:cs="Times New Roman"/>
          <w:highlight w:val="yellow"/>
          <w:lang w:val="en-US"/>
        </w:rPr>
        <w:t>Disclaimer (Artificial intelligence)</w:t>
      </w:r>
    </w:p>
    <w:p w14:paraId="1187DCCE" w14:textId="77777777" w:rsidR="00184CC4" w:rsidRPr="009C5487" w:rsidRDefault="00184CC4" w:rsidP="00184CC4">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1: </w:t>
      </w:r>
    </w:p>
    <w:p w14:paraId="242E8A87" w14:textId="77777777" w:rsidR="00184CC4" w:rsidRPr="009C5487" w:rsidRDefault="00184CC4" w:rsidP="00184CC4">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28851FA8" w14:textId="77777777" w:rsidR="00184CC4" w:rsidRPr="009C5487" w:rsidRDefault="00184CC4" w:rsidP="00184CC4">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2: </w:t>
      </w:r>
    </w:p>
    <w:p w14:paraId="161C35DE" w14:textId="77777777" w:rsidR="00184CC4" w:rsidRPr="009C5487" w:rsidRDefault="00184CC4" w:rsidP="00184CC4">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Author(s) hereby declare that generative AI technologies such as Large Language Models, etc. have been used during the writing or editing of manuscripts. This explanation will include the name, </w:t>
      </w:r>
      <w:r w:rsidRPr="009C5487">
        <w:rPr>
          <w:rFonts w:ascii="Calibri" w:eastAsia="Calibri" w:hAnsi="Calibri" w:cs="Times New Roman"/>
          <w:highlight w:val="yellow"/>
          <w:lang w:val="en-US"/>
        </w:rPr>
        <w:lastRenderedPageBreak/>
        <w:t>version, model, and source of the generative AI technology and as well as all input prompts provided to the generative AI technology</w:t>
      </w:r>
    </w:p>
    <w:p w14:paraId="534B4436" w14:textId="77777777" w:rsidR="00184CC4" w:rsidRPr="009C5487" w:rsidRDefault="00184CC4" w:rsidP="00184CC4">
      <w:pPr>
        <w:rPr>
          <w:rFonts w:ascii="Calibri" w:eastAsia="Calibri" w:hAnsi="Calibri" w:cs="Times New Roman"/>
          <w:highlight w:val="yellow"/>
          <w:lang w:val="en-US"/>
        </w:rPr>
      </w:pPr>
      <w:r w:rsidRPr="009C5487">
        <w:rPr>
          <w:rFonts w:ascii="Calibri" w:eastAsia="Calibri" w:hAnsi="Calibri" w:cs="Times New Roman"/>
          <w:highlight w:val="yellow"/>
          <w:lang w:val="en-US"/>
        </w:rPr>
        <w:t>Details of the AI usage are given below:</w:t>
      </w:r>
    </w:p>
    <w:p w14:paraId="0984BF29" w14:textId="77777777" w:rsidR="00184CC4" w:rsidRPr="009C5487" w:rsidRDefault="00184CC4" w:rsidP="00184CC4">
      <w:pPr>
        <w:rPr>
          <w:rFonts w:ascii="Calibri" w:eastAsia="Calibri" w:hAnsi="Calibri" w:cs="Times New Roman"/>
          <w:highlight w:val="yellow"/>
          <w:lang w:val="en-US"/>
        </w:rPr>
      </w:pPr>
      <w:r w:rsidRPr="009C5487">
        <w:rPr>
          <w:rFonts w:ascii="Calibri" w:eastAsia="Calibri" w:hAnsi="Calibri" w:cs="Times New Roman"/>
          <w:highlight w:val="yellow"/>
          <w:lang w:val="en-US"/>
        </w:rPr>
        <w:t>1.</w:t>
      </w:r>
    </w:p>
    <w:p w14:paraId="44A63ED1" w14:textId="77777777" w:rsidR="00184CC4" w:rsidRPr="009C5487" w:rsidRDefault="00184CC4" w:rsidP="00184CC4">
      <w:pPr>
        <w:rPr>
          <w:rFonts w:ascii="Calibri" w:eastAsia="Calibri" w:hAnsi="Calibri" w:cs="Times New Roman"/>
          <w:highlight w:val="yellow"/>
          <w:lang w:val="en-US"/>
        </w:rPr>
      </w:pPr>
      <w:r w:rsidRPr="009C5487">
        <w:rPr>
          <w:rFonts w:ascii="Calibri" w:eastAsia="Calibri" w:hAnsi="Calibri" w:cs="Times New Roman"/>
          <w:highlight w:val="yellow"/>
          <w:lang w:val="en-US"/>
        </w:rPr>
        <w:t>2.</w:t>
      </w:r>
    </w:p>
    <w:p w14:paraId="38C4B73C" w14:textId="77777777" w:rsidR="00184CC4" w:rsidRPr="009C5487" w:rsidRDefault="00184CC4" w:rsidP="00184CC4">
      <w:pPr>
        <w:rPr>
          <w:rFonts w:ascii="Calibri" w:eastAsia="Calibri" w:hAnsi="Calibri" w:cs="Times New Roman"/>
          <w:lang w:val="en-US"/>
        </w:rPr>
      </w:pPr>
      <w:bookmarkStart w:id="3" w:name="_Hlk197682629"/>
      <w:bookmarkEnd w:id="0"/>
      <w:r w:rsidRPr="009C5487">
        <w:rPr>
          <w:rFonts w:ascii="Calibri" w:eastAsia="Calibri" w:hAnsi="Calibri" w:cs="Times New Roman"/>
          <w:highlight w:val="yellow"/>
          <w:lang w:val="en-US"/>
        </w:rPr>
        <w:t>3.</w:t>
      </w:r>
    </w:p>
    <w:bookmarkEnd w:id="1"/>
    <w:bookmarkEnd w:id="2"/>
    <w:bookmarkEnd w:id="3"/>
    <w:p w14:paraId="2A2AFBE4" w14:textId="77777777" w:rsidR="00184CC4" w:rsidRPr="009E1DC1" w:rsidRDefault="00184CC4" w:rsidP="006C1830">
      <w:pPr>
        <w:jc w:val="both"/>
        <w:rPr>
          <w:rFonts w:ascii="Times New Roman" w:hAnsi="Times New Roman" w:cs="Times New Roman"/>
        </w:rPr>
      </w:pPr>
    </w:p>
    <w:p w14:paraId="54B4A615" w14:textId="06F230E3" w:rsidR="003A5B36" w:rsidRPr="003A5B36" w:rsidRDefault="003A5B36" w:rsidP="006C1830">
      <w:pPr>
        <w:jc w:val="both"/>
        <w:rPr>
          <w:rFonts w:ascii="Times New Roman" w:hAnsi="Times New Roman" w:cs="Times New Roman"/>
        </w:rPr>
      </w:pPr>
      <w:r w:rsidRPr="003A5B36">
        <w:rPr>
          <w:rFonts w:ascii="Times New Roman" w:hAnsi="Times New Roman" w:cs="Times New Roman"/>
          <w:b/>
          <w:bCs/>
        </w:rPr>
        <w:t>Reference</w:t>
      </w:r>
    </w:p>
    <w:p w14:paraId="289AA07D" w14:textId="77777777" w:rsidR="00890836" w:rsidRPr="00141ABB" w:rsidRDefault="00890836" w:rsidP="00890836">
      <w:pPr>
        <w:pStyle w:val="ListParagraph"/>
        <w:numPr>
          <w:ilvl w:val="0"/>
          <w:numId w:val="12"/>
        </w:numPr>
        <w:spacing w:after="200" w:line="276" w:lineRule="auto"/>
        <w:ind w:left="360"/>
        <w:jc w:val="both"/>
        <w:rPr>
          <w:rFonts w:ascii="Times New Roman" w:hAnsi="Times New Roman" w:cs="Times New Roman"/>
        </w:rPr>
      </w:pPr>
      <w:r w:rsidRPr="00141ABB">
        <w:rPr>
          <w:rFonts w:ascii="Times New Roman" w:hAnsi="Times New Roman" w:cs="Times New Roman"/>
          <w:color w:val="222222"/>
          <w:shd w:val="clear" w:color="auto" w:fill="FFFFFF"/>
        </w:rPr>
        <w:t>Adingo, S., Yu, J. R., Xuelu, L., Li, X., Jing, S., &amp; Xiaong, Z. (2021). Variation of soil microbial carbon use efficiency (CUE) and its Influence mechanism in the context of global environmental change: a review. </w:t>
      </w:r>
      <w:r w:rsidRPr="00141ABB">
        <w:rPr>
          <w:rFonts w:ascii="Times New Roman" w:hAnsi="Times New Roman" w:cs="Times New Roman"/>
          <w:i/>
          <w:iCs/>
          <w:color w:val="222222"/>
          <w:shd w:val="clear" w:color="auto" w:fill="FFFFFF"/>
        </w:rPr>
        <w:t>PeerJ</w:t>
      </w:r>
      <w:r w:rsidRPr="00141ABB">
        <w:rPr>
          <w:rFonts w:ascii="Times New Roman" w:hAnsi="Times New Roman" w:cs="Times New Roman"/>
          <w:color w:val="222222"/>
          <w:shd w:val="clear" w:color="auto" w:fill="FFFFFF"/>
        </w:rPr>
        <w:t>, </w:t>
      </w:r>
      <w:r w:rsidRPr="00141ABB">
        <w:rPr>
          <w:rFonts w:ascii="Times New Roman" w:hAnsi="Times New Roman" w:cs="Times New Roman"/>
          <w:i/>
          <w:iCs/>
          <w:color w:val="222222"/>
          <w:shd w:val="clear" w:color="auto" w:fill="FFFFFF"/>
        </w:rPr>
        <w:t>9</w:t>
      </w:r>
      <w:r w:rsidRPr="00141ABB">
        <w:rPr>
          <w:rFonts w:ascii="Times New Roman" w:hAnsi="Times New Roman" w:cs="Times New Roman"/>
          <w:color w:val="222222"/>
          <w:shd w:val="clear" w:color="auto" w:fill="FFFFFF"/>
        </w:rPr>
        <w:t>, e12131.</w:t>
      </w:r>
    </w:p>
    <w:p w14:paraId="4F0B9A20" w14:textId="77777777" w:rsidR="00890836" w:rsidRPr="00141ABB" w:rsidRDefault="00890836" w:rsidP="00890836">
      <w:pPr>
        <w:pStyle w:val="ListParagraph"/>
        <w:numPr>
          <w:ilvl w:val="0"/>
          <w:numId w:val="12"/>
        </w:numPr>
        <w:spacing w:after="200" w:line="276" w:lineRule="auto"/>
        <w:ind w:left="360"/>
        <w:jc w:val="both"/>
        <w:rPr>
          <w:rFonts w:ascii="Times New Roman" w:hAnsi="Times New Roman" w:cs="Times New Roman"/>
        </w:rPr>
      </w:pPr>
      <w:r w:rsidRPr="00141ABB">
        <w:rPr>
          <w:rFonts w:ascii="Times New Roman" w:hAnsi="Times New Roman" w:cs="Times New Roman"/>
          <w:color w:val="222222"/>
          <w:shd w:val="clear" w:color="auto" w:fill="FFFFFF"/>
        </w:rPr>
        <w:t>Altieri, M. A., Nicholls, C. I., &amp; Lana, M. A. (2017). Agroecology: Using functional biodiversity to design productive and resilient polycultural systems. In </w:t>
      </w:r>
      <w:r w:rsidRPr="00141ABB">
        <w:rPr>
          <w:rFonts w:ascii="Times New Roman" w:hAnsi="Times New Roman" w:cs="Times New Roman"/>
          <w:i/>
          <w:iCs/>
          <w:color w:val="222222"/>
          <w:shd w:val="clear" w:color="auto" w:fill="FFFFFF"/>
        </w:rPr>
        <w:t>Routledge Handbook of Agricultural Biodiversity</w:t>
      </w:r>
      <w:r w:rsidRPr="00141ABB">
        <w:rPr>
          <w:rFonts w:ascii="Times New Roman" w:hAnsi="Times New Roman" w:cs="Times New Roman"/>
          <w:color w:val="222222"/>
          <w:shd w:val="clear" w:color="auto" w:fill="FFFFFF"/>
        </w:rPr>
        <w:t> (pp. 224-237). Routledge.</w:t>
      </w:r>
    </w:p>
    <w:p w14:paraId="0B2498BE" w14:textId="77777777" w:rsidR="00890836" w:rsidRPr="00141ABB" w:rsidRDefault="00890836" w:rsidP="00890836">
      <w:pPr>
        <w:pStyle w:val="ListParagraph"/>
        <w:numPr>
          <w:ilvl w:val="0"/>
          <w:numId w:val="12"/>
        </w:numPr>
        <w:spacing w:after="200" w:line="276" w:lineRule="auto"/>
        <w:ind w:left="360"/>
        <w:jc w:val="both"/>
        <w:rPr>
          <w:rFonts w:ascii="Times New Roman" w:hAnsi="Times New Roman" w:cs="Times New Roman"/>
        </w:rPr>
      </w:pPr>
      <w:r w:rsidRPr="00141ABB">
        <w:rPr>
          <w:rFonts w:ascii="Times New Roman" w:hAnsi="Times New Roman" w:cs="Times New Roman"/>
          <w:color w:val="222222"/>
          <w:shd w:val="clear" w:color="auto" w:fill="FFFFFF"/>
        </w:rPr>
        <w:t>Babaniyi, G. G., Ibrahim, F., Akor, U. J., &amp; Daramola, O. E. (2024). Regenerative agriculture for food security. In </w:t>
      </w:r>
      <w:r w:rsidRPr="00141ABB">
        <w:rPr>
          <w:rFonts w:ascii="Times New Roman" w:hAnsi="Times New Roman" w:cs="Times New Roman"/>
          <w:i/>
          <w:iCs/>
          <w:color w:val="222222"/>
          <w:shd w:val="clear" w:color="auto" w:fill="FFFFFF"/>
        </w:rPr>
        <w:t>Prospects for Soil Regeneration and Its Impact on Environmental Protection</w:t>
      </w:r>
      <w:r w:rsidRPr="00141ABB">
        <w:rPr>
          <w:rFonts w:ascii="Times New Roman" w:hAnsi="Times New Roman" w:cs="Times New Roman"/>
          <w:color w:val="222222"/>
          <w:shd w:val="clear" w:color="auto" w:fill="FFFFFF"/>
        </w:rPr>
        <w:t> (pp. 227-242). Cham: Springer Nature Switzerland.</w:t>
      </w:r>
    </w:p>
    <w:p w14:paraId="16045FB5" w14:textId="77777777" w:rsidR="00890836" w:rsidRPr="00141ABB" w:rsidRDefault="00890836" w:rsidP="00890836">
      <w:pPr>
        <w:pStyle w:val="ListParagraph"/>
        <w:numPr>
          <w:ilvl w:val="0"/>
          <w:numId w:val="12"/>
        </w:numPr>
        <w:spacing w:after="200" w:line="276" w:lineRule="auto"/>
        <w:ind w:left="360"/>
        <w:jc w:val="both"/>
        <w:rPr>
          <w:rFonts w:ascii="Times New Roman" w:hAnsi="Times New Roman" w:cs="Times New Roman"/>
        </w:rPr>
      </w:pPr>
      <w:r w:rsidRPr="00141ABB">
        <w:rPr>
          <w:rFonts w:ascii="Times New Roman" w:hAnsi="Times New Roman" w:cs="Times New Roman"/>
          <w:color w:val="222222"/>
          <w:shd w:val="clear" w:color="auto" w:fill="FFFFFF"/>
        </w:rPr>
        <w:t>Bailey, V. L., Pries, C. H., &amp; Lajtha, K. (2019). What do we know about soil carbon destabilization?. </w:t>
      </w:r>
      <w:r w:rsidRPr="00141ABB">
        <w:rPr>
          <w:rFonts w:ascii="Times New Roman" w:hAnsi="Times New Roman" w:cs="Times New Roman"/>
          <w:i/>
          <w:iCs/>
          <w:color w:val="222222"/>
          <w:shd w:val="clear" w:color="auto" w:fill="FFFFFF"/>
        </w:rPr>
        <w:t>Environmental Research Letters</w:t>
      </w:r>
      <w:r w:rsidRPr="00141ABB">
        <w:rPr>
          <w:rFonts w:ascii="Times New Roman" w:hAnsi="Times New Roman" w:cs="Times New Roman"/>
          <w:color w:val="222222"/>
          <w:shd w:val="clear" w:color="auto" w:fill="FFFFFF"/>
        </w:rPr>
        <w:t>, </w:t>
      </w:r>
      <w:r w:rsidRPr="00141ABB">
        <w:rPr>
          <w:rFonts w:ascii="Times New Roman" w:hAnsi="Times New Roman" w:cs="Times New Roman"/>
          <w:i/>
          <w:iCs/>
          <w:color w:val="222222"/>
          <w:shd w:val="clear" w:color="auto" w:fill="FFFFFF"/>
        </w:rPr>
        <w:t>14</w:t>
      </w:r>
      <w:r w:rsidRPr="00141ABB">
        <w:rPr>
          <w:rFonts w:ascii="Times New Roman" w:hAnsi="Times New Roman" w:cs="Times New Roman"/>
          <w:color w:val="222222"/>
          <w:shd w:val="clear" w:color="auto" w:fill="FFFFFF"/>
        </w:rPr>
        <w:t>(8), 083004.</w:t>
      </w:r>
    </w:p>
    <w:p w14:paraId="40D85C73" w14:textId="77777777" w:rsidR="00890836" w:rsidRPr="00141ABB" w:rsidRDefault="00890836" w:rsidP="00890836">
      <w:pPr>
        <w:pStyle w:val="ListParagraph"/>
        <w:numPr>
          <w:ilvl w:val="0"/>
          <w:numId w:val="12"/>
        </w:numPr>
        <w:spacing w:after="200" w:line="276" w:lineRule="auto"/>
        <w:ind w:left="360"/>
        <w:jc w:val="both"/>
        <w:rPr>
          <w:rFonts w:ascii="Times New Roman" w:hAnsi="Times New Roman" w:cs="Times New Roman"/>
        </w:rPr>
      </w:pPr>
      <w:r w:rsidRPr="00141ABB">
        <w:rPr>
          <w:rFonts w:ascii="Times New Roman" w:hAnsi="Times New Roman" w:cs="Times New Roman"/>
          <w:color w:val="222222"/>
          <w:shd w:val="clear" w:color="auto" w:fill="FFFFFF"/>
        </w:rPr>
        <w:t>Beesley, L., Moreno-Jiménez, E., Gomez-Eyles, J. L., Harris, E., Robinson, B., &amp; Sizmur, T. (2011). A review of biochars’ potential role in the remediation, revegetation and restoration of contaminated soils. </w:t>
      </w:r>
      <w:r w:rsidRPr="00141ABB">
        <w:rPr>
          <w:rFonts w:ascii="Times New Roman" w:hAnsi="Times New Roman" w:cs="Times New Roman"/>
          <w:i/>
          <w:iCs/>
          <w:color w:val="222222"/>
          <w:shd w:val="clear" w:color="auto" w:fill="FFFFFF"/>
        </w:rPr>
        <w:t>Environmental pollution</w:t>
      </w:r>
      <w:r w:rsidRPr="00141ABB">
        <w:rPr>
          <w:rFonts w:ascii="Times New Roman" w:hAnsi="Times New Roman" w:cs="Times New Roman"/>
          <w:color w:val="222222"/>
          <w:shd w:val="clear" w:color="auto" w:fill="FFFFFF"/>
        </w:rPr>
        <w:t>, </w:t>
      </w:r>
      <w:r w:rsidRPr="00141ABB">
        <w:rPr>
          <w:rFonts w:ascii="Times New Roman" w:hAnsi="Times New Roman" w:cs="Times New Roman"/>
          <w:i/>
          <w:iCs/>
          <w:color w:val="222222"/>
          <w:shd w:val="clear" w:color="auto" w:fill="FFFFFF"/>
        </w:rPr>
        <w:t>159</w:t>
      </w:r>
      <w:r w:rsidRPr="00141ABB">
        <w:rPr>
          <w:rFonts w:ascii="Times New Roman" w:hAnsi="Times New Roman" w:cs="Times New Roman"/>
          <w:color w:val="222222"/>
          <w:shd w:val="clear" w:color="auto" w:fill="FFFFFF"/>
        </w:rPr>
        <w:t>(12), 3269-3282.</w:t>
      </w:r>
    </w:p>
    <w:p w14:paraId="475F7C5F" w14:textId="77777777" w:rsidR="00890836" w:rsidRPr="00141ABB" w:rsidRDefault="00890836" w:rsidP="00890836">
      <w:pPr>
        <w:pStyle w:val="ListParagraph"/>
        <w:numPr>
          <w:ilvl w:val="0"/>
          <w:numId w:val="12"/>
        </w:numPr>
        <w:spacing w:after="200" w:line="276" w:lineRule="auto"/>
        <w:ind w:left="360"/>
        <w:jc w:val="both"/>
        <w:rPr>
          <w:rFonts w:ascii="Times New Roman" w:hAnsi="Times New Roman" w:cs="Times New Roman"/>
        </w:rPr>
      </w:pPr>
      <w:r w:rsidRPr="00141ABB">
        <w:rPr>
          <w:rFonts w:ascii="Times New Roman" w:hAnsi="Times New Roman" w:cs="Times New Roman"/>
          <w:color w:val="222222"/>
          <w:shd w:val="clear" w:color="auto" w:fill="FFFFFF"/>
        </w:rPr>
        <w:t>Boincean, B., Dent, D., Boincean, B., &amp; Dent, D. (2019). Tillage and conservation agriculture. </w:t>
      </w:r>
      <w:r w:rsidRPr="00141ABB">
        <w:rPr>
          <w:rFonts w:ascii="Times New Roman" w:hAnsi="Times New Roman" w:cs="Times New Roman"/>
          <w:i/>
          <w:iCs/>
          <w:color w:val="222222"/>
          <w:shd w:val="clear" w:color="auto" w:fill="FFFFFF"/>
        </w:rPr>
        <w:t>Farming the black earth: Sustainable and climate-smart management of chernozem soils</w:t>
      </w:r>
      <w:r w:rsidRPr="00141ABB">
        <w:rPr>
          <w:rFonts w:ascii="Times New Roman" w:hAnsi="Times New Roman" w:cs="Times New Roman"/>
          <w:color w:val="222222"/>
          <w:shd w:val="clear" w:color="auto" w:fill="FFFFFF"/>
        </w:rPr>
        <w:t>, 125-149.</w:t>
      </w:r>
    </w:p>
    <w:p w14:paraId="35332520" w14:textId="77777777" w:rsidR="00890836" w:rsidRPr="00141ABB" w:rsidRDefault="00890836" w:rsidP="00890836">
      <w:pPr>
        <w:pStyle w:val="ListParagraph"/>
        <w:numPr>
          <w:ilvl w:val="0"/>
          <w:numId w:val="12"/>
        </w:numPr>
        <w:spacing w:after="200" w:line="276" w:lineRule="auto"/>
        <w:ind w:left="360"/>
        <w:jc w:val="both"/>
        <w:rPr>
          <w:rFonts w:ascii="Times New Roman" w:hAnsi="Times New Roman" w:cs="Times New Roman"/>
        </w:rPr>
      </w:pPr>
      <w:r w:rsidRPr="00141ABB">
        <w:rPr>
          <w:rFonts w:ascii="Times New Roman" w:hAnsi="Times New Roman" w:cs="Times New Roman"/>
          <w:color w:val="222222"/>
          <w:shd w:val="clear" w:color="auto" w:fill="FFFFFF"/>
        </w:rPr>
        <w:t>Bommarco, R., Kleijn, D., &amp; Potts, S. G. (2013). Ecological intensification: harnessing ecosystem services for food security. </w:t>
      </w:r>
      <w:r w:rsidRPr="00141ABB">
        <w:rPr>
          <w:rFonts w:ascii="Times New Roman" w:hAnsi="Times New Roman" w:cs="Times New Roman"/>
          <w:i/>
          <w:iCs/>
          <w:color w:val="222222"/>
          <w:shd w:val="clear" w:color="auto" w:fill="FFFFFF"/>
        </w:rPr>
        <w:t>Trends in ecology &amp; evolution</w:t>
      </w:r>
      <w:r w:rsidRPr="00141ABB">
        <w:rPr>
          <w:rFonts w:ascii="Times New Roman" w:hAnsi="Times New Roman" w:cs="Times New Roman"/>
          <w:color w:val="222222"/>
          <w:shd w:val="clear" w:color="auto" w:fill="FFFFFF"/>
        </w:rPr>
        <w:t>, </w:t>
      </w:r>
      <w:r w:rsidRPr="00141ABB">
        <w:rPr>
          <w:rFonts w:ascii="Times New Roman" w:hAnsi="Times New Roman" w:cs="Times New Roman"/>
          <w:i/>
          <w:iCs/>
          <w:color w:val="222222"/>
          <w:shd w:val="clear" w:color="auto" w:fill="FFFFFF"/>
        </w:rPr>
        <w:t>28</w:t>
      </w:r>
      <w:r w:rsidRPr="00141ABB">
        <w:rPr>
          <w:rFonts w:ascii="Times New Roman" w:hAnsi="Times New Roman" w:cs="Times New Roman"/>
          <w:color w:val="222222"/>
          <w:shd w:val="clear" w:color="auto" w:fill="FFFFFF"/>
        </w:rPr>
        <w:t>(4), 230-238.</w:t>
      </w:r>
    </w:p>
    <w:p w14:paraId="06240396" w14:textId="77777777" w:rsidR="00890836" w:rsidRPr="00141ABB" w:rsidRDefault="00890836" w:rsidP="00890836">
      <w:pPr>
        <w:pStyle w:val="ListParagraph"/>
        <w:numPr>
          <w:ilvl w:val="0"/>
          <w:numId w:val="12"/>
        </w:numPr>
        <w:spacing w:after="200" w:line="276" w:lineRule="auto"/>
        <w:ind w:left="360"/>
        <w:jc w:val="both"/>
        <w:rPr>
          <w:rFonts w:ascii="Times New Roman" w:hAnsi="Times New Roman" w:cs="Times New Roman"/>
        </w:rPr>
      </w:pPr>
      <w:r w:rsidRPr="00141ABB">
        <w:rPr>
          <w:rFonts w:ascii="Times New Roman" w:hAnsi="Times New Roman" w:cs="Times New Roman"/>
          <w:color w:val="222222"/>
          <w:shd w:val="clear" w:color="auto" w:fill="FFFFFF"/>
        </w:rPr>
        <w:t>Brempong, M. B., Amankwaa-Yeboah, P., Yeboah, S., Owusu Danquah, E., Agyeman, K., Keteku, A. K., ... &amp; Adomako, J. (2023). Soil and water conservation measures to adapt cropping systems to climate change facilitated water stresses in Africa. </w:t>
      </w:r>
      <w:r w:rsidRPr="00141ABB">
        <w:rPr>
          <w:rFonts w:ascii="Times New Roman" w:hAnsi="Times New Roman" w:cs="Times New Roman"/>
          <w:i/>
          <w:iCs/>
          <w:color w:val="222222"/>
          <w:shd w:val="clear" w:color="auto" w:fill="FFFFFF"/>
        </w:rPr>
        <w:t>Frontiers in Sustainable Food Systems</w:t>
      </w:r>
      <w:r w:rsidRPr="00141ABB">
        <w:rPr>
          <w:rFonts w:ascii="Times New Roman" w:hAnsi="Times New Roman" w:cs="Times New Roman"/>
          <w:color w:val="222222"/>
          <w:shd w:val="clear" w:color="auto" w:fill="FFFFFF"/>
        </w:rPr>
        <w:t>, </w:t>
      </w:r>
      <w:r w:rsidRPr="00141ABB">
        <w:rPr>
          <w:rFonts w:ascii="Times New Roman" w:hAnsi="Times New Roman" w:cs="Times New Roman"/>
          <w:i/>
          <w:iCs/>
          <w:color w:val="222222"/>
          <w:shd w:val="clear" w:color="auto" w:fill="FFFFFF"/>
        </w:rPr>
        <w:t>6</w:t>
      </w:r>
      <w:r w:rsidRPr="00141ABB">
        <w:rPr>
          <w:rFonts w:ascii="Times New Roman" w:hAnsi="Times New Roman" w:cs="Times New Roman"/>
          <w:color w:val="222222"/>
          <w:shd w:val="clear" w:color="auto" w:fill="FFFFFF"/>
        </w:rPr>
        <w:t>, 1091665.</w:t>
      </w:r>
    </w:p>
    <w:p w14:paraId="2EAA457E" w14:textId="77777777" w:rsidR="00890836" w:rsidRPr="00141ABB" w:rsidRDefault="00890836" w:rsidP="00890836">
      <w:pPr>
        <w:pStyle w:val="ListParagraph"/>
        <w:numPr>
          <w:ilvl w:val="0"/>
          <w:numId w:val="12"/>
        </w:numPr>
        <w:spacing w:after="200" w:line="276" w:lineRule="auto"/>
        <w:ind w:left="360"/>
        <w:jc w:val="both"/>
        <w:rPr>
          <w:rFonts w:ascii="Times New Roman" w:hAnsi="Times New Roman" w:cs="Times New Roman"/>
        </w:rPr>
      </w:pPr>
      <w:r w:rsidRPr="00141ABB">
        <w:rPr>
          <w:rFonts w:ascii="Times New Roman" w:hAnsi="Times New Roman" w:cs="Times New Roman"/>
          <w:color w:val="222222"/>
          <w:shd w:val="clear" w:color="auto" w:fill="FFFFFF"/>
        </w:rPr>
        <w:t>Chen, W., Huang, D., Liu, N., Zhang, Y., Badgery, W. B., Wang, X., &amp; Shen, Y. (2015). Improved grazing management may increase soil carbon sequestration in temperate steppe. </w:t>
      </w:r>
      <w:r w:rsidRPr="00141ABB">
        <w:rPr>
          <w:rFonts w:ascii="Times New Roman" w:hAnsi="Times New Roman" w:cs="Times New Roman"/>
          <w:i/>
          <w:iCs/>
          <w:color w:val="222222"/>
          <w:shd w:val="clear" w:color="auto" w:fill="FFFFFF"/>
        </w:rPr>
        <w:t>Scientific reports</w:t>
      </w:r>
      <w:r w:rsidRPr="00141ABB">
        <w:rPr>
          <w:rFonts w:ascii="Times New Roman" w:hAnsi="Times New Roman" w:cs="Times New Roman"/>
          <w:color w:val="222222"/>
          <w:shd w:val="clear" w:color="auto" w:fill="FFFFFF"/>
        </w:rPr>
        <w:t>, </w:t>
      </w:r>
      <w:r w:rsidRPr="00141ABB">
        <w:rPr>
          <w:rFonts w:ascii="Times New Roman" w:hAnsi="Times New Roman" w:cs="Times New Roman"/>
          <w:i/>
          <w:iCs/>
          <w:color w:val="222222"/>
          <w:shd w:val="clear" w:color="auto" w:fill="FFFFFF"/>
        </w:rPr>
        <w:t>5</w:t>
      </w:r>
      <w:r w:rsidRPr="00141ABB">
        <w:rPr>
          <w:rFonts w:ascii="Times New Roman" w:hAnsi="Times New Roman" w:cs="Times New Roman"/>
          <w:color w:val="222222"/>
          <w:shd w:val="clear" w:color="auto" w:fill="FFFFFF"/>
        </w:rPr>
        <w:t>(1), 10892.</w:t>
      </w:r>
    </w:p>
    <w:p w14:paraId="5538CEDC" w14:textId="77777777" w:rsidR="00890836" w:rsidRPr="00141ABB" w:rsidRDefault="00890836" w:rsidP="00890836">
      <w:pPr>
        <w:pStyle w:val="ListParagraph"/>
        <w:numPr>
          <w:ilvl w:val="0"/>
          <w:numId w:val="12"/>
        </w:numPr>
        <w:spacing w:after="200" w:line="276" w:lineRule="auto"/>
        <w:ind w:left="360"/>
        <w:jc w:val="both"/>
        <w:rPr>
          <w:rFonts w:ascii="Times New Roman" w:hAnsi="Times New Roman" w:cs="Times New Roman"/>
        </w:rPr>
      </w:pPr>
      <w:r w:rsidRPr="00141ABB">
        <w:rPr>
          <w:rFonts w:ascii="Times New Roman" w:hAnsi="Times New Roman" w:cs="Times New Roman"/>
          <w:color w:val="222222"/>
          <w:shd w:val="clear" w:color="auto" w:fill="FFFFFF"/>
        </w:rPr>
        <w:t>Crews, T. E., Carton, W., &amp; Olsson, L. (2018). Is the future of agriculture perennial? Imperatives and opportunities to reinvent agriculture by shifting from annual monocultures to perennial polycultures. </w:t>
      </w:r>
      <w:r w:rsidRPr="00141ABB">
        <w:rPr>
          <w:rFonts w:ascii="Times New Roman" w:hAnsi="Times New Roman" w:cs="Times New Roman"/>
          <w:i/>
          <w:iCs/>
          <w:color w:val="222222"/>
          <w:shd w:val="clear" w:color="auto" w:fill="FFFFFF"/>
        </w:rPr>
        <w:t>Global Sustainability</w:t>
      </w:r>
      <w:r w:rsidRPr="00141ABB">
        <w:rPr>
          <w:rFonts w:ascii="Times New Roman" w:hAnsi="Times New Roman" w:cs="Times New Roman"/>
          <w:color w:val="222222"/>
          <w:shd w:val="clear" w:color="auto" w:fill="FFFFFF"/>
        </w:rPr>
        <w:t>, </w:t>
      </w:r>
      <w:r w:rsidRPr="00141ABB">
        <w:rPr>
          <w:rFonts w:ascii="Times New Roman" w:hAnsi="Times New Roman" w:cs="Times New Roman"/>
          <w:i/>
          <w:iCs/>
          <w:color w:val="222222"/>
          <w:shd w:val="clear" w:color="auto" w:fill="FFFFFF"/>
        </w:rPr>
        <w:t>1</w:t>
      </w:r>
      <w:r w:rsidRPr="00141ABB">
        <w:rPr>
          <w:rFonts w:ascii="Times New Roman" w:hAnsi="Times New Roman" w:cs="Times New Roman"/>
          <w:color w:val="222222"/>
          <w:shd w:val="clear" w:color="auto" w:fill="FFFFFF"/>
        </w:rPr>
        <w:t>, e11.</w:t>
      </w:r>
    </w:p>
    <w:p w14:paraId="7F64B0D3" w14:textId="77777777" w:rsidR="00890836" w:rsidRPr="00141ABB" w:rsidRDefault="00890836" w:rsidP="00890836">
      <w:pPr>
        <w:pStyle w:val="ListParagraph"/>
        <w:numPr>
          <w:ilvl w:val="0"/>
          <w:numId w:val="12"/>
        </w:numPr>
        <w:spacing w:after="200" w:line="276" w:lineRule="auto"/>
        <w:ind w:left="360"/>
        <w:jc w:val="both"/>
        <w:rPr>
          <w:rFonts w:ascii="Times New Roman" w:hAnsi="Times New Roman" w:cs="Times New Roman"/>
        </w:rPr>
      </w:pPr>
      <w:r w:rsidRPr="00141ABB">
        <w:rPr>
          <w:rFonts w:ascii="Times New Roman" w:hAnsi="Times New Roman" w:cs="Times New Roman"/>
          <w:color w:val="222222"/>
          <w:shd w:val="clear" w:color="auto" w:fill="FFFFFF"/>
        </w:rPr>
        <w:t>Croft, H., Kuhn, N. J., &amp; Anderson, K. (2012). On the use of remote sensing techniques for monitoring spatio-temporal soil organic carbon dynamics in agricultural systems. </w:t>
      </w:r>
      <w:r w:rsidRPr="00141ABB">
        <w:rPr>
          <w:rFonts w:ascii="Times New Roman" w:hAnsi="Times New Roman" w:cs="Times New Roman"/>
          <w:i/>
          <w:iCs/>
          <w:color w:val="222222"/>
          <w:shd w:val="clear" w:color="auto" w:fill="FFFFFF"/>
        </w:rPr>
        <w:t>Catena</w:t>
      </w:r>
      <w:r w:rsidRPr="00141ABB">
        <w:rPr>
          <w:rFonts w:ascii="Times New Roman" w:hAnsi="Times New Roman" w:cs="Times New Roman"/>
          <w:color w:val="222222"/>
          <w:shd w:val="clear" w:color="auto" w:fill="FFFFFF"/>
        </w:rPr>
        <w:t>, </w:t>
      </w:r>
      <w:r w:rsidRPr="00141ABB">
        <w:rPr>
          <w:rFonts w:ascii="Times New Roman" w:hAnsi="Times New Roman" w:cs="Times New Roman"/>
          <w:i/>
          <w:iCs/>
          <w:color w:val="222222"/>
          <w:shd w:val="clear" w:color="auto" w:fill="FFFFFF"/>
        </w:rPr>
        <w:t>94</w:t>
      </w:r>
      <w:r w:rsidRPr="00141ABB">
        <w:rPr>
          <w:rFonts w:ascii="Times New Roman" w:hAnsi="Times New Roman" w:cs="Times New Roman"/>
          <w:color w:val="222222"/>
          <w:shd w:val="clear" w:color="auto" w:fill="FFFFFF"/>
        </w:rPr>
        <w:t>, 64-74.</w:t>
      </w:r>
    </w:p>
    <w:p w14:paraId="54E085DD" w14:textId="77777777" w:rsidR="00890836" w:rsidRPr="00141ABB" w:rsidRDefault="00890836" w:rsidP="00890836">
      <w:pPr>
        <w:pStyle w:val="ListParagraph"/>
        <w:numPr>
          <w:ilvl w:val="0"/>
          <w:numId w:val="12"/>
        </w:numPr>
        <w:spacing w:after="200" w:line="276" w:lineRule="auto"/>
        <w:ind w:left="360"/>
        <w:jc w:val="both"/>
        <w:rPr>
          <w:rFonts w:ascii="Times New Roman" w:hAnsi="Times New Roman" w:cs="Times New Roman"/>
        </w:rPr>
      </w:pPr>
      <w:r w:rsidRPr="00AB4312">
        <w:rPr>
          <w:rFonts w:ascii="Times New Roman" w:hAnsi="Times New Roman" w:cs="Times New Roman"/>
          <w:color w:val="222222"/>
          <w:shd w:val="clear" w:color="auto" w:fill="FFFFFF"/>
          <w:lang w:val="es-US"/>
        </w:rPr>
        <w:t xml:space="preserve">Delgado, A., &amp; Gomez, J. A. (2017). </w:t>
      </w:r>
      <w:r w:rsidRPr="00141ABB">
        <w:rPr>
          <w:rFonts w:ascii="Times New Roman" w:hAnsi="Times New Roman" w:cs="Times New Roman"/>
          <w:color w:val="222222"/>
          <w:shd w:val="clear" w:color="auto" w:fill="FFFFFF"/>
        </w:rPr>
        <w:t>The soil. Physical, chemical and biological properties. In </w:t>
      </w:r>
      <w:r w:rsidRPr="00141ABB">
        <w:rPr>
          <w:rFonts w:ascii="Times New Roman" w:hAnsi="Times New Roman" w:cs="Times New Roman"/>
          <w:i/>
          <w:iCs/>
          <w:color w:val="222222"/>
          <w:shd w:val="clear" w:color="auto" w:fill="FFFFFF"/>
        </w:rPr>
        <w:t>Principles of agronomy for sustainable agriculture</w:t>
      </w:r>
      <w:r w:rsidRPr="00141ABB">
        <w:rPr>
          <w:rFonts w:ascii="Times New Roman" w:hAnsi="Times New Roman" w:cs="Times New Roman"/>
          <w:color w:val="222222"/>
          <w:shd w:val="clear" w:color="auto" w:fill="FFFFFF"/>
        </w:rPr>
        <w:t> (pp. 15-26). Cham: Springer International Publishing.</w:t>
      </w:r>
    </w:p>
    <w:p w14:paraId="447C48D3" w14:textId="77777777" w:rsidR="00890836" w:rsidRPr="00141ABB" w:rsidRDefault="00890836" w:rsidP="00890836">
      <w:pPr>
        <w:pStyle w:val="ListParagraph"/>
        <w:numPr>
          <w:ilvl w:val="0"/>
          <w:numId w:val="12"/>
        </w:numPr>
        <w:spacing w:after="200" w:line="276" w:lineRule="auto"/>
        <w:ind w:left="360"/>
        <w:jc w:val="both"/>
        <w:rPr>
          <w:rFonts w:ascii="Times New Roman" w:hAnsi="Times New Roman" w:cs="Times New Roman"/>
        </w:rPr>
      </w:pPr>
      <w:r w:rsidRPr="00141ABB">
        <w:rPr>
          <w:rFonts w:ascii="Times New Roman" w:hAnsi="Times New Roman" w:cs="Times New Roman"/>
          <w:color w:val="222222"/>
          <w:shd w:val="clear" w:color="auto" w:fill="FFFFFF"/>
        </w:rPr>
        <w:lastRenderedPageBreak/>
        <w:t>Durham, T. C., &amp; Mizik, T. (2021). Comparative economics of conventional, organic, and alternative agricultural production systems. </w:t>
      </w:r>
      <w:r w:rsidRPr="00141ABB">
        <w:rPr>
          <w:rFonts w:ascii="Times New Roman" w:hAnsi="Times New Roman" w:cs="Times New Roman"/>
          <w:i/>
          <w:iCs/>
          <w:color w:val="222222"/>
          <w:shd w:val="clear" w:color="auto" w:fill="FFFFFF"/>
        </w:rPr>
        <w:t>Economies</w:t>
      </w:r>
      <w:r w:rsidRPr="00141ABB">
        <w:rPr>
          <w:rFonts w:ascii="Times New Roman" w:hAnsi="Times New Roman" w:cs="Times New Roman"/>
          <w:color w:val="222222"/>
          <w:shd w:val="clear" w:color="auto" w:fill="FFFFFF"/>
        </w:rPr>
        <w:t>, </w:t>
      </w:r>
      <w:r w:rsidRPr="00141ABB">
        <w:rPr>
          <w:rFonts w:ascii="Times New Roman" w:hAnsi="Times New Roman" w:cs="Times New Roman"/>
          <w:i/>
          <w:iCs/>
          <w:color w:val="222222"/>
          <w:shd w:val="clear" w:color="auto" w:fill="FFFFFF"/>
        </w:rPr>
        <w:t>9</w:t>
      </w:r>
      <w:r w:rsidRPr="00141ABB">
        <w:rPr>
          <w:rFonts w:ascii="Times New Roman" w:hAnsi="Times New Roman" w:cs="Times New Roman"/>
          <w:color w:val="222222"/>
          <w:shd w:val="clear" w:color="auto" w:fill="FFFFFF"/>
        </w:rPr>
        <w:t>(2), 64.</w:t>
      </w:r>
    </w:p>
    <w:p w14:paraId="6F02A2D0" w14:textId="77777777" w:rsidR="00890836" w:rsidRPr="00141ABB" w:rsidRDefault="00890836" w:rsidP="00890836">
      <w:pPr>
        <w:pStyle w:val="ListParagraph"/>
        <w:numPr>
          <w:ilvl w:val="0"/>
          <w:numId w:val="12"/>
        </w:numPr>
        <w:spacing w:after="200" w:line="276" w:lineRule="auto"/>
        <w:ind w:left="360"/>
        <w:jc w:val="both"/>
        <w:rPr>
          <w:rFonts w:ascii="Times New Roman" w:hAnsi="Times New Roman" w:cs="Times New Roman"/>
        </w:rPr>
      </w:pPr>
      <w:r w:rsidRPr="00141ABB">
        <w:rPr>
          <w:rFonts w:ascii="Times New Roman" w:hAnsi="Times New Roman" w:cs="Times New Roman"/>
          <w:color w:val="222222"/>
          <w:shd w:val="clear" w:color="auto" w:fill="FFFFFF"/>
        </w:rPr>
        <w:t>Dynarski, K. A., Bossio, D. A., &amp; Scow, K. M. (2020). Dynamic stability of soil carbon: reassessing the “permanence” of soil carbon sequestration. </w:t>
      </w:r>
      <w:r w:rsidRPr="00141ABB">
        <w:rPr>
          <w:rFonts w:ascii="Times New Roman" w:hAnsi="Times New Roman" w:cs="Times New Roman"/>
          <w:i/>
          <w:iCs/>
          <w:color w:val="222222"/>
          <w:shd w:val="clear" w:color="auto" w:fill="FFFFFF"/>
        </w:rPr>
        <w:t>Frontiers in Environmental Science</w:t>
      </w:r>
      <w:r w:rsidRPr="00141ABB">
        <w:rPr>
          <w:rFonts w:ascii="Times New Roman" w:hAnsi="Times New Roman" w:cs="Times New Roman"/>
          <w:color w:val="222222"/>
          <w:shd w:val="clear" w:color="auto" w:fill="FFFFFF"/>
        </w:rPr>
        <w:t>, </w:t>
      </w:r>
      <w:r w:rsidRPr="00141ABB">
        <w:rPr>
          <w:rFonts w:ascii="Times New Roman" w:hAnsi="Times New Roman" w:cs="Times New Roman"/>
          <w:i/>
          <w:iCs/>
          <w:color w:val="222222"/>
          <w:shd w:val="clear" w:color="auto" w:fill="FFFFFF"/>
        </w:rPr>
        <w:t>8</w:t>
      </w:r>
      <w:r w:rsidRPr="00141ABB">
        <w:rPr>
          <w:rFonts w:ascii="Times New Roman" w:hAnsi="Times New Roman" w:cs="Times New Roman"/>
          <w:color w:val="222222"/>
          <w:shd w:val="clear" w:color="auto" w:fill="FFFFFF"/>
        </w:rPr>
        <w:t>, 514701.</w:t>
      </w:r>
    </w:p>
    <w:p w14:paraId="532CEF6F" w14:textId="77777777" w:rsidR="00890836" w:rsidRPr="00141ABB" w:rsidRDefault="00890836" w:rsidP="00890836">
      <w:pPr>
        <w:pStyle w:val="ListParagraph"/>
        <w:numPr>
          <w:ilvl w:val="0"/>
          <w:numId w:val="12"/>
        </w:numPr>
        <w:spacing w:after="200" w:line="276" w:lineRule="auto"/>
        <w:ind w:left="360"/>
        <w:jc w:val="both"/>
        <w:rPr>
          <w:rFonts w:ascii="Times New Roman" w:hAnsi="Times New Roman" w:cs="Times New Roman"/>
        </w:rPr>
      </w:pPr>
      <w:r w:rsidRPr="00141ABB">
        <w:rPr>
          <w:rFonts w:ascii="Times New Roman" w:hAnsi="Times New Roman" w:cs="Times New Roman"/>
          <w:color w:val="222222"/>
          <w:shd w:val="clear" w:color="auto" w:fill="FFFFFF"/>
        </w:rPr>
        <w:t>Fuchs, G., Kroos, F., Scherer, C., Seifert, M., &amp; Stelljes, N. (2025). Exploring marine conservation and climate adaptation synergies and strategies in European seas as an emerging nexus: a review. </w:t>
      </w:r>
      <w:r w:rsidRPr="00141ABB">
        <w:rPr>
          <w:rFonts w:ascii="Times New Roman" w:hAnsi="Times New Roman" w:cs="Times New Roman"/>
          <w:i/>
          <w:iCs/>
          <w:color w:val="222222"/>
          <w:shd w:val="clear" w:color="auto" w:fill="FFFFFF"/>
        </w:rPr>
        <w:t>Frontiers in Marine Science</w:t>
      </w:r>
      <w:r w:rsidRPr="00141ABB">
        <w:rPr>
          <w:rFonts w:ascii="Times New Roman" w:hAnsi="Times New Roman" w:cs="Times New Roman"/>
          <w:color w:val="222222"/>
          <w:shd w:val="clear" w:color="auto" w:fill="FFFFFF"/>
        </w:rPr>
        <w:t>, </w:t>
      </w:r>
      <w:r w:rsidRPr="00141ABB">
        <w:rPr>
          <w:rFonts w:ascii="Times New Roman" w:hAnsi="Times New Roman" w:cs="Times New Roman"/>
          <w:i/>
          <w:iCs/>
          <w:color w:val="222222"/>
          <w:shd w:val="clear" w:color="auto" w:fill="FFFFFF"/>
        </w:rPr>
        <w:t>12</w:t>
      </w:r>
      <w:r w:rsidRPr="00141ABB">
        <w:rPr>
          <w:rFonts w:ascii="Times New Roman" w:hAnsi="Times New Roman" w:cs="Times New Roman"/>
          <w:color w:val="222222"/>
          <w:shd w:val="clear" w:color="auto" w:fill="FFFFFF"/>
        </w:rPr>
        <w:t>, 1542705.</w:t>
      </w:r>
    </w:p>
    <w:p w14:paraId="7DEA687C" w14:textId="77777777" w:rsidR="00890836" w:rsidRPr="00141ABB" w:rsidRDefault="00890836" w:rsidP="00890836">
      <w:pPr>
        <w:pStyle w:val="ListParagraph"/>
        <w:numPr>
          <w:ilvl w:val="0"/>
          <w:numId w:val="12"/>
        </w:numPr>
        <w:spacing w:after="200" w:line="276" w:lineRule="auto"/>
        <w:ind w:left="360"/>
        <w:jc w:val="both"/>
        <w:rPr>
          <w:rFonts w:ascii="Times New Roman" w:hAnsi="Times New Roman" w:cs="Times New Roman"/>
        </w:rPr>
      </w:pPr>
      <w:r w:rsidRPr="00141ABB">
        <w:rPr>
          <w:rFonts w:ascii="Times New Roman" w:hAnsi="Times New Roman" w:cs="Times New Roman"/>
          <w:color w:val="222222"/>
          <w:shd w:val="clear" w:color="auto" w:fill="FFFFFF"/>
        </w:rPr>
        <w:t>Guan, K., Jin, Z., Peng, B., Tang, J., DeLucia, E. H., West, P. C., ... &amp; Yang, S. J. (2023). A scalable framework for quantifying field-level agricultural carbon outcomes. </w:t>
      </w:r>
      <w:r w:rsidRPr="00141ABB">
        <w:rPr>
          <w:rFonts w:ascii="Times New Roman" w:hAnsi="Times New Roman" w:cs="Times New Roman"/>
          <w:i/>
          <w:iCs/>
          <w:color w:val="222222"/>
          <w:shd w:val="clear" w:color="auto" w:fill="FFFFFF"/>
        </w:rPr>
        <w:t>Earth-Science Reviews</w:t>
      </w:r>
      <w:r w:rsidRPr="00141ABB">
        <w:rPr>
          <w:rFonts w:ascii="Times New Roman" w:hAnsi="Times New Roman" w:cs="Times New Roman"/>
          <w:color w:val="222222"/>
          <w:shd w:val="clear" w:color="auto" w:fill="FFFFFF"/>
        </w:rPr>
        <w:t>, </w:t>
      </w:r>
      <w:r w:rsidRPr="00141ABB">
        <w:rPr>
          <w:rFonts w:ascii="Times New Roman" w:hAnsi="Times New Roman" w:cs="Times New Roman"/>
          <w:i/>
          <w:iCs/>
          <w:color w:val="222222"/>
          <w:shd w:val="clear" w:color="auto" w:fill="FFFFFF"/>
        </w:rPr>
        <w:t>243</w:t>
      </w:r>
      <w:r w:rsidRPr="00141ABB">
        <w:rPr>
          <w:rFonts w:ascii="Times New Roman" w:hAnsi="Times New Roman" w:cs="Times New Roman"/>
          <w:color w:val="222222"/>
          <w:shd w:val="clear" w:color="auto" w:fill="FFFFFF"/>
        </w:rPr>
        <w:t>, 104462.</w:t>
      </w:r>
    </w:p>
    <w:p w14:paraId="24B76438" w14:textId="77777777" w:rsidR="00890836" w:rsidRPr="00141ABB" w:rsidRDefault="00890836" w:rsidP="00890836">
      <w:pPr>
        <w:pStyle w:val="ListParagraph"/>
        <w:numPr>
          <w:ilvl w:val="0"/>
          <w:numId w:val="12"/>
        </w:numPr>
        <w:spacing w:after="200" w:line="276" w:lineRule="auto"/>
        <w:ind w:left="360"/>
        <w:jc w:val="both"/>
        <w:rPr>
          <w:rFonts w:ascii="Times New Roman" w:hAnsi="Times New Roman" w:cs="Times New Roman"/>
        </w:rPr>
      </w:pPr>
      <w:r w:rsidRPr="00AB4312">
        <w:rPr>
          <w:rFonts w:ascii="Times New Roman" w:hAnsi="Times New Roman" w:cs="Times New Roman"/>
          <w:color w:val="222222"/>
          <w:shd w:val="clear" w:color="auto" w:fill="FFFFFF"/>
          <w:lang w:val="es-US"/>
        </w:rPr>
        <w:t xml:space="preserve">Gupta, V. V., &amp; Germida, J. J. (2015). </w:t>
      </w:r>
      <w:r w:rsidRPr="00141ABB">
        <w:rPr>
          <w:rFonts w:ascii="Times New Roman" w:hAnsi="Times New Roman" w:cs="Times New Roman"/>
          <w:color w:val="222222"/>
          <w:shd w:val="clear" w:color="auto" w:fill="FFFFFF"/>
        </w:rPr>
        <w:t>Soil aggregation: Influence on microbial biomass and implications for biological processes. </w:t>
      </w:r>
      <w:r w:rsidRPr="00141ABB">
        <w:rPr>
          <w:rFonts w:ascii="Times New Roman" w:hAnsi="Times New Roman" w:cs="Times New Roman"/>
          <w:i/>
          <w:iCs/>
          <w:color w:val="222222"/>
          <w:shd w:val="clear" w:color="auto" w:fill="FFFFFF"/>
        </w:rPr>
        <w:t>Soil Biology and Biochemistry</w:t>
      </w:r>
      <w:r w:rsidRPr="00141ABB">
        <w:rPr>
          <w:rFonts w:ascii="Times New Roman" w:hAnsi="Times New Roman" w:cs="Times New Roman"/>
          <w:color w:val="222222"/>
          <w:shd w:val="clear" w:color="auto" w:fill="FFFFFF"/>
        </w:rPr>
        <w:t>, </w:t>
      </w:r>
      <w:r w:rsidRPr="00141ABB">
        <w:rPr>
          <w:rFonts w:ascii="Times New Roman" w:hAnsi="Times New Roman" w:cs="Times New Roman"/>
          <w:i/>
          <w:iCs/>
          <w:color w:val="222222"/>
          <w:shd w:val="clear" w:color="auto" w:fill="FFFFFF"/>
        </w:rPr>
        <w:t>80</w:t>
      </w:r>
      <w:r w:rsidRPr="00141ABB">
        <w:rPr>
          <w:rFonts w:ascii="Times New Roman" w:hAnsi="Times New Roman" w:cs="Times New Roman"/>
          <w:color w:val="222222"/>
          <w:shd w:val="clear" w:color="auto" w:fill="FFFFFF"/>
        </w:rPr>
        <w:t>, A3-A9.</w:t>
      </w:r>
    </w:p>
    <w:p w14:paraId="2A8C85E5" w14:textId="77777777" w:rsidR="00890836" w:rsidRPr="00141ABB" w:rsidRDefault="00890836" w:rsidP="00890836">
      <w:pPr>
        <w:pStyle w:val="ListParagraph"/>
        <w:numPr>
          <w:ilvl w:val="0"/>
          <w:numId w:val="12"/>
        </w:numPr>
        <w:spacing w:after="200" w:line="276" w:lineRule="auto"/>
        <w:ind w:left="360"/>
        <w:jc w:val="both"/>
        <w:rPr>
          <w:rFonts w:ascii="Times New Roman" w:hAnsi="Times New Roman" w:cs="Times New Roman"/>
        </w:rPr>
      </w:pPr>
      <w:r w:rsidRPr="00AB4312">
        <w:rPr>
          <w:rFonts w:ascii="Times New Roman" w:hAnsi="Times New Roman" w:cs="Times New Roman"/>
          <w:color w:val="222222"/>
          <w:shd w:val="clear" w:color="auto" w:fill="FFFFFF"/>
          <w:lang w:val="es-US"/>
        </w:rPr>
        <w:t xml:space="preserve">Gupta, V. V., &amp; Germida, J. J. (2015). </w:t>
      </w:r>
      <w:r w:rsidRPr="00141ABB">
        <w:rPr>
          <w:rFonts w:ascii="Times New Roman" w:hAnsi="Times New Roman" w:cs="Times New Roman"/>
          <w:color w:val="222222"/>
          <w:shd w:val="clear" w:color="auto" w:fill="FFFFFF"/>
        </w:rPr>
        <w:t>Soil aggregation: Influence on microbial biomass and implications for biological processes. </w:t>
      </w:r>
      <w:r w:rsidRPr="00141ABB">
        <w:rPr>
          <w:rFonts w:ascii="Times New Roman" w:hAnsi="Times New Roman" w:cs="Times New Roman"/>
          <w:i/>
          <w:iCs/>
          <w:color w:val="222222"/>
          <w:shd w:val="clear" w:color="auto" w:fill="FFFFFF"/>
        </w:rPr>
        <w:t>Soil Biology and Biochemistry</w:t>
      </w:r>
      <w:r w:rsidRPr="00141ABB">
        <w:rPr>
          <w:rFonts w:ascii="Times New Roman" w:hAnsi="Times New Roman" w:cs="Times New Roman"/>
          <w:color w:val="222222"/>
          <w:shd w:val="clear" w:color="auto" w:fill="FFFFFF"/>
        </w:rPr>
        <w:t>, </w:t>
      </w:r>
      <w:r w:rsidRPr="00141ABB">
        <w:rPr>
          <w:rFonts w:ascii="Times New Roman" w:hAnsi="Times New Roman" w:cs="Times New Roman"/>
          <w:i/>
          <w:iCs/>
          <w:color w:val="222222"/>
          <w:shd w:val="clear" w:color="auto" w:fill="FFFFFF"/>
        </w:rPr>
        <w:t>80</w:t>
      </w:r>
      <w:r w:rsidRPr="00141ABB">
        <w:rPr>
          <w:rFonts w:ascii="Times New Roman" w:hAnsi="Times New Roman" w:cs="Times New Roman"/>
          <w:color w:val="222222"/>
          <w:shd w:val="clear" w:color="auto" w:fill="FFFFFF"/>
        </w:rPr>
        <w:t>, A3-A9.</w:t>
      </w:r>
    </w:p>
    <w:p w14:paraId="6BF97BF4" w14:textId="77777777" w:rsidR="00890836" w:rsidRPr="00141ABB" w:rsidRDefault="00890836" w:rsidP="00890836">
      <w:pPr>
        <w:pStyle w:val="ListParagraph"/>
        <w:numPr>
          <w:ilvl w:val="0"/>
          <w:numId w:val="12"/>
        </w:numPr>
        <w:spacing w:after="200" w:line="276" w:lineRule="auto"/>
        <w:ind w:left="360"/>
        <w:jc w:val="both"/>
        <w:rPr>
          <w:rFonts w:ascii="Times New Roman" w:hAnsi="Times New Roman" w:cs="Times New Roman"/>
        </w:rPr>
      </w:pPr>
      <w:r w:rsidRPr="00890836">
        <w:rPr>
          <w:rFonts w:ascii="Times New Roman" w:hAnsi="Times New Roman" w:cs="Times New Roman"/>
          <w:color w:val="222222"/>
          <w:shd w:val="clear" w:color="auto" w:fill="FFFFFF"/>
          <w:lang w:val="fi-FI"/>
        </w:rPr>
        <w:t xml:space="preserve">Han, L., Sun, K., Jin, J., &amp; Xing, B. (2016). </w:t>
      </w:r>
      <w:r w:rsidRPr="00141ABB">
        <w:rPr>
          <w:rFonts w:ascii="Times New Roman" w:hAnsi="Times New Roman" w:cs="Times New Roman"/>
          <w:color w:val="222222"/>
          <w:shd w:val="clear" w:color="auto" w:fill="FFFFFF"/>
        </w:rPr>
        <w:t>Some concepts of soil organic carbon characteristics and mineral interaction from a review of literature. </w:t>
      </w:r>
      <w:r w:rsidRPr="00141ABB">
        <w:rPr>
          <w:rFonts w:ascii="Times New Roman" w:hAnsi="Times New Roman" w:cs="Times New Roman"/>
          <w:i/>
          <w:iCs/>
          <w:color w:val="222222"/>
          <w:shd w:val="clear" w:color="auto" w:fill="FFFFFF"/>
        </w:rPr>
        <w:t>Soil Biology and Biochemistry</w:t>
      </w:r>
      <w:r w:rsidRPr="00141ABB">
        <w:rPr>
          <w:rFonts w:ascii="Times New Roman" w:hAnsi="Times New Roman" w:cs="Times New Roman"/>
          <w:color w:val="222222"/>
          <w:shd w:val="clear" w:color="auto" w:fill="FFFFFF"/>
        </w:rPr>
        <w:t>, </w:t>
      </w:r>
      <w:r w:rsidRPr="00141ABB">
        <w:rPr>
          <w:rFonts w:ascii="Times New Roman" w:hAnsi="Times New Roman" w:cs="Times New Roman"/>
          <w:i/>
          <w:iCs/>
          <w:color w:val="222222"/>
          <w:shd w:val="clear" w:color="auto" w:fill="FFFFFF"/>
        </w:rPr>
        <w:t>94</w:t>
      </w:r>
      <w:r w:rsidRPr="00141ABB">
        <w:rPr>
          <w:rFonts w:ascii="Times New Roman" w:hAnsi="Times New Roman" w:cs="Times New Roman"/>
          <w:color w:val="222222"/>
          <w:shd w:val="clear" w:color="auto" w:fill="FFFFFF"/>
        </w:rPr>
        <w:t>, 107-121.</w:t>
      </w:r>
    </w:p>
    <w:p w14:paraId="5D1530B5" w14:textId="77777777" w:rsidR="00890836" w:rsidRPr="00141ABB" w:rsidRDefault="00890836" w:rsidP="00890836">
      <w:pPr>
        <w:pStyle w:val="ListParagraph"/>
        <w:numPr>
          <w:ilvl w:val="0"/>
          <w:numId w:val="12"/>
        </w:numPr>
        <w:spacing w:after="200" w:line="276" w:lineRule="auto"/>
        <w:ind w:left="360"/>
        <w:jc w:val="both"/>
        <w:rPr>
          <w:rFonts w:ascii="Times New Roman" w:hAnsi="Times New Roman" w:cs="Times New Roman"/>
        </w:rPr>
      </w:pPr>
      <w:r w:rsidRPr="00141ABB">
        <w:rPr>
          <w:rFonts w:ascii="Times New Roman" w:hAnsi="Times New Roman" w:cs="Times New Roman"/>
          <w:color w:val="222222"/>
          <w:shd w:val="clear" w:color="auto" w:fill="FFFFFF"/>
        </w:rPr>
        <w:t>Jordon, M. W., Smith, P., Long, P. R., Bürkner, P. C., Petrokofsky, G., &amp; Willis, K. J. (2022). Can Regenerative Agriculture increase national soil carbon stocks? Simulated country-scale adoption of reduced tillage, cover cropping, and ley-arable integration using RothC. </w:t>
      </w:r>
      <w:r w:rsidRPr="00141ABB">
        <w:rPr>
          <w:rFonts w:ascii="Times New Roman" w:hAnsi="Times New Roman" w:cs="Times New Roman"/>
          <w:i/>
          <w:iCs/>
          <w:color w:val="222222"/>
          <w:shd w:val="clear" w:color="auto" w:fill="FFFFFF"/>
        </w:rPr>
        <w:t>Science of the Total Environment</w:t>
      </w:r>
      <w:r w:rsidRPr="00141ABB">
        <w:rPr>
          <w:rFonts w:ascii="Times New Roman" w:hAnsi="Times New Roman" w:cs="Times New Roman"/>
          <w:color w:val="222222"/>
          <w:shd w:val="clear" w:color="auto" w:fill="FFFFFF"/>
        </w:rPr>
        <w:t>, </w:t>
      </w:r>
      <w:r w:rsidRPr="00141ABB">
        <w:rPr>
          <w:rFonts w:ascii="Times New Roman" w:hAnsi="Times New Roman" w:cs="Times New Roman"/>
          <w:i/>
          <w:iCs/>
          <w:color w:val="222222"/>
          <w:shd w:val="clear" w:color="auto" w:fill="FFFFFF"/>
        </w:rPr>
        <w:t>825</w:t>
      </w:r>
      <w:r w:rsidRPr="00141ABB">
        <w:rPr>
          <w:rFonts w:ascii="Times New Roman" w:hAnsi="Times New Roman" w:cs="Times New Roman"/>
          <w:color w:val="222222"/>
          <w:shd w:val="clear" w:color="auto" w:fill="FFFFFF"/>
        </w:rPr>
        <w:t>, 153955.</w:t>
      </w:r>
    </w:p>
    <w:p w14:paraId="10FA6D58" w14:textId="77777777" w:rsidR="00890836" w:rsidRPr="00141ABB" w:rsidRDefault="00890836" w:rsidP="00890836">
      <w:pPr>
        <w:pStyle w:val="ListParagraph"/>
        <w:numPr>
          <w:ilvl w:val="0"/>
          <w:numId w:val="12"/>
        </w:numPr>
        <w:spacing w:after="200" w:line="276" w:lineRule="auto"/>
        <w:ind w:left="360"/>
        <w:jc w:val="both"/>
        <w:rPr>
          <w:rFonts w:ascii="Times New Roman" w:hAnsi="Times New Roman" w:cs="Times New Roman"/>
        </w:rPr>
      </w:pPr>
      <w:r w:rsidRPr="00141ABB">
        <w:rPr>
          <w:rFonts w:ascii="Times New Roman" w:hAnsi="Times New Roman" w:cs="Times New Roman"/>
          <w:color w:val="222222"/>
          <w:shd w:val="clear" w:color="auto" w:fill="FFFFFF"/>
        </w:rPr>
        <w:t>Kerr, R. B., Kangmennaang, J., Dakishoni, L., Nyantakyi-Frimpong, H., Lupafya, E., Shumba, L., ... &amp; Luginaah, I. (2019). Participatory agroecological research on climate change adaptation improves smallholder farmer household food security and dietary diversity in Malawi. </w:t>
      </w:r>
      <w:r w:rsidRPr="00141ABB">
        <w:rPr>
          <w:rFonts w:ascii="Times New Roman" w:hAnsi="Times New Roman" w:cs="Times New Roman"/>
          <w:i/>
          <w:iCs/>
          <w:color w:val="222222"/>
          <w:shd w:val="clear" w:color="auto" w:fill="FFFFFF"/>
        </w:rPr>
        <w:t>Agriculture, Ecosystems &amp; Environment</w:t>
      </w:r>
      <w:r w:rsidRPr="00141ABB">
        <w:rPr>
          <w:rFonts w:ascii="Times New Roman" w:hAnsi="Times New Roman" w:cs="Times New Roman"/>
          <w:color w:val="222222"/>
          <w:shd w:val="clear" w:color="auto" w:fill="FFFFFF"/>
        </w:rPr>
        <w:t>, </w:t>
      </w:r>
      <w:r w:rsidRPr="00141ABB">
        <w:rPr>
          <w:rFonts w:ascii="Times New Roman" w:hAnsi="Times New Roman" w:cs="Times New Roman"/>
          <w:i/>
          <w:iCs/>
          <w:color w:val="222222"/>
          <w:shd w:val="clear" w:color="auto" w:fill="FFFFFF"/>
        </w:rPr>
        <w:t>279</w:t>
      </w:r>
      <w:r w:rsidRPr="00141ABB">
        <w:rPr>
          <w:rFonts w:ascii="Times New Roman" w:hAnsi="Times New Roman" w:cs="Times New Roman"/>
          <w:color w:val="222222"/>
          <w:shd w:val="clear" w:color="auto" w:fill="FFFFFF"/>
        </w:rPr>
        <w:t>, 109-121.</w:t>
      </w:r>
    </w:p>
    <w:p w14:paraId="7241776C" w14:textId="77777777" w:rsidR="00890836" w:rsidRPr="00141ABB" w:rsidRDefault="00890836" w:rsidP="00890836">
      <w:pPr>
        <w:pStyle w:val="ListParagraph"/>
        <w:numPr>
          <w:ilvl w:val="0"/>
          <w:numId w:val="12"/>
        </w:numPr>
        <w:spacing w:after="200" w:line="276" w:lineRule="auto"/>
        <w:ind w:left="360"/>
        <w:jc w:val="both"/>
        <w:rPr>
          <w:rFonts w:ascii="Times New Roman" w:hAnsi="Times New Roman" w:cs="Times New Roman"/>
        </w:rPr>
      </w:pPr>
      <w:r w:rsidRPr="00141ABB">
        <w:rPr>
          <w:rFonts w:ascii="Times New Roman" w:hAnsi="Times New Roman" w:cs="Times New Roman"/>
          <w:color w:val="222222"/>
          <w:shd w:val="clear" w:color="auto" w:fill="FFFFFF"/>
        </w:rPr>
        <w:t>Khangura, R., Ferris, D., Wagg, C., &amp; Bowyer, J. (2023). Regenerative agriculture—a literature review on the practices and mechanisms used to improve soil health. </w:t>
      </w:r>
      <w:r w:rsidRPr="00141ABB">
        <w:rPr>
          <w:rFonts w:ascii="Times New Roman" w:hAnsi="Times New Roman" w:cs="Times New Roman"/>
          <w:i/>
          <w:iCs/>
          <w:color w:val="222222"/>
          <w:shd w:val="clear" w:color="auto" w:fill="FFFFFF"/>
        </w:rPr>
        <w:t>Sustainability</w:t>
      </w:r>
      <w:r w:rsidRPr="00141ABB">
        <w:rPr>
          <w:rFonts w:ascii="Times New Roman" w:hAnsi="Times New Roman" w:cs="Times New Roman"/>
          <w:color w:val="222222"/>
          <w:shd w:val="clear" w:color="auto" w:fill="FFFFFF"/>
        </w:rPr>
        <w:t>, </w:t>
      </w:r>
      <w:r w:rsidRPr="00141ABB">
        <w:rPr>
          <w:rFonts w:ascii="Times New Roman" w:hAnsi="Times New Roman" w:cs="Times New Roman"/>
          <w:i/>
          <w:iCs/>
          <w:color w:val="222222"/>
          <w:shd w:val="clear" w:color="auto" w:fill="FFFFFF"/>
        </w:rPr>
        <w:t>15</w:t>
      </w:r>
      <w:r w:rsidRPr="00141ABB">
        <w:rPr>
          <w:rFonts w:ascii="Times New Roman" w:hAnsi="Times New Roman" w:cs="Times New Roman"/>
          <w:color w:val="222222"/>
          <w:shd w:val="clear" w:color="auto" w:fill="FFFFFF"/>
        </w:rPr>
        <w:t>(3), 2338.</w:t>
      </w:r>
    </w:p>
    <w:p w14:paraId="548F5BC0" w14:textId="77777777" w:rsidR="00890836" w:rsidRPr="00141ABB" w:rsidRDefault="00890836" w:rsidP="00890836">
      <w:pPr>
        <w:pStyle w:val="ListParagraph"/>
        <w:numPr>
          <w:ilvl w:val="0"/>
          <w:numId w:val="12"/>
        </w:numPr>
        <w:spacing w:after="200" w:line="276" w:lineRule="auto"/>
        <w:ind w:left="360"/>
        <w:jc w:val="both"/>
        <w:rPr>
          <w:rFonts w:ascii="Times New Roman" w:hAnsi="Times New Roman" w:cs="Times New Roman"/>
        </w:rPr>
      </w:pPr>
      <w:r w:rsidRPr="00141ABB">
        <w:rPr>
          <w:rFonts w:ascii="Times New Roman" w:hAnsi="Times New Roman" w:cs="Times New Roman"/>
          <w:color w:val="222222"/>
          <w:shd w:val="clear" w:color="auto" w:fill="FFFFFF"/>
        </w:rPr>
        <w:t>Leng, L., Huang, H., Li, H., Li, J., &amp; Zhou, W. (2019). Biochar stability assessment methods: a review. </w:t>
      </w:r>
      <w:r w:rsidRPr="00141ABB">
        <w:rPr>
          <w:rFonts w:ascii="Times New Roman" w:hAnsi="Times New Roman" w:cs="Times New Roman"/>
          <w:i/>
          <w:iCs/>
          <w:color w:val="222222"/>
          <w:shd w:val="clear" w:color="auto" w:fill="FFFFFF"/>
        </w:rPr>
        <w:t>Science of the total environment</w:t>
      </w:r>
      <w:r w:rsidRPr="00141ABB">
        <w:rPr>
          <w:rFonts w:ascii="Times New Roman" w:hAnsi="Times New Roman" w:cs="Times New Roman"/>
          <w:color w:val="222222"/>
          <w:shd w:val="clear" w:color="auto" w:fill="FFFFFF"/>
        </w:rPr>
        <w:t>, </w:t>
      </w:r>
      <w:r w:rsidRPr="00141ABB">
        <w:rPr>
          <w:rFonts w:ascii="Times New Roman" w:hAnsi="Times New Roman" w:cs="Times New Roman"/>
          <w:i/>
          <w:iCs/>
          <w:color w:val="222222"/>
          <w:shd w:val="clear" w:color="auto" w:fill="FFFFFF"/>
        </w:rPr>
        <w:t>647</w:t>
      </w:r>
      <w:r w:rsidRPr="00141ABB">
        <w:rPr>
          <w:rFonts w:ascii="Times New Roman" w:hAnsi="Times New Roman" w:cs="Times New Roman"/>
          <w:color w:val="222222"/>
          <w:shd w:val="clear" w:color="auto" w:fill="FFFFFF"/>
        </w:rPr>
        <w:t>, 210-222.</w:t>
      </w:r>
    </w:p>
    <w:p w14:paraId="1ABFB5C9" w14:textId="77777777" w:rsidR="00890836" w:rsidRPr="00141ABB" w:rsidRDefault="00890836" w:rsidP="00890836">
      <w:pPr>
        <w:pStyle w:val="ListParagraph"/>
        <w:numPr>
          <w:ilvl w:val="0"/>
          <w:numId w:val="12"/>
        </w:numPr>
        <w:spacing w:after="200" w:line="276" w:lineRule="auto"/>
        <w:ind w:left="360"/>
        <w:jc w:val="both"/>
        <w:rPr>
          <w:rFonts w:ascii="Times New Roman" w:hAnsi="Times New Roman" w:cs="Times New Roman"/>
        </w:rPr>
      </w:pPr>
      <w:r w:rsidRPr="00141ABB">
        <w:rPr>
          <w:rFonts w:ascii="Times New Roman" w:hAnsi="Times New Roman" w:cs="Times New Roman"/>
          <w:color w:val="222222"/>
          <w:shd w:val="clear" w:color="auto" w:fill="FFFFFF"/>
        </w:rPr>
        <w:t>Lorenz, K., &amp; Lal, R. (2014). Soil organic carbon sequestration in agroforestry systems. A review. </w:t>
      </w:r>
      <w:r w:rsidRPr="00141ABB">
        <w:rPr>
          <w:rFonts w:ascii="Times New Roman" w:hAnsi="Times New Roman" w:cs="Times New Roman"/>
          <w:i/>
          <w:iCs/>
          <w:color w:val="222222"/>
          <w:shd w:val="clear" w:color="auto" w:fill="FFFFFF"/>
        </w:rPr>
        <w:t>Agronomy for Sustainable Development</w:t>
      </w:r>
      <w:r w:rsidRPr="00141ABB">
        <w:rPr>
          <w:rFonts w:ascii="Times New Roman" w:hAnsi="Times New Roman" w:cs="Times New Roman"/>
          <w:color w:val="222222"/>
          <w:shd w:val="clear" w:color="auto" w:fill="FFFFFF"/>
        </w:rPr>
        <w:t>, </w:t>
      </w:r>
      <w:r w:rsidRPr="00141ABB">
        <w:rPr>
          <w:rFonts w:ascii="Times New Roman" w:hAnsi="Times New Roman" w:cs="Times New Roman"/>
          <w:i/>
          <w:iCs/>
          <w:color w:val="222222"/>
          <w:shd w:val="clear" w:color="auto" w:fill="FFFFFF"/>
        </w:rPr>
        <w:t>34</w:t>
      </w:r>
      <w:r w:rsidRPr="00141ABB">
        <w:rPr>
          <w:rFonts w:ascii="Times New Roman" w:hAnsi="Times New Roman" w:cs="Times New Roman"/>
          <w:color w:val="222222"/>
          <w:shd w:val="clear" w:color="auto" w:fill="FFFFFF"/>
        </w:rPr>
        <w:t>, 443-454.</w:t>
      </w:r>
    </w:p>
    <w:p w14:paraId="47AD9C1D" w14:textId="77777777" w:rsidR="00890836" w:rsidRPr="00141ABB" w:rsidRDefault="00890836" w:rsidP="00890836">
      <w:pPr>
        <w:pStyle w:val="ListParagraph"/>
        <w:numPr>
          <w:ilvl w:val="0"/>
          <w:numId w:val="12"/>
        </w:numPr>
        <w:spacing w:after="200" w:line="276" w:lineRule="auto"/>
        <w:ind w:left="360"/>
        <w:jc w:val="both"/>
        <w:rPr>
          <w:rFonts w:ascii="Times New Roman" w:hAnsi="Times New Roman" w:cs="Times New Roman"/>
        </w:rPr>
      </w:pPr>
      <w:r w:rsidRPr="00141ABB">
        <w:rPr>
          <w:rFonts w:ascii="Times New Roman" w:hAnsi="Times New Roman" w:cs="Times New Roman"/>
          <w:color w:val="222222"/>
          <w:shd w:val="clear" w:color="auto" w:fill="FFFFFF"/>
        </w:rPr>
        <w:t>Lupwayi, N. Z., Arshad, M. A., Rice, W. A., &amp; Clayton, G. W. (2001). Bacterial diversity in water-stable aggregates of soils under conventional and zero tillage management. </w:t>
      </w:r>
      <w:r w:rsidRPr="00141ABB">
        <w:rPr>
          <w:rFonts w:ascii="Times New Roman" w:hAnsi="Times New Roman" w:cs="Times New Roman"/>
          <w:i/>
          <w:iCs/>
          <w:color w:val="222222"/>
          <w:shd w:val="clear" w:color="auto" w:fill="FFFFFF"/>
        </w:rPr>
        <w:t>Applied Soil Ecology</w:t>
      </w:r>
      <w:r w:rsidRPr="00141ABB">
        <w:rPr>
          <w:rFonts w:ascii="Times New Roman" w:hAnsi="Times New Roman" w:cs="Times New Roman"/>
          <w:color w:val="222222"/>
          <w:shd w:val="clear" w:color="auto" w:fill="FFFFFF"/>
        </w:rPr>
        <w:t>, </w:t>
      </w:r>
      <w:r w:rsidRPr="00141ABB">
        <w:rPr>
          <w:rFonts w:ascii="Times New Roman" w:hAnsi="Times New Roman" w:cs="Times New Roman"/>
          <w:i/>
          <w:iCs/>
          <w:color w:val="222222"/>
          <w:shd w:val="clear" w:color="auto" w:fill="FFFFFF"/>
        </w:rPr>
        <w:t>16</w:t>
      </w:r>
      <w:r w:rsidRPr="00141ABB">
        <w:rPr>
          <w:rFonts w:ascii="Times New Roman" w:hAnsi="Times New Roman" w:cs="Times New Roman"/>
          <w:color w:val="222222"/>
          <w:shd w:val="clear" w:color="auto" w:fill="FFFFFF"/>
        </w:rPr>
        <w:t>(3), 251-261.</w:t>
      </w:r>
    </w:p>
    <w:p w14:paraId="6A4AD1EF" w14:textId="77777777" w:rsidR="00890836" w:rsidRPr="00141ABB" w:rsidRDefault="00890836" w:rsidP="00890836">
      <w:pPr>
        <w:pStyle w:val="ListParagraph"/>
        <w:numPr>
          <w:ilvl w:val="0"/>
          <w:numId w:val="12"/>
        </w:numPr>
        <w:spacing w:after="200" w:line="276" w:lineRule="auto"/>
        <w:ind w:left="360"/>
        <w:jc w:val="both"/>
        <w:rPr>
          <w:rFonts w:ascii="Times New Roman" w:hAnsi="Times New Roman" w:cs="Times New Roman"/>
        </w:rPr>
      </w:pPr>
      <w:r w:rsidRPr="00141ABB">
        <w:rPr>
          <w:rFonts w:ascii="Times New Roman" w:hAnsi="Times New Roman" w:cs="Times New Roman"/>
          <w:color w:val="222222"/>
          <w:shd w:val="clear" w:color="auto" w:fill="FFFFFF"/>
        </w:rPr>
        <w:t>Mi, N. A., Wang, S., Liu, J., Yu, G., Zhang, W., &amp; Jobbagy, E. (2008). Soil inorganic carbon storage pattern in China. </w:t>
      </w:r>
      <w:r w:rsidRPr="00141ABB">
        <w:rPr>
          <w:rFonts w:ascii="Times New Roman" w:hAnsi="Times New Roman" w:cs="Times New Roman"/>
          <w:i/>
          <w:iCs/>
          <w:color w:val="222222"/>
          <w:shd w:val="clear" w:color="auto" w:fill="FFFFFF"/>
        </w:rPr>
        <w:t>Global change biology</w:t>
      </w:r>
      <w:r w:rsidRPr="00141ABB">
        <w:rPr>
          <w:rFonts w:ascii="Times New Roman" w:hAnsi="Times New Roman" w:cs="Times New Roman"/>
          <w:color w:val="222222"/>
          <w:shd w:val="clear" w:color="auto" w:fill="FFFFFF"/>
        </w:rPr>
        <w:t>, </w:t>
      </w:r>
      <w:r w:rsidRPr="00141ABB">
        <w:rPr>
          <w:rFonts w:ascii="Times New Roman" w:hAnsi="Times New Roman" w:cs="Times New Roman"/>
          <w:i/>
          <w:iCs/>
          <w:color w:val="222222"/>
          <w:shd w:val="clear" w:color="auto" w:fill="FFFFFF"/>
        </w:rPr>
        <w:t>14</w:t>
      </w:r>
      <w:r w:rsidRPr="00141ABB">
        <w:rPr>
          <w:rFonts w:ascii="Times New Roman" w:hAnsi="Times New Roman" w:cs="Times New Roman"/>
          <w:color w:val="222222"/>
          <w:shd w:val="clear" w:color="auto" w:fill="FFFFFF"/>
        </w:rPr>
        <w:t>(10), 2380-2387.</w:t>
      </w:r>
    </w:p>
    <w:p w14:paraId="5364B004" w14:textId="77777777" w:rsidR="00890836" w:rsidRPr="00141ABB" w:rsidRDefault="00890836" w:rsidP="00890836">
      <w:pPr>
        <w:pStyle w:val="ListParagraph"/>
        <w:numPr>
          <w:ilvl w:val="0"/>
          <w:numId w:val="12"/>
        </w:numPr>
        <w:spacing w:after="200" w:line="276" w:lineRule="auto"/>
        <w:ind w:left="360"/>
        <w:jc w:val="both"/>
        <w:rPr>
          <w:rFonts w:ascii="Times New Roman" w:hAnsi="Times New Roman" w:cs="Times New Roman"/>
        </w:rPr>
      </w:pPr>
      <w:r w:rsidRPr="00141ABB">
        <w:rPr>
          <w:rFonts w:ascii="Times New Roman" w:hAnsi="Times New Roman" w:cs="Times New Roman"/>
          <w:color w:val="222222"/>
          <w:shd w:val="clear" w:color="auto" w:fill="FFFFFF"/>
        </w:rPr>
        <w:t>Paustian, K., Easter, M., Brown, K., Chambers, A., Eve, M., Huber, A., ... &amp; Williams, S. (2020). Field-greenhouse and gas farm-scale mitigation using assessment COMET-Farm of soil. </w:t>
      </w:r>
      <w:r w:rsidRPr="00141ABB">
        <w:rPr>
          <w:rFonts w:ascii="Times New Roman" w:hAnsi="Times New Roman" w:cs="Times New Roman"/>
          <w:i/>
          <w:iCs/>
          <w:color w:val="222222"/>
          <w:shd w:val="clear" w:color="auto" w:fill="FFFFFF"/>
        </w:rPr>
        <w:t>Precision Conservation: Goespatial Techniques for Agricultural and Natural Resources Conservation</w:t>
      </w:r>
      <w:r w:rsidRPr="00141ABB">
        <w:rPr>
          <w:rFonts w:ascii="Times New Roman" w:hAnsi="Times New Roman" w:cs="Times New Roman"/>
          <w:color w:val="222222"/>
          <w:shd w:val="clear" w:color="auto" w:fill="FFFFFF"/>
        </w:rPr>
        <w:t>, 341.</w:t>
      </w:r>
    </w:p>
    <w:p w14:paraId="58C15C66" w14:textId="77777777" w:rsidR="00890836" w:rsidRPr="00141ABB" w:rsidRDefault="00890836" w:rsidP="00890836">
      <w:pPr>
        <w:pStyle w:val="ListParagraph"/>
        <w:numPr>
          <w:ilvl w:val="0"/>
          <w:numId w:val="12"/>
        </w:numPr>
        <w:spacing w:after="200" w:line="276" w:lineRule="auto"/>
        <w:ind w:left="360"/>
        <w:jc w:val="both"/>
        <w:rPr>
          <w:rFonts w:ascii="Times New Roman" w:hAnsi="Times New Roman" w:cs="Times New Roman"/>
        </w:rPr>
      </w:pPr>
      <w:r w:rsidRPr="00141ABB">
        <w:rPr>
          <w:rFonts w:ascii="Times New Roman" w:hAnsi="Times New Roman" w:cs="Times New Roman"/>
          <w:color w:val="222222"/>
          <w:shd w:val="clear" w:color="auto" w:fill="FFFFFF"/>
        </w:rPr>
        <w:t>Pickett, C. H., &amp; Bugg, R. L. (Eds.). (1998). </w:t>
      </w:r>
      <w:r w:rsidRPr="00141ABB">
        <w:rPr>
          <w:rFonts w:ascii="Times New Roman" w:hAnsi="Times New Roman" w:cs="Times New Roman"/>
          <w:i/>
          <w:iCs/>
          <w:color w:val="222222"/>
          <w:shd w:val="clear" w:color="auto" w:fill="FFFFFF"/>
        </w:rPr>
        <w:t>Enhancing biological control: habitat management to promote natural enemies of agricultural pests</w:t>
      </w:r>
      <w:r w:rsidRPr="00141ABB">
        <w:rPr>
          <w:rFonts w:ascii="Times New Roman" w:hAnsi="Times New Roman" w:cs="Times New Roman"/>
          <w:color w:val="222222"/>
          <w:shd w:val="clear" w:color="auto" w:fill="FFFFFF"/>
        </w:rPr>
        <w:t>. Univ of California Press.</w:t>
      </w:r>
    </w:p>
    <w:p w14:paraId="0D0291D2" w14:textId="77777777" w:rsidR="00890836" w:rsidRPr="00141ABB" w:rsidRDefault="00890836" w:rsidP="00890836">
      <w:pPr>
        <w:pStyle w:val="ListParagraph"/>
        <w:numPr>
          <w:ilvl w:val="0"/>
          <w:numId w:val="12"/>
        </w:numPr>
        <w:spacing w:after="200" w:line="276" w:lineRule="auto"/>
        <w:ind w:left="360"/>
        <w:jc w:val="both"/>
        <w:rPr>
          <w:rFonts w:ascii="Times New Roman" w:hAnsi="Times New Roman" w:cs="Times New Roman"/>
        </w:rPr>
      </w:pPr>
      <w:r w:rsidRPr="00890836">
        <w:rPr>
          <w:rFonts w:ascii="Times New Roman" w:hAnsi="Times New Roman" w:cs="Times New Roman"/>
          <w:color w:val="222222"/>
          <w:shd w:val="clear" w:color="auto" w:fill="FFFFFF"/>
          <w:lang w:val="fi-FI"/>
        </w:rPr>
        <w:t xml:space="preserve">Purwanto, B. H., &amp; Alam, S. (2020). </w:t>
      </w:r>
      <w:r w:rsidRPr="00141ABB">
        <w:rPr>
          <w:rFonts w:ascii="Times New Roman" w:hAnsi="Times New Roman" w:cs="Times New Roman"/>
          <w:color w:val="222222"/>
          <w:shd w:val="clear" w:color="auto" w:fill="FFFFFF"/>
        </w:rPr>
        <w:t>Impact of intensive agricultural management on carbon and nitrogen dynamics in the humid tropics. </w:t>
      </w:r>
      <w:r w:rsidRPr="00141ABB">
        <w:rPr>
          <w:rFonts w:ascii="Times New Roman" w:hAnsi="Times New Roman" w:cs="Times New Roman"/>
          <w:i/>
          <w:iCs/>
          <w:color w:val="222222"/>
          <w:shd w:val="clear" w:color="auto" w:fill="FFFFFF"/>
        </w:rPr>
        <w:t>Soil Science and Plant Nutrition</w:t>
      </w:r>
      <w:r w:rsidRPr="00141ABB">
        <w:rPr>
          <w:rFonts w:ascii="Times New Roman" w:hAnsi="Times New Roman" w:cs="Times New Roman"/>
          <w:color w:val="222222"/>
          <w:shd w:val="clear" w:color="auto" w:fill="FFFFFF"/>
        </w:rPr>
        <w:t>, </w:t>
      </w:r>
      <w:r w:rsidRPr="00141ABB">
        <w:rPr>
          <w:rFonts w:ascii="Times New Roman" w:hAnsi="Times New Roman" w:cs="Times New Roman"/>
          <w:i/>
          <w:iCs/>
          <w:color w:val="222222"/>
          <w:shd w:val="clear" w:color="auto" w:fill="FFFFFF"/>
        </w:rPr>
        <w:t>66</w:t>
      </w:r>
      <w:r w:rsidRPr="00141ABB">
        <w:rPr>
          <w:rFonts w:ascii="Times New Roman" w:hAnsi="Times New Roman" w:cs="Times New Roman"/>
          <w:color w:val="222222"/>
          <w:shd w:val="clear" w:color="auto" w:fill="FFFFFF"/>
        </w:rPr>
        <w:t>(1), 50-59.</w:t>
      </w:r>
    </w:p>
    <w:p w14:paraId="36A0D3D2" w14:textId="77777777" w:rsidR="00890836" w:rsidRPr="00141ABB" w:rsidRDefault="00890836" w:rsidP="00890836">
      <w:pPr>
        <w:pStyle w:val="ListParagraph"/>
        <w:numPr>
          <w:ilvl w:val="0"/>
          <w:numId w:val="12"/>
        </w:numPr>
        <w:spacing w:after="200" w:line="276" w:lineRule="auto"/>
        <w:ind w:left="360"/>
        <w:jc w:val="both"/>
        <w:rPr>
          <w:rFonts w:ascii="Times New Roman" w:hAnsi="Times New Roman" w:cs="Times New Roman"/>
        </w:rPr>
      </w:pPr>
      <w:r w:rsidRPr="00890836">
        <w:rPr>
          <w:rFonts w:ascii="Times New Roman" w:hAnsi="Times New Roman" w:cs="Times New Roman"/>
          <w:color w:val="222222"/>
          <w:shd w:val="clear" w:color="auto" w:fill="FFFFFF"/>
          <w:lang w:val="fi-FI"/>
        </w:rPr>
        <w:t xml:space="preserve">Ryan, M. R., &amp; Peigné, J. (2017). </w:t>
      </w:r>
      <w:r w:rsidRPr="00141ABB">
        <w:rPr>
          <w:rFonts w:ascii="Times New Roman" w:hAnsi="Times New Roman" w:cs="Times New Roman"/>
          <w:color w:val="222222"/>
          <w:shd w:val="clear" w:color="auto" w:fill="FFFFFF"/>
        </w:rPr>
        <w:t>Applying agroecological principles for regenerating soils. In </w:t>
      </w:r>
      <w:r w:rsidRPr="00141ABB">
        <w:rPr>
          <w:rFonts w:ascii="Times New Roman" w:hAnsi="Times New Roman" w:cs="Times New Roman"/>
          <w:i/>
          <w:iCs/>
          <w:color w:val="222222"/>
          <w:shd w:val="clear" w:color="auto" w:fill="FFFFFF"/>
        </w:rPr>
        <w:t>Agroecological practices for sustainable agriculture: Principles, applications, and making the transition</w:t>
      </w:r>
      <w:r w:rsidRPr="00141ABB">
        <w:rPr>
          <w:rFonts w:ascii="Times New Roman" w:hAnsi="Times New Roman" w:cs="Times New Roman"/>
          <w:color w:val="222222"/>
          <w:shd w:val="clear" w:color="auto" w:fill="FFFFFF"/>
        </w:rPr>
        <w:t> (pp. 53-84).</w:t>
      </w:r>
    </w:p>
    <w:p w14:paraId="52EAF169" w14:textId="77777777" w:rsidR="00890836" w:rsidRPr="00141ABB" w:rsidRDefault="00890836" w:rsidP="00890836">
      <w:pPr>
        <w:pStyle w:val="ListParagraph"/>
        <w:numPr>
          <w:ilvl w:val="0"/>
          <w:numId w:val="12"/>
        </w:numPr>
        <w:spacing w:after="200" w:line="276" w:lineRule="auto"/>
        <w:ind w:left="360"/>
        <w:jc w:val="both"/>
        <w:rPr>
          <w:rFonts w:ascii="Times New Roman" w:hAnsi="Times New Roman" w:cs="Times New Roman"/>
        </w:rPr>
      </w:pPr>
      <w:r w:rsidRPr="00141ABB">
        <w:rPr>
          <w:rFonts w:ascii="Times New Roman" w:hAnsi="Times New Roman" w:cs="Times New Roman"/>
          <w:color w:val="222222"/>
          <w:shd w:val="clear" w:color="auto" w:fill="FFFFFF"/>
        </w:rPr>
        <w:lastRenderedPageBreak/>
        <w:t>Sher, A., Li, H., Hamid, Y., Nasir, B., &amp; Zhang, J. (2024). Importance of regenerative agriculture: climate, soil health, biodiversity and its socioecological impact. </w:t>
      </w:r>
      <w:r w:rsidRPr="00141ABB">
        <w:rPr>
          <w:rFonts w:ascii="Times New Roman" w:hAnsi="Times New Roman" w:cs="Times New Roman"/>
          <w:i/>
          <w:iCs/>
          <w:color w:val="222222"/>
          <w:shd w:val="clear" w:color="auto" w:fill="FFFFFF"/>
        </w:rPr>
        <w:t>Discover Sustainability</w:t>
      </w:r>
      <w:r w:rsidRPr="00141ABB">
        <w:rPr>
          <w:rFonts w:ascii="Times New Roman" w:hAnsi="Times New Roman" w:cs="Times New Roman"/>
          <w:color w:val="222222"/>
          <w:shd w:val="clear" w:color="auto" w:fill="FFFFFF"/>
        </w:rPr>
        <w:t>, </w:t>
      </w:r>
      <w:r w:rsidRPr="00141ABB">
        <w:rPr>
          <w:rFonts w:ascii="Times New Roman" w:hAnsi="Times New Roman" w:cs="Times New Roman"/>
          <w:i/>
          <w:iCs/>
          <w:color w:val="222222"/>
          <w:shd w:val="clear" w:color="auto" w:fill="FFFFFF"/>
        </w:rPr>
        <w:t>5</w:t>
      </w:r>
      <w:r w:rsidRPr="00141ABB">
        <w:rPr>
          <w:rFonts w:ascii="Times New Roman" w:hAnsi="Times New Roman" w:cs="Times New Roman"/>
          <w:color w:val="222222"/>
          <w:shd w:val="clear" w:color="auto" w:fill="FFFFFF"/>
        </w:rPr>
        <w:t>(1), 1-23.</w:t>
      </w:r>
    </w:p>
    <w:p w14:paraId="1A3C25FC" w14:textId="77777777" w:rsidR="00890836" w:rsidRPr="00141ABB" w:rsidRDefault="00890836" w:rsidP="00890836">
      <w:pPr>
        <w:pStyle w:val="ListParagraph"/>
        <w:numPr>
          <w:ilvl w:val="0"/>
          <w:numId w:val="12"/>
        </w:numPr>
        <w:spacing w:after="200" w:line="276" w:lineRule="auto"/>
        <w:ind w:left="360"/>
        <w:jc w:val="both"/>
        <w:rPr>
          <w:rFonts w:ascii="Times New Roman" w:hAnsi="Times New Roman" w:cs="Times New Roman"/>
        </w:rPr>
      </w:pPr>
      <w:r w:rsidRPr="00141ABB">
        <w:rPr>
          <w:rFonts w:ascii="Times New Roman" w:hAnsi="Times New Roman" w:cs="Times New Roman"/>
          <w:color w:val="222222"/>
          <w:shd w:val="clear" w:color="auto" w:fill="FFFFFF"/>
        </w:rPr>
        <w:t>Staley, J. T., McCracken, M. E., Redhead, J. R., Hurley, P. D., Rose, D. C., &amp; Burgess, P. J. (2024). Characterising current agroecological and regenerative farming research capability and infrastructure, and examining the case for a Living Lab network.</w:t>
      </w:r>
    </w:p>
    <w:p w14:paraId="1089EA0D" w14:textId="77777777" w:rsidR="00890836" w:rsidRPr="00141ABB" w:rsidRDefault="00890836" w:rsidP="00890836">
      <w:pPr>
        <w:pStyle w:val="ListParagraph"/>
        <w:numPr>
          <w:ilvl w:val="0"/>
          <w:numId w:val="12"/>
        </w:numPr>
        <w:spacing w:after="200" w:line="276" w:lineRule="auto"/>
        <w:ind w:left="360"/>
        <w:jc w:val="both"/>
        <w:rPr>
          <w:rFonts w:ascii="Times New Roman" w:hAnsi="Times New Roman" w:cs="Times New Roman"/>
        </w:rPr>
      </w:pPr>
      <w:r w:rsidRPr="00890836">
        <w:rPr>
          <w:rFonts w:ascii="Times New Roman" w:hAnsi="Times New Roman" w:cs="Times New Roman"/>
          <w:color w:val="222222"/>
          <w:shd w:val="clear" w:color="auto" w:fill="FFFFFF"/>
          <w:lang w:val="fi-FI"/>
        </w:rPr>
        <w:t xml:space="preserve">Tindwa, H. J., Semu, E. W., &amp; Singh, B. R. (2024). </w:t>
      </w:r>
      <w:r w:rsidRPr="00141ABB">
        <w:rPr>
          <w:rFonts w:ascii="Times New Roman" w:hAnsi="Times New Roman" w:cs="Times New Roman"/>
          <w:color w:val="222222"/>
          <w:shd w:val="clear" w:color="auto" w:fill="FFFFFF"/>
        </w:rPr>
        <w:t>Circular Regenerative Agricultural Practices in Africa: Techniques and Their Potential for Soil Restoration and Sustainable Food Production. </w:t>
      </w:r>
      <w:r w:rsidRPr="00141ABB">
        <w:rPr>
          <w:rFonts w:ascii="Times New Roman" w:hAnsi="Times New Roman" w:cs="Times New Roman"/>
          <w:i/>
          <w:iCs/>
          <w:color w:val="222222"/>
          <w:shd w:val="clear" w:color="auto" w:fill="FFFFFF"/>
        </w:rPr>
        <w:t>Agronomy</w:t>
      </w:r>
      <w:r w:rsidRPr="00141ABB">
        <w:rPr>
          <w:rFonts w:ascii="Times New Roman" w:hAnsi="Times New Roman" w:cs="Times New Roman"/>
          <w:color w:val="222222"/>
          <w:shd w:val="clear" w:color="auto" w:fill="FFFFFF"/>
        </w:rPr>
        <w:t>, </w:t>
      </w:r>
      <w:r w:rsidRPr="00141ABB">
        <w:rPr>
          <w:rFonts w:ascii="Times New Roman" w:hAnsi="Times New Roman" w:cs="Times New Roman"/>
          <w:i/>
          <w:iCs/>
          <w:color w:val="222222"/>
          <w:shd w:val="clear" w:color="auto" w:fill="FFFFFF"/>
        </w:rPr>
        <w:t>14</w:t>
      </w:r>
      <w:r w:rsidRPr="00141ABB">
        <w:rPr>
          <w:rFonts w:ascii="Times New Roman" w:hAnsi="Times New Roman" w:cs="Times New Roman"/>
          <w:color w:val="222222"/>
          <w:shd w:val="clear" w:color="auto" w:fill="FFFFFF"/>
        </w:rPr>
        <w:t>(10), 2423.</w:t>
      </w:r>
    </w:p>
    <w:p w14:paraId="15E49C5D" w14:textId="77777777" w:rsidR="00890836" w:rsidRPr="00141ABB" w:rsidRDefault="00890836" w:rsidP="00890836">
      <w:pPr>
        <w:pStyle w:val="ListParagraph"/>
        <w:numPr>
          <w:ilvl w:val="0"/>
          <w:numId w:val="12"/>
        </w:numPr>
        <w:spacing w:after="200" w:line="276" w:lineRule="auto"/>
        <w:ind w:left="360"/>
        <w:jc w:val="both"/>
        <w:rPr>
          <w:rFonts w:ascii="Times New Roman" w:hAnsi="Times New Roman" w:cs="Times New Roman"/>
        </w:rPr>
      </w:pPr>
      <w:r w:rsidRPr="00141ABB">
        <w:rPr>
          <w:rFonts w:ascii="Times New Roman" w:hAnsi="Times New Roman" w:cs="Times New Roman"/>
          <w:color w:val="222222"/>
          <w:shd w:val="clear" w:color="auto" w:fill="FFFFFF"/>
        </w:rPr>
        <w:t>Tsegay, G., &amp; Meng, X. Z. (2021). Impact of ex-closure in above and below ground carbon stock biomass. </w:t>
      </w:r>
      <w:r w:rsidRPr="00141ABB">
        <w:rPr>
          <w:rFonts w:ascii="Times New Roman" w:hAnsi="Times New Roman" w:cs="Times New Roman"/>
          <w:i/>
          <w:iCs/>
          <w:color w:val="222222"/>
          <w:shd w:val="clear" w:color="auto" w:fill="FFFFFF"/>
        </w:rPr>
        <w:t>Forests</w:t>
      </w:r>
      <w:r w:rsidRPr="00141ABB">
        <w:rPr>
          <w:rFonts w:ascii="Times New Roman" w:hAnsi="Times New Roman" w:cs="Times New Roman"/>
          <w:color w:val="222222"/>
          <w:shd w:val="clear" w:color="auto" w:fill="FFFFFF"/>
        </w:rPr>
        <w:t>, </w:t>
      </w:r>
      <w:r w:rsidRPr="00141ABB">
        <w:rPr>
          <w:rFonts w:ascii="Times New Roman" w:hAnsi="Times New Roman" w:cs="Times New Roman"/>
          <w:i/>
          <w:iCs/>
          <w:color w:val="222222"/>
          <w:shd w:val="clear" w:color="auto" w:fill="FFFFFF"/>
        </w:rPr>
        <w:t>12</w:t>
      </w:r>
      <w:r w:rsidRPr="00141ABB">
        <w:rPr>
          <w:rFonts w:ascii="Times New Roman" w:hAnsi="Times New Roman" w:cs="Times New Roman"/>
          <w:color w:val="222222"/>
          <w:shd w:val="clear" w:color="auto" w:fill="FFFFFF"/>
        </w:rPr>
        <w:t>(2), 130.</w:t>
      </w:r>
    </w:p>
    <w:p w14:paraId="7E4F52A1" w14:textId="77777777" w:rsidR="00890836" w:rsidRPr="00141ABB" w:rsidRDefault="00890836" w:rsidP="00890836">
      <w:pPr>
        <w:pStyle w:val="ListParagraph"/>
        <w:numPr>
          <w:ilvl w:val="0"/>
          <w:numId w:val="12"/>
        </w:numPr>
        <w:spacing w:after="200" w:line="276" w:lineRule="auto"/>
        <w:ind w:left="360"/>
        <w:jc w:val="both"/>
        <w:rPr>
          <w:rFonts w:ascii="Times New Roman" w:hAnsi="Times New Roman" w:cs="Times New Roman"/>
        </w:rPr>
      </w:pPr>
      <w:r w:rsidRPr="00141ABB">
        <w:rPr>
          <w:rFonts w:ascii="Times New Roman" w:hAnsi="Times New Roman" w:cs="Times New Roman"/>
          <w:color w:val="222222"/>
          <w:shd w:val="clear" w:color="auto" w:fill="FFFFFF"/>
        </w:rPr>
        <w:t>Vanderklift, M. A., Marcos-Martinez, R., Butler, J. R., Coleman, M., Lawrence, A., Prislan, H., ... &amp; Thomas, S. (2019). Constraints and opportunities for market-based finance for the restoration and protection of blue carbon ecosystems. </w:t>
      </w:r>
      <w:r w:rsidRPr="00141ABB">
        <w:rPr>
          <w:rFonts w:ascii="Times New Roman" w:hAnsi="Times New Roman" w:cs="Times New Roman"/>
          <w:i/>
          <w:iCs/>
          <w:color w:val="222222"/>
          <w:shd w:val="clear" w:color="auto" w:fill="FFFFFF"/>
        </w:rPr>
        <w:t>Marine Policy</w:t>
      </w:r>
      <w:r w:rsidRPr="00141ABB">
        <w:rPr>
          <w:rFonts w:ascii="Times New Roman" w:hAnsi="Times New Roman" w:cs="Times New Roman"/>
          <w:color w:val="222222"/>
          <w:shd w:val="clear" w:color="auto" w:fill="FFFFFF"/>
        </w:rPr>
        <w:t>, </w:t>
      </w:r>
      <w:r w:rsidRPr="00141ABB">
        <w:rPr>
          <w:rFonts w:ascii="Times New Roman" w:hAnsi="Times New Roman" w:cs="Times New Roman"/>
          <w:i/>
          <w:iCs/>
          <w:color w:val="222222"/>
          <w:shd w:val="clear" w:color="auto" w:fill="FFFFFF"/>
        </w:rPr>
        <w:t>107</w:t>
      </w:r>
      <w:r w:rsidRPr="00141ABB">
        <w:rPr>
          <w:rFonts w:ascii="Times New Roman" w:hAnsi="Times New Roman" w:cs="Times New Roman"/>
          <w:color w:val="222222"/>
          <w:shd w:val="clear" w:color="auto" w:fill="FFFFFF"/>
        </w:rPr>
        <w:t>, 103429.</w:t>
      </w:r>
    </w:p>
    <w:p w14:paraId="4421E931" w14:textId="77777777" w:rsidR="00890836" w:rsidRPr="00141ABB" w:rsidRDefault="00890836" w:rsidP="00890836">
      <w:pPr>
        <w:pStyle w:val="ListParagraph"/>
        <w:numPr>
          <w:ilvl w:val="0"/>
          <w:numId w:val="12"/>
        </w:numPr>
        <w:spacing w:after="200" w:line="276" w:lineRule="auto"/>
        <w:ind w:left="360"/>
        <w:jc w:val="both"/>
        <w:rPr>
          <w:rFonts w:ascii="Times New Roman" w:hAnsi="Times New Roman" w:cs="Times New Roman"/>
        </w:rPr>
      </w:pPr>
      <w:r w:rsidRPr="00890836">
        <w:rPr>
          <w:rFonts w:ascii="Times New Roman" w:hAnsi="Times New Roman" w:cs="Times New Roman"/>
          <w:color w:val="222222"/>
          <w:shd w:val="clear" w:color="auto" w:fill="FFFFFF"/>
          <w:lang w:val="fi-FI"/>
        </w:rPr>
        <w:t xml:space="preserve">Villat, J., &amp; Nicholas, K. A. (2024). </w:t>
      </w:r>
      <w:r w:rsidRPr="00141ABB">
        <w:rPr>
          <w:rFonts w:ascii="Times New Roman" w:hAnsi="Times New Roman" w:cs="Times New Roman"/>
          <w:color w:val="222222"/>
          <w:shd w:val="clear" w:color="auto" w:fill="FFFFFF"/>
        </w:rPr>
        <w:t>Quantifying soil carbon sequestration from regenerative agricultural practices in crops and vineyards. </w:t>
      </w:r>
      <w:r w:rsidRPr="00141ABB">
        <w:rPr>
          <w:rFonts w:ascii="Times New Roman" w:hAnsi="Times New Roman" w:cs="Times New Roman"/>
          <w:i/>
          <w:iCs/>
          <w:color w:val="222222"/>
          <w:shd w:val="clear" w:color="auto" w:fill="FFFFFF"/>
        </w:rPr>
        <w:t>Frontiers in Sustainable Food Systems</w:t>
      </w:r>
      <w:r w:rsidRPr="00141ABB">
        <w:rPr>
          <w:rFonts w:ascii="Times New Roman" w:hAnsi="Times New Roman" w:cs="Times New Roman"/>
          <w:color w:val="222222"/>
          <w:shd w:val="clear" w:color="auto" w:fill="FFFFFF"/>
        </w:rPr>
        <w:t>, </w:t>
      </w:r>
      <w:r w:rsidRPr="00141ABB">
        <w:rPr>
          <w:rFonts w:ascii="Times New Roman" w:hAnsi="Times New Roman" w:cs="Times New Roman"/>
          <w:i/>
          <w:iCs/>
          <w:color w:val="222222"/>
          <w:shd w:val="clear" w:color="auto" w:fill="FFFFFF"/>
        </w:rPr>
        <w:t>7</w:t>
      </w:r>
      <w:r w:rsidRPr="00141ABB">
        <w:rPr>
          <w:rFonts w:ascii="Times New Roman" w:hAnsi="Times New Roman" w:cs="Times New Roman"/>
          <w:color w:val="222222"/>
          <w:shd w:val="clear" w:color="auto" w:fill="FFFFFF"/>
        </w:rPr>
        <w:t>, 1234108.</w:t>
      </w:r>
    </w:p>
    <w:p w14:paraId="63FBDCA2" w14:textId="77777777" w:rsidR="00890836" w:rsidRPr="00141ABB" w:rsidRDefault="00890836" w:rsidP="00890836">
      <w:pPr>
        <w:pStyle w:val="ListParagraph"/>
        <w:numPr>
          <w:ilvl w:val="0"/>
          <w:numId w:val="12"/>
        </w:numPr>
        <w:spacing w:after="200" w:line="276" w:lineRule="auto"/>
        <w:ind w:left="360"/>
        <w:jc w:val="both"/>
        <w:rPr>
          <w:rFonts w:ascii="Times New Roman" w:hAnsi="Times New Roman" w:cs="Times New Roman"/>
        </w:rPr>
      </w:pPr>
      <w:r w:rsidRPr="00141ABB">
        <w:rPr>
          <w:rFonts w:ascii="Times New Roman" w:hAnsi="Times New Roman" w:cs="Times New Roman"/>
          <w:color w:val="222222"/>
          <w:shd w:val="clear" w:color="auto" w:fill="FFFFFF"/>
        </w:rPr>
        <w:t>Wendling, M., Büchi, L., Amossé, C., Sinaj, S., Walter, A., &amp; Charles, R. (2016). Influence of root and leaf traits on the uptake of nutrients in cover crops. </w:t>
      </w:r>
      <w:r w:rsidRPr="00141ABB">
        <w:rPr>
          <w:rFonts w:ascii="Times New Roman" w:hAnsi="Times New Roman" w:cs="Times New Roman"/>
          <w:i/>
          <w:iCs/>
          <w:color w:val="222222"/>
          <w:shd w:val="clear" w:color="auto" w:fill="FFFFFF"/>
        </w:rPr>
        <w:t>Plant and Soil</w:t>
      </w:r>
      <w:r w:rsidRPr="00141ABB">
        <w:rPr>
          <w:rFonts w:ascii="Times New Roman" w:hAnsi="Times New Roman" w:cs="Times New Roman"/>
          <w:color w:val="222222"/>
          <w:shd w:val="clear" w:color="auto" w:fill="FFFFFF"/>
        </w:rPr>
        <w:t>, </w:t>
      </w:r>
      <w:r w:rsidRPr="00141ABB">
        <w:rPr>
          <w:rFonts w:ascii="Times New Roman" w:hAnsi="Times New Roman" w:cs="Times New Roman"/>
          <w:i/>
          <w:iCs/>
          <w:color w:val="222222"/>
          <w:shd w:val="clear" w:color="auto" w:fill="FFFFFF"/>
        </w:rPr>
        <w:t>409</w:t>
      </w:r>
      <w:r w:rsidRPr="00141ABB">
        <w:rPr>
          <w:rFonts w:ascii="Times New Roman" w:hAnsi="Times New Roman" w:cs="Times New Roman"/>
          <w:color w:val="222222"/>
          <w:shd w:val="clear" w:color="auto" w:fill="FFFFFF"/>
        </w:rPr>
        <w:t>, 419-434.</w:t>
      </w:r>
    </w:p>
    <w:p w14:paraId="504C18E7" w14:textId="77777777" w:rsidR="00890836" w:rsidRPr="00141ABB" w:rsidRDefault="00890836" w:rsidP="00890836">
      <w:pPr>
        <w:pStyle w:val="ListParagraph"/>
        <w:numPr>
          <w:ilvl w:val="0"/>
          <w:numId w:val="12"/>
        </w:numPr>
        <w:spacing w:after="200" w:line="276" w:lineRule="auto"/>
        <w:ind w:left="360"/>
        <w:jc w:val="both"/>
        <w:rPr>
          <w:rFonts w:ascii="Times New Roman" w:hAnsi="Times New Roman" w:cs="Times New Roman"/>
        </w:rPr>
      </w:pPr>
      <w:r w:rsidRPr="00141ABB">
        <w:rPr>
          <w:rFonts w:ascii="Times New Roman" w:hAnsi="Times New Roman" w:cs="Times New Roman"/>
          <w:color w:val="222222"/>
          <w:shd w:val="clear" w:color="auto" w:fill="FFFFFF"/>
        </w:rPr>
        <w:t>Wortman, S. E., Francis, C. A., Bernards, M. L., Drijber, R. A., &amp; Lindquist, J. L. (2012). Optimizing cover crop benefits with diverse mixtures and an alternative termination method. </w:t>
      </w:r>
      <w:r w:rsidRPr="00141ABB">
        <w:rPr>
          <w:rFonts w:ascii="Times New Roman" w:hAnsi="Times New Roman" w:cs="Times New Roman"/>
          <w:i/>
          <w:iCs/>
          <w:color w:val="222222"/>
          <w:shd w:val="clear" w:color="auto" w:fill="FFFFFF"/>
        </w:rPr>
        <w:t>Agronomy journal</w:t>
      </w:r>
      <w:r w:rsidRPr="00141ABB">
        <w:rPr>
          <w:rFonts w:ascii="Times New Roman" w:hAnsi="Times New Roman" w:cs="Times New Roman"/>
          <w:color w:val="222222"/>
          <w:shd w:val="clear" w:color="auto" w:fill="FFFFFF"/>
        </w:rPr>
        <w:t>, </w:t>
      </w:r>
      <w:r w:rsidRPr="00141ABB">
        <w:rPr>
          <w:rFonts w:ascii="Times New Roman" w:hAnsi="Times New Roman" w:cs="Times New Roman"/>
          <w:i/>
          <w:iCs/>
          <w:color w:val="222222"/>
          <w:shd w:val="clear" w:color="auto" w:fill="FFFFFF"/>
        </w:rPr>
        <w:t>104</w:t>
      </w:r>
      <w:r w:rsidRPr="00141ABB">
        <w:rPr>
          <w:rFonts w:ascii="Times New Roman" w:hAnsi="Times New Roman" w:cs="Times New Roman"/>
          <w:color w:val="222222"/>
          <w:shd w:val="clear" w:color="auto" w:fill="FFFFFF"/>
        </w:rPr>
        <w:t>(5), 1425-1435.</w:t>
      </w:r>
    </w:p>
    <w:p w14:paraId="12643EE5" w14:textId="77777777" w:rsidR="00890836" w:rsidRPr="00141ABB" w:rsidRDefault="00890836" w:rsidP="00890836">
      <w:pPr>
        <w:pStyle w:val="ListParagraph"/>
        <w:numPr>
          <w:ilvl w:val="0"/>
          <w:numId w:val="12"/>
        </w:numPr>
        <w:spacing w:after="200" w:line="276" w:lineRule="auto"/>
        <w:ind w:left="360"/>
        <w:jc w:val="both"/>
        <w:rPr>
          <w:rFonts w:ascii="Times New Roman" w:hAnsi="Times New Roman" w:cs="Times New Roman"/>
        </w:rPr>
      </w:pPr>
      <w:r w:rsidRPr="00141ABB">
        <w:rPr>
          <w:rFonts w:ascii="Times New Roman" w:hAnsi="Times New Roman" w:cs="Times New Roman"/>
          <w:color w:val="222222"/>
          <w:shd w:val="clear" w:color="auto" w:fill="FFFFFF"/>
        </w:rPr>
        <w:t>Xu, N., Amgain, N. R., Rabbany, A., Capasso, J., Korus, K., Swanson, S., &amp; Bhadha, J. H. (2022). Interaction of soil health indicators to different regenerative farming practices on mineral soils. </w:t>
      </w:r>
      <w:r w:rsidRPr="00141ABB">
        <w:rPr>
          <w:rFonts w:ascii="Times New Roman" w:hAnsi="Times New Roman" w:cs="Times New Roman"/>
          <w:i/>
          <w:iCs/>
          <w:color w:val="222222"/>
          <w:shd w:val="clear" w:color="auto" w:fill="FFFFFF"/>
        </w:rPr>
        <w:t>Agrosystems, Geosciences &amp; Environment</w:t>
      </w:r>
      <w:r w:rsidRPr="00141ABB">
        <w:rPr>
          <w:rFonts w:ascii="Times New Roman" w:hAnsi="Times New Roman" w:cs="Times New Roman"/>
          <w:color w:val="222222"/>
          <w:shd w:val="clear" w:color="auto" w:fill="FFFFFF"/>
        </w:rPr>
        <w:t>, </w:t>
      </w:r>
      <w:r w:rsidRPr="00141ABB">
        <w:rPr>
          <w:rFonts w:ascii="Times New Roman" w:hAnsi="Times New Roman" w:cs="Times New Roman"/>
          <w:i/>
          <w:iCs/>
          <w:color w:val="222222"/>
          <w:shd w:val="clear" w:color="auto" w:fill="FFFFFF"/>
        </w:rPr>
        <w:t>5</w:t>
      </w:r>
      <w:r w:rsidRPr="00141ABB">
        <w:rPr>
          <w:rFonts w:ascii="Times New Roman" w:hAnsi="Times New Roman" w:cs="Times New Roman"/>
          <w:color w:val="222222"/>
          <w:shd w:val="clear" w:color="auto" w:fill="FFFFFF"/>
        </w:rPr>
        <w:t>(1), e20243.</w:t>
      </w:r>
    </w:p>
    <w:p w14:paraId="2ACD9D07" w14:textId="77777777" w:rsidR="00890836" w:rsidRPr="00AB4312" w:rsidRDefault="00890836" w:rsidP="00890836">
      <w:pPr>
        <w:pStyle w:val="ListParagraph"/>
        <w:numPr>
          <w:ilvl w:val="0"/>
          <w:numId w:val="12"/>
        </w:numPr>
        <w:spacing w:after="200" w:line="276" w:lineRule="auto"/>
        <w:ind w:left="360"/>
        <w:jc w:val="both"/>
        <w:rPr>
          <w:rFonts w:ascii="Times New Roman" w:hAnsi="Times New Roman" w:cs="Times New Roman"/>
        </w:rPr>
      </w:pPr>
      <w:r w:rsidRPr="00141ABB">
        <w:rPr>
          <w:rFonts w:ascii="Times New Roman" w:hAnsi="Times New Roman" w:cs="Times New Roman"/>
          <w:color w:val="222222"/>
          <w:shd w:val="clear" w:color="auto" w:fill="FFFFFF"/>
        </w:rPr>
        <w:t>Zhang, X., Xie, E., Chen, J., Peng, Y., Yan, G., &amp; Zhao, Y. (2023). Modelling the spatiotemporal dynamics of cropland soil organic carbon by integrating process-based models differing in structures with machine learning. </w:t>
      </w:r>
      <w:r w:rsidRPr="00141ABB">
        <w:rPr>
          <w:rFonts w:ascii="Times New Roman" w:hAnsi="Times New Roman" w:cs="Times New Roman"/>
          <w:i/>
          <w:iCs/>
          <w:color w:val="222222"/>
          <w:shd w:val="clear" w:color="auto" w:fill="FFFFFF"/>
        </w:rPr>
        <w:t>Journal of Soils and Sediments</w:t>
      </w:r>
      <w:r w:rsidRPr="00141ABB">
        <w:rPr>
          <w:rFonts w:ascii="Times New Roman" w:hAnsi="Times New Roman" w:cs="Times New Roman"/>
          <w:color w:val="222222"/>
          <w:shd w:val="clear" w:color="auto" w:fill="FFFFFF"/>
        </w:rPr>
        <w:t>, </w:t>
      </w:r>
      <w:r w:rsidRPr="00141ABB">
        <w:rPr>
          <w:rFonts w:ascii="Times New Roman" w:hAnsi="Times New Roman" w:cs="Times New Roman"/>
          <w:i/>
          <w:iCs/>
          <w:color w:val="222222"/>
          <w:shd w:val="clear" w:color="auto" w:fill="FFFFFF"/>
        </w:rPr>
        <w:t>23</w:t>
      </w:r>
      <w:r w:rsidRPr="00141ABB">
        <w:rPr>
          <w:rFonts w:ascii="Times New Roman" w:hAnsi="Times New Roman" w:cs="Times New Roman"/>
          <w:color w:val="222222"/>
          <w:shd w:val="clear" w:color="auto" w:fill="FFFFFF"/>
        </w:rPr>
        <w:t>(7), 2816-2831.</w:t>
      </w:r>
    </w:p>
    <w:p w14:paraId="6EC6BECE" w14:textId="367806DD" w:rsidR="00947B44" w:rsidRPr="00AB4312" w:rsidRDefault="00947B44" w:rsidP="00890836">
      <w:pPr>
        <w:pStyle w:val="ListParagraph"/>
        <w:numPr>
          <w:ilvl w:val="0"/>
          <w:numId w:val="12"/>
        </w:numPr>
        <w:spacing w:after="200" w:line="276" w:lineRule="auto"/>
        <w:ind w:left="360"/>
        <w:jc w:val="both"/>
        <w:rPr>
          <w:rFonts w:ascii="Times New Roman" w:hAnsi="Times New Roman" w:cs="Times New Roman"/>
          <w:highlight w:val="yellow"/>
        </w:rPr>
      </w:pPr>
      <w:r w:rsidRPr="00AB4312">
        <w:rPr>
          <w:rFonts w:ascii="Times New Roman" w:hAnsi="Times New Roman" w:cs="Times New Roman"/>
          <w:highlight w:val="yellow"/>
        </w:rPr>
        <w:t>Rathi , A., Kumar , P., Nangla , S., Sharma , S., &amp; Sharma , S. (2024). Soil Restoration Strategies for Sustaining Soil Productivity: A Review. </w:t>
      </w:r>
      <w:r w:rsidRPr="00AB4312">
        <w:rPr>
          <w:rFonts w:ascii="Times New Roman" w:hAnsi="Times New Roman" w:cs="Times New Roman"/>
          <w:i/>
          <w:iCs/>
          <w:highlight w:val="yellow"/>
        </w:rPr>
        <w:t>Asian Research Journal of Agriculture</w:t>
      </w:r>
      <w:r w:rsidRPr="00AB4312">
        <w:rPr>
          <w:rFonts w:ascii="Times New Roman" w:hAnsi="Times New Roman" w:cs="Times New Roman"/>
          <w:highlight w:val="yellow"/>
        </w:rPr>
        <w:t>, </w:t>
      </w:r>
      <w:r w:rsidRPr="00AB4312">
        <w:rPr>
          <w:rFonts w:ascii="Times New Roman" w:hAnsi="Times New Roman" w:cs="Times New Roman"/>
          <w:i/>
          <w:iCs/>
          <w:highlight w:val="yellow"/>
        </w:rPr>
        <w:t>17</w:t>
      </w:r>
      <w:r w:rsidRPr="00AB4312">
        <w:rPr>
          <w:rFonts w:ascii="Times New Roman" w:hAnsi="Times New Roman" w:cs="Times New Roman"/>
          <w:highlight w:val="yellow"/>
        </w:rPr>
        <w:t>(1), 33–48. </w:t>
      </w:r>
    </w:p>
    <w:p w14:paraId="07007BA6" w14:textId="3372C14A" w:rsidR="00947B44" w:rsidRPr="00AB4312" w:rsidRDefault="004464EB" w:rsidP="00890836">
      <w:pPr>
        <w:pStyle w:val="ListParagraph"/>
        <w:numPr>
          <w:ilvl w:val="0"/>
          <w:numId w:val="12"/>
        </w:numPr>
        <w:spacing w:after="200" w:line="276" w:lineRule="auto"/>
        <w:ind w:left="360"/>
        <w:jc w:val="both"/>
        <w:rPr>
          <w:rFonts w:ascii="Times New Roman" w:hAnsi="Times New Roman" w:cs="Times New Roman"/>
          <w:highlight w:val="yellow"/>
        </w:rPr>
      </w:pPr>
      <w:r w:rsidRPr="00AB4312">
        <w:rPr>
          <w:rFonts w:ascii="Times New Roman" w:hAnsi="Times New Roman" w:cs="Times New Roman"/>
          <w:highlight w:val="yellow"/>
        </w:rPr>
        <w:t>Schreefel, L., Schulte, R. P., De Boer, I. J. M., Schrijver, A. P., &amp; Van Zanten, H. H. E. (2020). Regenerative agriculture–the soil is the base. </w:t>
      </w:r>
      <w:r w:rsidRPr="00AB4312">
        <w:rPr>
          <w:rFonts w:ascii="Times New Roman" w:hAnsi="Times New Roman" w:cs="Times New Roman"/>
          <w:i/>
          <w:iCs/>
          <w:highlight w:val="yellow"/>
        </w:rPr>
        <w:t>Global Food Security</w:t>
      </w:r>
      <w:r w:rsidRPr="00AB4312">
        <w:rPr>
          <w:rFonts w:ascii="Times New Roman" w:hAnsi="Times New Roman" w:cs="Times New Roman"/>
          <w:highlight w:val="yellow"/>
        </w:rPr>
        <w:t>, </w:t>
      </w:r>
      <w:r w:rsidRPr="00AB4312">
        <w:rPr>
          <w:rFonts w:ascii="Times New Roman" w:hAnsi="Times New Roman" w:cs="Times New Roman"/>
          <w:i/>
          <w:iCs/>
          <w:highlight w:val="yellow"/>
        </w:rPr>
        <w:t>26</w:t>
      </w:r>
      <w:r w:rsidRPr="00AB4312">
        <w:rPr>
          <w:rFonts w:ascii="Times New Roman" w:hAnsi="Times New Roman" w:cs="Times New Roman"/>
          <w:highlight w:val="yellow"/>
        </w:rPr>
        <w:t>, 100404.</w:t>
      </w:r>
    </w:p>
    <w:p w14:paraId="1A37F6D1" w14:textId="6EEDCB26" w:rsidR="004464EB" w:rsidRDefault="00DD0A08" w:rsidP="00890836">
      <w:pPr>
        <w:pStyle w:val="ListParagraph"/>
        <w:numPr>
          <w:ilvl w:val="0"/>
          <w:numId w:val="12"/>
        </w:numPr>
        <w:spacing w:after="200" w:line="276" w:lineRule="auto"/>
        <w:ind w:left="360"/>
        <w:jc w:val="both"/>
        <w:rPr>
          <w:rFonts w:ascii="Times New Roman" w:hAnsi="Times New Roman" w:cs="Times New Roman"/>
          <w:highlight w:val="yellow"/>
        </w:rPr>
      </w:pPr>
      <w:r w:rsidRPr="00DD0A08">
        <w:rPr>
          <w:rFonts w:ascii="Times New Roman" w:hAnsi="Times New Roman" w:cs="Times New Roman"/>
          <w:highlight w:val="yellow"/>
        </w:rPr>
        <w:t>Wu, B., Zhang, M., Zhai, Z., Dai, H., Yang, M., Zhang, Y., &amp; Liang, T. (2024). Soil organic carbon, carbon fractions, and microbial community under various organic amendments. </w:t>
      </w:r>
      <w:r w:rsidRPr="00DD0A08">
        <w:rPr>
          <w:rFonts w:ascii="Times New Roman" w:hAnsi="Times New Roman" w:cs="Times New Roman"/>
          <w:i/>
          <w:iCs/>
          <w:highlight w:val="yellow"/>
        </w:rPr>
        <w:t>Scientific Reports</w:t>
      </w:r>
      <w:r w:rsidRPr="00DD0A08">
        <w:rPr>
          <w:rFonts w:ascii="Times New Roman" w:hAnsi="Times New Roman" w:cs="Times New Roman"/>
          <w:highlight w:val="yellow"/>
        </w:rPr>
        <w:t>, </w:t>
      </w:r>
      <w:r w:rsidRPr="00DD0A08">
        <w:rPr>
          <w:rFonts w:ascii="Times New Roman" w:hAnsi="Times New Roman" w:cs="Times New Roman"/>
          <w:i/>
          <w:iCs/>
          <w:highlight w:val="yellow"/>
        </w:rPr>
        <w:t>14</w:t>
      </w:r>
      <w:r w:rsidRPr="00DD0A08">
        <w:rPr>
          <w:rFonts w:ascii="Times New Roman" w:hAnsi="Times New Roman" w:cs="Times New Roman"/>
          <w:highlight w:val="yellow"/>
        </w:rPr>
        <w:t>(1), 25431.</w:t>
      </w:r>
    </w:p>
    <w:p w14:paraId="506F275A" w14:textId="51F04589" w:rsidR="00293E97" w:rsidRPr="00AB4312" w:rsidRDefault="00293E97" w:rsidP="00890836">
      <w:pPr>
        <w:pStyle w:val="ListParagraph"/>
        <w:numPr>
          <w:ilvl w:val="0"/>
          <w:numId w:val="12"/>
        </w:numPr>
        <w:spacing w:after="200" w:line="276" w:lineRule="auto"/>
        <w:ind w:left="360"/>
        <w:jc w:val="both"/>
        <w:rPr>
          <w:rFonts w:ascii="Times New Roman" w:hAnsi="Times New Roman" w:cs="Times New Roman"/>
          <w:highlight w:val="yellow"/>
        </w:rPr>
      </w:pPr>
      <w:r w:rsidRPr="00293E97">
        <w:rPr>
          <w:rFonts w:ascii="Times New Roman" w:hAnsi="Times New Roman" w:cs="Times New Roman"/>
          <w:highlight w:val="yellow"/>
        </w:rPr>
        <w:t>Borah, B., &amp; Parmar, P. (2024). Soil Organic Carbon Dynamics: Drivers of Climate Change-induced Soil Organic Carbon Loss at Various Ecosystems. </w:t>
      </w:r>
      <w:r w:rsidRPr="00293E97">
        <w:rPr>
          <w:rFonts w:ascii="Times New Roman" w:hAnsi="Times New Roman" w:cs="Times New Roman"/>
          <w:i/>
          <w:iCs/>
          <w:highlight w:val="yellow"/>
        </w:rPr>
        <w:t>International Journal of Environment and Climate Change</w:t>
      </w:r>
      <w:r w:rsidRPr="00293E97">
        <w:rPr>
          <w:rFonts w:ascii="Times New Roman" w:hAnsi="Times New Roman" w:cs="Times New Roman"/>
          <w:highlight w:val="yellow"/>
        </w:rPr>
        <w:t>, </w:t>
      </w:r>
      <w:r w:rsidRPr="00293E97">
        <w:rPr>
          <w:rFonts w:ascii="Times New Roman" w:hAnsi="Times New Roman" w:cs="Times New Roman"/>
          <w:i/>
          <w:iCs/>
          <w:highlight w:val="yellow"/>
        </w:rPr>
        <w:t>14</w:t>
      </w:r>
      <w:r w:rsidRPr="00293E97">
        <w:rPr>
          <w:rFonts w:ascii="Times New Roman" w:hAnsi="Times New Roman" w:cs="Times New Roman"/>
          <w:highlight w:val="yellow"/>
        </w:rPr>
        <w:t>(10), 153–174.</w:t>
      </w:r>
    </w:p>
    <w:p w14:paraId="1A3F6931" w14:textId="77777777" w:rsidR="003A5B36" w:rsidRPr="009E1DC1" w:rsidRDefault="003A5B36" w:rsidP="006C1830">
      <w:pPr>
        <w:jc w:val="both"/>
        <w:rPr>
          <w:rFonts w:ascii="Times New Roman" w:hAnsi="Times New Roman" w:cs="Times New Roman"/>
        </w:rPr>
      </w:pPr>
    </w:p>
    <w:sectPr w:rsidR="003A5B36" w:rsidRPr="009E1DC1" w:rsidSect="0045670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25C37" w14:textId="77777777" w:rsidR="006A0725" w:rsidRDefault="006A0725" w:rsidP="00F116F3">
      <w:pPr>
        <w:spacing w:after="0" w:line="240" w:lineRule="auto"/>
      </w:pPr>
      <w:r>
        <w:separator/>
      </w:r>
    </w:p>
  </w:endnote>
  <w:endnote w:type="continuationSeparator" w:id="0">
    <w:p w14:paraId="68DA3C1E" w14:textId="77777777" w:rsidR="006A0725" w:rsidRDefault="006A0725" w:rsidP="00F11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BBE3B" w14:textId="77777777" w:rsidR="00F116F3" w:rsidRDefault="00F116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80D86" w14:textId="77777777" w:rsidR="00F116F3" w:rsidRDefault="00F116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1CB22" w14:textId="77777777" w:rsidR="00F116F3" w:rsidRDefault="00F116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6B0CD" w14:textId="77777777" w:rsidR="006A0725" w:rsidRDefault="006A0725" w:rsidP="00F116F3">
      <w:pPr>
        <w:spacing w:after="0" w:line="240" w:lineRule="auto"/>
      </w:pPr>
      <w:r>
        <w:separator/>
      </w:r>
    </w:p>
  </w:footnote>
  <w:footnote w:type="continuationSeparator" w:id="0">
    <w:p w14:paraId="0A6DCFB9" w14:textId="77777777" w:rsidR="006A0725" w:rsidRDefault="006A0725" w:rsidP="00F116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8208B" w14:textId="5C9C4903" w:rsidR="00F116F3" w:rsidRDefault="00000000">
    <w:pPr>
      <w:pStyle w:val="Header"/>
    </w:pPr>
    <w:r>
      <w:rPr>
        <w:noProof/>
      </w:rPr>
      <w:pict w14:anchorId="0960AB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34485"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BFDAC" w14:textId="1D49703C" w:rsidR="00F116F3" w:rsidRDefault="00000000">
    <w:pPr>
      <w:pStyle w:val="Header"/>
    </w:pPr>
    <w:r>
      <w:rPr>
        <w:noProof/>
      </w:rPr>
      <w:pict w14:anchorId="7EAF11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34486"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3BCC8" w14:textId="4A630D6D" w:rsidR="00F116F3" w:rsidRDefault="00000000">
    <w:pPr>
      <w:pStyle w:val="Header"/>
    </w:pPr>
    <w:r>
      <w:rPr>
        <w:noProof/>
      </w:rPr>
      <w:pict w14:anchorId="4A2D64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34484"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5D07"/>
    <w:multiLevelType w:val="multilevel"/>
    <w:tmpl w:val="6020F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32085B"/>
    <w:multiLevelType w:val="multilevel"/>
    <w:tmpl w:val="9B9E6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2A4C94"/>
    <w:multiLevelType w:val="multilevel"/>
    <w:tmpl w:val="3A0A0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957FEC"/>
    <w:multiLevelType w:val="multilevel"/>
    <w:tmpl w:val="BF722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312086"/>
    <w:multiLevelType w:val="multilevel"/>
    <w:tmpl w:val="C9206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230641"/>
    <w:multiLevelType w:val="multilevel"/>
    <w:tmpl w:val="3BF0C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AB7419"/>
    <w:multiLevelType w:val="multilevel"/>
    <w:tmpl w:val="8E04B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817FD5"/>
    <w:multiLevelType w:val="multilevel"/>
    <w:tmpl w:val="C4F0A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F01EFF"/>
    <w:multiLevelType w:val="multilevel"/>
    <w:tmpl w:val="BCF20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CE57FE"/>
    <w:multiLevelType w:val="hybridMultilevel"/>
    <w:tmpl w:val="EED4F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6503E7"/>
    <w:multiLevelType w:val="multilevel"/>
    <w:tmpl w:val="B1AEF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913796"/>
    <w:multiLevelType w:val="multilevel"/>
    <w:tmpl w:val="71762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0082418">
    <w:abstractNumId w:val="10"/>
  </w:num>
  <w:num w:numId="2" w16cid:durableId="379980731">
    <w:abstractNumId w:val="8"/>
  </w:num>
  <w:num w:numId="3" w16cid:durableId="852112355">
    <w:abstractNumId w:val="2"/>
  </w:num>
  <w:num w:numId="4" w16cid:durableId="619841982">
    <w:abstractNumId w:val="4"/>
  </w:num>
  <w:num w:numId="5" w16cid:durableId="380715280">
    <w:abstractNumId w:val="1"/>
  </w:num>
  <w:num w:numId="6" w16cid:durableId="1822387892">
    <w:abstractNumId w:val="5"/>
  </w:num>
  <w:num w:numId="7" w16cid:durableId="2007048170">
    <w:abstractNumId w:val="6"/>
  </w:num>
  <w:num w:numId="8" w16cid:durableId="1812215566">
    <w:abstractNumId w:val="7"/>
  </w:num>
  <w:num w:numId="9" w16cid:durableId="1925068696">
    <w:abstractNumId w:val="11"/>
  </w:num>
  <w:num w:numId="10" w16cid:durableId="428696130">
    <w:abstractNumId w:val="0"/>
  </w:num>
  <w:num w:numId="11" w16cid:durableId="540174642">
    <w:abstractNumId w:val="3"/>
  </w:num>
  <w:num w:numId="12" w16cid:durableId="12862287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NDUysjSwNDMzMTI3N7dU0lEKTi0uzszPAykwqgUAUDkViywAAAA="/>
  </w:docVars>
  <w:rsids>
    <w:rsidRoot w:val="00F67102"/>
    <w:rsid w:val="00025D5F"/>
    <w:rsid w:val="000457E2"/>
    <w:rsid w:val="000520CF"/>
    <w:rsid w:val="00083FAA"/>
    <w:rsid w:val="0012442F"/>
    <w:rsid w:val="001461CD"/>
    <w:rsid w:val="00184CC4"/>
    <w:rsid w:val="00197C78"/>
    <w:rsid w:val="00293E97"/>
    <w:rsid w:val="00327EB6"/>
    <w:rsid w:val="00344F7F"/>
    <w:rsid w:val="003A5B36"/>
    <w:rsid w:val="003B711F"/>
    <w:rsid w:val="004464EB"/>
    <w:rsid w:val="00456706"/>
    <w:rsid w:val="004715FD"/>
    <w:rsid w:val="004B674C"/>
    <w:rsid w:val="004D2E53"/>
    <w:rsid w:val="004F1C65"/>
    <w:rsid w:val="004F3939"/>
    <w:rsid w:val="005B6D5E"/>
    <w:rsid w:val="005E2E6B"/>
    <w:rsid w:val="00627498"/>
    <w:rsid w:val="006A0725"/>
    <w:rsid w:val="006A4A17"/>
    <w:rsid w:val="006A4B5E"/>
    <w:rsid w:val="006B02EF"/>
    <w:rsid w:val="006C1830"/>
    <w:rsid w:val="006C3677"/>
    <w:rsid w:val="006D42ED"/>
    <w:rsid w:val="006F391C"/>
    <w:rsid w:val="0079718C"/>
    <w:rsid w:val="007A0903"/>
    <w:rsid w:val="007A31CE"/>
    <w:rsid w:val="00817184"/>
    <w:rsid w:val="008705B6"/>
    <w:rsid w:val="00890836"/>
    <w:rsid w:val="00930853"/>
    <w:rsid w:val="00943BCA"/>
    <w:rsid w:val="00947B44"/>
    <w:rsid w:val="00962C6C"/>
    <w:rsid w:val="009817FD"/>
    <w:rsid w:val="009D777C"/>
    <w:rsid w:val="009E1DC1"/>
    <w:rsid w:val="00AA0D26"/>
    <w:rsid w:val="00AB4312"/>
    <w:rsid w:val="00B00C50"/>
    <w:rsid w:val="00B97145"/>
    <w:rsid w:val="00C217C6"/>
    <w:rsid w:val="00C26319"/>
    <w:rsid w:val="00C42537"/>
    <w:rsid w:val="00C54849"/>
    <w:rsid w:val="00C90C12"/>
    <w:rsid w:val="00C94FAB"/>
    <w:rsid w:val="00D10E34"/>
    <w:rsid w:val="00D254DF"/>
    <w:rsid w:val="00D30137"/>
    <w:rsid w:val="00DD0A08"/>
    <w:rsid w:val="00EA27E4"/>
    <w:rsid w:val="00ED18C0"/>
    <w:rsid w:val="00ED31CE"/>
    <w:rsid w:val="00F116F3"/>
    <w:rsid w:val="00F23C22"/>
    <w:rsid w:val="00F67102"/>
    <w:rsid w:val="00F861E5"/>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DC75BA"/>
  <w15:docId w15:val="{ED033571-68CE-403B-B4CD-D92650EDE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677"/>
  </w:style>
  <w:style w:type="paragraph" w:styleId="Heading1">
    <w:name w:val="heading 1"/>
    <w:basedOn w:val="Normal"/>
    <w:next w:val="Normal"/>
    <w:link w:val="Heading1Char"/>
    <w:uiPriority w:val="9"/>
    <w:qFormat/>
    <w:rsid w:val="00F671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671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6710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6710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6710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671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71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71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71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710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6710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6710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6710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6710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671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71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71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7102"/>
    <w:rPr>
      <w:rFonts w:eastAsiaTheme="majorEastAsia" w:cstheme="majorBidi"/>
      <w:color w:val="272727" w:themeColor="text1" w:themeTint="D8"/>
    </w:rPr>
  </w:style>
  <w:style w:type="paragraph" w:styleId="Title">
    <w:name w:val="Title"/>
    <w:basedOn w:val="Normal"/>
    <w:next w:val="Normal"/>
    <w:link w:val="TitleChar"/>
    <w:uiPriority w:val="10"/>
    <w:qFormat/>
    <w:rsid w:val="00F671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71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71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71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7102"/>
    <w:pPr>
      <w:spacing w:before="160"/>
      <w:jc w:val="center"/>
    </w:pPr>
    <w:rPr>
      <w:i/>
      <w:iCs/>
      <w:color w:val="404040" w:themeColor="text1" w:themeTint="BF"/>
    </w:rPr>
  </w:style>
  <w:style w:type="character" w:customStyle="1" w:styleId="QuoteChar">
    <w:name w:val="Quote Char"/>
    <w:basedOn w:val="DefaultParagraphFont"/>
    <w:link w:val="Quote"/>
    <w:uiPriority w:val="29"/>
    <w:rsid w:val="00F67102"/>
    <w:rPr>
      <w:i/>
      <w:iCs/>
      <w:color w:val="404040" w:themeColor="text1" w:themeTint="BF"/>
    </w:rPr>
  </w:style>
  <w:style w:type="paragraph" w:styleId="ListParagraph">
    <w:name w:val="List Paragraph"/>
    <w:basedOn w:val="Normal"/>
    <w:uiPriority w:val="34"/>
    <w:qFormat/>
    <w:rsid w:val="00F67102"/>
    <w:pPr>
      <w:ind w:left="720"/>
      <w:contextualSpacing/>
    </w:pPr>
  </w:style>
  <w:style w:type="character" w:styleId="IntenseEmphasis">
    <w:name w:val="Intense Emphasis"/>
    <w:basedOn w:val="DefaultParagraphFont"/>
    <w:uiPriority w:val="21"/>
    <w:qFormat/>
    <w:rsid w:val="00F67102"/>
    <w:rPr>
      <w:i/>
      <w:iCs/>
      <w:color w:val="2F5496" w:themeColor="accent1" w:themeShade="BF"/>
    </w:rPr>
  </w:style>
  <w:style w:type="paragraph" w:styleId="IntenseQuote">
    <w:name w:val="Intense Quote"/>
    <w:basedOn w:val="Normal"/>
    <w:next w:val="Normal"/>
    <w:link w:val="IntenseQuoteChar"/>
    <w:uiPriority w:val="30"/>
    <w:qFormat/>
    <w:rsid w:val="00F671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67102"/>
    <w:rPr>
      <w:i/>
      <w:iCs/>
      <w:color w:val="2F5496" w:themeColor="accent1" w:themeShade="BF"/>
    </w:rPr>
  </w:style>
  <w:style w:type="character" w:styleId="IntenseReference">
    <w:name w:val="Intense Reference"/>
    <w:basedOn w:val="DefaultParagraphFont"/>
    <w:uiPriority w:val="32"/>
    <w:qFormat/>
    <w:rsid w:val="00F67102"/>
    <w:rPr>
      <w:b/>
      <w:bCs/>
      <w:smallCaps/>
      <w:color w:val="2F5496" w:themeColor="accent1" w:themeShade="BF"/>
      <w:spacing w:val="5"/>
    </w:rPr>
  </w:style>
  <w:style w:type="character" w:styleId="Hyperlink">
    <w:name w:val="Hyperlink"/>
    <w:basedOn w:val="DefaultParagraphFont"/>
    <w:uiPriority w:val="99"/>
    <w:unhideWhenUsed/>
    <w:rsid w:val="00EA27E4"/>
    <w:rPr>
      <w:color w:val="0563C1" w:themeColor="hyperlink"/>
      <w:u w:val="single"/>
    </w:rPr>
  </w:style>
  <w:style w:type="character" w:styleId="UnresolvedMention">
    <w:name w:val="Unresolved Mention"/>
    <w:basedOn w:val="DefaultParagraphFont"/>
    <w:uiPriority w:val="99"/>
    <w:semiHidden/>
    <w:unhideWhenUsed/>
    <w:rsid w:val="00EA27E4"/>
    <w:rPr>
      <w:color w:val="605E5C"/>
      <w:shd w:val="clear" w:color="auto" w:fill="E1DFDD"/>
    </w:rPr>
  </w:style>
  <w:style w:type="paragraph" w:styleId="Header">
    <w:name w:val="header"/>
    <w:basedOn w:val="Normal"/>
    <w:link w:val="HeaderChar"/>
    <w:uiPriority w:val="99"/>
    <w:unhideWhenUsed/>
    <w:rsid w:val="00F116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16F3"/>
  </w:style>
  <w:style w:type="paragraph" w:styleId="Footer">
    <w:name w:val="footer"/>
    <w:basedOn w:val="Normal"/>
    <w:link w:val="FooterChar"/>
    <w:uiPriority w:val="99"/>
    <w:unhideWhenUsed/>
    <w:rsid w:val="00F116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16F3"/>
  </w:style>
  <w:style w:type="paragraph" w:styleId="Revision">
    <w:name w:val="Revision"/>
    <w:hidden/>
    <w:uiPriority w:val="99"/>
    <w:semiHidden/>
    <w:rsid w:val="005B6D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465134">
      <w:bodyDiv w:val="1"/>
      <w:marLeft w:val="0"/>
      <w:marRight w:val="0"/>
      <w:marTop w:val="0"/>
      <w:marBottom w:val="0"/>
      <w:divBdr>
        <w:top w:val="none" w:sz="0" w:space="0" w:color="auto"/>
        <w:left w:val="none" w:sz="0" w:space="0" w:color="auto"/>
        <w:bottom w:val="none" w:sz="0" w:space="0" w:color="auto"/>
        <w:right w:val="none" w:sz="0" w:space="0" w:color="auto"/>
      </w:divBdr>
    </w:div>
    <w:div w:id="442380850">
      <w:bodyDiv w:val="1"/>
      <w:marLeft w:val="0"/>
      <w:marRight w:val="0"/>
      <w:marTop w:val="0"/>
      <w:marBottom w:val="0"/>
      <w:divBdr>
        <w:top w:val="none" w:sz="0" w:space="0" w:color="auto"/>
        <w:left w:val="none" w:sz="0" w:space="0" w:color="auto"/>
        <w:bottom w:val="none" w:sz="0" w:space="0" w:color="auto"/>
        <w:right w:val="none" w:sz="0" w:space="0" w:color="auto"/>
      </w:divBdr>
    </w:div>
    <w:div w:id="705985932">
      <w:bodyDiv w:val="1"/>
      <w:marLeft w:val="0"/>
      <w:marRight w:val="0"/>
      <w:marTop w:val="0"/>
      <w:marBottom w:val="0"/>
      <w:divBdr>
        <w:top w:val="none" w:sz="0" w:space="0" w:color="auto"/>
        <w:left w:val="none" w:sz="0" w:space="0" w:color="auto"/>
        <w:bottom w:val="none" w:sz="0" w:space="0" w:color="auto"/>
        <w:right w:val="none" w:sz="0" w:space="0" w:color="auto"/>
      </w:divBdr>
    </w:div>
    <w:div w:id="770005767">
      <w:bodyDiv w:val="1"/>
      <w:marLeft w:val="0"/>
      <w:marRight w:val="0"/>
      <w:marTop w:val="0"/>
      <w:marBottom w:val="0"/>
      <w:divBdr>
        <w:top w:val="none" w:sz="0" w:space="0" w:color="auto"/>
        <w:left w:val="none" w:sz="0" w:space="0" w:color="auto"/>
        <w:bottom w:val="none" w:sz="0" w:space="0" w:color="auto"/>
        <w:right w:val="none" w:sz="0" w:space="0" w:color="auto"/>
      </w:divBdr>
    </w:div>
    <w:div w:id="892501275">
      <w:bodyDiv w:val="1"/>
      <w:marLeft w:val="0"/>
      <w:marRight w:val="0"/>
      <w:marTop w:val="0"/>
      <w:marBottom w:val="0"/>
      <w:divBdr>
        <w:top w:val="none" w:sz="0" w:space="0" w:color="auto"/>
        <w:left w:val="none" w:sz="0" w:space="0" w:color="auto"/>
        <w:bottom w:val="none" w:sz="0" w:space="0" w:color="auto"/>
        <w:right w:val="none" w:sz="0" w:space="0" w:color="auto"/>
      </w:divBdr>
    </w:div>
    <w:div w:id="1041322200">
      <w:bodyDiv w:val="1"/>
      <w:marLeft w:val="0"/>
      <w:marRight w:val="0"/>
      <w:marTop w:val="0"/>
      <w:marBottom w:val="0"/>
      <w:divBdr>
        <w:top w:val="none" w:sz="0" w:space="0" w:color="auto"/>
        <w:left w:val="none" w:sz="0" w:space="0" w:color="auto"/>
        <w:bottom w:val="none" w:sz="0" w:space="0" w:color="auto"/>
        <w:right w:val="none" w:sz="0" w:space="0" w:color="auto"/>
      </w:divBdr>
    </w:div>
    <w:div w:id="1046414790">
      <w:bodyDiv w:val="1"/>
      <w:marLeft w:val="0"/>
      <w:marRight w:val="0"/>
      <w:marTop w:val="0"/>
      <w:marBottom w:val="0"/>
      <w:divBdr>
        <w:top w:val="none" w:sz="0" w:space="0" w:color="auto"/>
        <w:left w:val="none" w:sz="0" w:space="0" w:color="auto"/>
        <w:bottom w:val="none" w:sz="0" w:space="0" w:color="auto"/>
        <w:right w:val="none" w:sz="0" w:space="0" w:color="auto"/>
      </w:divBdr>
    </w:div>
    <w:div w:id="1142773583">
      <w:bodyDiv w:val="1"/>
      <w:marLeft w:val="0"/>
      <w:marRight w:val="0"/>
      <w:marTop w:val="0"/>
      <w:marBottom w:val="0"/>
      <w:divBdr>
        <w:top w:val="none" w:sz="0" w:space="0" w:color="auto"/>
        <w:left w:val="none" w:sz="0" w:space="0" w:color="auto"/>
        <w:bottom w:val="none" w:sz="0" w:space="0" w:color="auto"/>
        <w:right w:val="none" w:sz="0" w:space="0" w:color="auto"/>
      </w:divBdr>
    </w:div>
    <w:div w:id="1187674752">
      <w:bodyDiv w:val="1"/>
      <w:marLeft w:val="0"/>
      <w:marRight w:val="0"/>
      <w:marTop w:val="0"/>
      <w:marBottom w:val="0"/>
      <w:divBdr>
        <w:top w:val="none" w:sz="0" w:space="0" w:color="auto"/>
        <w:left w:val="none" w:sz="0" w:space="0" w:color="auto"/>
        <w:bottom w:val="none" w:sz="0" w:space="0" w:color="auto"/>
        <w:right w:val="none" w:sz="0" w:space="0" w:color="auto"/>
      </w:divBdr>
    </w:div>
    <w:div w:id="1355350808">
      <w:bodyDiv w:val="1"/>
      <w:marLeft w:val="0"/>
      <w:marRight w:val="0"/>
      <w:marTop w:val="0"/>
      <w:marBottom w:val="0"/>
      <w:divBdr>
        <w:top w:val="none" w:sz="0" w:space="0" w:color="auto"/>
        <w:left w:val="none" w:sz="0" w:space="0" w:color="auto"/>
        <w:bottom w:val="none" w:sz="0" w:space="0" w:color="auto"/>
        <w:right w:val="none" w:sz="0" w:space="0" w:color="auto"/>
      </w:divBdr>
    </w:div>
    <w:div w:id="1419013423">
      <w:bodyDiv w:val="1"/>
      <w:marLeft w:val="0"/>
      <w:marRight w:val="0"/>
      <w:marTop w:val="0"/>
      <w:marBottom w:val="0"/>
      <w:divBdr>
        <w:top w:val="none" w:sz="0" w:space="0" w:color="auto"/>
        <w:left w:val="none" w:sz="0" w:space="0" w:color="auto"/>
        <w:bottom w:val="none" w:sz="0" w:space="0" w:color="auto"/>
        <w:right w:val="none" w:sz="0" w:space="0" w:color="auto"/>
      </w:divBdr>
    </w:div>
    <w:div w:id="1869953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11</Pages>
  <Words>5946</Words>
  <Characters>37758</Characters>
  <Application>Microsoft Office Word</Application>
  <DocSecurity>0</DocSecurity>
  <Lines>503</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Admin</dc:creator>
  <cp:lastModifiedBy>Editor-17</cp:lastModifiedBy>
  <cp:revision>33</cp:revision>
  <dcterms:created xsi:type="dcterms:W3CDTF">2025-06-11T19:50:00Z</dcterms:created>
  <dcterms:modified xsi:type="dcterms:W3CDTF">2025-06-24T09:45:00Z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17792daf-94d4-4b94-9d5b-3b215189f112</vt:lpwstr>
  </property>
</Properties>
</file>