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6B34D" w14:textId="77777777" w:rsidR="005500F3" w:rsidRPr="006A79C5" w:rsidRDefault="005500F3" w:rsidP="005974D1">
      <w:pPr>
        <w:shd w:val="clear" w:color="auto" w:fill="FFFFFF"/>
        <w:spacing w:before="206" w:after="206" w:line="240" w:lineRule="auto"/>
        <w:jc w:val="center"/>
        <w:rPr>
          <w:rFonts w:ascii="Arial" w:eastAsia="Times New Roman" w:hAnsi="Arial" w:cs="Arial"/>
          <w:b/>
          <w:bCs/>
          <w:i/>
          <w:sz w:val="36"/>
          <w:szCs w:val="36"/>
          <w:u w:val="single"/>
          <w:lang w:eastAsia="en-IN"/>
        </w:rPr>
      </w:pPr>
      <w:r w:rsidRPr="006A79C5">
        <w:rPr>
          <w:rFonts w:ascii="Arial" w:eastAsia="Times New Roman" w:hAnsi="Arial" w:cs="Arial"/>
          <w:b/>
          <w:bCs/>
          <w:i/>
          <w:sz w:val="36"/>
          <w:szCs w:val="36"/>
          <w:u w:val="single"/>
          <w:lang w:eastAsia="en-IN"/>
        </w:rPr>
        <w:t xml:space="preserve">Original Research Article </w:t>
      </w:r>
    </w:p>
    <w:p w14:paraId="189F366E" w14:textId="68652DB0" w:rsidR="00B0740B" w:rsidRPr="006A79C5" w:rsidRDefault="00B0740B" w:rsidP="005974D1">
      <w:pPr>
        <w:shd w:val="clear" w:color="auto" w:fill="FFFFFF"/>
        <w:spacing w:before="206" w:after="206" w:line="240" w:lineRule="auto"/>
        <w:jc w:val="center"/>
        <w:rPr>
          <w:rFonts w:ascii="Arial" w:eastAsia="Times New Roman" w:hAnsi="Arial" w:cs="Arial"/>
          <w:b/>
          <w:bCs/>
          <w:sz w:val="36"/>
          <w:szCs w:val="36"/>
          <w:lang w:eastAsia="en-IN"/>
        </w:rPr>
      </w:pPr>
      <w:r w:rsidRPr="006A79C5">
        <w:rPr>
          <w:rFonts w:ascii="Arial" w:eastAsia="Times New Roman" w:hAnsi="Arial" w:cs="Arial"/>
          <w:b/>
          <w:bCs/>
          <w:sz w:val="36"/>
          <w:szCs w:val="36"/>
          <w:lang w:eastAsia="en-IN"/>
        </w:rPr>
        <w:t xml:space="preserve">Phytotoxic Effects of Neem Oil </w:t>
      </w:r>
      <w:proofErr w:type="spellStart"/>
      <w:r w:rsidRPr="006A79C5">
        <w:rPr>
          <w:rFonts w:ascii="Arial" w:eastAsia="Times New Roman" w:hAnsi="Arial" w:cs="Arial"/>
          <w:b/>
          <w:bCs/>
          <w:sz w:val="36"/>
          <w:szCs w:val="36"/>
          <w:lang w:eastAsia="en-IN"/>
        </w:rPr>
        <w:t>Nanoemulsion</w:t>
      </w:r>
      <w:proofErr w:type="spellEnd"/>
      <w:r w:rsidRPr="006A79C5">
        <w:rPr>
          <w:rFonts w:ascii="Arial" w:eastAsia="Times New Roman" w:hAnsi="Arial" w:cs="Arial"/>
          <w:b/>
          <w:bCs/>
          <w:sz w:val="36"/>
          <w:szCs w:val="36"/>
          <w:lang w:eastAsia="en-IN"/>
        </w:rPr>
        <w:t xml:space="preserve"> on Maize (</w:t>
      </w:r>
      <w:proofErr w:type="spellStart"/>
      <w:r w:rsidRPr="006A79C5">
        <w:rPr>
          <w:rFonts w:ascii="Arial" w:eastAsia="Times New Roman" w:hAnsi="Arial" w:cs="Arial"/>
          <w:b/>
          <w:bCs/>
          <w:i/>
          <w:sz w:val="36"/>
          <w:szCs w:val="36"/>
          <w:lang w:eastAsia="en-IN"/>
        </w:rPr>
        <w:t>Zea</w:t>
      </w:r>
      <w:proofErr w:type="spellEnd"/>
      <w:r w:rsidRPr="006A79C5">
        <w:rPr>
          <w:rFonts w:ascii="Arial" w:eastAsia="Times New Roman" w:hAnsi="Arial" w:cs="Arial"/>
          <w:b/>
          <w:bCs/>
          <w:i/>
          <w:sz w:val="36"/>
          <w:szCs w:val="36"/>
          <w:lang w:eastAsia="en-IN"/>
        </w:rPr>
        <w:t xml:space="preserve"> mays</w:t>
      </w:r>
      <w:r w:rsidRPr="006A79C5">
        <w:rPr>
          <w:rFonts w:ascii="Arial" w:eastAsia="Times New Roman" w:hAnsi="Arial" w:cs="Arial"/>
          <w:b/>
          <w:bCs/>
          <w:sz w:val="36"/>
          <w:szCs w:val="36"/>
          <w:lang w:eastAsia="en-IN"/>
        </w:rPr>
        <w:t xml:space="preserve"> L.) Seed Germination and Seedling Vigour</w:t>
      </w:r>
    </w:p>
    <w:p w14:paraId="510F5980" w14:textId="129A2B07" w:rsidR="00822BBF" w:rsidRPr="006A79C5" w:rsidRDefault="00822BBF" w:rsidP="005974D1">
      <w:pPr>
        <w:shd w:val="clear" w:color="auto" w:fill="FFFFFF"/>
        <w:spacing w:before="206" w:after="206" w:line="240" w:lineRule="auto"/>
        <w:jc w:val="center"/>
        <w:rPr>
          <w:rFonts w:ascii="Arial" w:eastAsia="Times New Roman" w:hAnsi="Arial" w:cs="Arial"/>
          <w:bCs/>
          <w:sz w:val="20"/>
          <w:szCs w:val="20"/>
          <w:lang w:eastAsia="en-IN"/>
        </w:rPr>
      </w:pPr>
    </w:p>
    <w:p w14:paraId="3F715C9F" w14:textId="77777777" w:rsidR="00C931A2" w:rsidRPr="006A79C5" w:rsidRDefault="00C931A2" w:rsidP="005974D1">
      <w:pPr>
        <w:shd w:val="clear" w:color="auto" w:fill="FFFFFF"/>
        <w:spacing w:before="206" w:after="206" w:line="240" w:lineRule="auto"/>
        <w:jc w:val="center"/>
        <w:rPr>
          <w:rFonts w:ascii="Arial" w:eastAsia="Times New Roman" w:hAnsi="Arial" w:cs="Arial"/>
          <w:bCs/>
          <w:sz w:val="20"/>
          <w:szCs w:val="20"/>
          <w:lang w:eastAsia="en-IN"/>
        </w:rPr>
      </w:pPr>
    </w:p>
    <w:p w14:paraId="25B1E626" w14:textId="77777777" w:rsidR="00822BBF" w:rsidRPr="006A79C5" w:rsidRDefault="00822BBF" w:rsidP="005974D1">
      <w:pPr>
        <w:shd w:val="clear" w:color="auto" w:fill="FFFFFF"/>
        <w:spacing w:before="206" w:after="206" w:line="240" w:lineRule="auto"/>
        <w:jc w:val="center"/>
        <w:rPr>
          <w:rFonts w:ascii="Arial" w:eastAsia="Times New Roman" w:hAnsi="Arial" w:cs="Arial"/>
          <w:bCs/>
          <w:sz w:val="20"/>
          <w:szCs w:val="20"/>
          <w:lang w:eastAsia="en-IN"/>
        </w:rPr>
      </w:pPr>
    </w:p>
    <w:p w14:paraId="3B9044F2" w14:textId="50031E55" w:rsidR="00B0740B" w:rsidRPr="006A79C5" w:rsidRDefault="004A07DD" w:rsidP="004A07DD">
      <w:pPr>
        <w:shd w:val="clear" w:color="auto" w:fill="FFFFFF"/>
        <w:spacing w:before="206" w:after="206" w:line="240" w:lineRule="auto"/>
        <w:rPr>
          <w:rFonts w:ascii="Arial" w:eastAsia="Times New Roman" w:hAnsi="Arial" w:cs="Arial"/>
          <w:lang w:eastAsia="en-IN"/>
        </w:rPr>
      </w:pPr>
      <w:r w:rsidRPr="006A79C5">
        <w:rPr>
          <w:rStyle w:val="Strong"/>
          <w:rFonts w:ascii="Arial" w:hAnsi="Arial" w:cs="Arial"/>
        </w:rPr>
        <w:t>ABSTRACT</w:t>
      </w:r>
    </w:p>
    <w:p w14:paraId="0BE6B5C0" w14:textId="77777777" w:rsidR="00CD2D5A" w:rsidRPr="006A79C5" w:rsidRDefault="00CD2D5A" w:rsidP="00CD2D5A">
      <w:pPr>
        <w:pStyle w:val="NormalWeb"/>
        <w:jc w:val="both"/>
        <w:rPr>
          <w:rFonts w:ascii="Arial" w:hAnsi="Arial" w:cs="Arial"/>
          <w:bCs/>
          <w:sz w:val="20"/>
          <w:szCs w:val="20"/>
        </w:rPr>
      </w:pPr>
      <w:r w:rsidRPr="006A79C5">
        <w:rPr>
          <w:rFonts w:ascii="Arial" w:hAnsi="Arial" w:cs="Arial"/>
          <w:b/>
          <w:sz w:val="20"/>
          <w:szCs w:val="20"/>
          <w:highlight w:val="yellow"/>
        </w:rPr>
        <w:t xml:space="preserve">Aim: </w:t>
      </w:r>
      <w:r w:rsidRPr="006A79C5">
        <w:rPr>
          <w:rFonts w:ascii="Arial" w:hAnsi="Arial" w:cs="Arial"/>
          <w:bCs/>
          <w:sz w:val="20"/>
          <w:szCs w:val="20"/>
          <w:highlight w:val="yellow"/>
        </w:rPr>
        <w:t xml:space="preserve">This study aimed to develop a stable, eco-friendly antifungal seed treatment using neem oil </w:t>
      </w:r>
      <w:proofErr w:type="spellStart"/>
      <w:r w:rsidRPr="006A79C5">
        <w:rPr>
          <w:rFonts w:ascii="Arial" w:hAnsi="Arial" w:cs="Arial"/>
          <w:bCs/>
          <w:sz w:val="20"/>
          <w:szCs w:val="20"/>
          <w:highlight w:val="yellow"/>
        </w:rPr>
        <w:t>nanoemulsion</w:t>
      </w:r>
      <w:proofErr w:type="spellEnd"/>
      <w:r w:rsidRPr="006A79C5">
        <w:rPr>
          <w:rFonts w:ascii="Arial" w:hAnsi="Arial" w:cs="Arial"/>
          <w:bCs/>
          <w:sz w:val="20"/>
          <w:szCs w:val="20"/>
          <w:highlight w:val="yellow"/>
        </w:rPr>
        <w:t xml:space="preserve"> (NON) enhanced with green-synthesised silver nanoparticles (</w:t>
      </w:r>
      <w:proofErr w:type="spellStart"/>
      <w:r w:rsidRPr="006A79C5">
        <w:rPr>
          <w:rFonts w:ascii="Arial" w:hAnsi="Arial" w:cs="Arial"/>
          <w:bCs/>
          <w:sz w:val="20"/>
          <w:szCs w:val="20"/>
          <w:highlight w:val="yellow"/>
        </w:rPr>
        <w:t>AgNPs</w:t>
      </w:r>
      <w:proofErr w:type="spellEnd"/>
      <w:r w:rsidRPr="006A79C5">
        <w:rPr>
          <w:rFonts w:ascii="Arial" w:hAnsi="Arial" w:cs="Arial"/>
          <w:bCs/>
          <w:sz w:val="20"/>
          <w:szCs w:val="20"/>
          <w:highlight w:val="yellow"/>
        </w:rPr>
        <w:t xml:space="preserve">) derived from </w:t>
      </w:r>
      <w:r w:rsidRPr="006A79C5">
        <w:rPr>
          <w:rFonts w:ascii="Arial" w:hAnsi="Arial" w:cs="Arial"/>
          <w:bCs/>
          <w:i/>
          <w:sz w:val="20"/>
          <w:szCs w:val="20"/>
          <w:highlight w:val="yellow"/>
        </w:rPr>
        <w:t xml:space="preserve">Terminalia </w:t>
      </w:r>
      <w:proofErr w:type="spellStart"/>
      <w:r w:rsidRPr="006A79C5">
        <w:rPr>
          <w:rFonts w:ascii="Arial" w:hAnsi="Arial" w:cs="Arial"/>
          <w:bCs/>
          <w:i/>
          <w:sz w:val="20"/>
          <w:szCs w:val="20"/>
          <w:highlight w:val="yellow"/>
        </w:rPr>
        <w:t>cattapa</w:t>
      </w:r>
      <w:proofErr w:type="spellEnd"/>
      <w:r w:rsidRPr="006A79C5">
        <w:rPr>
          <w:rFonts w:ascii="Arial" w:hAnsi="Arial" w:cs="Arial"/>
          <w:bCs/>
          <w:sz w:val="20"/>
          <w:szCs w:val="20"/>
          <w:highlight w:val="yellow"/>
        </w:rPr>
        <w:t xml:space="preserve"> leaf extract. The </w:t>
      </w:r>
      <w:proofErr w:type="gramStart"/>
      <w:r w:rsidRPr="006A79C5">
        <w:rPr>
          <w:rFonts w:ascii="Arial" w:hAnsi="Arial" w:cs="Arial"/>
          <w:bCs/>
          <w:sz w:val="20"/>
          <w:szCs w:val="20"/>
          <w:highlight w:val="yellow"/>
        </w:rPr>
        <w:t>NON was</w:t>
      </w:r>
      <w:proofErr w:type="gramEnd"/>
      <w:r w:rsidRPr="006A79C5">
        <w:rPr>
          <w:rFonts w:ascii="Arial" w:hAnsi="Arial" w:cs="Arial"/>
          <w:bCs/>
          <w:sz w:val="20"/>
          <w:szCs w:val="20"/>
          <w:highlight w:val="yellow"/>
        </w:rPr>
        <w:t xml:space="preserve"> characterised by a mean particle size of 44.58 nm and a polydispersity index (PDI) of 0.945, indicating high stability.</w:t>
      </w:r>
    </w:p>
    <w:p w14:paraId="76ACC531" w14:textId="329D49DE" w:rsidR="004A07DD" w:rsidRPr="006A79C5" w:rsidRDefault="004A07DD" w:rsidP="004A07DD">
      <w:pPr>
        <w:pStyle w:val="NormalWeb"/>
        <w:jc w:val="both"/>
        <w:rPr>
          <w:rFonts w:ascii="Arial" w:hAnsi="Arial" w:cs="Arial"/>
          <w:sz w:val="20"/>
          <w:szCs w:val="20"/>
        </w:rPr>
      </w:pPr>
      <w:r w:rsidRPr="006A79C5">
        <w:rPr>
          <w:rFonts w:ascii="Arial" w:hAnsi="Arial" w:cs="Arial"/>
          <w:b/>
          <w:sz w:val="20"/>
          <w:szCs w:val="20"/>
        </w:rPr>
        <w:t>Study Design</w:t>
      </w:r>
      <w:r w:rsidRPr="006A79C5">
        <w:rPr>
          <w:rFonts w:ascii="Arial" w:hAnsi="Arial" w:cs="Arial"/>
          <w:sz w:val="20"/>
          <w:szCs w:val="20"/>
        </w:rPr>
        <w:t>:</w:t>
      </w:r>
      <w:r w:rsidR="00441DCC" w:rsidRPr="006A79C5">
        <w:rPr>
          <w:rFonts w:ascii="Arial" w:hAnsi="Arial" w:cs="Arial"/>
          <w:sz w:val="20"/>
          <w:szCs w:val="20"/>
        </w:rPr>
        <w:t xml:space="preserve"> </w:t>
      </w:r>
      <w:r w:rsidR="003B2BD5" w:rsidRPr="006A79C5">
        <w:rPr>
          <w:rFonts w:ascii="Arial" w:hAnsi="Arial" w:cs="Arial"/>
          <w:sz w:val="20"/>
          <w:szCs w:val="20"/>
        </w:rPr>
        <w:t>Ex</w:t>
      </w:r>
      <w:r w:rsidR="0066715E" w:rsidRPr="006A79C5">
        <w:rPr>
          <w:rFonts w:ascii="Arial" w:hAnsi="Arial" w:cs="Arial"/>
          <w:sz w:val="20"/>
          <w:szCs w:val="20"/>
        </w:rPr>
        <w:t>perimental Laboratory Study</w:t>
      </w:r>
    </w:p>
    <w:p w14:paraId="20F1310D" w14:textId="213B7F11" w:rsidR="004A07DD" w:rsidRPr="006A79C5" w:rsidRDefault="004A07DD" w:rsidP="00E6058D">
      <w:pPr>
        <w:shd w:val="clear" w:color="auto" w:fill="FFFFFF"/>
        <w:spacing w:before="100" w:beforeAutospacing="1" w:after="100" w:afterAutospacing="1" w:line="240" w:lineRule="auto"/>
        <w:jc w:val="both"/>
        <w:rPr>
          <w:rFonts w:ascii="Arial" w:eastAsia="Times New Roman" w:hAnsi="Arial" w:cs="Arial"/>
          <w:bCs/>
          <w:color w:val="000000" w:themeColor="text1"/>
          <w:sz w:val="20"/>
          <w:szCs w:val="20"/>
        </w:rPr>
      </w:pPr>
      <w:r w:rsidRPr="006A79C5">
        <w:rPr>
          <w:rFonts w:ascii="Arial" w:hAnsi="Arial" w:cs="Arial"/>
          <w:b/>
          <w:sz w:val="20"/>
          <w:szCs w:val="20"/>
        </w:rPr>
        <w:t>Place and duration of study</w:t>
      </w:r>
      <w:r w:rsidRPr="006A79C5">
        <w:rPr>
          <w:rFonts w:ascii="Arial" w:hAnsi="Arial" w:cs="Arial"/>
          <w:sz w:val="20"/>
          <w:szCs w:val="20"/>
        </w:rPr>
        <w:t>:</w:t>
      </w:r>
      <w:r w:rsidR="00AB3402" w:rsidRPr="006A79C5">
        <w:rPr>
          <w:rFonts w:ascii="Arial" w:hAnsi="Arial" w:cs="Arial"/>
          <w:sz w:val="20"/>
          <w:szCs w:val="20"/>
        </w:rPr>
        <w:t xml:space="preserve"> </w:t>
      </w:r>
      <w:r w:rsidR="006719F2" w:rsidRPr="006A79C5">
        <w:rPr>
          <w:rFonts w:ascii="Arial" w:hAnsi="Arial" w:cs="Arial"/>
          <w:sz w:val="20"/>
          <w:szCs w:val="20"/>
        </w:rPr>
        <w:t xml:space="preserve">Department of Crop Protection, Faculty of Agriculture, </w:t>
      </w:r>
      <w:r w:rsidR="00AB3402" w:rsidRPr="006A79C5">
        <w:rPr>
          <w:rFonts w:ascii="Arial" w:hAnsi="Arial" w:cs="Arial"/>
          <w:sz w:val="20"/>
          <w:szCs w:val="20"/>
        </w:rPr>
        <w:t>University of Abuja</w:t>
      </w:r>
      <w:r w:rsidR="006719F2" w:rsidRPr="006A79C5">
        <w:rPr>
          <w:rFonts w:ascii="Arial" w:hAnsi="Arial" w:cs="Arial"/>
          <w:sz w:val="20"/>
          <w:szCs w:val="20"/>
        </w:rPr>
        <w:t xml:space="preserve">, and </w:t>
      </w:r>
      <w:r w:rsidR="006719F2" w:rsidRPr="006A79C5">
        <w:rPr>
          <w:rFonts w:ascii="Arial" w:eastAsia="Times New Roman" w:hAnsi="Arial" w:cs="Arial"/>
          <w:bCs/>
          <w:color w:val="000000" w:themeColor="text1"/>
          <w:sz w:val="20"/>
          <w:szCs w:val="20"/>
        </w:rPr>
        <w:t xml:space="preserve">Centre for Genetic Engineering and Biotechnology, Federal University of Technology, Minna. Nigeria, between </w:t>
      </w:r>
      <w:r w:rsidR="00441DCC" w:rsidRPr="006A79C5">
        <w:rPr>
          <w:rFonts w:ascii="Arial" w:eastAsia="Times New Roman" w:hAnsi="Arial" w:cs="Arial"/>
          <w:bCs/>
          <w:color w:val="000000" w:themeColor="text1"/>
          <w:sz w:val="20"/>
          <w:szCs w:val="20"/>
        </w:rPr>
        <w:t>September and November 2024.</w:t>
      </w:r>
    </w:p>
    <w:p w14:paraId="158685AB" w14:textId="000FA90C" w:rsidR="00F05A32" w:rsidRPr="006A79C5" w:rsidRDefault="00CD2D5A" w:rsidP="00F05A32">
      <w:pPr>
        <w:pStyle w:val="NormalWeb"/>
        <w:jc w:val="both"/>
        <w:rPr>
          <w:rFonts w:ascii="Arial" w:hAnsi="Arial" w:cs="Arial"/>
          <w:bCs/>
          <w:sz w:val="20"/>
          <w:szCs w:val="20"/>
        </w:rPr>
      </w:pPr>
      <w:r w:rsidRPr="006A79C5">
        <w:rPr>
          <w:rFonts w:ascii="Arial" w:hAnsi="Arial" w:cs="Arial"/>
          <w:b/>
          <w:sz w:val="20"/>
          <w:szCs w:val="20"/>
          <w:highlight w:val="yellow"/>
        </w:rPr>
        <w:t xml:space="preserve">Methodology: </w:t>
      </w:r>
      <w:r w:rsidR="00CF1B89" w:rsidRPr="006A79C5">
        <w:rPr>
          <w:rFonts w:ascii="Arial" w:hAnsi="Arial" w:cs="Arial"/>
          <w:sz w:val="20"/>
          <w:szCs w:val="20"/>
          <w:highlight w:val="yellow"/>
        </w:rPr>
        <w:t xml:space="preserve">Neem oil </w:t>
      </w:r>
      <w:proofErr w:type="spellStart"/>
      <w:r w:rsidR="00CF1B89" w:rsidRPr="006A79C5">
        <w:rPr>
          <w:rFonts w:ascii="Arial" w:hAnsi="Arial" w:cs="Arial"/>
          <w:sz w:val="20"/>
          <w:szCs w:val="20"/>
          <w:highlight w:val="yellow"/>
        </w:rPr>
        <w:t>nanoemulsion</w:t>
      </w:r>
      <w:proofErr w:type="spellEnd"/>
      <w:r w:rsidR="00CF1B89" w:rsidRPr="006A79C5">
        <w:rPr>
          <w:rFonts w:ascii="Arial" w:hAnsi="Arial" w:cs="Arial"/>
          <w:b/>
          <w:sz w:val="20"/>
          <w:szCs w:val="20"/>
          <w:highlight w:val="yellow"/>
        </w:rPr>
        <w:t xml:space="preserve"> (</w:t>
      </w:r>
      <w:r w:rsidR="00F05A32" w:rsidRPr="006A79C5">
        <w:rPr>
          <w:rFonts w:ascii="Arial" w:hAnsi="Arial" w:cs="Arial"/>
          <w:bCs/>
          <w:sz w:val="20"/>
          <w:szCs w:val="20"/>
          <w:highlight w:val="yellow"/>
        </w:rPr>
        <w:t>NON</w:t>
      </w:r>
      <w:r w:rsidR="00CF1B89" w:rsidRPr="006A79C5">
        <w:rPr>
          <w:rFonts w:ascii="Arial" w:hAnsi="Arial" w:cs="Arial"/>
          <w:bCs/>
          <w:sz w:val="20"/>
          <w:szCs w:val="20"/>
          <w:highlight w:val="yellow"/>
        </w:rPr>
        <w:t>)</w:t>
      </w:r>
      <w:r w:rsidR="00F05A32" w:rsidRPr="006A79C5">
        <w:rPr>
          <w:rFonts w:ascii="Arial" w:hAnsi="Arial" w:cs="Arial"/>
          <w:bCs/>
          <w:sz w:val="20"/>
          <w:szCs w:val="20"/>
          <w:highlight w:val="yellow"/>
        </w:rPr>
        <w:t xml:space="preserve"> achieved 100% fungal growth inhibition at all tested concentrations (600–1000 mg/mL), with identical inhibition zones (34.00 ± 0.50 mm; p &gt; 0.05), suggesting a saturation effect at the lowest tested dose. Low concentrations (6.25–25 mg/mL) significantly enhanced germination (94.4–100%; p &lt; 0.05) and vigour index (0.52–0.60), while higher concentrations (50–100 mg/mL) suppressed germination (≤77.8%) and induced phytotoxicity. Antioxidant assays showed superior radical scavenging activity (DPPH: 80.12%; FRAP: 86.59%) compared to raw neem oil.</w:t>
      </w:r>
    </w:p>
    <w:p w14:paraId="42982561" w14:textId="4346FDE1" w:rsidR="00444E28" w:rsidRPr="006A79C5" w:rsidRDefault="00444E28" w:rsidP="004A07DD">
      <w:pPr>
        <w:pStyle w:val="NormalWeb"/>
        <w:jc w:val="both"/>
        <w:rPr>
          <w:rFonts w:ascii="Arial" w:hAnsi="Arial" w:cs="Arial"/>
          <w:sz w:val="20"/>
          <w:szCs w:val="20"/>
        </w:rPr>
      </w:pPr>
      <w:r w:rsidRPr="006A79C5">
        <w:rPr>
          <w:rFonts w:ascii="Arial" w:hAnsi="Arial" w:cs="Arial"/>
          <w:b/>
          <w:sz w:val="20"/>
          <w:szCs w:val="20"/>
          <w:highlight w:val="yellow"/>
        </w:rPr>
        <w:t>Result</w:t>
      </w:r>
      <w:r w:rsidRPr="006A79C5">
        <w:rPr>
          <w:rFonts w:ascii="Arial" w:hAnsi="Arial" w:cs="Arial"/>
          <w:sz w:val="20"/>
          <w:szCs w:val="20"/>
          <w:highlight w:val="yellow"/>
        </w:rPr>
        <w:t xml:space="preserve">: </w:t>
      </w:r>
      <w:r w:rsidR="00E91D21" w:rsidRPr="006A79C5">
        <w:rPr>
          <w:rFonts w:ascii="Arial" w:hAnsi="Arial" w:cs="Arial"/>
          <w:sz w:val="20"/>
          <w:szCs w:val="20"/>
          <w:highlight w:val="yellow"/>
        </w:rPr>
        <w:t xml:space="preserve">Agar well diffusion assays </w:t>
      </w:r>
      <w:r w:rsidRPr="006A79C5">
        <w:rPr>
          <w:rFonts w:ascii="Arial" w:hAnsi="Arial" w:cs="Arial"/>
          <w:sz w:val="20"/>
          <w:szCs w:val="20"/>
          <w:highlight w:val="yellow"/>
        </w:rPr>
        <w:t>demonstrated complete fungal growth inhibition (100%) across concentrations of 600–1000 mg/mL,</w:t>
      </w:r>
      <w:r w:rsidR="00E91D21" w:rsidRPr="006A79C5">
        <w:rPr>
          <w:rFonts w:ascii="Arial" w:hAnsi="Arial" w:cs="Arial"/>
          <w:sz w:val="20"/>
          <w:szCs w:val="20"/>
          <w:highlight w:val="yellow"/>
        </w:rPr>
        <w:t xml:space="preserve"> with consistent inhibition zones (34.00 ± 0.50 mm). Phytotoxicity assessments revealed that low NON doses (Ne6.25–Ne25 mg/mL) enhanced germination (94.4–100%) and seedling vigour, while higher doses (Ne50–Ne100 mg/mL) suppressed growth and reduced germination (≤77.8%). Antioxidant assays demonstrated superior radical scavenging activity (DPPH: 80.12%; FRAP: 86.59%) compared to raw neem oil.</w:t>
      </w:r>
      <w:r w:rsidR="00E91D21" w:rsidRPr="006A79C5">
        <w:rPr>
          <w:rFonts w:ascii="Arial" w:hAnsi="Arial" w:cs="Arial"/>
          <w:sz w:val="20"/>
          <w:szCs w:val="20"/>
        </w:rPr>
        <w:t xml:space="preserve"> </w:t>
      </w:r>
    </w:p>
    <w:p w14:paraId="75EEBBB8" w14:textId="77777777" w:rsidR="00CF1B89" w:rsidRPr="006A79C5" w:rsidRDefault="00444E28" w:rsidP="00CF1B89">
      <w:pPr>
        <w:pStyle w:val="NormalWeb"/>
        <w:jc w:val="both"/>
        <w:rPr>
          <w:rFonts w:ascii="Arial" w:hAnsi="Arial" w:cs="Arial"/>
          <w:bCs/>
          <w:sz w:val="20"/>
          <w:szCs w:val="20"/>
        </w:rPr>
      </w:pPr>
      <w:r w:rsidRPr="006A79C5">
        <w:rPr>
          <w:rFonts w:ascii="Arial" w:hAnsi="Arial" w:cs="Arial"/>
          <w:b/>
          <w:sz w:val="20"/>
          <w:szCs w:val="20"/>
          <w:highlight w:val="yellow"/>
        </w:rPr>
        <w:t>Conclusion</w:t>
      </w:r>
      <w:r w:rsidRPr="006A79C5">
        <w:rPr>
          <w:rFonts w:ascii="Arial" w:hAnsi="Arial" w:cs="Arial"/>
          <w:sz w:val="20"/>
          <w:szCs w:val="20"/>
          <w:highlight w:val="yellow"/>
        </w:rPr>
        <w:t xml:space="preserve">: </w:t>
      </w:r>
      <w:proofErr w:type="gramStart"/>
      <w:r w:rsidR="00CF1B89" w:rsidRPr="006A79C5">
        <w:rPr>
          <w:rFonts w:ascii="Arial" w:hAnsi="Arial" w:cs="Arial"/>
          <w:bCs/>
          <w:sz w:val="20"/>
          <w:szCs w:val="20"/>
          <w:highlight w:val="yellow"/>
        </w:rPr>
        <w:t>NON is</w:t>
      </w:r>
      <w:proofErr w:type="gramEnd"/>
      <w:r w:rsidR="00CF1B89" w:rsidRPr="006A79C5">
        <w:rPr>
          <w:rFonts w:ascii="Arial" w:hAnsi="Arial" w:cs="Arial"/>
          <w:bCs/>
          <w:sz w:val="20"/>
          <w:szCs w:val="20"/>
          <w:highlight w:val="yellow"/>
        </w:rPr>
        <w:t xml:space="preserve"> a promising sustainable alternative to synthetic fungicides, with dual benefits of pathogen suppression and growth stimulation at low doses. However, precise dose calibration is essential to avoid phytotoxic effects. Field validation, long-term stability testing, and environmental safety assessments are recommended.</w:t>
      </w:r>
    </w:p>
    <w:p w14:paraId="459E0F41" w14:textId="32796399" w:rsidR="00B0740B" w:rsidRPr="006A79C5" w:rsidRDefault="00B0740B" w:rsidP="00CF1B89">
      <w:pPr>
        <w:pStyle w:val="NormalWeb"/>
        <w:jc w:val="both"/>
        <w:rPr>
          <w:rFonts w:ascii="Arial" w:hAnsi="Arial" w:cs="Arial"/>
          <w:sz w:val="20"/>
          <w:szCs w:val="20"/>
        </w:rPr>
      </w:pPr>
      <w:r w:rsidRPr="006A79C5">
        <w:rPr>
          <w:rStyle w:val="Strong"/>
          <w:rFonts w:ascii="Arial" w:hAnsi="Arial" w:cs="Arial"/>
          <w:b w:val="0"/>
          <w:i/>
          <w:sz w:val="20"/>
          <w:szCs w:val="20"/>
        </w:rPr>
        <w:t>Keywords</w:t>
      </w:r>
      <w:r w:rsidRPr="006A79C5">
        <w:rPr>
          <w:rFonts w:ascii="Arial" w:hAnsi="Arial" w:cs="Arial"/>
          <w:b/>
          <w:i/>
          <w:sz w:val="20"/>
          <w:szCs w:val="20"/>
        </w:rPr>
        <w:t>:</w:t>
      </w:r>
      <w:r w:rsidRPr="006A79C5">
        <w:rPr>
          <w:rFonts w:ascii="Arial" w:hAnsi="Arial" w:cs="Arial"/>
          <w:sz w:val="20"/>
          <w:szCs w:val="20"/>
        </w:rPr>
        <w:t> </w:t>
      </w:r>
      <w:r w:rsidRPr="006A79C5">
        <w:rPr>
          <w:rStyle w:val="Emphasis"/>
          <w:rFonts w:ascii="Arial" w:hAnsi="Arial" w:cs="Arial"/>
          <w:sz w:val="20"/>
          <w:szCs w:val="20"/>
        </w:rPr>
        <w:t xml:space="preserve">Neem oil </w:t>
      </w:r>
      <w:proofErr w:type="spellStart"/>
      <w:r w:rsidRPr="006A79C5">
        <w:rPr>
          <w:rStyle w:val="Emphasis"/>
          <w:rFonts w:ascii="Arial" w:hAnsi="Arial" w:cs="Arial"/>
          <w:sz w:val="20"/>
          <w:szCs w:val="20"/>
        </w:rPr>
        <w:t>nanoemulsion</w:t>
      </w:r>
      <w:proofErr w:type="spellEnd"/>
      <w:r w:rsidRPr="006A79C5">
        <w:rPr>
          <w:rStyle w:val="Emphasis"/>
          <w:rFonts w:ascii="Arial" w:hAnsi="Arial" w:cs="Arial"/>
          <w:sz w:val="20"/>
          <w:szCs w:val="20"/>
        </w:rPr>
        <w:t>; seed-borne fungi; phytotoxicity; green sy</w:t>
      </w:r>
      <w:r w:rsidR="005B6B35" w:rsidRPr="006A79C5">
        <w:rPr>
          <w:rStyle w:val="Emphasis"/>
          <w:rFonts w:ascii="Arial" w:hAnsi="Arial" w:cs="Arial"/>
          <w:sz w:val="20"/>
          <w:szCs w:val="20"/>
        </w:rPr>
        <w:t>nthesis</w:t>
      </w:r>
    </w:p>
    <w:p w14:paraId="756C8707" w14:textId="5A447357" w:rsidR="0065623F" w:rsidRPr="006A79C5" w:rsidRDefault="0063237B" w:rsidP="005974D1">
      <w:pPr>
        <w:shd w:val="clear" w:color="auto" w:fill="FFFFFF"/>
        <w:spacing w:after="100" w:afterAutospacing="1" w:line="240" w:lineRule="auto"/>
        <w:jc w:val="both"/>
        <w:rPr>
          <w:rFonts w:ascii="Arial" w:eastAsia="Times New Roman" w:hAnsi="Arial" w:cs="Arial"/>
          <w:b/>
          <w:bCs/>
          <w:sz w:val="27"/>
          <w:szCs w:val="27"/>
          <w:lang w:eastAsia="en-IN"/>
        </w:rPr>
      </w:pPr>
      <w:r>
        <w:rPr>
          <w:rFonts w:ascii="Arial" w:eastAsia="Times New Roman" w:hAnsi="Arial" w:cs="Arial"/>
          <w:b/>
          <w:bCs/>
          <w:sz w:val="27"/>
          <w:szCs w:val="27"/>
          <w:lang w:eastAsia="en-IN"/>
        </w:rPr>
        <w:t xml:space="preserve">Introduction </w:t>
      </w:r>
    </w:p>
    <w:p w14:paraId="3FDF3FA9" w14:textId="77777777" w:rsidR="00CF1B89" w:rsidRPr="006A79C5" w:rsidRDefault="00CF1B89" w:rsidP="00CF1B89">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Maize (</w:t>
      </w:r>
      <w:proofErr w:type="spellStart"/>
      <w:r w:rsidRPr="006A79C5">
        <w:rPr>
          <w:rFonts w:ascii="Arial" w:eastAsia="Times New Roman" w:hAnsi="Arial" w:cs="Arial"/>
          <w:i/>
          <w:iCs/>
          <w:sz w:val="20"/>
          <w:szCs w:val="20"/>
          <w:lang w:eastAsia="en-IN"/>
        </w:rPr>
        <w:t>Zea</w:t>
      </w:r>
      <w:proofErr w:type="spellEnd"/>
      <w:r w:rsidRPr="006A79C5">
        <w:rPr>
          <w:rFonts w:ascii="Arial" w:eastAsia="Times New Roman" w:hAnsi="Arial" w:cs="Arial"/>
          <w:i/>
          <w:iCs/>
          <w:sz w:val="20"/>
          <w:szCs w:val="20"/>
          <w:lang w:eastAsia="en-IN"/>
        </w:rPr>
        <w:t xml:space="preserve"> mays</w:t>
      </w:r>
      <w:r w:rsidRPr="006A79C5">
        <w:rPr>
          <w:rFonts w:ascii="Arial" w:eastAsia="Times New Roman" w:hAnsi="Arial" w:cs="Arial"/>
          <w:sz w:val="20"/>
          <w:szCs w:val="20"/>
          <w:lang w:eastAsia="en-IN"/>
        </w:rPr>
        <w:t> L.) is a critical staple crop globally, but its productivity and nutritional security are severely threatened by seed-borne fungal pathogens such as </w:t>
      </w:r>
      <w:r w:rsidRPr="006A79C5">
        <w:rPr>
          <w:rFonts w:ascii="Arial" w:eastAsia="Times New Roman" w:hAnsi="Arial" w:cs="Arial"/>
          <w:i/>
          <w:iCs/>
          <w:sz w:val="20"/>
          <w:szCs w:val="20"/>
          <w:lang w:eastAsia="en-IN"/>
        </w:rPr>
        <w:t>Aspergillus flavus</w:t>
      </w:r>
      <w:r w:rsidRPr="006A79C5">
        <w:rPr>
          <w:rFonts w:ascii="Arial" w:eastAsia="Times New Roman" w:hAnsi="Arial" w:cs="Arial"/>
          <w:i/>
          <w:sz w:val="20"/>
          <w:szCs w:val="20"/>
          <w:lang w:eastAsia="en-IN"/>
        </w:rPr>
        <w:t>, </w:t>
      </w:r>
      <w:r w:rsidRPr="006A79C5">
        <w:rPr>
          <w:rFonts w:ascii="Arial" w:eastAsia="Times New Roman" w:hAnsi="Arial" w:cs="Arial"/>
          <w:i/>
          <w:iCs/>
          <w:sz w:val="20"/>
          <w:szCs w:val="20"/>
          <w:lang w:eastAsia="en-IN"/>
        </w:rPr>
        <w:t xml:space="preserve">Aspergillus </w:t>
      </w:r>
      <w:proofErr w:type="spellStart"/>
      <w:r w:rsidRPr="006A79C5">
        <w:rPr>
          <w:rFonts w:ascii="Arial" w:eastAsia="Times New Roman" w:hAnsi="Arial" w:cs="Arial"/>
          <w:i/>
          <w:iCs/>
          <w:sz w:val="20"/>
          <w:szCs w:val="20"/>
          <w:lang w:eastAsia="en-IN"/>
        </w:rPr>
        <w:t>parasiticus</w:t>
      </w:r>
      <w:proofErr w:type="spellEnd"/>
      <w:r w:rsidRPr="006A79C5">
        <w:rPr>
          <w:rFonts w:ascii="Arial" w:eastAsia="Times New Roman" w:hAnsi="Arial" w:cs="Arial"/>
          <w:sz w:val="20"/>
          <w:szCs w:val="20"/>
          <w:lang w:eastAsia="en-IN"/>
        </w:rPr>
        <w:t>, and </w:t>
      </w:r>
      <w:r w:rsidRPr="006A79C5">
        <w:rPr>
          <w:rFonts w:ascii="Arial" w:eastAsia="Times New Roman" w:hAnsi="Arial" w:cs="Arial"/>
          <w:i/>
          <w:iCs/>
          <w:sz w:val="20"/>
          <w:szCs w:val="20"/>
          <w:lang w:eastAsia="en-IN"/>
        </w:rPr>
        <w:t xml:space="preserve">Fusarium </w:t>
      </w:r>
      <w:proofErr w:type="spellStart"/>
      <w:r w:rsidRPr="006A79C5">
        <w:rPr>
          <w:rFonts w:ascii="Arial" w:eastAsia="Times New Roman" w:hAnsi="Arial" w:cs="Arial"/>
          <w:i/>
          <w:iCs/>
          <w:sz w:val="20"/>
          <w:szCs w:val="20"/>
          <w:lang w:eastAsia="en-IN"/>
        </w:rPr>
        <w:t>graminearum</w:t>
      </w:r>
      <w:proofErr w:type="spellEnd"/>
      <w:r w:rsidRPr="006A79C5">
        <w:rPr>
          <w:rFonts w:ascii="Arial" w:eastAsia="Times New Roman" w:hAnsi="Arial" w:cs="Arial"/>
          <w:sz w:val="20"/>
          <w:szCs w:val="20"/>
          <w:lang w:eastAsia="en-IN"/>
        </w:rPr>
        <w:t> (</w:t>
      </w:r>
      <w:proofErr w:type="spellStart"/>
      <w:r w:rsidRPr="006A79C5">
        <w:rPr>
          <w:rFonts w:ascii="Arial" w:eastAsia="Times New Roman" w:hAnsi="Arial" w:cs="Arial"/>
          <w:sz w:val="20"/>
          <w:szCs w:val="20"/>
          <w:lang w:eastAsia="en-IN"/>
        </w:rPr>
        <w:t>Anjorin</w:t>
      </w:r>
      <w:proofErr w:type="spellEnd"/>
      <w:r w:rsidRPr="006A79C5">
        <w:rPr>
          <w:rFonts w:ascii="Arial" w:eastAsia="Times New Roman" w:hAnsi="Arial" w:cs="Arial"/>
          <w:sz w:val="20"/>
          <w:szCs w:val="20"/>
          <w:lang w:eastAsia="en-IN"/>
        </w:rPr>
        <w:t xml:space="preserve"> et al., 2022). These fungi not only reduce seed viability and seedling vigour but also produce mycotoxins, including aflatoxins, which pose significant health risks to humans and livestock (Loy and Lundy, 2019). Contaminated maize grains contribute to </w:t>
      </w:r>
      <w:r w:rsidRPr="006A79C5">
        <w:rPr>
          <w:rFonts w:ascii="Arial" w:eastAsia="Times New Roman" w:hAnsi="Arial" w:cs="Arial"/>
          <w:sz w:val="20"/>
          <w:szCs w:val="20"/>
          <w:lang w:eastAsia="en-IN"/>
        </w:rPr>
        <w:lastRenderedPageBreak/>
        <w:t>economic losses and food insecurity, particularly in regions like sub-Saharan Africa, where smallholder farmers rely heavily on untreated seeds (</w:t>
      </w:r>
      <w:proofErr w:type="spellStart"/>
      <w:r w:rsidRPr="006A79C5">
        <w:rPr>
          <w:rFonts w:ascii="Arial" w:eastAsia="Times New Roman" w:hAnsi="Arial" w:cs="Arial"/>
          <w:sz w:val="20"/>
          <w:szCs w:val="20"/>
          <w:lang w:eastAsia="en-IN"/>
        </w:rPr>
        <w:t>Onumah</w:t>
      </w:r>
      <w:proofErr w:type="spellEnd"/>
      <w:r w:rsidRPr="006A79C5">
        <w:rPr>
          <w:rFonts w:ascii="Arial" w:eastAsia="Times New Roman" w:hAnsi="Arial" w:cs="Arial"/>
          <w:sz w:val="20"/>
          <w:szCs w:val="20"/>
          <w:lang w:eastAsia="en-IN"/>
        </w:rPr>
        <w:t xml:space="preserve"> et al., 2021). Traditional management strategies, such as synthetic fungicides, face challenges like environmental toxicity, resistance development, and high costs, necessitating sustainable alternatives (Titus et al., 2020).</w:t>
      </w:r>
    </w:p>
    <w:p w14:paraId="7299FA80" w14:textId="77777777" w:rsidR="00CF1B89" w:rsidRPr="006A79C5" w:rsidRDefault="00CF1B89" w:rsidP="00CF1B89">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Neem (</w:t>
      </w:r>
      <w:proofErr w:type="spellStart"/>
      <w:r w:rsidRPr="006A79C5">
        <w:rPr>
          <w:rFonts w:ascii="Arial" w:eastAsia="Times New Roman" w:hAnsi="Arial" w:cs="Arial"/>
          <w:i/>
          <w:iCs/>
          <w:sz w:val="20"/>
          <w:szCs w:val="20"/>
          <w:lang w:eastAsia="en-IN"/>
        </w:rPr>
        <w:t>Azadirachta</w:t>
      </w:r>
      <w:proofErr w:type="spellEnd"/>
      <w:r w:rsidRPr="006A79C5">
        <w:rPr>
          <w:rFonts w:ascii="Arial" w:eastAsia="Times New Roman" w:hAnsi="Arial" w:cs="Arial"/>
          <w:i/>
          <w:iCs/>
          <w:sz w:val="20"/>
          <w:szCs w:val="20"/>
          <w:lang w:eastAsia="en-IN"/>
        </w:rPr>
        <w:t xml:space="preserve"> </w:t>
      </w:r>
      <w:proofErr w:type="spellStart"/>
      <w:r w:rsidRPr="006A79C5">
        <w:rPr>
          <w:rFonts w:ascii="Arial" w:eastAsia="Times New Roman" w:hAnsi="Arial" w:cs="Arial"/>
          <w:i/>
          <w:iCs/>
          <w:sz w:val="20"/>
          <w:szCs w:val="20"/>
          <w:lang w:eastAsia="en-IN"/>
        </w:rPr>
        <w:t>indica</w:t>
      </w:r>
      <w:proofErr w:type="spellEnd"/>
      <w:r w:rsidRPr="006A79C5">
        <w:rPr>
          <w:rFonts w:ascii="Arial" w:eastAsia="Times New Roman" w:hAnsi="Arial" w:cs="Arial"/>
          <w:sz w:val="20"/>
          <w:szCs w:val="20"/>
          <w:lang w:eastAsia="en-IN"/>
        </w:rPr>
        <w:t xml:space="preserve">) oil, a natural biopesticide, has gained attention for its broad-spectrum antifungal properties. Rich in bioactive compounds like </w:t>
      </w:r>
      <w:proofErr w:type="spellStart"/>
      <w:r w:rsidRPr="006A79C5">
        <w:rPr>
          <w:rFonts w:ascii="Arial" w:eastAsia="Times New Roman" w:hAnsi="Arial" w:cs="Arial"/>
          <w:sz w:val="20"/>
          <w:szCs w:val="20"/>
          <w:lang w:eastAsia="en-IN"/>
        </w:rPr>
        <w:t>azadirachtin</w:t>
      </w:r>
      <w:proofErr w:type="spellEnd"/>
      <w:r w:rsidRPr="006A79C5">
        <w:rPr>
          <w:rFonts w:ascii="Arial" w:eastAsia="Times New Roman" w:hAnsi="Arial" w:cs="Arial"/>
          <w:sz w:val="20"/>
          <w:szCs w:val="20"/>
          <w:lang w:eastAsia="en-IN"/>
        </w:rPr>
        <w:t>, it disrupts fungal cell membranes and inhibits spore germination (Rodrigues et al., 2019). However, its practical application is limited by inherent drawbacks, including volatility, poor water solubility, and rapid degradation under field conditions (Campos et al., 2016). These limitations reduce its efficacy and necessitate frequent reapplication, undermining its viability as a standalone solution for seed treatment.</w:t>
      </w:r>
    </w:p>
    <w:p w14:paraId="182C04FA" w14:textId="77777777" w:rsidR="00CF1B89" w:rsidRPr="006A79C5" w:rsidRDefault="00CF1B89" w:rsidP="00CF1B89">
      <w:pPr>
        <w:shd w:val="clear" w:color="auto" w:fill="FFFFFF"/>
        <w:spacing w:before="206" w:after="206" w:line="240" w:lineRule="auto"/>
        <w:jc w:val="both"/>
        <w:rPr>
          <w:rFonts w:ascii="Arial" w:eastAsia="Times New Roman" w:hAnsi="Arial" w:cs="Arial"/>
          <w:sz w:val="20"/>
          <w:szCs w:val="20"/>
          <w:lang w:eastAsia="en-IN"/>
        </w:rPr>
      </w:pPr>
      <w:proofErr w:type="spellStart"/>
      <w:r w:rsidRPr="006A79C5">
        <w:rPr>
          <w:rFonts w:ascii="Arial" w:eastAsia="Times New Roman" w:hAnsi="Arial" w:cs="Arial"/>
          <w:sz w:val="20"/>
          <w:szCs w:val="20"/>
          <w:lang w:eastAsia="en-IN"/>
        </w:rPr>
        <w:t>Nanoemulsion</w:t>
      </w:r>
      <w:proofErr w:type="spellEnd"/>
      <w:r w:rsidRPr="006A79C5">
        <w:rPr>
          <w:rFonts w:ascii="Arial" w:eastAsia="Times New Roman" w:hAnsi="Arial" w:cs="Arial"/>
          <w:sz w:val="20"/>
          <w:szCs w:val="20"/>
          <w:lang w:eastAsia="en-IN"/>
        </w:rPr>
        <w:t xml:space="preserve"> technology offers a promising avenue to overcome these challenges. By encapsulating neem oil within nanoscale droplets stabilised by surfactants, </w:t>
      </w:r>
      <w:proofErr w:type="spellStart"/>
      <w:r w:rsidRPr="006A79C5">
        <w:rPr>
          <w:rFonts w:ascii="Arial" w:eastAsia="Times New Roman" w:hAnsi="Arial" w:cs="Arial"/>
          <w:sz w:val="20"/>
          <w:szCs w:val="20"/>
          <w:lang w:eastAsia="en-IN"/>
        </w:rPr>
        <w:t>nanoemulsions</w:t>
      </w:r>
      <w:proofErr w:type="spellEnd"/>
      <w:r w:rsidRPr="006A79C5">
        <w:rPr>
          <w:rFonts w:ascii="Arial" w:eastAsia="Times New Roman" w:hAnsi="Arial" w:cs="Arial"/>
          <w:sz w:val="20"/>
          <w:szCs w:val="20"/>
          <w:lang w:eastAsia="en-IN"/>
        </w:rPr>
        <w:t xml:space="preserve"> enhance physicochemical stability, bioavailability, and targeted delivery of active compounds (São Pedro et al., 2013</w:t>
      </w:r>
      <w:r w:rsidRPr="006A79C5">
        <w:rPr>
          <w:rFonts w:ascii="Arial" w:eastAsia="Times New Roman" w:hAnsi="Arial" w:cs="Arial"/>
          <w:sz w:val="20"/>
          <w:szCs w:val="20"/>
          <w:highlight w:val="yellow"/>
          <w:lang w:eastAsia="en-IN"/>
        </w:rPr>
        <w:t>). Silver nanoparticles (</w:t>
      </w:r>
      <w:proofErr w:type="spellStart"/>
      <w:r w:rsidRPr="006A79C5">
        <w:rPr>
          <w:rFonts w:ascii="Arial" w:eastAsia="Times New Roman" w:hAnsi="Arial" w:cs="Arial"/>
          <w:sz w:val="20"/>
          <w:szCs w:val="20"/>
          <w:highlight w:val="yellow"/>
          <w:lang w:eastAsia="en-IN"/>
        </w:rPr>
        <w:t>AgNPs</w:t>
      </w:r>
      <w:proofErr w:type="spellEnd"/>
      <w:r w:rsidRPr="006A79C5">
        <w:rPr>
          <w:rFonts w:ascii="Arial" w:eastAsia="Times New Roman" w:hAnsi="Arial" w:cs="Arial"/>
          <w:sz w:val="20"/>
          <w:szCs w:val="20"/>
          <w:highlight w:val="yellow"/>
          <w:lang w:eastAsia="en-IN"/>
        </w:rPr>
        <w:t>), synthesised through green methods using plant extracts like </w:t>
      </w:r>
      <w:r w:rsidRPr="006A79C5">
        <w:rPr>
          <w:rFonts w:ascii="Arial" w:eastAsia="Times New Roman" w:hAnsi="Arial" w:cs="Arial"/>
          <w:i/>
          <w:iCs/>
          <w:sz w:val="20"/>
          <w:szCs w:val="20"/>
          <w:highlight w:val="yellow"/>
          <w:lang w:eastAsia="en-IN"/>
        </w:rPr>
        <w:t xml:space="preserve">Terminalia </w:t>
      </w:r>
      <w:proofErr w:type="spellStart"/>
      <w:r w:rsidRPr="006A79C5">
        <w:rPr>
          <w:rFonts w:ascii="Arial" w:eastAsia="Times New Roman" w:hAnsi="Arial" w:cs="Arial"/>
          <w:i/>
          <w:iCs/>
          <w:sz w:val="20"/>
          <w:szCs w:val="20"/>
          <w:highlight w:val="yellow"/>
          <w:lang w:eastAsia="en-IN"/>
        </w:rPr>
        <w:t>cattapa</w:t>
      </w:r>
      <w:proofErr w:type="spellEnd"/>
      <w:r w:rsidRPr="006A79C5">
        <w:rPr>
          <w:rFonts w:ascii="Arial" w:eastAsia="Times New Roman" w:hAnsi="Arial" w:cs="Arial"/>
          <w:sz w:val="20"/>
          <w:szCs w:val="20"/>
          <w:highlight w:val="yellow"/>
          <w:lang w:eastAsia="en-IN"/>
        </w:rPr>
        <w:t>, further improve antifungal activity by increasing surface area and reactivity (Singh et al., 2024).</w:t>
      </w:r>
      <w:r w:rsidRPr="006A79C5">
        <w:rPr>
          <w:rFonts w:ascii="Arial" w:eastAsia="Times New Roman" w:hAnsi="Arial" w:cs="Arial"/>
          <w:sz w:val="20"/>
          <w:szCs w:val="20"/>
          <w:lang w:eastAsia="en-IN"/>
        </w:rPr>
        <w:t xml:space="preserve"> Studies demonstrate that </w:t>
      </w:r>
      <w:proofErr w:type="spellStart"/>
      <w:r w:rsidRPr="006A79C5">
        <w:rPr>
          <w:rFonts w:ascii="Arial" w:eastAsia="Times New Roman" w:hAnsi="Arial" w:cs="Arial"/>
          <w:sz w:val="20"/>
          <w:szCs w:val="20"/>
          <w:lang w:eastAsia="en-IN"/>
        </w:rPr>
        <w:t>Nanoformulations</w:t>
      </w:r>
      <w:proofErr w:type="spellEnd"/>
      <w:r w:rsidRPr="006A79C5">
        <w:rPr>
          <w:rFonts w:ascii="Arial" w:eastAsia="Times New Roman" w:hAnsi="Arial" w:cs="Arial"/>
          <w:sz w:val="20"/>
          <w:szCs w:val="20"/>
          <w:lang w:eastAsia="en-IN"/>
        </w:rPr>
        <w:t xml:space="preserve"> of essential oils exhibit prolonged activity against fungal pathogens while reducing phytotoxicity risks compared to raw extracts (Zhao et al., 2017). However, the dual role of nanoparticles, enhancing antifungal properties at low concentrations while inducing oxidative stress at high doses, remains underexplored in seed treatment applications (</w:t>
      </w:r>
      <w:proofErr w:type="spellStart"/>
      <w:r w:rsidRPr="006A79C5">
        <w:rPr>
          <w:rFonts w:ascii="Arial" w:eastAsia="Times New Roman" w:hAnsi="Arial" w:cs="Arial"/>
          <w:sz w:val="20"/>
          <w:szCs w:val="20"/>
          <w:lang w:eastAsia="en-IN"/>
        </w:rPr>
        <w:t>Michałek</w:t>
      </w:r>
      <w:proofErr w:type="spellEnd"/>
      <w:r w:rsidRPr="006A79C5">
        <w:rPr>
          <w:rFonts w:ascii="Arial" w:eastAsia="Times New Roman" w:hAnsi="Arial" w:cs="Arial"/>
          <w:sz w:val="20"/>
          <w:szCs w:val="20"/>
          <w:lang w:eastAsia="en-IN"/>
        </w:rPr>
        <w:t xml:space="preserve"> et al., 2018).</w:t>
      </w:r>
    </w:p>
    <w:p w14:paraId="6BC7A3B0" w14:textId="77777777" w:rsidR="00CF1B89" w:rsidRPr="006A79C5" w:rsidRDefault="00CF1B89" w:rsidP="00CF1B89">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Despite the growing interest in </w:t>
      </w:r>
      <w:proofErr w:type="spellStart"/>
      <w:r w:rsidRPr="006A79C5">
        <w:rPr>
          <w:rFonts w:ascii="Arial" w:eastAsia="Times New Roman" w:hAnsi="Arial" w:cs="Arial"/>
          <w:sz w:val="20"/>
          <w:szCs w:val="20"/>
          <w:lang w:eastAsia="en-IN"/>
        </w:rPr>
        <w:t>nanoemulsions</w:t>
      </w:r>
      <w:proofErr w:type="spellEnd"/>
      <w:r w:rsidRPr="006A79C5">
        <w:rPr>
          <w:rFonts w:ascii="Arial" w:eastAsia="Times New Roman" w:hAnsi="Arial" w:cs="Arial"/>
          <w:sz w:val="20"/>
          <w:szCs w:val="20"/>
          <w:lang w:eastAsia="en-IN"/>
        </w:rPr>
        <w:t xml:space="preserve">, limited research has focused on the phytotoxic effects of neem oil </w:t>
      </w:r>
      <w:proofErr w:type="spellStart"/>
      <w:r w:rsidRPr="006A79C5">
        <w:rPr>
          <w:rFonts w:ascii="Arial" w:eastAsia="Times New Roman" w:hAnsi="Arial" w:cs="Arial"/>
          <w:sz w:val="20"/>
          <w:szCs w:val="20"/>
          <w:lang w:eastAsia="en-IN"/>
        </w:rPr>
        <w:t>nanoemulsion</w:t>
      </w:r>
      <w:proofErr w:type="spellEnd"/>
      <w:r w:rsidRPr="006A79C5">
        <w:rPr>
          <w:rFonts w:ascii="Arial" w:eastAsia="Times New Roman" w:hAnsi="Arial" w:cs="Arial"/>
          <w:sz w:val="20"/>
          <w:szCs w:val="20"/>
          <w:lang w:eastAsia="en-IN"/>
        </w:rPr>
        <w:t xml:space="preserve"> (NON) on seed germination and early seedling development. While low concentrations of </w:t>
      </w:r>
      <w:proofErr w:type="spellStart"/>
      <w:r w:rsidRPr="006A79C5">
        <w:rPr>
          <w:rFonts w:ascii="Arial" w:eastAsia="Times New Roman" w:hAnsi="Arial" w:cs="Arial"/>
          <w:sz w:val="20"/>
          <w:szCs w:val="20"/>
          <w:lang w:eastAsia="en-IN"/>
        </w:rPr>
        <w:t>AgNPs</w:t>
      </w:r>
      <w:proofErr w:type="spellEnd"/>
      <w:r w:rsidRPr="006A79C5">
        <w:rPr>
          <w:rFonts w:ascii="Arial" w:eastAsia="Times New Roman" w:hAnsi="Arial" w:cs="Arial"/>
          <w:sz w:val="20"/>
          <w:szCs w:val="20"/>
          <w:lang w:eastAsia="en-IN"/>
        </w:rPr>
        <w:t xml:space="preserve"> are reported to stimulate plant growth, higher doses can impair cellular processes, leading to reduced germination rates and stunted growth (</w:t>
      </w:r>
      <w:proofErr w:type="spellStart"/>
      <w:r w:rsidRPr="006A79C5">
        <w:rPr>
          <w:rFonts w:ascii="Arial" w:eastAsia="Times New Roman" w:hAnsi="Arial" w:cs="Arial"/>
          <w:sz w:val="20"/>
          <w:szCs w:val="20"/>
          <w:lang w:eastAsia="en-IN"/>
        </w:rPr>
        <w:t>Szőllősi</w:t>
      </w:r>
      <w:proofErr w:type="spellEnd"/>
      <w:r w:rsidRPr="006A79C5">
        <w:rPr>
          <w:rFonts w:ascii="Arial" w:eastAsia="Times New Roman" w:hAnsi="Arial" w:cs="Arial"/>
          <w:sz w:val="20"/>
          <w:szCs w:val="20"/>
          <w:lang w:eastAsia="en-IN"/>
        </w:rPr>
        <w:t xml:space="preserve"> et al., 2020). This knowledge gap is critical, as optimising the balance between antifungal efficacy and phytotoxicity is essential for developing safe, effective seed treatments.</w:t>
      </w:r>
    </w:p>
    <w:p w14:paraId="64DF91F8" w14:textId="77777777" w:rsidR="00CF1B89" w:rsidRPr="006A79C5" w:rsidRDefault="00CF1B89" w:rsidP="00CF1B89">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This study aimed to evaluate the antifungal activity of NON against key maize seed-borne fungi and assess its dose-dependent effects on seed germination and seedling vigour. By synthesising NON through green methods and characterising its physicochemical properties, we investigated its potential as a sustainable alternative to synthetic fungicides. The findings provide insights into the safe application of </w:t>
      </w:r>
      <w:proofErr w:type="spellStart"/>
      <w:r w:rsidRPr="006A79C5">
        <w:rPr>
          <w:rFonts w:ascii="Arial" w:eastAsia="Times New Roman" w:hAnsi="Arial" w:cs="Arial"/>
          <w:sz w:val="20"/>
          <w:szCs w:val="20"/>
          <w:lang w:eastAsia="en-IN"/>
        </w:rPr>
        <w:t>nanoemulsions</w:t>
      </w:r>
      <w:proofErr w:type="spellEnd"/>
      <w:r w:rsidRPr="006A79C5">
        <w:rPr>
          <w:rFonts w:ascii="Arial" w:eastAsia="Times New Roman" w:hAnsi="Arial" w:cs="Arial"/>
          <w:sz w:val="20"/>
          <w:szCs w:val="20"/>
          <w:lang w:eastAsia="en-IN"/>
        </w:rPr>
        <w:t xml:space="preserve"> in agriculture, addressing both food security and environmental sustainability challenges.</w:t>
      </w:r>
    </w:p>
    <w:p w14:paraId="3DCD46E8" w14:textId="04AC753A" w:rsidR="00B0740B" w:rsidRPr="006A79C5" w:rsidRDefault="009801FD" w:rsidP="006F0132">
      <w:pPr>
        <w:spacing w:before="480" w:after="480" w:line="240" w:lineRule="auto"/>
        <w:rPr>
          <w:rFonts w:ascii="Arial" w:eastAsia="Times New Roman" w:hAnsi="Arial" w:cs="Arial"/>
          <w:sz w:val="24"/>
          <w:szCs w:val="24"/>
          <w:lang w:eastAsia="en-IN"/>
        </w:rPr>
      </w:pPr>
      <w:r w:rsidRPr="006A79C5">
        <w:rPr>
          <w:rFonts w:ascii="Arial" w:eastAsia="Times New Roman" w:hAnsi="Arial" w:cs="Arial"/>
          <w:b/>
          <w:bCs/>
          <w:sz w:val="27"/>
          <w:szCs w:val="27"/>
          <w:lang w:eastAsia="en-IN"/>
        </w:rPr>
        <w:t xml:space="preserve">2. </w:t>
      </w:r>
      <w:r w:rsidR="006F0132" w:rsidRPr="006A79C5">
        <w:rPr>
          <w:rFonts w:ascii="Arial" w:eastAsia="Times New Roman" w:hAnsi="Arial" w:cs="Arial"/>
          <w:b/>
          <w:bCs/>
          <w:lang w:eastAsia="en-IN"/>
        </w:rPr>
        <w:t>MATERIALS AND METHODS</w:t>
      </w:r>
    </w:p>
    <w:p w14:paraId="74892E5F" w14:textId="46D0DFE9" w:rsidR="00B0740B" w:rsidRPr="006A79C5" w:rsidRDefault="006F0132" w:rsidP="006F0132">
      <w:pPr>
        <w:spacing w:before="480" w:after="480" w:line="240" w:lineRule="auto"/>
        <w:rPr>
          <w:rFonts w:ascii="Arial" w:eastAsia="Times New Roman" w:hAnsi="Arial" w:cs="Arial"/>
          <w:b/>
          <w:bCs/>
          <w:lang w:eastAsia="en-IN"/>
        </w:rPr>
      </w:pPr>
      <w:r w:rsidRPr="006A79C5">
        <w:rPr>
          <w:rFonts w:ascii="Arial" w:eastAsia="Times New Roman" w:hAnsi="Arial" w:cs="Arial"/>
          <w:b/>
          <w:bCs/>
          <w:lang w:eastAsia="en-IN"/>
        </w:rPr>
        <w:t xml:space="preserve">2.1 </w:t>
      </w:r>
      <w:r w:rsidR="00D73BA7" w:rsidRPr="006A79C5">
        <w:rPr>
          <w:rFonts w:ascii="Arial" w:eastAsia="Times New Roman" w:hAnsi="Arial" w:cs="Arial"/>
          <w:b/>
          <w:bCs/>
          <w:lang w:eastAsia="en-IN"/>
        </w:rPr>
        <w:t xml:space="preserve">Synthesis and </w:t>
      </w:r>
      <w:r w:rsidR="00D20B77" w:rsidRPr="006A79C5">
        <w:rPr>
          <w:rFonts w:ascii="Arial" w:eastAsia="Times New Roman" w:hAnsi="Arial" w:cs="Arial"/>
          <w:b/>
          <w:bCs/>
          <w:lang w:eastAsia="en-IN"/>
        </w:rPr>
        <w:t>Characterisation</w:t>
      </w:r>
      <w:r w:rsidR="00D73BA7" w:rsidRPr="006A79C5">
        <w:rPr>
          <w:rFonts w:ascii="Arial" w:eastAsia="Times New Roman" w:hAnsi="Arial" w:cs="Arial"/>
          <w:b/>
          <w:bCs/>
          <w:lang w:eastAsia="en-IN"/>
        </w:rPr>
        <w:t xml:space="preserve"> of Neem Oil </w:t>
      </w:r>
      <w:proofErr w:type="spellStart"/>
      <w:r w:rsidR="00D73BA7" w:rsidRPr="006A79C5">
        <w:rPr>
          <w:rFonts w:ascii="Arial" w:eastAsia="Times New Roman" w:hAnsi="Arial" w:cs="Arial"/>
          <w:b/>
          <w:bCs/>
          <w:lang w:eastAsia="en-IN"/>
        </w:rPr>
        <w:t>Nanoemulsion</w:t>
      </w:r>
      <w:proofErr w:type="spellEnd"/>
      <w:r w:rsidR="00D73BA7" w:rsidRPr="006A79C5">
        <w:rPr>
          <w:rFonts w:ascii="Arial" w:eastAsia="Times New Roman" w:hAnsi="Arial" w:cs="Arial"/>
          <w:b/>
          <w:bCs/>
          <w:lang w:eastAsia="en-IN"/>
        </w:rPr>
        <w:t xml:space="preserve"> (NON)</w:t>
      </w:r>
    </w:p>
    <w:p w14:paraId="0D6C9674" w14:textId="4CD88791" w:rsidR="0065623F" w:rsidRPr="006A79C5" w:rsidRDefault="0065623F" w:rsidP="005974D1">
      <w:pPr>
        <w:shd w:val="clear" w:color="auto" w:fill="FFFFFF"/>
        <w:spacing w:before="100" w:beforeAutospacing="1" w:after="100" w:afterAutospacing="1" w:line="240" w:lineRule="auto"/>
        <w:jc w:val="both"/>
        <w:rPr>
          <w:rFonts w:ascii="Arial" w:eastAsia="Times New Roman" w:hAnsi="Arial" w:cs="Arial"/>
          <w:bCs/>
          <w:color w:val="000000" w:themeColor="text1"/>
          <w:sz w:val="20"/>
          <w:szCs w:val="20"/>
        </w:rPr>
      </w:pPr>
      <w:r w:rsidRPr="006A79C5">
        <w:rPr>
          <w:rFonts w:ascii="Arial" w:eastAsia="Times New Roman" w:hAnsi="Arial" w:cs="Arial"/>
          <w:bCs/>
          <w:color w:val="000000" w:themeColor="text1"/>
          <w:sz w:val="20"/>
          <w:szCs w:val="20"/>
        </w:rPr>
        <w:t>The study was carried out at the Centre for Genetic Engineering and Biotechnology, F</w:t>
      </w:r>
      <w:r w:rsidR="00633EA9" w:rsidRPr="006A79C5">
        <w:rPr>
          <w:rFonts w:ascii="Arial" w:eastAsia="Times New Roman" w:hAnsi="Arial" w:cs="Arial"/>
          <w:bCs/>
          <w:color w:val="000000" w:themeColor="text1"/>
          <w:sz w:val="20"/>
          <w:szCs w:val="20"/>
        </w:rPr>
        <w:t>ederal University of Technology</w:t>
      </w:r>
      <w:r w:rsidR="00D20B77" w:rsidRPr="006A79C5">
        <w:rPr>
          <w:rFonts w:ascii="Arial" w:eastAsia="Times New Roman" w:hAnsi="Arial" w:cs="Arial"/>
          <w:bCs/>
          <w:color w:val="000000" w:themeColor="text1"/>
          <w:sz w:val="20"/>
          <w:szCs w:val="20"/>
        </w:rPr>
        <w:t>,</w:t>
      </w:r>
      <w:r w:rsidR="00633EA9" w:rsidRPr="006A79C5">
        <w:rPr>
          <w:rFonts w:ascii="Arial" w:eastAsia="Times New Roman" w:hAnsi="Arial" w:cs="Arial"/>
          <w:bCs/>
          <w:color w:val="000000" w:themeColor="text1"/>
          <w:sz w:val="20"/>
          <w:szCs w:val="20"/>
        </w:rPr>
        <w:t xml:space="preserve"> Bosso Campus,</w:t>
      </w:r>
      <w:r w:rsidRPr="006A79C5">
        <w:rPr>
          <w:rFonts w:ascii="Arial" w:eastAsia="Times New Roman" w:hAnsi="Arial" w:cs="Arial"/>
          <w:bCs/>
          <w:color w:val="000000" w:themeColor="text1"/>
          <w:sz w:val="20"/>
          <w:szCs w:val="20"/>
        </w:rPr>
        <w:t xml:space="preserve"> Minna</w:t>
      </w:r>
      <w:r w:rsidR="00D20B77" w:rsidRPr="006A79C5">
        <w:rPr>
          <w:rFonts w:ascii="Arial" w:eastAsia="Times New Roman" w:hAnsi="Arial" w:cs="Arial"/>
          <w:bCs/>
          <w:color w:val="000000" w:themeColor="text1"/>
          <w:sz w:val="20"/>
          <w:szCs w:val="20"/>
        </w:rPr>
        <w:t>,</w:t>
      </w:r>
      <w:r w:rsidR="00633EA9" w:rsidRPr="006A79C5">
        <w:rPr>
          <w:rFonts w:ascii="Arial" w:eastAsia="Times New Roman" w:hAnsi="Arial" w:cs="Arial"/>
          <w:bCs/>
          <w:color w:val="000000" w:themeColor="text1"/>
          <w:sz w:val="20"/>
          <w:szCs w:val="20"/>
        </w:rPr>
        <w:t xml:space="preserve"> Niger State</w:t>
      </w:r>
      <w:r w:rsidR="00D20B77" w:rsidRPr="006A79C5">
        <w:rPr>
          <w:rFonts w:ascii="Arial" w:eastAsia="Times New Roman" w:hAnsi="Arial" w:cs="Arial"/>
          <w:bCs/>
          <w:color w:val="000000" w:themeColor="text1"/>
          <w:sz w:val="20"/>
          <w:szCs w:val="20"/>
        </w:rPr>
        <w:t>,</w:t>
      </w:r>
      <w:r w:rsidR="00720B1A" w:rsidRPr="006A79C5">
        <w:rPr>
          <w:rFonts w:ascii="Arial" w:eastAsia="Times New Roman" w:hAnsi="Arial" w:cs="Arial"/>
          <w:bCs/>
          <w:color w:val="000000" w:themeColor="text1"/>
          <w:sz w:val="20"/>
          <w:szCs w:val="20"/>
        </w:rPr>
        <w:t xml:space="preserve"> and the </w:t>
      </w:r>
      <w:r w:rsidR="00720B1A" w:rsidRPr="006A79C5">
        <w:rPr>
          <w:rFonts w:ascii="Arial" w:hAnsi="Arial" w:cs="Arial"/>
          <w:sz w:val="20"/>
          <w:szCs w:val="20"/>
        </w:rPr>
        <w:t>Department of Crop Protection, Faculty of Agriculture, University of Abuja,</w:t>
      </w:r>
      <w:r w:rsidR="00633EA9" w:rsidRPr="006A79C5">
        <w:rPr>
          <w:rFonts w:ascii="Arial" w:eastAsia="Times New Roman" w:hAnsi="Arial" w:cs="Arial"/>
          <w:bCs/>
          <w:color w:val="000000" w:themeColor="text1"/>
          <w:sz w:val="20"/>
          <w:szCs w:val="20"/>
        </w:rPr>
        <w:t xml:space="preserve"> Nigeria</w:t>
      </w:r>
      <w:r w:rsidRPr="006A79C5">
        <w:rPr>
          <w:rFonts w:ascii="Arial" w:eastAsia="Times New Roman" w:hAnsi="Arial" w:cs="Arial"/>
          <w:bCs/>
          <w:color w:val="000000" w:themeColor="text1"/>
          <w:sz w:val="20"/>
          <w:szCs w:val="20"/>
        </w:rPr>
        <w:t>.</w:t>
      </w:r>
    </w:p>
    <w:p w14:paraId="4AFBF498" w14:textId="431FAA38" w:rsidR="00D73BA7" w:rsidRPr="006A79C5" w:rsidRDefault="0065623F" w:rsidP="005974D1">
      <w:pPr>
        <w:shd w:val="clear" w:color="auto" w:fill="FFFFFF"/>
        <w:spacing w:before="100" w:beforeAutospacing="1" w:after="100" w:afterAutospacing="1" w:line="240" w:lineRule="auto"/>
        <w:jc w:val="both"/>
        <w:rPr>
          <w:rFonts w:ascii="Arial" w:eastAsia="Times New Roman" w:hAnsi="Arial" w:cs="Arial"/>
          <w:bCs/>
          <w:color w:val="000000" w:themeColor="text1"/>
          <w:sz w:val="20"/>
          <w:szCs w:val="20"/>
        </w:rPr>
      </w:pPr>
      <w:r w:rsidRPr="006A79C5">
        <w:rPr>
          <w:rFonts w:ascii="Arial" w:eastAsia="Times New Roman" w:hAnsi="Arial" w:cs="Arial"/>
          <w:sz w:val="20"/>
          <w:szCs w:val="20"/>
          <w:lang w:eastAsia="en-IN"/>
        </w:rPr>
        <w:t xml:space="preserve">The neem oil </w:t>
      </w:r>
      <w:proofErr w:type="spellStart"/>
      <w:r w:rsidRPr="006A79C5">
        <w:rPr>
          <w:rFonts w:ascii="Arial" w:eastAsia="Times New Roman" w:hAnsi="Arial" w:cs="Arial"/>
          <w:sz w:val="20"/>
          <w:szCs w:val="20"/>
          <w:lang w:eastAsia="en-IN"/>
        </w:rPr>
        <w:t>nanoe</w:t>
      </w:r>
      <w:r w:rsidR="00D73BA7" w:rsidRPr="006A79C5">
        <w:rPr>
          <w:rFonts w:ascii="Arial" w:eastAsia="Times New Roman" w:hAnsi="Arial" w:cs="Arial"/>
          <w:sz w:val="20"/>
          <w:szCs w:val="20"/>
          <w:lang w:eastAsia="en-IN"/>
        </w:rPr>
        <w:t>mulsion</w:t>
      </w:r>
      <w:proofErr w:type="spellEnd"/>
      <w:r w:rsidR="00D73BA7" w:rsidRPr="006A79C5">
        <w:rPr>
          <w:rFonts w:ascii="Arial" w:eastAsia="Times New Roman" w:hAnsi="Arial" w:cs="Arial"/>
          <w:sz w:val="20"/>
          <w:szCs w:val="20"/>
          <w:lang w:eastAsia="en-IN"/>
        </w:rPr>
        <w:t xml:space="preserve"> (NON) was </w:t>
      </w:r>
      <w:r w:rsidR="00D20B77" w:rsidRPr="006A79C5">
        <w:rPr>
          <w:rFonts w:ascii="Arial" w:eastAsia="Times New Roman" w:hAnsi="Arial" w:cs="Arial"/>
          <w:sz w:val="20"/>
          <w:szCs w:val="20"/>
          <w:lang w:eastAsia="en-IN"/>
        </w:rPr>
        <w:t>synthesised</w:t>
      </w:r>
      <w:r w:rsidR="00D73BA7" w:rsidRPr="006A79C5">
        <w:rPr>
          <w:rFonts w:ascii="Arial" w:eastAsia="Times New Roman" w:hAnsi="Arial" w:cs="Arial"/>
          <w:sz w:val="20"/>
          <w:szCs w:val="20"/>
          <w:lang w:eastAsia="en-IN"/>
        </w:rPr>
        <w:t xml:space="preserve"> using a green approach. Silver nanoparticles (</w:t>
      </w:r>
      <w:proofErr w:type="spellStart"/>
      <w:r w:rsidR="00D73BA7" w:rsidRPr="006A79C5">
        <w:rPr>
          <w:rFonts w:ascii="Arial" w:eastAsia="Times New Roman" w:hAnsi="Arial" w:cs="Arial"/>
          <w:sz w:val="20"/>
          <w:szCs w:val="20"/>
          <w:lang w:eastAsia="en-IN"/>
        </w:rPr>
        <w:t>AgNPs</w:t>
      </w:r>
      <w:proofErr w:type="spellEnd"/>
      <w:r w:rsidR="00D73BA7" w:rsidRPr="006A79C5">
        <w:rPr>
          <w:rFonts w:ascii="Arial" w:eastAsia="Times New Roman" w:hAnsi="Arial" w:cs="Arial"/>
          <w:sz w:val="20"/>
          <w:szCs w:val="20"/>
          <w:lang w:eastAsia="en-IN"/>
        </w:rPr>
        <w:t>) were first prepared by reducing silver nitrate (</w:t>
      </w:r>
      <w:proofErr w:type="spellStart"/>
      <w:r w:rsidR="00D73BA7" w:rsidRPr="006A79C5">
        <w:rPr>
          <w:rFonts w:ascii="Arial" w:eastAsia="Times New Roman" w:hAnsi="Arial" w:cs="Arial"/>
          <w:sz w:val="20"/>
          <w:szCs w:val="20"/>
          <w:lang w:eastAsia="en-IN"/>
        </w:rPr>
        <w:t>AgNO</w:t>
      </w:r>
      <w:proofErr w:type="spellEnd"/>
      <w:r w:rsidR="00D73BA7" w:rsidRPr="006A79C5">
        <w:rPr>
          <w:rFonts w:ascii="Cambria Math" w:eastAsia="Times New Roman" w:hAnsi="Cambria Math" w:cs="Cambria Math"/>
          <w:sz w:val="20"/>
          <w:szCs w:val="20"/>
          <w:lang w:eastAsia="en-IN"/>
        </w:rPr>
        <w:t>₃</w:t>
      </w:r>
      <w:r w:rsidR="00D73BA7" w:rsidRPr="006A79C5">
        <w:rPr>
          <w:rFonts w:ascii="Arial" w:eastAsia="Times New Roman" w:hAnsi="Arial" w:cs="Arial"/>
          <w:sz w:val="20"/>
          <w:szCs w:val="20"/>
          <w:lang w:eastAsia="en-IN"/>
        </w:rPr>
        <w:t>) with an aqueous extract of </w:t>
      </w:r>
      <w:r w:rsidR="00D73BA7" w:rsidRPr="006A79C5">
        <w:rPr>
          <w:rFonts w:ascii="Arial" w:eastAsia="Times New Roman" w:hAnsi="Arial" w:cs="Arial"/>
          <w:i/>
          <w:iCs/>
          <w:sz w:val="20"/>
          <w:szCs w:val="20"/>
          <w:lang w:eastAsia="en-IN"/>
        </w:rPr>
        <w:t xml:space="preserve">Terminalia </w:t>
      </w:r>
      <w:proofErr w:type="spellStart"/>
      <w:r w:rsidR="00D73BA7" w:rsidRPr="006A79C5">
        <w:rPr>
          <w:rFonts w:ascii="Arial" w:eastAsia="Times New Roman" w:hAnsi="Arial" w:cs="Arial"/>
          <w:i/>
          <w:iCs/>
          <w:sz w:val="20"/>
          <w:szCs w:val="20"/>
          <w:lang w:eastAsia="en-IN"/>
        </w:rPr>
        <w:t>cattapa</w:t>
      </w:r>
      <w:proofErr w:type="spellEnd"/>
      <w:r w:rsidR="00D73BA7" w:rsidRPr="006A79C5">
        <w:rPr>
          <w:rFonts w:ascii="Arial" w:eastAsia="Times New Roman" w:hAnsi="Arial" w:cs="Arial"/>
          <w:sz w:val="20"/>
          <w:szCs w:val="20"/>
          <w:lang w:eastAsia="en-IN"/>
        </w:rPr>
        <w:t xml:space="preserve"> leaves. Fresh leaves were washed, destalked, and boiled in distilled water (20 g leaves in 200 mL) at 60°C for 30 minutes. The filtered extract was mixed with 0.1 M </w:t>
      </w:r>
      <w:proofErr w:type="spellStart"/>
      <w:r w:rsidR="00D73BA7" w:rsidRPr="006A79C5">
        <w:rPr>
          <w:rFonts w:ascii="Arial" w:eastAsia="Times New Roman" w:hAnsi="Arial" w:cs="Arial"/>
          <w:sz w:val="20"/>
          <w:szCs w:val="20"/>
          <w:lang w:eastAsia="en-IN"/>
        </w:rPr>
        <w:t>AgNO</w:t>
      </w:r>
      <w:proofErr w:type="spellEnd"/>
      <w:r w:rsidR="00D73BA7" w:rsidRPr="006A79C5">
        <w:rPr>
          <w:rFonts w:ascii="Cambria Math" w:eastAsia="Times New Roman" w:hAnsi="Cambria Math" w:cs="Cambria Math"/>
          <w:sz w:val="20"/>
          <w:szCs w:val="20"/>
          <w:lang w:eastAsia="en-IN"/>
        </w:rPr>
        <w:t>₃</w:t>
      </w:r>
      <w:r w:rsidR="00D73BA7" w:rsidRPr="006A79C5">
        <w:rPr>
          <w:rFonts w:ascii="Arial" w:eastAsia="Times New Roman" w:hAnsi="Arial" w:cs="Arial"/>
          <w:sz w:val="20"/>
          <w:szCs w:val="20"/>
          <w:lang w:eastAsia="en-IN"/>
        </w:rPr>
        <w:t xml:space="preserve"> (1:1 ratio), and sodium hydroxide (NaOH, 1 M) was added to adjust the pH to 10. The mixture was incubated under sunlight for 30 minutes to stimulate reduction, resulting in a dark-brown </w:t>
      </w:r>
      <w:proofErr w:type="spellStart"/>
      <w:r w:rsidR="00D73BA7" w:rsidRPr="006A79C5">
        <w:rPr>
          <w:rFonts w:ascii="Arial" w:eastAsia="Times New Roman" w:hAnsi="Arial" w:cs="Arial"/>
          <w:sz w:val="20"/>
          <w:szCs w:val="20"/>
          <w:lang w:eastAsia="en-IN"/>
        </w:rPr>
        <w:t>AgNP</w:t>
      </w:r>
      <w:proofErr w:type="spellEnd"/>
      <w:r w:rsidR="00D73BA7" w:rsidRPr="006A79C5">
        <w:rPr>
          <w:rFonts w:ascii="Arial" w:eastAsia="Times New Roman" w:hAnsi="Arial" w:cs="Arial"/>
          <w:sz w:val="20"/>
          <w:szCs w:val="20"/>
          <w:lang w:eastAsia="en-IN"/>
        </w:rPr>
        <w:t xml:space="preserve"> suspension (Asif et al., 2022).</w:t>
      </w:r>
    </w:p>
    <w:p w14:paraId="34E2BABE" w14:textId="7FD2C63F" w:rsidR="00B0740B" w:rsidRPr="006A79C5" w:rsidRDefault="00D73BA7" w:rsidP="005974D1">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Neem seed oil was encapsulated into </w:t>
      </w:r>
      <w:proofErr w:type="spellStart"/>
      <w:r w:rsidRPr="006A79C5">
        <w:rPr>
          <w:rFonts w:ascii="Arial" w:eastAsia="Times New Roman" w:hAnsi="Arial" w:cs="Arial"/>
          <w:sz w:val="20"/>
          <w:szCs w:val="20"/>
          <w:lang w:eastAsia="en-IN"/>
        </w:rPr>
        <w:t>AgNPs</w:t>
      </w:r>
      <w:proofErr w:type="spellEnd"/>
      <w:r w:rsidRPr="006A79C5">
        <w:rPr>
          <w:rFonts w:ascii="Arial" w:eastAsia="Times New Roman" w:hAnsi="Arial" w:cs="Arial"/>
          <w:sz w:val="20"/>
          <w:szCs w:val="20"/>
          <w:lang w:eastAsia="en-IN"/>
        </w:rPr>
        <w:t xml:space="preserve"> by titrating 20 mL of oil into 20 mL of </w:t>
      </w:r>
      <w:proofErr w:type="spellStart"/>
      <w:r w:rsidRPr="006A79C5">
        <w:rPr>
          <w:rFonts w:ascii="Arial" w:eastAsia="Times New Roman" w:hAnsi="Arial" w:cs="Arial"/>
          <w:sz w:val="20"/>
          <w:szCs w:val="20"/>
          <w:lang w:eastAsia="en-IN"/>
        </w:rPr>
        <w:t>AgNP</w:t>
      </w:r>
      <w:proofErr w:type="spellEnd"/>
      <w:r w:rsidRPr="006A79C5">
        <w:rPr>
          <w:rFonts w:ascii="Arial" w:eastAsia="Times New Roman" w:hAnsi="Arial" w:cs="Arial"/>
          <w:sz w:val="20"/>
          <w:szCs w:val="20"/>
          <w:lang w:eastAsia="en-IN"/>
        </w:rPr>
        <w:t xml:space="preserve"> solution, followed by adding 2 mL of TWEEN-80 as an emulsifier. The mixture was stirred magnetically for 2 hours to form a stable </w:t>
      </w:r>
      <w:proofErr w:type="spellStart"/>
      <w:r w:rsidRPr="006A79C5">
        <w:rPr>
          <w:rFonts w:ascii="Arial" w:eastAsia="Times New Roman" w:hAnsi="Arial" w:cs="Arial"/>
          <w:sz w:val="20"/>
          <w:szCs w:val="20"/>
          <w:lang w:eastAsia="en-IN"/>
        </w:rPr>
        <w:t>nanoemulsion</w:t>
      </w:r>
      <w:proofErr w:type="spellEnd"/>
      <w:r w:rsidRPr="006A79C5">
        <w:rPr>
          <w:rFonts w:ascii="Arial" w:eastAsia="Times New Roman" w:hAnsi="Arial" w:cs="Arial"/>
          <w:sz w:val="20"/>
          <w:szCs w:val="20"/>
          <w:lang w:eastAsia="en-IN"/>
        </w:rPr>
        <w:t xml:space="preserve">. The </w:t>
      </w:r>
      <w:proofErr w:type="gramStart"/>
      <w:r w:rsidRPr="006A79C5">
        <w:rPr>
          <w:rFonts w:ascii="Arial" w:eastAsia="Times New Roman" w:hAnsi="Arial" w:cs="Arial"/>
          <w:sz w:val="20"/>
          <w:szCs w:val="20"/>
          <w:lang w:eastAsia="en-IN"/>
        </w:rPr>
        <w:t>NON was</w:t>
      </w:r>
      <w:proofErr w:type="gramEnd"/>
      <w:r w:rsidRPr="006A79C5">
        <w:rPr>
          <w:rFonts w:ascii="Arial" w:eastAsia="Times New Roman" w:hAnsi="Arial" w:cs="Arial"/>
          <w:sz w:val="20"/>
          <w:szCs w:val="20"/>
          <w:lang w:eastAsia="en-IN"/>
        </w:rPr>
        <w:t xml:space="preserve"> </w:t>
      </w:r>
      <w:r w:rsidR="00D20B77" w:rsidRPr="006A79C5">
        <w:rPr>
          <w:rFonts w:ascii="Arial" w:eastAsia="Times New Roman" w:hAnsi="Arial" w:cs="Arial"/>
          <w:sz w:val="20"/>
          <w:szCs w:val="20"/>
          <w:lang w:eastAsia="en-IN"/>
        </w:rPr>
        <w:t>characterised</w:t>
      </w:r>
      <w:r w:rsidRPr="006A79C5">
        <w:rPr>
          <w:rFonts w:ascii="Arial" w:eastAsia="Times New Roman" w:hAnsi="Arial" w:cs="Arial"/>
          <w:sz w:val="20"/>
          <w:szCs w:val="20"/>
          <w:lang w:eastAsia="en-IN"/>
        </w:rPr>
        <w:t xml:space="preserve"> using UV-visible spectroscopy (Shimadzu 1800-series), which confirmed a peak absorbance at 419 nm, indicative of </w:t>
      </w:r>
      <w:proofErr w:type="spellStart"/>
      <w:r w:rsidRPr="006A79C5">
        <w:rPr>
          <w:rFonts w:ascii="Arial" w:eastAsia="Times New Roman" w:hAnsi="Arial" w:cs="Arial"/>
          <w:sz w:val="20"/>
          <w:szCs w:val="20"/>
          <w:lang w:eastAsia="en-IN"/>
        </w:rPr>
        <w:t>AgNP</w:t>
      </w:r>
      <w:proofErr w:type="spellEnd"/>
      <w:r w:rsidRPr="006A79C5">
        <w:rPr>
          <w:rFonts w:ascii="Arial" w:eastAsia="Times New Roman" w:hAnsi="Arial" w:cs="Arial"/>
          <w:sz w:val="20"/>
          <w:szCs w:val="20"/>
          <w:lang w:eastAsia="en-IN"/>
        </w:rPr>
        <w:t xml:space="preserve"> formation </w:t>
      </w:r>
      <w:r w:rsidRPr="006A79C5">
        <w:rPr>
          <w:rFonts w:ascii="Arial" w:eastAsia="Times New Roman" w:hAnsi="Arial" w:cs="Arial"/>
          <w:sz w:val="20"/>
          <w:szCs w:val="20"/>
          <w:lang w:eastAsia="en-IN"/>
        </w:rPr>
        <w:lastRenderedPageBreak/>
        <w:t xml:space="preserve">(Singh et al., 2024). Dynamic light scattering (Malvern </w:t>
      </w:r>
      <w:proofErr w:type="spellStart"/>
      <w:r w:rsidRPr="006A79C5">
        <w:rPr>
          <w:rFonts w:ascii="Arial" w:eastAsia="Times New Roman" w:hAnsi="Arial" w:cs="Arial"/>
          <w:sz w:val="20"/>
          <w:szCs w:val="20"/>
          <w:lang w:eastAsia="en-IN"/>
        </w:rPr>
        <w:t>Zetasizer</w:t>
      </w:r>
      <w:proofErr w:type="spellEnd"/>
      <w:r w:rsidRPr="006A79C5">
        <w:rPr>
          <w:rFonts w:ascii="Arial" w:eastAsia="Times New Roman" w:hAnsi="Arial" w:cs="Arial"/>
          <w:sz w:val="20"/>
          <w:szCs w:val="20"/>
          <w:lang w:eastAsia="en-IN"/>
        </w:rPr>
        <w:t xml:space="preserve"> Nano ZS) revealed an average particle </w:t>
      </w:r>
      <w:r w:rsidR="00562583" w:rsidRPr="006A79C5">
        <w:rPr>
          <w:rFonts w:ascii="Arial" w:eastAsia="Times New Roman" w:hAnsi="Arial" w:cs="Arial"/>
          <w:noProof/>
          <w:sz w:val="20"/>
          <w:szCs w:val="20"/>
          <w:lang w:val="en-IE" w:eastAsia="en-IE"/>
        </w:rPr>
        <w:drawing>
          <wp:anchor distT="0" distB="0" distL="114300" distR="114300" simplePos="0" relativeHeight="251658240" behindDoc="0" locked="0" layoutInCell="1" allowOverlap="1" wp14:anchorId="0EF7988C" wp14:editId="2F031BF0">
            <wp:simplePos x="0" y="0"/>
            <wp:positionH relativeFrom="margin">
              <wp:posOffset>428625</wp:posOffset>
            </wp:positionH>
            <wp:positionV relativeFrom="paragraph">
              <wp:posOffset>418465</wp:posOffset>
            </wp:positionV>
            <wp:extent cx="4844415" cy="3078480"/>
            <wp:effectExtent l="0" t="0" r="0" b="7620"/>
            <wp:wrapThrough wrapText="bothSides">
              <wp:wrapPolygon edited="0">
                <wp:start x="0" y="0"/>
                <wp:lineTo x="0" y="21520"/>
                <wp:lineTo x="21490" y="21520"/>
                <wp:lineTo x="2149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sed_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4415" cy="3078480"/>
                    </a:xfrm>
                    <a:prstGeom prst="rect">
                      <a:avLst/>
                    </a:prstGeom>
                  </pic:spPr>
                </pic:pic>
              </a:graphicData>
            </a:graphic>
            <wp14:sizeRelH relativeFrom="page">
              <wp14:pctWidth>0</wp14:pctWidth>
            </wp14:sizeRelH>
            <wp14:sizeRelV relativeFrom="page">
              <wp14:pctHeight>0</wp14:pctHeight>
            </wp14:sizeRelV>
          </wp:anchor>
        </w:drawing>
      </w:r>
      <w:r w:rsidRPr="006A79C5">
        <w:rPr>
          <w:rFonts w:ascii="Arial" w:eastAsia="Times New Roman" w:hAnsi="Arial" w:cs="Arial"/>
          <w:sz w:val="20"/>
          <w:szCs w:val="20"/>
          <w:lang w:eastAsia="en-IN"/>
        </w:rPr>
        <w:t>size of 44.58 nm and a polydispersity index (PDI) o</w:t>
      </w:r>
      <w:r w:rsidR="00A9539C" w:rsidRPr="006A79C5">
        <w:rPr>
          <w:rFonts w:ascii="Arial" w:eastAsia="Times New Roman" w:hAnsi="Arial" w:cs="Arial"/>
          <w:sz w:val="20"/>
          <w:szCs w:val="20"/>
          <w:lang w:eastAsia="en-IN"/>
        </w:rPr>
        <w:t>f 0.945, confirming homogeneity.</w:t>
      </w:r>
    </w:p>
    <w:p w14:paraId="6D200040" w14:textId="55AD98FB" w:rsidR="00562583" w:rsidRPr="006A79C5" w:rsidRDefault="00562583" w:rsidP="005974D1">
      <w:pPr>
        <w:shd w:val="clear" w:color="auto" w:fill="FFFFFF"/>
        <w:spacing w:before="206" w:after="206" w:line="240" w:lineRule="auto"/>
        <w:jc w:val="both"/>
        <w:rPr>
          <w:rFonts w:ascii="Arial" w:eastAsia="Times New Roman" w:hAnsi="Arial" w:cs="Arial"/>
          <w:sz w:val="20"/>
          <w:szCs w:val="20"/>
          <w:lang w:eastAsia="en-IN"/>
        </w:rPr>
      </w:pPr>
    </w:p>
    <w:p w14:paraId="7FB69580" w14:textId="54980521" w:rsidR="00562583" w:rsidRPr="006A79C5" w:rsidRDefault="00562583" w:rsidP="005974D1">
      <w:pPr>
        <w:shd w:val="clear" w:color="auto" w:fill="FFFFFF"/>
        <w:spacing w:before="206" w:after="206" w:line="240" w:lineRule="auto"/>
        <w:jc w:val="both"/>
        <w:rPr>
          <w:rFonts w:ascii="Arial" w:eastAsia="Times New Roman" w:hAnsi="Arial" w:cs="Arial"/>
          <w:sz w:val="20"/>
          <w:szCs w:val="20"/>
          <w:lang w:eastAsia="en-IN"/>
        </w:rPr>
      </w:pPr>
    </w:p>
    <w:p w14:paraId="25050248" w14:textId="77777777" w:rsidR="0066715E" w:rsidRPr="006A79C5" w:rsidRDefault="0066715E" w:rsidP="006F0132">
      <w:pPr>
        <w:shd w:val="clear" w:color="auto" w:fill="FFFFFF"/>
        <w:spacing w:before="206" w:after="206" w:line="240" w:lineRule="auto"/>
        <w:rPr>
          <w:rFonts w:ascii="Arial" w:eastAsia="Times New Roman" w:hAnsi="Arial" w:cs="Arial"/>
          <w:b/>
          <w:bCs/>
          <w:iCs/>
          <w:lang w:eastAsia="en-IN"/>
        </w:rPr>
      </w:pPr>
    </w:p>
    <w:p w14:paraId="038DB6D8" w14:textId="77777777" w:rsidR="00562583" w:rsidRPr="006A79C5" w:rsidRDefault="00562583" w:rsidP="006F0132">
      <w:pPr>
        <w:shd w:val="clear" w:color="auto" w:fill="FFFFFF"/>
        <w:spacing w:before="206" w:after="206" w:line="240" w:lineRule="auto"/>
        <w:rPr>
          <w:rFonts w:ascii="Arial" w:eastAsia="Times New Roman" w:hAnsi="Arial" w:cs="Arial"/>
          <w:b/>
          <w:bCs/>
          <w:iCs/>
          <w:lang w:eastAsia="en-IN"/>
        </w:rPr>
      </w:pPr>
    </w:p>
    <w:p w14:paraId="40475E59" w14:textId="77777777" w:rsidR="00562583" w:rsidRPr="006A79C5" w:rsidRDefault="00562583" w:rsidP="006F0132">
      <w:pPr>
        <w:shd w:val="clear" w:color="auto" w:fill="FFFFFF"/>
        <w:spacing w:before="206" w:after="206" w:line="240" w:lineRule="auto"/>
        <w:rPr>
          <w:rFonts w:ascii="Arial" w:eastAsia="Times New Roman" w:hAnsi="Arial" w:cs="Arial"/>
          <w:b/>
          <w:bCs/>
          <w:iCs/>
          <w:lang w:eastAsia="en-IN"/>
        </w:rPr>
      </w:pPr>
    </w:p>
    <w:p w14:paraId="0CFB459E" w14:textId="77777777" w:rsidR="00562583" w:rsidRPr="006A79C5" w:rsidRDefault="00562583" w:rsidP="006F0132">
      <w:pPr>
        <w:shd w:val="clear" w:color="auto" w:fill="FFFFFF"/>
        <w:spacing w:before="206" w:after="206" w:line="240" w:lineRule="auto"/>
        <w:rPr>
          <w:rFonts w:ascii="Arial" w:eastAsia="Times New Roman" w:hAnsi="Arial" w:cs="Arial"/>
          <w:b/>
          <w:bCs/>
          <w:iCs/>
          <w:lang w:eastAsia="en-IN"/>
        </w:rPr>
      </w:pPr>
    </w:p>
    <w:p w14:paraId="1EAA643D" w14:textId="77777777" w:rsidR="00562583" w:rsidRPr="006A79C5" w:rsidRDefault="00562583" w:rsidP="006F0132">
      <w:pPr>
        <w:shd w:val="clear" w:color="auto" w:fill="FFFFFF"/>
        <w:spacing w:before="206" w:after="206" w:line="240" w:lineRule="auto"/>
        <w:rPr>
          <w:rFonts w:ascii="Arial" w:eastAsia="Times New Roman" w:hAnsi="Arial" w:cs="Arial"/>
          <w:b/>
          <w:bCs/>
          <w:iCs/>
          <w:lang w:eastAsia="en-IN"/>
        </w:rPr>
      </w:pPr>
    </w:p>
    <w:p w14:paraId="09D44796" w14:textId="77777777" w:rsidR="00562583" w:rsidRPr="006A79C5" w:rsidRDefault="00562583" w:rsidP="006F0132">
      <w:pPr>
        <w:shd w:val="clear" w:color="auto" w:fill="FFFFFF"/>
        <w:spacing w:before="206" w:after="206" w:line="240" w:lineRule="auto"/>
        <w:rPr>
          <w:rFonts w:ascii="Arial" w:eastAsia="Times New Roman" w:hAnsi="Arial" w:cs="Arial"/>
          <w:b/>
          <w:bCs/>
          <w:iCs/>
          <w:lang w:eastAsia="en-IN"/>
        </w:rPr>
      </w:pPr>
    </w:p>
    <w:p w14:paraId="2FCB0DA6" w14:textId="77777777" w:rsidR="00562583" w:rsidRPr="006A79C5" w:rsidRDefault="00562583" w:rsidP="006F0132">
      <w:pPr>
        <w:shd w:val="clear" w:color="auto" w:fill="FFFFFF"/>
        <w:spacing w:before="206" w:after="206" w:line="240" w:lineRule="auto"/>
        <w:rPr>
          <w:rFonts w:ascii="Arial" w:eastAsia="Times New Roman" w:hAnsi="Arial" w:cs="Arial"/>
          <w:b/>
          <w:bCs/>
          <w:iCs/>
          <w:lang w:eastAsia="en-IN"/>
        </w:rPr>
      </w:pPr>
    </w:p>
    <w:p w14:paraId="1BD77013" w14:textId="77777777" w:rsidR="00562583" w:rsidRPr="006A79C5" w:rsidRDefault="00562583" w:rsidP="006F0132">
      <w:pPr>
        <w:shd w:val="clear" w:color="auto" w:fill="FFFFFF"/>
        <w:spacing w:before="206" w:after="206" w:line="240" w:lineRule="auto"/>
        <w:rPr>
          <w:rFonts w:ascii="Arial" w:eastAsia="Times New Roman" w:hAnsi="Arial" w:cs="Arial"/>
          <w:b/>
          <w:bCs/>
          <w:iCs/>
          <w:lang w:eastAsia="en-IN"/>
        </w:rPr>
      </w:pPr>
    </w:p>
    <w:p w14:paraId="32F3496B" w14:textId="77777777" w:rsidR="00562583" w:rsidRPr="006A79C5" w:rsidRDefault="00562583" w:rsidP="006F0132">
      <w:pPr>
        <w:shd w:val="clear" w:color="auto" w:fill="FFFFFF"/>
        <w:spacing w:before="206" w:after="206" w:line="240" w:lineRule="auto"/>
        <w:rPr>
          <w:rFonts w:ascii="Arial" w:eastAsia="Times New Roman" w:hAnsi="Arial" w:cs="Arial"/>
          <w:b/>
          <w:bCs/>
          <w:iCs/>
          <w:lang w:eastAsia="en-IN"/>
        </w:rPr>
      </w:pPr>
    </w:p>
    <w:p w14:paraId="116BDE08" w14:textId="7675082C" w:rsidR="00562583" w:rsidRPr="006A79C5" w:rsidRDefault="00DA031B" w:rsidP="006F0132">
      <w:pPr>
        <w:shd w:val="clear" w:color="auto" w:fill="FFFFFF"/>
        <w:spacing w:before="206" w:after="206" w:line="240" w:lineRule="auto"/>
        <w:rPr>
          <w:rFonts w:ascii="Arial" w:eastAsia="Times New Roman" w:hAnsi="Arial" w:cs="Arial"/>
          <w:b/>
          <w:bCs/>
          <w:iCs/>
          <w:lang w:eastAsia="en-IN"/>
        </w:rPr>
      </w:pPr>
      <w:r>
        <w:rPr>
          <w:rFonts w:ascii="Arial" w:eastAsia="Times New Roman" w:hAnsi="Arial" w:cs="Arial"/>
          <w:b/>
          <w:bCs/>
          <w:iCs/>
          <w:lang w:eastAsia="en-IN"/>
        </w:rPr>
        <w:t>Image</w:t>
      </w:r>
      <w:bookmarkStart w:id="0" w:name="_GoBack"/>
      <w:bookmarkEnd w:id="0"/>
      <w:r w:rsidR="00562583" w:rsidRPr="006A79C5">
        <w:rPr>
          <w:rFonts w:ascii="Arial" w:eastAsia="Times New Roman" w:hAnsi="Arial" w:cs="Arial"/>
          <w:b/>
          <w:bCs/>
          <w:iCs/>
          <w:lang w:eastAsia="en-IN"/>
        </w:rPr>
        <w:t xml:space="preserve"> 1</w:t>
      </w:r>
      <w:r w:rsidR="00562583" w:rsidRPr="006A79C5">
        <w:rPr>
          <w:rFonts w:ascii="Arial" w:eastAsia="Times New Roman" w:hAnsi="Arial" w:cs="Arial"/>
          <w:iCs/>
          <w:lang w:eastAsia="en-IN"/>
        </w:rPr>
        <w:t xml:space="preserve">. Schematic workflow showing the synthesis of neem oil </w:t>
      </w:r>
      <w:proofErr w:type="spellStart"/>
      <w:r w:rsidR="00562583" w:rsidRPr="006A79C5">
        <w:rPr>
          <w:rFonts w:ascii="Arial" w:eastAsia="Times New Roman" w:hAnsi="Arial" w:cs="Arial"/>
          <w:iCs/>
          <w:lang w:eastAsia="en-IN"/>
        </w:rPr>
        <w:t>nanoemulsion</w:t>
      </w:r>
      <w:proofErr w:type="spellEnd"/>
      <w:r w:rsidR="00562583" w:rsidRPr="006A79C5">
        <w:rPr>
          <w:rFonts w:ascii="Arial" w:eastAsia="Times New Roman" w:hAnsi="Arial" w:cs="Arial"/>
          <w:iCs/>
          <w:lang w:eastAsia="en-IN"/>
        </w:rPr>
        <w:t xml:space="preserve"> (NON) and the experimental assays performed</w:t>
      </w:r>
    </w:p>
    <w:p w14:paraId="2FDA4240" w14:textId="17409E49" w:rsidR="00D73BA7" w:rsidRPr="006A79C5" w:rsidRDefault="006F0132" w:rsidP="006F0132">
      <w:pPr>
        <w:shd w:val="clear" w:color="auto" w:fill="FFFFFF"/>
        <w:spacing w:before="206" w:after="206" w:line="240" w:lineRule="auto"/>
        <w:rPr>
          <w:rFonts w:ascii="Arial" w:eastAsia="Times New Roman" w:hAnsi="Arial" w:cs="Arial"/>
          <w:iCs/>
          <w:lang w:eastAsia="en-IN"/>
        </w:rPr>
      </w:pPr>
      <w:r w:rsidRPr="006A79C5">
        <w:rPr>
          <w:rFonts w:ascii="Arial" w:eastAsia="Times New Roman" w:hAnsi="Arial" w:cs="Arial"/>
          <w:b/>
          <w:bCs/>
          <w:iCs/>
          <w:lang w:eastAsia="en-IN"/>
        </w:rPr>
        <w:t xml:space="preserve">2.2 </w:t>
      </w:r>
      <w:r w:rsidR="00D73BA7" w:rsidRPr="006A79C5">
        <w:rPr>
          <w:rFonts w:ascii="Arial" w:eastAsia="Times New Roman" w:hAnsi="Arial" w:cs="Arial"/>
          <w:b/>
          <w:bCs/>
          <w:iCs/>
          <w:lang w:eastAsia="en-IN"/>
        </w:rPr>
        <w:t>Antifungal Activity Assay</w:t>
      </w:r>
    </w:p>
    <w:p w14:paraId="0CECDAC2" w14:textId="74B86BD5" w:rsidR="00B0740B" w:rsidRPr="006A79C5" w:rsidRDefault="00D73BA7" w:rsidP="005974D1">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The antifungal efficacy of </w:t>
      </w:r>
      <w:proofErr w:type="gramStart"/>
      <w:r w:rsidRPr="006A79C5">
        <w:rPr>
          <w:rFonts w:ascii="Arial" w:eastAsia="Times New Roman" w:hAnsi="Arial" w:cs="Arial"/>
          <w:sz w:val="20"/>
          <w:szCs w:val="20"/>
          <w:lang w:eastAsia="en-IN"/>
        </w:rPr>
        <w:t>NON was</w:t>
      </w:r>
      <w:proofErr w:type="gramEnd"/>
      <w:r w:rsidRPr="006A79C5">
        <w:rPr>
          <w:rFonts w:ascii="Arial" w:eastAsia="Times New Roman" w:hAnsi="Arial" w:cs="Arial"/>
          <w:sz w:val="20"/>
          <w:szCs w:val="20"/>
          <w:lang w:eastAsia="en-IN"/>
        </w:rPr>
        <w:t xml:space="preserve"> evaluated against </w:t>
      </w:r>
      <w:r w:rsidR="00633EA9" w:rsidRPr="006A79C5">
        <w:rPr>
          <w:rFonts w:ascii="Arial" w:eastAsia="Times New Roman" w:hAnsi="Arial" w:cs="Arial"/>
          <w:i/>
          <w:iCs/>
          <w:sz w:val="20"/>
          <w:szCs w:val="20"/>
          <w:lang w:eastAsia="en-IN"/>
        </w:rPr>
        <w:t>A.</w:t>
      </w:r>
      <w:r w:rsidRPr="006A79C5">
        <w:rPr>
          <w:rFonts w:ascii="Arial" w:eastAsia="Times New Roman" w:hAnsi="Arial" w:cs="Arial"/>
          <w:i/>
          <w:iCs/>
          <w:sz w:val="20"/>
          <w:szCs w:val="20"/>
          <w:lang w:eastAsia="en-IN"/>
        </w:rPr>
        <w:t xml:space="preserve"> flavus</w:t>
      </w:r>
      <w:r w:rsidRPr="006A79C5">
        <w:rPr>
          <w:rFonts w:ascii="Arial" w:eastAsia="Times New Roman" w:hAnsi="Arial" w:cs="Arial"/>
          <w:sz w:val="20"/>
          <w:szCs w:val="20"/>
          <w:lang w:eastAsia="en-IN"/>
        </w:rPr>
        <w:t>, </w:t>
      </w:r>
      <w:r w:rsidRPr="006A79C5">
        <w:rPr>
          <w:rFonts w:ascii="Arial" w:eastAsia="Times New Roman" w:hAnsi="Arial" w:cs="Arial"/>
          <w:i/>
          <w:iCs/>
          <w:sz w:val="20"/>
          <w:szCs w:val="20"/>
          <w:lang w:eastAsia="en-IN"/>
        </w:rPr>
        <w:t xml:space="preserve">A. </w:t>
      </w:r>
      <w:proofErr w:type="spellStart"/>
      <w:r w:rsidRPr="006A79C5">
        <w:rPr>
          <w:rFonts w:ascii="Arial" w:eastAsia="Times New Roman" w:hAnsi="Arial" w:cs="Arial"/>
          <w:i/>
          <w:iCs/>
          <w:sz w:val="20"/>
          <w:szCs w:val="20"/>
          <w:lang w:eastAsia="en-IN"/>
        </w:rPr>
        <w:t>parasiticus</w:t>
      </w:r>
      <w:proofErr w:type="spellEnd"/>
      <w:r w:rsidRPr="006A79C5">
        <w:rPr>
          <w:rFonts w:ascii="Arial" w:eastAsia="Times New Roman" w:hAnsi="Arial" w:cs="Arial"/>
          <w:sz w:val="20"/>
          <w:szCs w:val="20"/>
          <w:lang w:eastAsia="en-IN"/>
        </w:rPr>
        <w:t>, and </w:t>
      </w:r>
      <w:r w:rsidRPr="006A79C5">
        <w:rPr>
          <w:rFonts w:ascii="Arial" w:eastAsia="Times New Roman" w:hAnsi="Arial" w:cs="Arial"/>
          <w:i/>
          <w:iCs/>
          <w:sz w:val="20"/>
          <w:szCs w:val="20"/>
          <w:lang w:eastAsia="en-IN"/>
        </w:rPr>
        <w:t xml:space="preserve">Fusarium </w:t>
      </w:r>
      <w:proofErr w:type="spellStart"/>
      <w:r w:rsidRPr="006A79C5">
        <w:rPr>
          <w:rFonts w:ascii="Arial" w:eastAsia="Times New Roman" w:hAnsi="Arial" w:cs="Arial"/>
          <w:i/>
          <w:iCs/>
          <w:sz w:val="20"/>
          <w:szCs w:val="20"/>
          <w:lang w:eastAsia="en-IN"/>
        </w:rPr>
        <w:t>graminearum</w:t>
      </w:r>
      <w:proofErr w:type="spellEnd"/>
      <w:r w:rsidRPr="006A79C5">
        <w:rPr>
          <w:rFonts w:ascii="Arial" w:eastAsia="Times New Roman" w:hAnsi="Arial" w:cs="Arial"/>
          <w:sz w:val="20"/>
          <w:szCs w:val="20"/>
          <w:lang w:eastAsia="en-IN"/>
        </w:rPr>
        <w:t xml:space="preserve"> using the agar well diffusion method. Potato Dextrose Agar (PDA) was prepared (19.5 g in 500 mL distilled water), </w:t>
      </w:r>
      <w:r w:rsidR="00D20B77" w:rsidRPr="006A79C5">
        <w:rPr>
          <w:rFonts w:ascii="Arial" w:eastAsia="Times New Roman" w:hAnsi="Arial" w:cs="Arial"/>
          <w:sz w:val="20"/>
          <w:szCs w:val="20"/>
          <w:lang w:eastAsia="en-IN"/>
        </w:rPr>
        <w:t>sterilised</w:t>
      </w:r>
      <w:r w:rsidRPr="006A79C5">
        <w:rPr>
          <w:rFonts w:ascii="Arial" w:eastAsia="Times New Roman" w:hAnsi="Arial" w:cs="Arial"/>
          <w:sz w:val="20"/>
          <w:szCs w:val="20"/>
          <w:lang w:eastAsia="en-IN"/>
        </w:rPr>
        <w:t xml:space="preserve"> (121°C, 15 psi, 15 minutes), and poured into Petri dishes. Fungal cultures were inoculated on PDA plates, and wells (8 mm diameter) were punched into the agar. </w:t>
      </w:r>
      <w:r w:rsidR="00D35DD9" w:rsidRPr="006A79C5">
        <w:rPr>
          <w:rFonts w:ascii="Arial" w:eastAsia="Times New Roman" w:hAnsi="Arial" w:cs="Arial"/>
          <w:sz w:val="20"/>
          <w:szCs w:val="20"/>
          <w:lang w:eastAsia="en-IN"/>
        </w:rPr>
        <w:t xml:space="preserve">Neem oil </w:t>
      </w:r>
      <w:proofErr w:type="spellStart"/>
      <w:r w:rsidR="00D35DD9" w:rsidRPr="006A79C5">
        <w:rPr>
          <w:rFonts w:ascii="Arial" w:eastAsia="Times New Roman" w:hAnsi="Arial" w:cs="Arial"/>
          <w:sz w:val="20"/>
          <w:szCs w:val="20"/>
          <w:lang w:eastAsia="en-IN"/>
        </w:rPr>
        <w:t>Nanoemulsion</w:t>
      </w:r>
      <w:proofErr w:type="spellEnd"/>
      <w:r w:rsidR="00D35DD9" w:rsidRPr="006A79C5">
        <w:rPr>
          <w:rFonts w:ascii="Arial" w:eastAsia="Times New Roman" w:hAnsi="Arial" w:cs="Arial"/>
          <w:sz w:val="20"/>
          <w:szCs w:val="20"/>
          <w:lang w:eastAsia="en-IN"/>
        </w:rPr>
        <w:t xml:space="preserve"> (</w:t>
      </w:r>
      <w:r w:rsidRPr="006A79C5">
        <w:rPr>
          <w:rFonts w:ascii="Arial" w:eastAsia="Times New Roman" w:hAnsi="Arial" w:cs="Arial"/>
          <w:sz w:val="20"/>
          <w:szCs w:val="20"/>
          <w:lang w:eastAsia="en-IN"/>
        </w:rPr>
        <w:t>NON</w:t>
      </w:r>
      <w:r w:rsidR="00D35DD9" w:rsidRPr="006A79C5">
        <w:rPr>
          <w:rFonts w:ascii="Arial" w:eastAsia="Times New Roman" w:hAnsi="Arial" w:cs="Arial"/>
          <w:sz w:val="20"/>
          <w:szCs w:val="20"/>
          <w:lang w:eastAsia="en-IN"/>
        </w:rPr>
        <w:t>)</w:t>
      </w:r>
      <w:r w:rsidRPr="006A79C5">
        <w:rPr>
          <w:rFonts w:ascii="Arial" w:eastAsia="Times New Roman" w:hAnsi="Arial" w:cs="Arial"/>
          <w:sz w:val="20"/>
          <w:szCs w:val="20"/>
          <w:lang w:eastAsia="en-IN"/>
        </w:rPr>
        <w:t xml:space="preserve"> was tested at concentrations of 600, 800, and 1000 mg/mL, with 20 µL aliquots loaded into each well. Plates were incubated at 37°C for 72 hours, and zones of inhibition (ZOI) were measured (Bauer et al., 1966).</w:t>
      </w:r>
    </w:p>
    <w:p w14:paraId="3AA1FCB1" w14:textId="59FCBE66" w:rsidR="00D73BA7" w:rsidRPr="006A79C5" w:rsidRDefault="00D35DD9" w:rsidP="00D35DD9">
      <w:pPr>
        <w:shd w:val="clear" w:color="auto" w:fill="FFFFFF"/>
        <w:spacing w:before="206" w:after="206" w:line="240" w:lineRule="auto"/>
        <w:rPr>
          <w:rFonts w:ascii="Arial" w:eastAsia="Times New Roman" w:hAnsi="Arial" w:cs="Arial"/>
          <w:iCs/>
          <w:lang w:eastAsia="en-IN"/>
        </w:rPr>
      </w:pPr>
      <w:r w:rsidRPr="006A79C5">
        <w:rPr>
          <w:rFonts w:ascii="Arial" w:eastAsia="Times New Roman" w:hAnsi="Arial" w:cs="Arial"/>
          <w:b/>
          <w:bCs/>
          <w:iCs/>
          <w:lang w:eastAsia="en-IN"/>
        </w:rPr>
        <w:t xml:space="preserve">2.3 </w:t>
      </w:r>
      <w:r w:rsidR="00D73BA7" w:rsidRPr="006A79C5">
        <w:rPr>
          <w:rFonts w:ascii="Arial" w:eastAsia="Times New Roman" w:hAnsi="Arial" w:cs="Arial"/>
          <w:b/>
          <w:bCs/>
          <w:iCs/>
          <w:lang w:eastAsia="en-IN"/>
        </w:rPr>
        <w:t>Phytotoxicity Tests</w:t>
      </w:r>
    </w:p>
    <w:p w14:paraId="7367E192" w14:textId="7B109519" w:rsidR="00D73BA7" w:rsidRPr="006A79C5" w:rsidRDefault="00D73BA7" w:rsidP="005974D1">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Maize seeds were </w:t>
      </w:r>
      <w:r w:rsidR="00D20B77" w:rsidRPr="006A79C5">
        <w:rPr>
          <w:rFonts w:ascii="Arial" w:eastAsia="Times New Roman" w:hAnsi="Arial" w:cs="Arial"/>
          <w:sz w:val="20"/>
          <w:szCs w:val="20"/>
          <w:lang w:eastAsia="en-IN"/>
        </w:rPr>
        <w:t>surface-sterilised</w:t>
      </w:r>
      <w:r w:rsidRPr="006A79C5">
        <w:rPr>
          <w:rFonts w:ascii="Arial" w:eastAsia="Times New Roman" w:hAnsi="Arial" w:cs="Arial"/>
          <w:sz w:val="20"/>
          <w:szCs w:val="20"/>
          <w:lang w:eastAsia="en-IN"/>
        </w:rPr>
        <w:t xml:space="preserve"> with 1% sodium hypochlorite and rinsed with distilled water. For germination assays, seeds were soaked in NON at concentrations of 6.25 (Ne6.25), 12.5 (Ne12.5), 25 (Ne25), 50 (Ne50), and 100 (Ne100) mg/mL for 30 minutes. Controls included seeds treated with distilled water and raw neem oil. Treated seeds were placed on moist filter paper in </w:t>
      </w:r>
      <w:r w:rsidR="00D20B77" w:rsidRPr="006A79C5">
        <w:rPr>
          <w:rFonts w:ascii="Arial" w:eastAsia="Times New Roman" w:hAnsi="Arial" w:cs="Arial"/>
          <w:sz w:val="20"/>
          <w:szCs w:val="20"/>
          <w:lang w:eastAsia="en-IN"/>
        </w:rPr>
        <w:t>sterilised</w:t>
      </w:r>
      <w:r w:rsidRPr="006A79C5">
        <w:rPr>
          <w:rFonts w:ascii="Arial" w:eastAsia="Times New Roman" w:hAnsi="Arial" w:cs="Arial"/>
          <w:sz w:val="20"/>
          <w:szCs w:val="20"/>
          <w:lang w:eastAsia="en-IN"/>
        </w:rPr>
        <w:t xml:space="preserve"> Petri dishes (10 seeds per dish, three replicates per treatment) and incubated at 25°C.</w:t>
      </w:r>
    </w:p>
    <w:p w14:paraId="7345A4FB" w14:textId="7849F298" w:rsidR="00D73BA7" w:rsidRPr="006A79C5" w:rsidRDefault="00D73BA7" w:rsidP="005974D1">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Germination parameters were recorded daily for 7 days</w:t>
      </w:r>
      <w:r w:rsidR="005B6B35" w:rsidRPr="006A79C5">
        <w:rPr>
          <w:rFonts w:ascii="Arial" w:eastAsia="Times New Roman" w:hAnsi="Arial" w:cs="Arial"/>
          <w:sz w:val="20"/>
          <w:szCs w:val="20"/>
          <w:lang w:eastAsia="en-IN"/>
        </w:rPr>
        <w:t xml:space="preserve"> using the following formula</w:t>
      </w:r>
      <w:r w:rsidRPr="006A79C5">
        <w:rPr>
          <w:rFonts w:ascii="Arial" w:eastAsia="Times New Roman" w:hAnsi="Arial" w:cs="Arial"/>
          <w:sz w:val="20"/>
          <w:szCs w:val="20"/>
          <w:lang w:eastAsia="en-IN"/>
        </w:rPr>
        <w:t>:</w:t>
      </w:r>
    </w:p>
    <w:p w14:paraId="42D4471B" w14:textId="218F569A" w:rsidR="00E677CD" w:rsidRPr="006A79C5" w:rsidRDefault="00C26FD6" w:rsidP="005974D1">
      <w:pPr>
        <w:pStyle w:val="ListParagraph"/>
        <w:shd w:val="clear" w:color="auto" w:fill="FFFFFF"/>
        <w:spacing w:after="100" w:afterAutospacing="1" w:line="240" w:lineRule="auto"/>
        <w:ind w:left="360"/>
        <w:jc w:val="both"/>
        <w:rPr>
          <w:rFonts w:ascii="Arial" w:eastAsia="Times New Roman" w:hAnsi="Arial" w:cs="Arial"/>
          <w:sz w:val="20"/>
          <w:szCs w:val="20"/>
          <w:lang w:eastAsia="en-IN"/>
        </w:rPr>
      </w:pPr>
      <w:r w:rsidRPr="006A79C5">
        <w:rPr>
          <w:rFonts w:ascii="Arial" w:eastAsia="Times New Roman" w:hAnsi="Arial" w:cs="Arial"/>
          <w:bCs/>
          <w:sz w:val="20"/>
          <w:szCs w:val="20"/>
          <w:lang w:eastAsia="en-IN"/>
        </w:rPr>
        <w:t>Germination percentage:</w:t>
      </w:r>
      <w:r w:rsidR="00D73BA7" w:rsidRPr="006A79C5">
        <w:rPr>
          <w:rFonts w:ascii="Arial" w:eastAsia="Times New Roman" w:hAnsi="Arial" w:cs="Arial"/>
          <w:sz w:val="20"/>
          <w:szCs w:val="20"/>
          <w:lang w:eastAsia="en-IN"/>
        </w:rPr>
        <w:t> </w:t>
      </w:r>
      <m:oMath>
        <m:r>
          <w:rPr>
            <w:rFonts w:ascii="Cambria Math" w:eastAsia="Times New Roman" w:hAnsi="Cambria Math" w:cs="Arial"/>
            <w:sz w:val="20"/>
            <w:szCs w:val="20"/>
            <w:lang w:eastAsia="en-IN"/>
          </w:rPr>
          <m:t xml:space="preserve">GP= </m:t>
        </m:r>
        <m:f>
          <m:fPr>
            <m:ctrlPr>
              <w:rPr>
                <w:rFonts w:ascii="Cambria Math" w:eastAsia="Times New Roman" w:hAnsi="Cambria Math" w:cs="Arial"/>
                <w:i/>
                <w:sz w:val="20"/>
                <w:szCs w:val="20"/>
                <w:lang w:eastAsia="en-IN"/>
              </w:rPr>
            </m:ctrlPr>
          </m:fPr>
          <m:num>
            <m:r>
              <m:rPr>
                <m:sty m:val="p"/>
              </m:rPr>
              <w:rPr>
                <w:rFonts w:ascii="Cambria Math" w:eastAsia="Times New Roman" w:hAnsi="Cambria Math" w:cs="Arial"/>
                <w:sz w:val="20"/>
                <w:szCs w:val="20"/>
                <w:bdr w:val="none" w:sz="0" w:space="0" w:color="auto" w:frame="1"/>
                <w:lang w:eastAsia="en-IN"/>
              </w:rPr>
              <m:t>Number of germinated seeds</m:t>
            </m:r>
          </m:num>
          <m:den>
            <m:r>
              <m:rPr>
                <m:sty m:val="p"/>
              </m:rPr>
              <w:rPr>
                <w:rFonts w:ascii="Cambria Math" w:eastAsia="Times New Roman" w:hAnsi="Cambria Math" w:cs="Arial"/>
                <w:sz w:val="20"/>
                <w:szCs w:val="20"/>
                <w:bdr w:val="none" w:sz="0" w:space="0" w:color="auto" w:frame="1"/>
                <w:lang w:eastAsia="en-IN"/>
              </w:rPr>
              <m:t>Total seeds</m:t>
            </m:r>
          </m:den>
        </m:f>
      </m:oMath>
      <w:r w:rsidR="00E677CD" w:rsidRPr="006A79C5">
        <w:rPr>
          <w:rFonts w:ascii="Arial" w:eastAsia="Times New Roman" w:hAnsi="Arial" w:cs="Arial"/>
          <w:sz w:val="20"/>
          <w:szCs w:val="20"/>
          <w:lang w:eastAsia="en-IN"/>
        </w:rPr>
        <w:t xml:space="preserve"> x 100</w:t>
      </w:r>
    </w:p>
    <w:p w14:paraId="0AE47392" w14:textId="51FD4C37" w:rsidR="00E677CD" w:rsidRPr="006A79C5" w:rsidRDefault="00C26FD6" w:rsidP="005974D1">
      <w:pPr>
        <w:pStyle w:val="ListParagraph"/>
        <w:shd w:val="clear" w:color="auto" w:fill="FFFFFF"/>
        <w:spacing w:after="100" w:afterAutospacing="1" w:line="240" w:lineRule="auto"/>
        <w:ind w:left="360"/>
        <w:jc w:val="both"/>
        <w:rPr>
          <w:rFonts w:ascii="Arial" w:eastAsia="Times New Roman" w:hAnsi="Arial" w:cs="Arial"/>
          <w:sz w:val="20"/>
          <w:szCs w:val="20"/>
          <w:lang w:eastAsia="en-IN"/>
        </w:rPr>
      </w:pPr>
      <w:r w:rsidRPr="006A79C5">
        <w:rPr>
          <w:rFonts w:ascii="Arial" w:eastAsia="Times New Roman" w:hAnsi="Arial" w:cs="Arial"/>
          <w:bCs/>
          <w:sz w:val="20"/>
          <w:szCs w:val="20"/>
          <w:lang w:eastAsia="en-IN"/>
        </w:rPr>
        <w:t>Germination rate</w:t>
      </w:r>
      <w:r w:rsidR="00D73BA7" w:rsidRPr="006A79C5">
        <w:rPr>
          <w:rFonts w:ascii="Arial" w:eastAsia="Times New Roman" w:hAnsi="Arial" w:cs="Arial"/>
          <w:sz w:val="20"/>
          <w:szCs w:val="20"/>
          <w:lang w:eastAsia="en-IN"/>
        </w:rPr>
        <w:t>: </w:t>
      </w:r>
      <m:oMath>
        <m:r>
          <w:rPr>
            <w:rFonts w:ascii="Cambria Math" w:eastAsia="Times New Roman" w:hAnsi="Cambria Math" w:cs="Arial"/>
            <w:sz w:val="20"/>
            <w:szCs w:val="20"/>
            <w:lang w:eastAsia="en-IN"/>
          </w:rPr>
          <m:t xml:space="preserve">GR= </m:t>
        </m:r>
        <m:f>
          <m:fPr>
            <m:ctrlPr>
              <w:rPr>
                <w:rFonts w:ascii="Cambria Math" w:eastAsia="Times New Roman" w:hAnsi="Cambria Math" w:cs="Arial"/>
                <w:i/>
                <w:sz w:val="20"/>
                <w:szCs w:val="20"/>
                <w:lang w:eastAsia="en-IN"/>
              </w:rPr>
            </m:ctrlPr>
          </m:fPr>
          <m:num>
            <m:r>
              <m:rPr>
                <m:sty m:val="p"/>
              </m:rPr>
              <w:rPr>
                <w:rFonts w:ascii="Cambria Math" w:eastAsia="Times New Roman" w:hAnsi="Cambria Math" w:cs="Arial"/>
                <w:sz w:val="20"/>
                <w:szCs w:val="20"/>
                <w:bdr w:val="none" w:sz="0" w:space="0" w:color="auto" w:frame="1"/>
                <w:lang w:eastAsia="en-IN"/>
              </w:rPr>
              <m:t>Number of germinated seeds</m:t>
            </m:r>
          </m:num>
          <m:den>
            <m:r>
              <m:rPr>
                <m:sty m:val="p"/>
              </m:rPr>
              <w:rPr>
                <w:rFonts w:ascii="Cambria Math" w:eastAsia="Times New Roman" w:hAnsi="Cambria Math" w:cs="Arial"/>
                <w:sz w:val="20"/>
                <w:szCs w:val="20"/>
                <w:bdr w:val="none" w:sz="0" w:space="0" w:color="auto" w:frame="1"/>
                <w:lang w:eastAsia="en-IN"/>
              </w:rPr>
              <m:t>Days</m:t>
            </m:r>
          </m:den>
        </m:f>
      </m:oMath>
    </w:p>
    <w:p w14:paraId="4E077832" w14:textId="213DDD67" w:rsidR="00E677CD" w:rsidRPr="006A79C5" w:rsidRDefault="00C26FD6" w:rsidP="005974D1">
      <w:pPr>
        <w:pStyle w:val="ListParagraph"/>
        <w:shd w:val="clear" w:color="auto" w:fill="FFFFFF"/>
        <w:spacing w:after="100" w:afterAutospacing="1" w:line="240" w:lineRule="auto"/>
        <w:ind w:left="360"/>
        <w:jc w:val="both"/>
        <w:rPr>
          <w:rFonts w:ascii="Arial" w:eastAsia="Times New Roman" w:hAnsi="Arial" w:cs="Arial"/>
          <w:sz w:val="20"/>
          <w:szCs w:val="20"/>
          <w:lang w:eastAsia="en-IN"/>
        </w:rPr>
      </w:pPr>
      <w:r w:rsidRPr="006A79C5">
        <w:rPr>
          <w:rFonts w:ascii="Arial" w:eastAsia="Times New Roman" w:hAnsi="Arial" w:cs="Arial"/>
          <w:bCs/>
          <w:sz w:val="20"/>
          <w:szCs w:val="20"/>
          <w:lang w:eastAsia="en-IN"/>
        </w:rPr>
        <w:t>Mean germination time:</w:t>
      </w:r>
      <w:r w:rsidR="00D73BA7" w:rsidRPr="006A79C5">
        <w:rPr>
          <w:rFonts w:ascii="Arial" w:eastAsia="Times New Roman" w:hAnsi="Arial" w:cs="Arial"/>
          <w:sz w:val="20"/>
          <w:szCs w:val="20"/>
          <w:lang w:eastAsia="en-IN"/>
        </w:rPr>
        <w:t> </w:t>
      </w:r>
      <m:oMath>
        <m:r>
          <w:rPr>
            <w:rFonts w:ascii="Cambria Math" w:eastAsia="Times New Roman" w:hAnsi="Cambria Math" w:cs="Arial"/>
            <w:sz w:val="20"/>
            <w:szCs w:val="20"/>
            <w:lang w:eastAsia="en-IN"/>
          </w:rPr>
          <m:t xml:space="preserve">MGT= </m:t>
        </m:r>
        <m:f>
          <m:fPr>
            <m:ctrlPr>
              <w:rPr>
                <w:rFonts w:ascii="Cambria Math" w:eastAsia="Times New Roman" w:hAnsi="Cambria Math" w:cs="Arial"/>
                <w:i/>
                <w:sz w:val="20"/>
                <w:szCs w:val="20"/>
                <w:lang w:eastAsia="en-IN"/>
              </w:rPr>
            </m:ctrlPr>
          </m:fPr>
          <m:num>
            <m:r>
              <m:rPr>
                <m:sty m:val="p"/>
              </m:rPr>
              <w:rPr>
                <w:rFonts w:ascii="Cambria Math" w:eastAsia="Times New Roman" w:hAnsi="Cambria Math" w:cs="Arial"/>
                <w:sz w:val="20"/>
                <w:szCs w:val="20"/>
                <w:bdr w:val="none" w:sz="0" w:space="0" w:color="auto" w:frame="1"/>
                <w:lang w:eastAsia="en-IN"/>
              </w:rPr>
              <m:t>∑(Number of germinated seeds×Days)</m:t>
            </m:r>
          </m:num>
          <m:den>
            <m:r>
              <m:rPr>
                <m:sty m:val="p"/>
              </m:rPr>
              <w:rPr>
                <w:rFonts w:ascii="Cambria Math" w:eastAsia="Times New Roman" w:hAnsi="Cambria Math" w:cs="Arial"/>
                <w:sz w:val="20"/>
                <w:szCs w:val="20"/>
                <w:bdr w:val="none" w:sz="0" w:space="0" w:color="auto" w:frame="1"/>
                <w:lang w:eastAsia="en-IN"/>
              </w:rPr>
              <m:t>Total germinated seeds</m:t>
            </m:r>
          </m:den>
        </m:f>
      </m:oMath>
    </w:p>
    <w:p w14:paraId="3BB3E29E" w14:textId="5E2010D3" w:rsidR="00D73BA7" w:rsidRPr="006A79C5" w:rsidRDefault="00D73BA7" w:rsidP="005974D1">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Seedling </w:t>
      </w:r>
      <w:r w:rsidR="005B6B35" w:rsidRPr="006A79C5">
        <w:rPr>
          <w:rFonts w:ascii="Arial" w:eastAsia="Times New Roman" w:hAnsi="Arial" w:cs="Arial"/>
          <w:sz w:val="20"/>
          <w:szCs w:val="20"/>
          <w:lang w:eastAsia="en-IN"/>
        </w:rPr>
        <w:t>vigour</w:t>
      </w:r>
      <w:r w:rsidRPr="006A79C5">
        <w:rPr>
          <w:rFonts w:ascii="Arial" w:eastAsia="Times New Roman" w:hAnsi="Arial" w:cs="Arial"/>
          <w:sz w:val="20"/>
          <w:szCs w:val="20"/>
          <w:lang w:eastAsia="en-IN"/>
        </w:rPr>
        <w:t> was assessed at 7 days after sowing (DAS):</w:t>
      </w:r>
    </w:p>
    <w:p w14:paraId="22842ABA" w14:textId="61550A41" w:rsidR="009801FD" w:rsidRPr="006A79C5" w:rsidRDefault="005B6B35" w:rsidP="005974D1">
      <w:pPr>
        <w:pStyle w:val="ListParagraph"/>
        <w:shd w:val="clear" w:color="auto" w:fill="FFFFFF"/>
        <w:spacing w:after="100" w:afterAutospacing="1" w:line="240" w:lineRule="auto"/>
        <w:ind w:left="360"/>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Radicle and plumule lengths were m</w:t>
      </w:r>
      <w:r w:rsidR="00D73BA7" w:rsidRPr="006A79C5">
        <w:rPr>
          <w:rFonts w:ascii="Arial" w:eastAsia="Times New Roman" w:hAnsi="Arial" w:cs="Arial"/>
          <w:sz w:val="20"/>
          <w:szCs w:val="20"/>
          <w:lang w:eastAsia="en-IN"/>
        </w:rPr>
        <w:t xml:space="preserve">easured using a digital </w:t>
      </w:r>
      <w:r w:rsidRPr="006A79C5">
        <w:rPr>
          <w:rFonts w:ascii="Arial" w:eastAsia="Times New Roman" w:hAnsi="Arial" w:cs="Arial"/>
          <w:sz w:val="20"/>
          <w:szCs w:val="20"/>
          <w:lang w:eastAsia="en-IN"/>
        </w:rPr>
        <w:t>calliper</w:t>
      </w:r>
      <w:r w:rsidR="00D73BA7" w:rsidRPr="006A79C5">
        <w:rPr>
          <w:rFonts w:ascii="Arial" w:eastAsia="Times New Roman" w:hAnsi="Arial" w:cs="Arial"/>
          <w:sz w:val="20"/>
          <w:szCs w:val="20"/>
          <w:lang w:eastAsia="en-IN"/>
        </w:rPr>
        <w:t>.</w:t>
      </w:r>
      <w:r w:rsidRPr="006A79C5">
        <w:rPr>
          <w:rFonts w:ascii="Arial" w:eastAsia="Times New Roman" w:hAnsi="Arial" w:cs="Arial"/>
          <w:sz w:val="20"/>
          <w:szCs w:val="20"/>
          <w:lang w:eastAsia="en-IN"/>
        </w:rPr>
        <w:t xml:space="preserve"> </w:t>
      </w:r>
      <w:r w:rsidR="00D73BA7" w:rsidRPr="006A79C5">
        <w:rPr>
          <w:rFonts w:ascii="Arial" w:eastAsia="Times New Roman" w:hAnsi="Arial" w:cs="Arial"/>
          <w:sz w:val="20"/>
          <w:szCs w:val="20"/>
          <w:lang w:eastAsia="en-IN"/>
        </w:rPr>
        <w:t>Seedling</w:t>
      </w:r>
      <w:r w:rsidRPr="006A79C5">
        <w:rPr>
          <w:rFonts w:ascii="Arial" w:eastAsia="Times New Roman" w:hAnsi="Arial" w:cs="Arial"/>
          <w:sz w:val="20"/>
          <w:szCs w:val="20"/>
          <w:lang w:eastAsia="en-IN"/>
        </w:rPr>
        <w:t xml:space="preserve"> dry weight (SDW) was obtained by oven-drying</w:t>
      </w:r>
      <w:r w:rsidR="00D73BA7" w:rsidRPr="006A79C5">
        <w:rPr>
          <w:rFonts w:ascii="Arial" w:eastAsia="Times New Roman" w:hAnsi="Arial" w:cs="Arial"/>
          <w:sz w:val="20"/>
          <w:szCs w:val="20"/>
          <w:lang w:eastAsia="en-IN"/>
        </w:rPr>
        <w:t xml:space="preserve"> at 70°C for 48 hours.</w:t>
      </w:r>
      <w:r w:rsidRPr="006A79C5">
        <w:rPr>
          <w:rFonts w:ascii="Arial" w:eastAsia="Times New Roman" w:hAnsi="Arial" w:cs="Arial"/>
          <w:sz w:val="20"/>
          <w:szCs w:val="20"/>
          <w:lang w:eastAsia="en-IN"/>
        </w:rPr>
        <w:t xml:space="preserve"> The </w:t>
      </w:r>
      <w:r w:rsidR="00A9539C" w:rsidRPr="006A79C5">
        <w:rPr>
          <w:rFonts w:ascii="Arial" w:eastAsia="Times New Roman" w:hAnsi="Arial" w:cs="Arial"/>
          <w:sz w:val="20"/>
          <w:szCs w:val="20"/>
          <w:lang w:eastAsia="en-IN"/>
        </w:rPr>
        <w:t>SVI formula computed the seedling vigo</w:t>
      </w:r>
      <w:r w:rsidR="00C26FD6" w:rsidRPr="006A79C5">
        <w:rPr>
          <w:rFonts w:ascii="Arial" w:eastAsia="Times New Roman" w:hAnsi="Arial" w:cs="Arial"/>
          <w:sz w:val="20"/>
          <w:szCs w:val="20"/>
          <w:lang w:eastAsia="en-IN"/>
        </w:rPr>
        <w:t>u</w:t>
      </w:r>
      <w:r w:rsidR="00A9539C" w:rsidRPr="006A79C5">
        <w:rPr>
          <w:rFonts w:ascii="Arial" w:eastAsia="Times New Roman" w:hAnsi="Arial" w:cs="Arial"/>
          <w:sz w:val="20"/>
          <w:szCs w:val="20"/>
          <w:lang w:eastAsia="en-IN"/>
        </w:rPr>
        <w:t>r index</w:t>
      </w:r>
      <w:r w:rsidR="00EA5CC4" w:rsidRPr="006A79C5">
        <w:rPr>
          <w:rFonts w:ascii="Arial" w:eastAsia="Times New Roman" w:hAnsi="Arial" w:cs="Arial"/>
          <w:sz w:val="20"/>
          <w:szCs w:val="20"/>
          <w:lang w:eastAsia="en-IN"/>
        </w:rPr>
        <w:t xml:space="preserve">, </w:t>
      </w:r>
    </w:p>
    <w:p w14:paraId="03284ABB" w14:textId="46F53D6E" w:rsidR="009801FD" w:rsidRPr="006A79C5" w:rsidRDefault="009801FD" w:rsidP="005974D1">
      <w:pPr>
        <w:pStyle w:val="ListParagraph"/>
        <w:shd w:val="clear" w:color="auto" w:fill="FFFFFF"/>
        <w:spacing w:after="100" w:afterAutospacing="1" w:line="240" w:lineRule="auto"/>
        <w:ind w:left="360"/>
        <w:jc w:val="both"/>
        <w:rPr>
          <w:rFonts w:ascii="Arial" w:eastAsia="Times New Roman" w:hAnsi="Arial" w:cs="Arial"/>
          <w:sz w:val="20"/>
          <w:szCs w:val="20"/>
          <w:bdr w:val="none" w:sz="0" w:space="0" w:color="auto" w:frame="1"/>
          <w:lang w:eastAsia="en-IN"/>
        </w:rPr>
      </w:pPr>
      <w:r w:rsidRPr="006A79C5">
        <w:rPr>
          <w:rFonts w:ascii="Arial" w:eastAsia="Times New Roman" w:hAnsi="Arial" w:cs="Arial"/>
          <w:sz w:val="20"/>
          <w:szCs w:val="20"/>
          <w:lang w:eastAsia="en-IN"/>
        </w:rPr>
        <w:t>Where</w:t>
      </w:r>
      <w:r w:rsidR="00EA5CC4" w:rsidRPr="006A79C5">
        <w:rPr>
          <w:rFonts w:ascii="Arial" w:eastAsia="Times New Roman" w:hAnsi="Arial" w:cs="Arial"/>
          <w:sz w:val="20"/>
          <w:szCs w:val="20"/>
          <w:lang w:eastAsia="en-IN"/>
        </w:rPr>
        <w:t xml:space="preserve"> </w:t>
      </w:r>
      <w:r w:rsidR="00D73BA7" w:rsidRPr="006A79C5">
        <w:rPr>
          <w:rFonts w:ascii="Arial" w:eastAsia="Times New Roman" w:hAnsi="Arial" w:cs="Arial"/>
          <w:sz w:val="20"/>
          <w:szCs w:val="20"/>
          <w:bdr w:val="none" w:sz="0" w:space="0" w:color="auto" w:frame="1"/>
          <w:lang w:eastAsia="en-IN"/>
        </w:rPr>
        <w:t>SVI=</w:t>
      </w:r>
      <w:r w:rsidR="00A9539C" w:rsidRPr="006A79C5">
        <w:rPr>
          <w:rFonts w:ascii="Arial" w:eastAsia="Times New Roman" w:hAnsi="Arial" w:cs="Arial"/>
          <w:sz w:val="20"/>
          <w:szCs w:val="20"/>
          <w:bdr w:val="none" w:sz="0" w:space="0" w:color="auto" w:frame="1"/>
          <w:lang w:eastAsia="en-IN"/>
        </w:rPr>
        <w:t>Germination percentage (</w:t>
      </w:r>
      <w:r w:rsidR="00D73BA7" w:rsidRPr="006A79C5">
        <w:rPr>
          <w:rFonts w:ascii="Arial" w:eastAsia="Times New Roman" w:hAnsi="Arial" w:cs="Arial"/>
          <w:sz w:val="20"/>
          <w:szCs w:val="20"/>
          <w:bdr w:val="none" w:sz="0" w:space="0" w:color="auto" w:frame="1"/>
          <w:lang w:eastAsia="en-IN"/>
        </w:rPr>
        <w:t>GP</w:t>
      </w:r>
      <w:r w:rsidR="00A9539C" w:rsidRPr="006A79C5">
        <w:rPr>
          <w:rFonts w:ascii="Arial" w:eastAsia="Times New Roman" w:hAnsi="Arial" w:cs="Arial"/>
          <w:sz w:val="20"/>
          <w:szCs w:val="20"/>
          <w:bdr w:val="none" w:sz="0" w:space="0" w:color="auto" w:frame="1"/>
          <w:lang w:eastAsia="en-IN"/>
        </w:rPr>
        <w:t xml:space="preserve">) </w:t>
      </w:r>
      <w:r w:rsidR="00D73BA7" w:rsidRPr="006A79C5">
        <w:rPr>
          <w:rFonts w:ascii="Arial" w:eastAsia="Times New Roman" w:hAnsi="Arial" w:cs="Arial"/>
          <w:sz w:val="20"/>
          <w:szCs w:val="20"/>
          <w:bdr w:val="none" w:sz="0" w:space="0" w:color="auto" w:frame="1"/>
          <w:lang w:eastAsia="en-IN"/>
        </w:rPr>
        <w:t>×</w:t>
      </w:r>
      <w:r w:rsidR="00A9539C" w:rsidRPr="006A79C5">
        <w:rPr>
          <w:rFonts w:ascii="Arial" w:eastAsia="Times New Roman" w:hAnsi="Arial" w:cs="Arial"/>
          <w:sz w:val="20"/>
          <w:szCs w:val="20"/>
          <w:bdr w:val="none" w:sz="0" w:space="0" w:color="auto" w:frame="1"/>
          <w:lang w:eastAsia="en-IN"/>
        </w:rPr>
        <w:t xml:space="preserve"> Seedling dry weight (</w:t>
      </w:r>
      <w:r w:rsidR="00D73BA7" w:rsidRPr="006A79C5">
        <w:rPr>
          <w:rFonts w:ascii="Arial" w:eastAsia="Times New Roman" w:hAnsi="Arial" w:cs="Arial"/>
          <w:sz w:val="20"/>
          <w:szCs w:val="20"/>
          <w:bdr w:val="none" w:sz="0" w:space="0" w:color="auto" w:frame="1"/>
          <w:lang w:eastAsia="en-IN"/>
        </w:rPr>
        <w:t>SDW</w:t>
      </w:r>
      <w:r w:rsidR="00A9539C" w:rsidRPr="006A79C5">
        <w:rPr>
          <w:rFonts w:ascii="Arial" w:eastAsia="Times New Roman" w:hAnsi="Arial" w:cs="Arial"/>
          <w:sz w:val="20"/>
          <w:szCs w:val="20"/>
          <w:bdr w:val="none" w:sz="0" w:space="0" w:color="auto" w:frame="1"/>
          <w:lang w:eastAsia="en-IN"/>
        </w:rPr>
        <w:t>)</w:t>
      </w:r>
    </w:p>
    <w:p w14:paraId="5DB756DE" w14:textId="3BC7A021" w:rsidR="009965F8" w:rsidRPr="006A79C5" w:rsidRDefault="00A9539C" w:rsidP="005974D1">
      <w:pPr>
        <w:pStyle w:val="ListParagraph"/>
        <w:shd w:val="clear" w:color="auto" w:fill="FFFFFF"/>
        <w:spacing w:after="100" w:afterAutospacing="1" w:line="240" w:lineRule="auto"/>
        <w:ind w:left="360"/>
        <w:jc w:val="both"/>
        <w:rPr>
          <w:rFonts w:ascii="Arial" w:eastAsia="Times New Roman" w:hAnsi="Arial" w:cs="Arial"/>
          <w:sz w:val="20"/>
          <w:szCs w:val="20"/>
          <w:lang w:eastAsia="en-IN"/>
        </w:rPr>
      </w:pPr>
      <w:r w:rsidRPr="006A79C5">
        <w:rPr>
          <w:rFonts w:ascii="Arial" w:eastAsia="Times New Roman" w:hAnsi="Arial" w:cs="Arial"/>
          <w:sz w:val="20"/>
          <w:szCs w:val="20"/>
          <w:bdr w:val="none" w:sz="0" w:space="0" w:color="auto" w:frame="1"/>
          <w:lang w:eastAsia="en-IN"/>
        </w:rPr>
        <w:t xml:space="preserve"> (</w:t>
      </w:r>
      <w:r w:rsidR="00D73BA7" w:rsidRPr="006A79C5">
        <w:rPr>
          <w:rFonts w:ascii="Arial" w:eastAsia="Times New Roman" w:hAnsi="Arial" w:cs="Arial"/>
          <w:sz w:val="20"/>
          <w:szCs w:val="20"/>
          <w:lang w:eastAsia="en-IN"/>
        </w:rPr>
        <w:t>Abdul-Baki and Anderson, 1973).</w:t>
      </w:r>
    </w:p>
    <w:p w14:paraId="1EE953A6" w14:textId="77777777" w:rsidR="00EA5CC4" w:rsidRPr="006A79C5" w:rsidRDefault="00EA5CC4" w:rsidP="00D35DD9">
      <w:pPr>
        <w:pStyle w:val="ListParagraph"/>
        <w:shd w:val="clear" w:color="auto" w:fill="FFFFFF"/>
        <w:spacing w:after="100" w:afterAutospacing="1" w:line="240" w:lineRule="auto"/>
        <w:ind w:left="360"/>
        <w:rPr>
          <w:rFonts w:ascii="Arial" w:eastAsia="Times New Roman" w:hAnsi="Arial" w:cs="Arial"/>
          <w:lang w:eastAsia="en-IN"/>
        </w:rPr>
      </w:pPr>
    </w:p>
    <w:p w14:paraId="06B5B02C" w14:textId="1063BD7A" w:rsidR="00D73BA7" w:rsidRPr="006A79C5" w:rsidRDefault="00D35DD9" w:rsidP="00D35DD9">
      <w:pPr>
        <w:shd w:val="clear" w:color="auto" w:fill="FFFFFF"/>
        <w:spacing w:after="100" w:afterAutospacing="1" w:line="240" w:lineRule="auto"/>
        <w:rPr>
          <w:rFonts w:ascii="Arial" w:eastAsia="Times New Roman" w:hAnsi="Arial" w:cs="Arial"/>
          <w:sz w:val="20"/>
          <w:szCs w:val="20"/>
          <w:lang w:eastAsia="en-IN"/>
        </w:rPr>
      </w:pPr>
      <w:r w:rsidRPr="006A79C5">
        <w:rPr>
          <w:rFonts w:ascii="Arial" w:eastAsia="Times New Roman" w:hAnsi="Arial" w:cs="Arial"/>
          <w:b/>
          <w:bCs/>
          <w:lang w:eastAsia="en-IN"/>
        </w:rPr>
        <w:t xml:space="preserve">2.4 </w:t>
      </w:r>
      <w:r w:rsidR="00D73BA7" w:rsidRPr="006A79C5">
        <w:rPr>
          <w:rFonts w:ascii="Arial" w:eastAsia="Times New Roman" w:hAnsi="Arial" w:cs="Arial"/>
          <w:b/>
          <w:bCs/>
          <w:lang w:eastAsia="en-IN"/>
        </w:rPr>
        <w:t>Statistical Analysis</w:t>
      </w:r>
    </w:p>
    <w:p w14:paraId="5D3D2ECA" w14:textId="1F293FF2" w:rsidR="009965F8" w:rsidRPr="006A79C5" w:rsidRDefault="00D73BA7" w:rsidP="005974D1">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Data were </w:t>
      </w:r>
      <w:r w:rsidR="00D20B77" w:rsidRPr="006A79C5">
        <w:rPr>
          <w:rFonts w:ascii="Arial" w:eastAsia="Times New Roman" w:hAnsi="Arial" w:cs="Arial"/>
          <w:sz w:val="20"/>
          <w:szCs w:val="20"/>
          <w:lang w:eastAsia="en-IN"/>
        </w:rPr>
        <w:t>analysed</w:t>
      </w:r>
      <w:r w:rsidRPr="006A79C5">
        <w:rPr>
          <w:rFonts w:ascii="Arial" w:eastAsia="Times New Roman" w:hAnsi="Arial" w:cs="Arial"/>
          <w:sz w:val="20"/>
          <w:szCs w:val="20"/>
          <w:lang w:eastAsia="en-IN"/>
        </w:rPr>
        <w:t xml:space="preserve"> using SPSS version 20. One-way ANOVA followed by Duncan’s Multiple Range Test (DMRT) at </w:t>
      </w:r>
      <w:r w:rsidRPr="006A79C5">
        <w:rPr>
          <w:rFonts w:ascii="Arial" w:eastAsia="Times New Roman" w:hAnsi="Arial" w:cs="Arial"/>
          <w:i/>
          <w:iCs/>
          <w:sz w:val="20"/>
          <w:szCs w:val="20"/>
          <w:lang w:eastAsia="en-IN"/>
        </w:rPr>
        <w:t>p</w:t>
      </w:r>
      <w:r w:rsidRPr="006A79C5">
        <w:rPr>
          <w:rFonts w:ascii="Arial" w:eastAsia="Times New Roman" w:hAnsi="Arial" w:cs="Arial"/>
          <w:sz w:val="20"/>
          <w:szCs w:val="20"/>
          <w:lang w:eastAsia="en-IN"/>
        </w:rPr>
        <w:t>&lt;0.05 determined significant differences between treatments. Results are presented as mean ± standard deviation of three replicates.</w:t>
      </w:r>
    </w:p>
    <w:p w14:paraId="5C15948C" w14:textId="5070C10A" w:rsidR="009965F8" w:rsidRPr="006A79C5" w:rsidRDefault="00D35DD9" w:rsidP="005974D1">
      <w:pPr>
        <w:shd w:val="clear" w:color="auto" w:fill="FFFFFF"/>
        <w:spacing w:before="206" w:after="206" w:line="240" w:lineRule="auto"/>
        <w:jc w:val="both"/>
        <w:rPr>
          <w:rFonts w:ascii="Arial" w:eastAsia="Times New Roman" w:hAnsi="Arial" w:cs="Arial"/>
          <w:sz w:val="24"/>
          <w:szCs w:val="24"/>
          <w:lang w:eastAsia="en-IN"/>
        </w:rPr>
      </w:pPr>
      <w:r w:rsidRPr="006A79C5">
        <w:rPr>
          <w:rFonts w:ascii="Arial" w:eastAsia="Times New Roman" w:hAnsi="Arial" w:cs="Arial"/>
          <w:b/>
          <w:bCs/>
          <w:sz w:val="24"/>
          <w:szCs w:val="24"/>
          <w:lang w:eastAsia="en-IN"/>
        </w:rPr>
        <w:t>3. RESULTS</w:t>
      </w:r>
      <w:r w:rsidR="00FF29E2" w:rsidRPr="006A79C5">
        <w:rPr>
          <w:rFonts w:ascii="Arial" w:eastAsia="Times New Roman" w:hAnsi="Arial" w:cs="Arial"/>
          <w:b/>
          <w:bCs/>
          <w:sz w:val="24"/>
          <w:szCs w:val="24"/>
          <w:lang w:eastAsia="en-IN"/>
        </w:rPr>
        <w:t xml:space="preserve"> AND DISCUSSION</w:t>
      </w:r>
    </w:p>
    <w:p w14:paraId="56D4CA7B" w14:textId="6CE40757" w:rsidR="00952F2F" w:rsidRPr="006A79C5" w:rsidRDefault="00D35DD9" w:rsidP="005974D1">
      <w:pPr>
        <w:shd w:val="clear" w:color="auto" w:fill="FFFFFF"/>
        <w:spacing w:before="206" w:after="206" w:line="240" w:lineRule="auto"/>
        <w:jc w:val="both"/>
        <w:rPr>
          <w:rFonts w:ascii="Arial" w:eastAsia="Times New Roman" w:hAnsi="Arial" w:cs="Arial"/>
          <w:iCs/>
          <w:lang w:eastAsia="en-IN"/>
        </w:rPr>
      </w:pPr>
      <w:r w:rsidRPr="006A79C5">
        <w:rPr>
          <w:rFonts w:ascii="Arial" w:eastAsia="Times New Roman" w:hAnsi="Arial" w:cs="Arial"/>
          <w:b/>
          <w:bCs/>
          <w:iCs/>
          <w:lang w:eastAsia="en-IN"/>
        </w:rPr>
        <w:t xml:space="preserve">3.1 </w:t>
      </w:r>
      <w:r w:rsidR="00952F2F" w:rsidRPr="006A79C5">
        <w:rPr>
          <w:rFonts w:ascii="Arial" w:eastAsia="Times New Roman" w:hAnsi="Arial" w:cs="Arial"/>
          <w:b/>
          <w:bCs/>
          <w:iCs/>
          <w:lang w:eastAsia="en-IN"/>
        </w:rPr>
        <w:t xml:space="preserve">Antifungal Activity of Neem Oil </w:t>
      </w:r>
      <w:proofErr w:type="spellStart"/>
      <w:r w:rsidR="00952F2F" w:rsidRPr="006A79C5">
        <w:rPr>
          <w:rFonts w:ascii="Arial" w:eastAsia="Times New Roman" w:hAnsi="Arial" w:cs="Arial"/>
          <w:b/>
          <w:bCs/>
          <w:iCs/>
          <w:lang w:eastAsia="en-IN"/>
        </w:rPr>
        <w:t>Nanoemulsion</w:t>
      </w:r>
      <w:proofErr w:type="spellEnd"/>
    </w:p>
    <w:p w14:paraId="3C68A906" w14:textId="2C63AC10" w:rsidR="00952F2F" w:rsidRPr="006A79C5" w:rsidRDefault="00952F2F" w:rsidP="005974D1">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The neem oil </w:t>
      </w:r>
      <w:proofErr w:type="spellStart"/>
      <w:r w:rsidRPr="006A79C5">
        <w:rPr>
          <w:rFonts w:ascii="Arial" w:eastAsia="Times New Roman" w:hAnsi="Arial" w:cs="Arial"/>
          <w:sz w:val="20"/>
          <w:szCs w:val="20"/>
          <w:lang w:eastAsia="en-IN"/>
        </w:rPr>
        <w:t>nanoemulsion</w:t>
      </w:r>
      <w:proofErr w:type="spellEnd"/>
      <w:r w:rsidRPr="006A79C5">
        <w:rPr>
          <w:rFonts w:ascii="Arial" w:eastAsia="Times New Roman" w:hAnsi="Arial" w:cs="Arial"/>
          <w:sz w:val="20"/>
          <w:szCs w:val="20"/>
          <w:lang w:eastAsia="en-IN"/>
        </w:rPr>
        <w:t xml:space="preserve"> (NON) exhibited potent antifungal activity against </w:t>
      </w:r>
      <w:r w:rsidR="006D578B" w:rsidRPr="006A79C5">
        <w:rPr>
          <w:rFonts w:ascii="Arial" w:eastAsia="Times New Roman" w:hAnsi="Arial" w:cs="Arial"/>
          <w:i/>
          <w:iCs/>
          <w:sz w:val="20"/>
          <w:szCs w:val="20"/>
          <w:lang w:eastAsia="en-IN"/>
        </w:rPr>
        <w:t xml:space="preserve">A. </w:t>
      </w:r>
      <w:r w:rsidRPr="006A79C5">
        <w:rPr>
          <w:rFonts w:ascii="Arial" w:eastAsia="Times New Roman" w:hAnsi="Arial" w:cs="Arial"/>
          <w:i/>
          <w:iCs/>
          <w:sz w:val="20"/>
          <w:szCs w:val="20"/>
          <w:lang w:eastAsia="en-IN"/>
        </w:rPr>
        <w:t>flavus</w:t>
      </w:r>
      <w:r w:rsidRPr="006A79C5">
        <w:rPr>
          <w:rFonts w:ascii="Arial" w:eastAsia="Times New Roman" w:hAnsi="Arial" w:cs="Arial"/>
          <w:sz w:val="20"/>
          <w:szCs w:val="20"/>
          <w:lang w:eastAsia="en-IN"/>
        </w:rPr>
        <w:t>, </w:t>
      </w:r>
      <w:r w:rsidRPr="006A79C5">
        <w:rPr>
          <w:rFonts w:ascii="Arial" w:eastAsia="Times New Roman" w:hAnsi="Arial" w:cs="Arial"/>
          <w:i/>
          <w:iCs/>
          <w:sz w:val="20"/>
          <w:szCs w:val="20"/>
          <w:lang w:eastAsia="en-IN"/>
        </w:rPr>
        <w:t xml:space="preserve">A. </w:t>
      </w:r>
      <w:proofErr w:type="spellStart"/>
      <w:r w:rsidRPr="006A79C5">
        <w:rPr>
          <w:rFonts w:ascii="Arial" w:eastAsia="Times New Roman" w:hAnsi="Arial" w:cs="Arial"/>
          <w:i/>
          <w:iCs/>
          <w:sz w:val="20"/>
          <w:szCs w:val="20"/>
          <w:lang w:eastAsia="en-IN"/>
        </w:rPr>
        <w:t>parasiticus</w:t>
      </w:r>
      <w:proofErr w:type="spellEnd"/>
      <w:r w:rsidRPr="006A79C5">
        <w:rPr>
          <w:rFonts w:ascii="Arial" w:eastAsia="Times New Roman" w:hAnsi="Arial" w:cs="Arial"/>
          <w:sz w:val="20"/>
          <w:szCs w:val="20"/>
          <w:lang w:eastAsia="en-IN"/>
        </w:rPr>
        <w:t>, and </w:t>
      </w:r>
      <w:r w:rsidRPr="006A79C5">
        <w:rPr>
          <w:rFonts w:ascii="Arial" w:eastAsia="Times New Roman" w:hAnsi="Arial" w:cs="Arial"/>
          <w:i/>
          <w:iCs/>
          <w:sz w:val="20"/>
          <w:szCs w:val="20"/>
          <w:lang w:eastAsia="en-IN"/>
        </w:rPr>
        <w:t xml:space="preserve">Fusarium </w:t>
      </w:r>
      <w:proofErr w:type="spellStart"/>
      <w:r w:rsidRPr="006A79C5">
        <w:rPr>
          <w:rFonts w:ascii="Arial" w:eastAsia="Times New Roman" w:hAnsi="Arial" w:cs="Arial"/>
          <w:i/>
          <w:iCs/>
          <w:sz w:val="20"/>
          <w:szCs w:val="20"/>
          <w:lang w:eastAsia="en-IN"/>
        </w:rPr>
        <w:t>graminearum</w:t>
      </w:r>
      <w:proofErr w:type="spellEnd"/>
      <w:r w:rsidRPr="006A79C5">
        <w:rPr>
          <w:rFonts w:ascii="Arial" w:eastAsia="Times New Roman" w:hAnsi="Arial" w:cs="Arial"/>
          <w:sz w:val="20"/>
          <w:szCs w:val="20"/>
          <w:lang w:eastAsia="en-IN"/>
        </w:rPr>
        <w:t> at all tested concentrations (600–1000 mg/mL). The agar well diffusion assay revealed a consistent zone of inhibition (ZOI) of 34.00 ± 0.50 mm for all three fungi, with no significant differences (</w:t>
      </w:r>
      <w:r w:rsidRPr="006A79C5">
        <w:rPr>
          <w:rFonts w:ascii="Arial" w:eastAsia="Times New Roman" w:hAnsi="Arial" w:cs="Arial"/>
          <w:i/>
          <w:iCs/>
          <w:sz w:val="20"/>
          <w:szCs w:val="20"/>
          <w:lang w:eastAsia="en-IN"/>
        </w:rPr>
        <w:t>p</w:t>
      </w:r>
      <w:r w:rsidRPr="006A79C5">
        <w:rPr>
          <w:rFonts w:ascii="Arial" w:eastAsia="Times New Roman" w:hAnsi="Arial" w:cs="Arial"/>
          <w:sz w:val="20"/>
          <w:szCs w:val="20"/>
          <w:lang w:eastAsia="en-IN"/>
        </w:rPr>
        <w:t>&gt;0.05) between concentrations (Table 1). Complete mycelial growth inhibition was observed at 3 days after inoculation (DAI), confirming NON’s efficacy as a broad-s</w:t>
      </w:r>
      <w:r w:rsidR="00A94834" w:rsidRPr="006A79C5">
        <w:rPr>
          <w:rFonts w:ascii="Arial" w:eastAsia="Times New Roman" w:hAnsi="Arial" w:cs="Arial"/>
          <w:sz w:val="20"/>
          <w:szCs w:val="20"/>
          <w:lang w:eastAsia="en-IN"/>
        </w:rPr>
        <w:t>pectrum antifungal agent (Plates</w:t>
      </w:r>
      <w:r w:rsidRPr="006A79C5">
        <w:rPr>
          <w:rFonts w:ascii="Arial" w:eastAsia="Times New Roman" w:hAnsi="Arial" w:cs="Arial"/>
          <w:sz w:val="20"/>
          <w:szCs w:val="20"/>
          <w:lang w:eastAsia="en-IN"/>
        </w:rPr>
        <w:t xml:space="preserve"> 1</w:t>
      </w:r>
      <w:r w:rsidR="00633EA9" w:rsidRPr="006A79C5">
        <w:rPr>
          <w:rFonts w:ascii="Arial" w:eastAsia="Times New Roman" w:hAnsi="Arial" w:cs="Arial"/>
          <w:sz w:val="20"/>
          <w:szCs w:val="20"/>
          <w:lang w:eastAsia="en-IN"/>
        </w:rPr>
        <w:t>, 2</w:t>
      </w:r>
      <w:r w:rsidR="006D578B" w:rsidRPr="006A79C5">
        <w:rPr>
          <w:rFonts w:ascii="Arial" w:eastAsia="Times New Roman" w:hAnsi="Arial" w:cs="Arial"/>
          <w:sz w:val="20"/>
          <w:szCs w:val="20"/>
          <w:lang w:eastAsia="en-IN"/>
        </w:rPr>
        <w:t>, 3, 4</w:t>
      </w:r>
      <w:r w:rsidRPr="006A79C5">
        <w:rPr>
          <w:rFonts w:ascii="Arial" w:eastAsia="Times New Roman" w:hAnsi="Arial" w:cs="Arial"/>
          <w:sz w:val="20"/>
          <w:szCs w:val="20"/>
          <w:lang w:eastAsia="en-IN"/>
        </w:rPr>
        <w:t>).</w:t>
      </w:r>
    </w:p>
    <w:p w14:paraId="53FD0E25" w14:textId="22A090C0" w:rsidR="00786912" w:rsidRPr="006A79C5" w:rsidRDefault="00FF29E2" w:rsidP="00786912">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The neem oil </w:t>
      </w:r>
      <w:proofErr w:type="spellStart"/>
      <w:r w:rsidRPr="006A79C5">
        <w:rPr>
          <w:rFonts w:ascii="Arial" w:eastAsia="Times New Roman" w:hAnsi="Arial" w:cs="Arial"/>
          <w:sz w:val="20"/>
          <w:szCs w:val="20"/>
          <w:lang w:eastAsia="en-IN"/>
        </w:rPr>
        <w:t>nanoemulsion</w:t>
      </w:r>
      <w:proofErr w:type="spellEnd"/>
      <w:r w:rsidRPr="006A79C5">
        <w:rPr>
          <w:rFonts w:ascii="Arial" w:eastAsia="Times New Roman" w:hAnsi="Arial" w:cs="Arial"/>
          <w:sz w:val="20"/>
          <w:szCs w:val="20"/>
          <w:lang w:eastAsia="en-IN"/>
        </w:rPr>
        <w:t xml:space="preserve"> (NON) demonstrated exceptional antifungal efficacy, achieving 100% inhibition of </w:t>
      </w:r>
      <w:r w:rsidRPr="006A79C5">
        <w:rPr>
          <w:rFonts w:ascii="Arial" w:eastAsia="Times New Roman" w:hAnsi="Arial" w:cs="Arial"/>
          <w:i/>
          <w:iCs/>
          <w:sz w:val="20"/>
          <w:szCs w:val="20"/>
          <w:lang w:eastAsia="en-IN"/>
        </w:rPr>
        <w:t>A. flavus</w:t>
      </w:r>
      <w:r w:rsidRPr="006A79C5">
        <w:rPr>
          <w:rFonts w:ascii="Arial" w:eastAsia="Times New Roman" w:hAnsi="Arial" w:cs="Arial"/>
          <w:sz w:val="20"/>
          <w:szCs w:val="20"/>
          <w:lang w:eastAsia="en-IN"/>
        </w:rPr>
        <w:t>, </w:t>
      </w:r>
      <w:r w:rsidRPr="006A79C5">
        <w:rPr>
          <w:rFonts w:ascii="Arial" w:eastAsia="Times New Roman" w:hAnsi="Arial" w:cs="Arial"/>
          <w:i/>
          <w:iCs/>
          <w:sz w:val="20"/>
          <w:szCs w:val="20"/>
          <w:lang w:eastAsia="en-IN"/>
        </w:rPr>
        <w:t xml:space="preserve">A. </w:t>
      </w:r>
      <w:proofErr w:type="spellStart"/>
      <w:r w:rsidRPr="006A79C5">
        <w:rPr>
          <w:rFonts w:ascii="Arial" w:eastAsia="Times New Roman" w:hAnsi="Arial" w:cs="Arial"/>
          <w:i/>
          <w:iCs/>
          <w:sz w:val="20"/>
          <w:szCs w:val="20"/>
          <w:lang w:eastAsia="en-IN"/>
        </w:rPr>
        <w:t>parasiticus</w:t>
      </w:r>
      <w:proofErr w:type="spellEnd"/>
      <w:r w:rsidRPr="006A79C5">
        <w:rPr>
          <w:rFonts w:ascii="Arial" w:eastAsia="Times New Roman" w:hAnsi="Arial" w:cs="Arial"/>
          <w:sz w:val="20"/>
          <w:szCs w:val="20"/>
          <w:lang w:eastAsia="en-IN"/>
        </w:rPr>
        <w:t>, and </w:t>
      </w:r>
      <w:r w:rsidRPr="006A79C5">
        <w:rPr>
          <w:rFonts w:ascii="Arial" w:eastAsia="Times New Roman" w:hAnsi="Arial" w:cs="Arial"/>
          <w:i/>
          <w:iCs/>
          <w:sz w:val="20"/>
          <w:szCs w:val="20"/>
          <w:lang w:eastAsia="en-IN"/>
        </w:rPr>
        <w:t xml:space="preserve">Fusarium </w:t>
      </w:r>
      <w:proofErr w:type="spellStart"/>
      <w:r w:rsidRPr="006A79C5">
        <w:rPr>
          <w:rFonts w:ascii="Arial" w:eastAsia="Times New Roman" w:hAnsi="Arial" w:cs="Arial"/>
          <w:i/>
          <w:iCs/>
          <w:sz w:val="20"/>
          <w:szCs w:val="20"/>
          <w:lang w:eastAsia="en-IN"/>
        </w:rPr>
        <w:t>graminearum</w:t>
      </w:r>
      <w:proofErr w:type="spellEnd"/>
      <w:r w:rsidRPr="006A79C5">
        <w:rPr>
          <w:rFonts w:ascii="Arial" w:eastAsia="Times New Roman" w:hAnsi="Arial" w:cs="Arial"/>
          <w:sz w:val="20"/>
          <w:szCs w:val="20"/>
          <w:lang w:eastAsia="en-IN"/>
        </w:rPr>
        <w:t> at all tested concentrations (600–1000 mg/mL). This potent activity can be attributed to the synergistic effects of neem oil’s bioactive compounds (e.g., azadirachtin) and the enhanced bioavailability conferred by silver nanoparticles (</w:t>
      </w:r>
      <w:proofErr w:type="spellStart"/>
      <w:r w:rsidRPr="006A79C5">
        <w:rPr>
          <w:rFonts w:ascii="Arial" w:eastAsia="Times New Roman" w:hAnsi="Arial" w:cs="Arial"/>
          <w:sz w:val="20"/>
          <w:szCs w:val="20"/>
          <w:lang w:eastAsia="en-IN"/>
        </w:rPr>
        <w:t>AgNPs</w:t>
      </w:r>
      <w:proofErr w:type="spellEnd"/>
      <w:r w:rsidRPr="006A79C5">
        <w:rPr>
          <w:rFonts w:ascii="Arial" w:eastAsia="Times New Roman" w:hAnsi="Arial" w:cs="Arial"/>
          <w:sz w:val="20"/>
          <w:szCs w:val="20"/>
          <w:lang w:eastAsia="en-IN"/>
        </w:rPr>
        <w:t xml:space="preserve">). The encapsulation of neem oil within </w:t>
      </w:r>
      <w:proofErr w:type="spellStart"/>
      <w:r w:rsidRPr="006A79C5">
        <w:rPr>
          <w:rFonts w:ascii="Arial" w:eastAsia="Times New Roman" w:hAnsi="Arial" w:cs="Arial"/>
          <w:sz w:val="20"/>
          <w:szCs w:val="20"/>
          <w:lang w:eastAsia="en-IN"/>
        </w:rPr>
        <w:t>AgNPs</w:t>
      </w:r>
      <w:proofErr w:type="spellEnd"/>
      <w:r w:rsidRPr="006A79C5">
        <w:rPr>
          <w:rFonts w:ascii="Arial" w:eastAsia="Times New Roman" w:hAnsi="Arial" w:cs="Arial"/>
          <w:sz w:val="20"/>
          <w:szCs w:val="20"/>
          <w:lang w:eastAsia="en-IN"/>
        </w:rPr>
        <w:t xml:space="preserve"> likely increased its stability and penetration into fungal cell membranes, disrupting ergosterol synthesis and mitochondrial function (Al-Othman et al., 2014; Zhao et al., 2017). These findings align with studies on </w:t>
      </w:r>
      <w:proofErr w:type="spellStart"/>
      <w:r w:rsidRPr="006A79C5">
        <w:rPr>
          <w:rFonts w:ascii="Arial" w:eastAsia="Times New Roman" w:hAnsi="Arial" w:cs="Arial"/>
          <w:sz w:val="20"/>
          <w:szCs w:val="20"/>
          <w:lang w:eastAsia="en-IN"/>
        </w:rPr>
        <w:t>nanoformulated</w:t>
      </w:r>
      <w:proofErr w:type="spellEnd"/>
      <w:r w:rsidRPr="006A79C5">
        <w:rPr>
          <w:rFonts w:ascii="Arial" w:eastAsia="Times New Roman" w:hAnsi="Arial" w:cs="Arial"/>
          <w:sz w:val="20"/>
          <w:szCs w:val="20"/>
          <w:lang w:eastAsia="en-IN"/>
        </w:rPr>
        <w:t xml:space="preserve"> essential oils, where smaller particle sizes improved interaction with microbial targets, leading to rapid mycelial inhibition (São Pedro et al., 2013; Li et al., 2015). Notably, the consistent zone of inhibition (34 mm) across concentrations suggests that even minimal doses of </w:t>
      </w:r>
      <w:proofErr w:type="gramStart"/>
      <w:r w:rsidRPr="006A79C5">
        <w:rPr>
          <w:rFonts w:ascii="Arial" w:eastAsia="Times New Roman" w:hAnsi="Arial" w:cs="Arial"/>
          <w:sz w:val="20"/>
          <w:szCs w:val="20"/>
          <w:lang w:eastAsia="en-IN"/>
        </w:rPr>
        <w:t>NON are</w:t>
      </w:r>
      <w:proofErr w:type="gramEnd"/>
      <w:r w:rsidRPr="006A79C5">
        <w:rPr>
          <w:rFonts w:ascii="Arial" w:eastAsia="Times New Roman" w:hAnsi="Arial" w:cs="Arial"/>
          <w:sz w:val="20"/>
          <w:szCs w:val="20"/>
          <w:lang w:eastAsia="en-IN"/>
        </w:rPr>
        <w:t xml:space="preserve"> sufficient for fungal control, reducing the risk of over application in agricultural settings.</w:t>
      </w:r>
      <w:r w:rsidR="00786912" w:rsidRPr="006A79C5">
        <w:rPr>
          <w:rFonts w:ascii="Arial" w:eastAsia="Times New Roman" w:hAnsi="Arial" w:cs="Arial"/>
          <w:sz w:val="20"/>
          <w:szCs w:val="20"/>
          <w:lang w:eastAsia="en-IN"/>
        </w:rPr>
        <w:t xml:space="preserve"> </w:t>
      </w:r>
      <w:r w:rsidR="00786912" w:rsidRPr="006A79C5">
        <w:rPr>
          <w:rFonts w:ascii="Arial" w:eastAsia="Times New Roman" w:hAnsi="Arial" w:cs="Arial"/>
          <w:sz w:val="20"/>
          <w:szCs w:val="20"/>
          <w:highlight w:val="yellow"/>
          <w:lang w:eastAsia="en-IN"/>
        </w:rPr>
        <w:t xml:space="preserve">The identical inhibition zones across 600–1000 mg/mL </w:t>
      </w:r>
      <w:proofErr w:type="gramStart"/>
      <w:r w:rsidR="00786912" w:rsidRPr="006A79C5">
        <w:rPr>
          <w:rFonts w:ascii="Arial" w:eastAsia="Times New Roman" w:hAnsi="Arial" w:cs="Arial"/>
          <w:sz w:val="20"/>
          <w:szCs w:val="20"/>
          <w:highlight w:val="yellow"/>
          <w:lang w:eastAsia="en-IN"/>
        </w:rPr>
        <w:t>NON indicate</w:t>
      </w:r>
      <w:proofErr w:type="gramEnd"/>
      <w:r w:rsidR="00786912" w:rsidRPr="006A79C5">
        <w:rPr>
          <w:rFonts w:ascii="Arial" w:eastAsia="Times New Roman" w:hAnsi="Arial" w:cs="Arial"/>
          <w:sz w:val="20"/>
          <w:szCs w:val="20"/>
          <w:highlight w:val="yellow"/>
          <w:lang w:eastAsia="en-IN"/>
        </w:rPr>
        <w:t xml:space="preserve"> that maximum antifungal efficacy is achieved at the lowest tested concentration, likely due to a saturation effect in fungal membrane disruption. Similar findings were reported by Costa et al. (2021) and Singh et al. (2024), where </w:t>
      </w:r>
      <w:proofErr w:type="spellStart"/>
      <w:r w:rsidR="00786912" w:rsidRPr="006A79C5">
        <w:rPr>
          <w:rFonts w:ascii="Arial" w:eastAsia="Times New Roman" w:hAnsi="Arial" w:cs="Arial"/>
          <w:sz w:val="20"/>
          <w:szCs w:val="20"/>
          <w:highlight w:val="yellow"/>
          <w:lang w:eastAsia="en-IN"/>
        </w:rPr>
        <w:t>nanoencapsulated</w:t>
      </w:r>
      <w:proofErr w:type="spellEnd"/>
      <w:r w:rsidR="00786912" w:rsidRPr="006A79C5">
        <w:rPr>
          <w:rFonts w:ascii="Arial" w:eastAsia="Times New Roman" w:hAnsi="Arial" w:cs="Arial"/>
          <w:sz w:val="20"/>
          <w:szCs w:val="20"/>
          <w:highlight w:val="yellow"/>
          <w:lang w:eastAsia="en-IN"/>
        </w:rPr>
        <w:t xml:space="preserve"> plant oils exhibited maximum inhibitory potential at threshold doses. Mechanistic studies (Ju et al., 2022) have shown that neem oil combined with </w:t>
      </w:r>
      <w:proofErr w:type="spellStart"/>
      <w:r w:rsidR="00786912" w:rsidRPr="006A79C5">
        <w:rPr>
          <w:rFonts w:ascii="Arial" w:eastAsia="Times New Roman" w:hAnsi="Arial" w:cs="Arial"/>
          <w:sz w:val="20"/>
          <w:szCs w:val="20"/>
          <w:highlight w:val="yellow"/>
          <w:lang w:eastAsia="en-IN"/>
        </w:rPr>
        <w:t>AgNPs</w:t>
      </w:r>
      <w:proofErr w:type="spellEnd"/>
      <w:r w:rsidR="00786912" w:rsidRPr="006A79C5">
        <w:rPr>
          <w:rFonts w:ascii="Arial" w:eastAsia="Times New Roman" w:hAnsi="Arial" w:cs="Arial"/>
          <w:sz w:val="20"/>
          <w:szCs w:val="20"/>
          <w:highlight w:val="yellow"/>
          <w:lang w:eastAsia="en-IN"/>
        </w:rPr>
        <w:t xml:space="preserve"> inhibits ergosterol biosynthesis, compromises cell membrane integrity, and increases intracellular reactive oxygen species (ROS), collectively leading to fungal death.</w:t>
      </w:r>
      <w:r w:rsidR="001F4B47" w:rsidRPr="006A79C5">
        <w:rPr>
          <w:rFonts w:ascii="Arial" w:hAnsi="Arial" w:cs="Arial"/>
          <w:highlight w:val="yellow"/>
        </w:rPr>
        <w:t xml:space="preserve"> Silver nanoparticles can disrupt fungal cell membrane integrity and induce ROS production, thereby enhancing antifungal activity, while ergosterol biosynthesis pathways remain critical targets for antifungal intervention (</w:t>
      </w:r>
      <w:proofErr w:type="spellStart"/>
      <w:r w:rsidR="001F4B47" w:rsidRPr="006A79C5">
        <w:rPr>
          <w:rFonts w:ascii="Arial" w:hAnsi="Arial" w:cs="Arial"/>
          <w:highlight w:val="yellow"/>
        </w:rPr>
        <w:t>Bortolini</w:t>
      </w:r>
      <w:proofErr w:type="spellEnd"/>
      <w:r w:rsidR="001F4B47" w:rsidRPr="006A79C5">
        <w:rPr>
          <w:rFonts w:ascii="Arial" w:hAnsi="Arial" w:cs="Arial"/>
          <w:highlight w:val="yellow"/>
        </w:rPr>
        <w:t xml:space="preserve"> et al., 2024; </w:t>
      </w:r>
      <w:proofErr w:type="spellStart"/>
      <w:r w:rsidR="001F4B47" w:rsidRPr="006A79C5">
        <w:rPr>
          <w:rFonts w:ascii="Arial" w:hAnsi="Arial" w:cs="Arial"/>
          <w:highlight w:val="yellow"/>
        </w:rPr>
        <w:t>Tortella</w:t>
      </w:r>
      <w:proofErr w:type="spellEnd"/>
      <w:r w:rsidR="001F4B47" w:rsidRPr="006A79C5">
        <w:rPr>
          <w:rFonts w:ascii="Arial" w:hAnsi="Arial" w:cs="Arial"/>
          <w:highlight w:val="yellow"/>
        </w:rPr>
        <w:t xml:space="preserve"> et al., 2024).</w:t>
      </w:r>
    </w:p>
    <w:p w14:paraId="41E65578" w14:textId="4DEC12C6" w:rsidR="00FF29E2" w:rsidRPr="006A79C5" w:rsidRDefault="00FF29E2" w:rsidP="005974D1">
      <w:pPr>
        <w:shd w:val="clear" w:color="auto" w:fill="FFFFFF"/>
        <w:spacing w:before="206" w:after="206" w:line="240" w:lineRule="auto"/>
        <w:jc w:val="both"/>
        <w:rPr>
          <w:rFonts w:ascii="Arial" w:eastAsia="Times New Roman" w:hAnsi="Arial" w:cs="Arial"/>
          <w:sz w:val="20"/>
          <w:szCs w:val="20"/>
          <w:lang w:eastAsia="en-IN"/>
        </w:rPr>
      </w:pPr>
    </w:p>
    <w:p w14:paraId="16292AF1" w14:textId="46ED7CF4" w:rsidR="00952F2F" w:rsidRPr="006A79C5" w:rsidRDefault="003B05FC" w:rsidP="005974D1">
      <w:pPr>
        <w:shd w:val="clear" w:color="auto" w:fill="FFFFFF"/>
        <w:spacing w:before="206" w:after="206" w:line="240" w:lineRule="auto"/>
        <w:rPr>
          <w:rFonts w:ascii="Arial" w:eastAsia="Times New Roman" w:hAnsi="Arial" w:cs="Arial"/>
          <w:sz w:val="20"/>
          <w:szCs w:val="20"/>
          <w:lang w:eastAsia="en-IN"/>
        </w:rPr>
      </w:pPr>
      <w:r w:rsidRPr="006A79C5">
        <w:rPr>
          <w:rFonts w:ascii="Arial" w:eastAsia="Times New Roman" w:hAnsi="Arial" w:cs="Arial"/>
          <w:bCs/>
          <w:sz w:val="20"/>
          <w:szCs w:val="20"/>
          <w:lang w:eastAsia="en-IN"/>
        </w:rPr>
        <w:t>Table 1</w:t>
      </w:r>
      <w:r w:rsidR="00952F2F" w:rsidRPr="006A79C5">
        <w:rPr>
          <w:rFonts w:ascii="Arial" w:eastAsia="Times New Roman" w:hAnsi="Arial" w:cs="Arial"/>
          <w:sz w:val="20"/>
          <w:szCs w:val="20"/>
          <w:lang w:eastAsia="en-IN"/>
        </w:rPr>
        <w:br/>
      </w:r>
      <w:r w:rsidR="00952F2F" w:rsidRPr="006A79C5">
        <w:rPr>
          <w:rFonts w:ascii="Arial" w:eastAsia="Times New Roman" w:hAnsi="Arial" w:cs="Arial"/>
          <w:iCs/>
          <w:sz w:val="20"/>
          <w:szCs w:val="20"/>
          <w:lang w:eastAsia="en-IN"/>
        </w:rPr>
        <w:t xml:space="preserve">Antifungal Activity of Neem Oil </w:t>
      </w:r>
      <w:proofErr w:type="spellStart"/>
      <w:r w:rsidR="00952F2F" w:rsidRPr="006A79C5">
        <w:rPr>
          <w:rFonts w:ascii="Arial" w:eastAsia="Times New Roman" w:hAnsi="Arial" w:cs="Arial"/>
          <w:iCs/>
          <w:sz w:val="20"/>
          <w:szCs w:val="20"/>
          <w:lang w:eastAsia="en-IN"/>
        </w:rPr>
        <w:t>Nanoemulsion</w:t>
      </w:r>
      <w:proofErr w:type="spellEnd"/>
      <w:r w:rsidR="00952F2F" w:rsidRPr="006A79C5">
        <w:rPr>
          <w:rFonts w:ascii="Arial" w:eastAsia="Times New Roman" w:hAnsi="Arial" w:cs="Arial"/>
          <w:iCs/>
          <w:sz w:val="20"/>
          <w:szCs w:val="20"/>
          <w:lang w:eastAsia="en-IN"/>
        </w:rPr>
        <w:t xml:space="preserve"> </w:t>
      </w:r>
      <w:r w:rsidR="00C26FD6" w:rsidRPr="006A79C5">
        <w:rPr>
          <w:rFonts w:ascii="Arial" w:eastAsia="Times New Roman" w:hAnsi="Arial" w:cs="Arial"/>
          <w:iCs/>
          <w:sz w:val="20"/>
          <w:szCs w:val="20"/>
          <w:lang w:eastAsia="en-IN"/>
        </w:rPr>
        <w:t>against</w:t>
      </w:r>
      <w:r w:rsidR="00952F2F" w:rsidRPr="006A79C5">
        <w:rPr>
          <w:rFonts w:ascii="Arial" w:eastAsia="Times New Roman" w:hAnsi="Arial" w:cs="Arial"/>
          <w:iCs/>
          <w:sz w:val="20"/>
          <w:szCs w:val="20"/>
          <w:lang w:eastAsia="en-IN"/>
        </w:rPr>
        <w:t xml:space="preserve"> Seed-Borne Fungi</w:t>
      </w:r>
    </w:p>
    <w:tbl>
      <w:tblPr>
        <w:tblW w:w="0" w:type="auto"/>
        <w:tblCellMar>
          <w:top w:w="15" w:type="dxa"/>
          <w:left w:w="15" w:type="dxa"/>
          <w:bottom w:w="15" w:type="dxa"/>
          <w:right w:w="15" w:type="dxa"/>
        </w:tblCellMar>
        <w:tblLook w:val="04A0" w:firstRow="1" w:lastRow="0" w:firstColumn="1" w:lastColumn="0" w:noHBand="0" w:noVBand="1"/>
      </w:tblPr>
      <w:tblGrid>
        <w:gridCol w:w="2218"/>
        <w:gridCol w:w="2500"/>
        <w:gridCol w:w="3643"/>
      </w:tblGrid>
      <w:tr w:rsidR="00F530C1" w:rsidRPr="006A79C5" w14:paraId="6C9300EE" w14:textId="77777777" w:rsidTr="00D35DD9">
        <w:trPr>
          <w:trHeight w:val="559"/>
          <w:tblHeader/>
        </w:trPr>
        <w:tc>
          <w:tcPr>
            <w:tcW w:w="0" w:type="auto"/>
            <w:tcBorders>
              <w:top w:val="nil"/>
              <w:left w:val="nil"/>
              <w:bottom w:val="single" w:sz="8" w:space="0" w:color="BBBBBB"/>
              <w:right w:val="nil"/>
            </w:tcBorders>
            <w:tcMar>
              <w:top w:w="150" w:type="dxa"/>
              <w:left w:w="0" w:type="dxa"/>
              <w:bottom w:w="150" w:type="dxa"/>
              <w:right w:w="150" w:type="dxa"/>
            </w:tcMar>
            <w:vAlign w:val="center"/>
            <w:hideMark/>
          </w:tcPr>
          <w:p w14:paraId="44611846" w14:textId="77777777" w:rsidR="00952F2F" w:rsidRPr="006A79C5" w:rsidRDefault="00952F2F" w:rsidP="005974D1">
            <w:pPr>
              <w:spacing w:after="0" w:line="240" w:lineRule="auto"/>
              <w:jc w:val="both"/>
              <w:rPr>
                <w:rFonts w:ascii="Arial" w:eastAsia="Times New Roman" w:hAnsi="Arial" w:cs="Arial"/>
                <w:b/>
                <w:bCs/>
                <w:sz w:val="20"/>
                <w:szCs w:val="20"/>
                <w:lang w:eastAsia="en-IN"/>
              </w:rPr>
            </w:pPr>
            <w:r w:rsidRPr="006A79C5">
              <w:rPr>
                <w:rFonts w:ascii="Arial" w:eastAsia="Times New Roman" w:hAnsi="Arial" w:cs="Arial"/>
                <w:b/>
                <w:bCs/>
                <w:sz w:val="20"/>
                <w:szCs w:val="20"/>
                <w:lang w:eastAsia="en-IN"/>
              </w:rPr>
              <w:t>Fungal Species</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5BECFC29" w14:textId="77777777" w:rsidR="00952F2F" w:rsidRPr="006A79C5" w:rsidRDefault="00952F2F" w:rsidP="005974D1">
            <w:pPr>
              <w:spacing w:after="0" w:line="240" w:lineRule="auto"/>
              <w:jc w:val="both"/>
              <w:rPr>
                <w:rFonts w:ascii="Arial" w:eastAsia="Times New Roman" w:hAnsi="Arial" w:cs="Arial"/>
                <w:b/>
                <w:bCs/>
                <w:sz w:val="20"/>
                <w:szCs w:val="20"/>
                <w:lang w:eastAsia="en-IN"/>
              </w:rPr>
            </w:pPr>
            <w:r w:rsidRPr="006A79C5">
              <w:rPr>
                <w:rFonts w:ascii="Arial" w:eastAsia="Times New Roman" w:hAnsi="Arial" w:cs="Arial"/>
                <w:b/>
                <w:bCs/>
                <w:sz w:val="20"/>
                <w:szCs w:val="20"/>
                <w:lang w:eastAsia="en-IN"/>
              </w:rPr>
              <w:t>Concentration (mg/mL)</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2D929CB8" w14:textId="77777777" w:rsidR="00952F2F" w:rsidRPr="006A79C5" w:rsidRDefault="00952F2F" w:rsidP="005974D1">
            <w:pPr>
              <w:spacing w:after="0" w:line="240" w:lineRule="auto"/>
              <w:jc w:val="both"/>
              <w:rPr>
                <w:rFonts w:ascii="Arial" w:eastAsia="Times New Roman" w:hAnsi="Arial" w:cs="Arial"/>
                <w:b/>
                <w:bCs/>
                <w:sz w:val="20"/>
                <w:szCs w:val="20"/>
                <w:lang w:eastAsia="en-IN"/>
              </w:rPr>
            </w:pPr>
            <w:r w:rsidRPr="006A79C5">
              <w:rPr>
                <w:rFonts w:ascii="Arial" w:eastAsia="Times New Roman" w:hAnsi="Arial" w:cs="Arial"/>
                <w:b/>
                <w:bCs/>
                <w:sz w:val="20"/>
                <w:szCs w:val="20"/>
                <w:lang w:eastAsia="en-IN"/>
              </w:rPr>
              <w:t>Zone of Inhibition (mm, Mean ± SD)</w:t>
            </w:r>
          </w:p>
        </w:tc>
      </w:tr>
      <w:tr w:rsidR="00F530C1" w:rsidRPr="006A79C5" w14:paraId="01D5987E"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5E978C3E" w14:textId="67D785E3" w:rsidR="00952F2F" w:rsidRPr="006A79C5" w:rsidRDefault="00D20B77" w:rsidP="005974D1">
            <w:pPr>
              <w:spacing w:after="0" w:line="240" w:lineRule="auto"/>
              <w:jc w:val="both"/>
              <w:rPr>
                <w:rFonts w:ascii="Arial" w:eastAsia="Times New Roman" w:hAnsi="Arial" w:cs="Arial"/>
                <w:i/>
                <w:iCs/>
                <w:sz w:val="20"/>
                <w:szCs w:val="20"/>
                <w:lang w:eastAsia="en-IN"/>
              </w:rPr>
            </w:pPr>
            <w:r w:rsidRPr="006A79C5">
              <w:rPr>
                <w:rFonts w:ascii="Arial" w:eastAsia="Times New Roman" w:hAnsi="Arial" w:cs="Arial"/>
                <w:i/>
                <w:iCs/>
                <w:sz w:val="20"/>
                <w:szCs w:val="20"/>
                <w:lang w:eastAsia="en-IN"/>
              </w:rPr>
              <w:t>Aspergillus</w:t>
            </w:r>
            <w:r w:rsidR="00C26FD6" w:rsidRPr="006A79C5">
              <w:rPr>
                <w:rFonts w:ascii="Arial" w:eastAsia="Times New Roman" w:hAnsi="Arial" w:cs="Arial"/>
                <w:i/>
                <w:iCs/>
                <w:sz w:val="20"/>
                <w:szCs w:val="20"/>
                <w:lang w:eastAsia="en-IN"/>
              </w:rPr>
              <w:t xml:space="preserve"> </w:t>
            </w:r>
            <w:r w:rsidR="00952F2F" w:rsidRPr="006A79C5">
              <w:rPr>
                <w:rFonts w:ascii="Arial" w:eastAsia="Times New Roman" w:hAnsi="Arial" w:cs="Arial"/>
                <w:i/>
                <w:iCs/>
                <w:sz w:val="20"/>
                <w:szCs w:val="20"/>
                <w:lang w:eastAsia="en-IN"/>
              </w:rPr>
              <w:t xml:space="preserve"> flavus</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6EC0202"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600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5715FE9C"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34.00 ± 0.50ᵃ</w:t>
            </w:r>
          </w:p>
        </w:tc>
      </w:tr>
      <w:tr w:rsidR="00F530C1" w:rsidRPr="006A79C5" w14:paraId="6CB69D05"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7A47C9E0" w14:textId="77777777" w:rsidR="00952F2F" w:rsidRPr="006A79C5" w:rsidRDefault="00952F2F" w:rsidP="005974D1">
            <w:pPr>
              <w:spacing w:after="0" w:line="240" w:lineRule="auto"/>
              <w:jc w:val="both"/>
              <w:rPr>
                <w:rFonts w:ascii="Arial" w:eastAsia="Times New Roman" w:hAnsi="Arial" w:cs="Arial"/>
                <w:sz w:val="20"/>
                <w:szCs w:val="20"/>
                <w:lang w:eastAsia="en-IN"/>
              </w:rPr>
            </w:pP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F1887BF"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800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5B1C6E0C"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34.00 ± 0.00ᵃ</w:t>
            </w:r>
          </w:p>
        </w:tc>
      </w:tr>
      <w:tr w:rsidR="00F530C1" w:rsidRPr="006A79C5" w14:paraId="79520448"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34B2C0C7" w14:textId="77777777" w:rsidR="00952F2F" w:rsidRPr="006A79C5" w:rsidRDefault="00952F2F" w:rsidP="005974D1">
            <w:pPr>
              <w:spacing w:after="0" w:line="240" w:lineRule="auto"/>
              <w:jc w:val="both"/>
              <w:rPr>
                <w:rFonts w:ascii="Arial" w:eastAsia="Times New Roman" w:hAnsi="Arial" w:cs="Arial"/>
                <w:sz w:val="20"/>
                <w:szCs w:val="20"/>
                <w:lang w:eastAsia="en-IN"/>
              </w:rPr>
            </w:pP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489A64CA"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1000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661972B2"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34.00 ± 0.00ᵃ</w:t>
            </w:r>
          </w:p>
        </w:tc>
      </w:tr>
      <w:tr w:rsidR="00F530C1" w:rsidRPr="006A79C5" w14:paraId="3F087C36"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5A7B3464" w14:textId="09F9A388" w:rsidR="00952F2F" w:rsidRPr="006A79C5" w:rsidRDefault="00D20B77"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i/>
                <w:iCs/>
                <w:sz w:val="20"/>
                <w:szCs w:val="20"/>
                <w:lang w:eastAsia="en-IN"/>
              </w:rPr>
              <w:t xml:space="preserve">Aspergillus </w:t>
            </w:r>
            <w:proofErr w:type="spellStart"/>
            <w:r w:rsidR="00952F2F" w:rsidRPr="006A79C5">
              <w:rPr>
                <w:rFonts w:ascii="Arial" w:eastAsia="Times New Roman" w:hAnsi="Arial" w:cs="Arial"/>
                <w:i/>
                <w:iCs/>
                <w:sz w:val="20"/>
                <w:szCs w:val="20"/>
                <w:lang w:eastAsia="en-IN"/>
              </w:rPr>
              <w:t>parasiticus</w:t>
            </w:r>
            <w:proofErr w:type="spellEnd"/>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4395D272"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600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65B72B64"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34.00 ± 0.50ᵃ</w:t>
            </w:r>
          </w:p>
        </w:tc>
      </w:tr>
      <w:tr w:rsidR="00F530C1" w:rsidRPr="006A79C5" w14:paraId="2F4F587D"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4391F823" w14:textId="77777777" w:rsidR="00952F2F" w:rsidRPr="006A79C5" w:rsidRDefault="00952F2F" w:rsidP="005974D1">
            <w:pPr>
              <w:spacing w:after="0" w:line="240" w:lineRule="auto"/>
              <w:jc w:val="both"/>
              <w:rPr>
                <w:rFonts w:ascii="Arial" w:eastAsia="Times New Roman" w:hAnsi="Arial" w:cs="Arial"/>
                <w:sz w:val="20"/>
                <w:szCs w:val="20"/>
                <w:lang w:eastAsia="en-IN"/>
              </w:rPr>
            </w:pP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51E92C5B"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800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957907F"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34.00 ± 0.50ᵃ</w:t>
            </w:r>
          </w:p>
        </w:tc>
      </w:tr>
      <w:tr w:rsidR="00F530C1" w:rsidRPr="006A79C5" w14:paraId="1B946DAB"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12029319" w14:textId="77777777" w:rsidR="00952F2F" w:rsidRPr="006A79C5" w:rsidRDefault="00952F2F" w:rsidP="005974D1">
            <w:pPr>
              <w:spacing w:after="0" w:line="240" w:lineRule="auto"/>
              <w:jc w:val="both"/>
              <w:rPr>
                <w:rFonts w:ascii="Arial" w:eastAsia="Times New Roman" w:hAnsi="Arial" w:cs="Arial"/>
                <w:sz w:val="20"/>
                <w:szCs w:val="20"/>
                <w:lang w:eastAsia="en-IN"/>
              </w:rPr>
            </w:pP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07D1D7D7"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1000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1851F799"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34.00 ± 0.00ᵃ</w:t>
            </w:r>
          </w:p>
        </w:tc>
      </w:tr>
      <w:tr w:rsidR="00F530C1" w:rsidRPr="006A79C5" w14:paraId="5C8333A8"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283FFEBB"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i/>
                <w:iCs/>
                <w:sz w:val="20"/>
                <w:szCs w:val="20"/>
                <w:lang w:eastAsia="en-IN"/>
              </w:rPr>
              <w:t xml:space="preserve">Fusarium </w:t>
            </w:r>
            <w:proofErr w:type="spellStart"/>
            <w:r w:rsidRPr="006A79C5">
              <w:rPr>
                <w:rFonts w:ascii="Arial" w:eastAsia="Times New Roman" w:hAnsi="Arial" w:cs="Arial"/>
                <w:i/>
                <w:iCs/>
                <w:sz w:val="20"/>
                <w:szCs w:val="20"/>
                <w:lang w:eastAsia="en-IN"/>
              </w:rPr>
              <w:t>graminearum</w:t>
            </w:r>
            <w:proofErr w:type="spellEnd"/>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3A1C1BF5"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600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63695F8B"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34.00 ± 0.75ᵃ</w:t>
            </w:r>
          </w:p>
        </w:tc>
      </w:tr>
      <w:tr w:rsidR="00F530C1" w:rsidRPr="006A79C5" w14:paraId="2383445A"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30619DE8" w14:textId="77777777" w:rsidR="00952F2F" w:rsidRPr="006A79C5" w:rsidRDefault="00952F2F" w:rsidP="005974D1">
            <w:pPr>
              <w:spacing w:after="0" w:line="240" w:lineRule="auto"/>
              <w:jc w:val="both"/>
              <w:rPr>
                <w:rFonts w:ascii="Arial" w:eastAsia="Times New Roman" w:hAnsi="Arial" w:cs="Arial"/>
                <w:sz w:val="20"/>
                <w:szCs w:val="20"/>
                <w:lang w:eastAsia="en-IN"/>
              </w:rPr>
            </w:pP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BF39A02"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800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3B681891"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34.00 ± 0.00ᵃ</w:t>
            </w:r>
          </w:p>
        </w:tc>
      </w:tr>
      <w:tr w:rsidR="00F530C1" w:rsidRPr="006A79C5" w14:paraId="52532F3E"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7DE1E3B8" w14:textId="77777777" w:rsidR="00952F2F" w:rsidRPr="006A79C5" w:rsidRDefault="00952F2F" w:rsidP="005974D1">
            <w:pPr>
              <w:spacing w:after="0" w:line="240" w:lineRule="auto"/>
              <w:jc w:val="both"/>
              <w:rPr>
                <w:rFonts w:ascii="Arial" w:eastAsia="Times New Roman" w:hAnsi="Arial" w:cs="Arial"/>
                <w:sz w:val="20"/>
                <w:szCs w:val="20"/>
                <w:lang w:eastAsia="en-IN"/>
              </w:rPr>
            </w:pP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5DE9FE6E"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1000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4D2B413"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34.00 ± 0.50ᵃ</w:t>
            </w:r>
          </w:p>
        </w:tc>
      </w:tr>
    </w:tbl>
    <w:p w14:paraId="591C7BB9" w14:textId="0DE4D266" w:rsidR="009965F8" w:rsidRPr="006A79C5" w:rsidRDefault="00952F2F" w:rsidP="005974D1">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i/>
          <w:iCs/>
          <w:sz w:val="20"/>
          <w:szCs w:val="20"/>
          <w:lang w:eastAsia="en-IN"/>
        </w:rPr>
        <w:t>Note.</w:t>
      </w:r>
      <w:r w:rsidRPr="006A79C5">
        <w:rPr>
          <w:rFonts w:ascii="Arial" w:eastAsia="Times New Roman" w:hAnsi="Arial" w:cs="Arial"/>
          <w:sz w:val="20"/>
          <w:szCs w:val="20"/>
          <w:lang w:eastAsia="en-IN"/>
        </w:rPr>
        <w:t> Means with the same superscript (ᵃ) within columns are not significantly different (</w:t>
      </w:r>
      <w:r w:rsidRPr="006A79C5">
        <w:rPr>
          <w:rFonts w:ascii="Arial" w:eastAsia="Times New Roman" w:hAnsi="Arial" w:cs="Arial"/>
          <w:i/>
          <w:iCs/>
          <w:sz w:val="20"/>
          <w:szCs w:val="20"/>
          <w:lang w:eastAsia="en-IN"/>
        </w:rPr>
        <w:t>p</w:t>
      </w:r>
      <w:r w:rsidRPr="006A79C5">
        <w:rPr>
          <w:rFonts w:ascii="Arial" w:eastAsia="Times New Roman" w:hAnsi="Arial" w:cs="Arial"/>
          <w:sz w:val="20"/>
          <w:szCs w:val="20"/>
          <w:lang w:eastAsia="en-IN"/>
        </w:rPr>
        <w:t>&gt;0.05) by Duncan’s test.</w:t>
      </w:r>
    </w:p>
    <w:p w14:paraId="1270AB92" w14:textId="77777777" w:rsidR="00FF29E2" w:rsidRPr="006A79C5" w:rsidRDefault="00FF29E2" w:rsidP="00FF29E2">
      <w:pPr>
        <w:spacing w:line="240" w:lineRule="auto"/>
        <w:jc w:val="both"/>
        <w:rPr>
          <w:rFonts w:ascii="Arial" w:hAnsi="Arial" w:cs="Arial"/>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4116"/>
      </w:tblGrid>
      <w:tr w:rsidR="00FF29E2" w:rsidRPr="006A79C5" w14:paraId="46F73B9D" w14:textId="77777777" w:rsidTr="00981CC5">
        <w:trPr>
          <w:jc w:val="center"/>
        </w:trPr>
        <w:tc>
          <w:tcPr>
            <w:tcW w:w="4118" w:type="dxa"/>
          </w:tcPr>
          <w:p w14:paraId="0772C128" w14:textId="77777777" w:rsidR="00FF29E2" w:rsidRPr="006A79C5" w:rsidRDefault="00FF29E2" w:rsidP="00981CC5">
            <w:pPr>
              <w:jc w:val="both"/>
              <w:rPr>
                <w:rFonts w:ascii="Arial" w:hAnsi="Arial" w:cs="Arial"/>
                <w:sz w:val="24"/>
                <w:szCs w:val="24"/>
              </w:rPr>
            </w:pPr>
            <w:r w:rsidRPr="006A79C5">
              <w:rPr>
                <w:rFonts w:ascii="Arial" w:hAnsi="Arial" w:cs="Arial"/>
                <w:b/>
                <w:noProof/>
                <w:sz w:val="24"/>
                <w:szCs w:val="24"/>
                <w:lang w:val="en-IE" w:eastAsia="en-IE"/>
              </w:rPr>
              <w:drawing>
                <wp:inline distT="0" distB="0" distL="0" distR="0" wp14:anchorId="09C26A5D" wp14:editId="11456696">
                  <wp:extent cx="2486488" cy="186486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40602-WA0004.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86488" cy="1864865"/>
                          </a:xfrm>
                          <a:prstGeom prst="rect">
                            <a:avLst/>
                          </a:prstGeom>
                          <a:ln>
                            <a:noFill/>
                          </a:ln>
                          <a:extLst>
                            <a:ext uri="{53640926-AAD7-44D8-BBD7-CCE9431645EC}">
                              <a14:shadowObscured xmlns:a14="http://schemas.microsoft.com/office/drawing/2010/main"/>
                            </a:ext>
                          </a:extLst>
                        </pic:spPr>
                      </pic:pic>
                    </a:graphicData>
                  </a:graphic>
                </wp:inline>
              </w:drawing>
            </w:r>
          </w:p>
        </w:tc>
        <w:tc>
          <w:tcPr>
            <w:tcW w:w="4094" w:type="dxa"/>
          </w:tcPr>
          <w:p w14:paraId="5868C916" w14:textId="77777777" w:rsidR="00FF29E2" w:rsidRPr="006A79C5" w:rsidRDefault="00FF29E2" w:rsidP="00981CC5">
            <w:pPr>
              <w:jc w:val="both"/>
              <w:rPr>
                <w:rFonts w:ascii="Arial" w:hAnsi="Arial" w:cs="Arial"/>
                <w:sz w:val="24"/>
                <w:szCs w:val="24"/>
              </w:rPr>
            </w:pPr>
            <w:r w:rsidRPr="006A79C5">
              <w:rPr>
                <w:rFonts w:ascii="Arial" w:hAnsi="Arial" w:cs="Arial"/>
                <w:b/>
                <w:noProof/>
                <w:sz w:val="24"/>
                <w:szCs w:val="24"/>
                <w:lang w:val="en-IE" w:eastAsia="en-IE"/>
              </w:rPr>
              <w:drawing>
                <wp:inline distT="0" distB="0" distL="0" distR="0" wp14:anchorId="2E703D70" wp14:editId="25BB8054">
                  <wp:extent cx="2468551" cy="1851413"/>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40602-WA0007.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68551" cy="1851413"/>
                          </a:xfrm>
                          <a:prstGeom prst="rect">
                            <a:avLst/>
                          </a:prstGeom>
                          <a:ln>
                            <a:noFill/>
                          </a:ln>
                          <a:extLst>
                            <a:ext uri="{53640926-AAD7-44D8-BBD7-CCE9431645EC}">
                              <a14:shadowObscured xmlns:a14="http://schemas.microsoft.com/office/drawing/2010/main"/>
                            </a:ext>
                          </a:extLst>
                        </pic:spPr>
                      </pic:pic>
                    </a:graphicData>
                  </a:graphic>
                </wp:inline>
              </w:drawing>
            </w:r>
          </w:p>
        </w:tc>
      </w:tr>
      <w:tr w:rsidR="00FF29E2" w:rsidRPr="006A79C5" w14:paraId="7ECCA72D" w14:textId="77777777" w:rsidTr="00981CC5">
        <w:trPr>
          <w:jc w:val="center"/>
        </w:trPr>
        <w:tc>
          <w:tcPr>
            <w:tcW w:w="4118" w:type="dxa"/>
          </w:tcPr>
          <w:p w14:paraId="15B6E216" w14:textId="77777777" w:rsidR="00FF29E2" w:rsidRPr="006A79C5" w:rsidRDefault="00FF29E2" w:rsidP="00981CC5">
            <w:pPr>
              <w:jc w:val="both"/>
              <w:rPr>
                <w:rFonts w:ascii="Arial" w:hAnsi="Arial" w:cs="Arial"/>
                <w:b/>
                <w:noProof/>
                <w:sz w:val="20"/>
                <w:szCs w:val="20"/>
              </w:rPr>
            </w:pPr>
            <w:r w:rsidRPr="006A79C5">
              <w:rPr>
                <w:rFonts w:ascii="Arial" w:hAnsi="Arial" w:cs="Arial"/>
                <w:i/>
                <w:sz w:val="20"/>
                <w:szCs w:val="20"/>
              </w:rPr>
              <w:t xml:space="preserve">Plate 1. Fusarium </w:t>
            </w:r>
            <w:proofErr w:type="spellStart"/>
            <w:r w:rsidRPr="006A79C5">
              <w:rPr>
                <w:rFonts w:ascii="Arial" w:hAnsi="Arial" w:cs="Arial"/>
                <w:i/>
                <w:sz w:val="20"/>
                <w:szCs w:val="20"/>
              </w:rPr>
              <w:t>graminearum</w:t>
            </w:r>
            <w:proofErr w:type="spellEnd"/>
            <w:r w:rsidRPr="006A79C5">
              <w:rPr>
                <w:rFonts w:ascii="Arial" w:hAnsi="Arial" w:cs="Arial"/>
                <w:i/>
                <w:sz w:val="20"/>
                <w:szCs w:val="20"/>
              </w:rPr>
              <w:t xml:space="preserve"> + neem seed oil nano emulsion</w:t>
            </w:r>
          </w:p>
        </w:tc>
        <w:tc>
          <w:tcPr>
            <w:tcW w:w="4094" w:type="dxa"/>
          </w:tcPr>
          <w:p w14:paraId="240C169F" w14:textId="77777777" w:rsidR="00FF29E2" w:rsidRPr="006A79C5" w:rsidRDefault="00FF29E2" w:rsidP="00981CC5">
            <w:pPr>
              <w:rPr>
                <w:rFonts w:ascii="Arial" w:hAnsi="Arial" w:cs="Arial"/>
                <w:b/>
                <w:noProof/>
                <w:sz w:val="20"/>
                <w:szCs w:val="20"/>
              </w:rPr>
            </w:pPr>
            <w:r w:rsidRPr="006A79C5">
              <w:rPr>
                <w:rFonts w:ascii="Arial" w:hAnsi="Arial" w:cs="Arial"/>
                <w:i/>
                <w:sz w:val="20"/>
                <w:szCs w:val="20"/>
              </w:rPr>
              <w:t xml:space="preserve">Plate 2. A. </w:t>
            </w:r>
            <w:proofErr w:type="spellStart"/>
            <w:r w:rsidRPr="006A79C5">
              <w:rPr>
                <w:rFonts w:ascii="Arial" w:hAnsi="Arial" w:cs="Arial"/>
                <w:i/>
                <w:sz w:val="20"/>
                <w:szCs w:val="20"/>
              </w:rPr>
              <w:t>niger</w:t>
            </w:r>
            <w:proofErr w:type="spellEnd"/>
            <w:r w:rsidRPr="006A79C5">
              <w:rPr>
                <w:rFonts w:ascii="Arial" w:hAnsi="Arial" w:cs="Arial"/>
                <w:i/>
                <w:sz w:val="20"/>
                <w:szCs w:val="20"/>
              </w:rPr>
              <w:t xml:space="preserve"> + neem seed oil </w:t>
            </w:r>
            <w:proofErr w:type="spellStart"/>
            <w:r w:rsidRPr="006A79C5">
              <w:rPr>
                <w:rFonts w:ascii="Arial" w:hAnsi="Arial" w:cs="Arial"/>
                <w:i/>
                <w:sz w:val="20"/>
                <w:szCs w:val="20"/>
              </w:rPr>
              <w:t>nanoemulsion</w:t>
            </w:r>
            <w:proofErr w:type="spellEnd"/>
            <w:r w:rsidRPr="006A79C5">
              <w:rPr>
                <w:rFonts w:ascii="Arial" w:hAnsi="Arial" w:cs="Arial"/>
                <w:i/>
                <w:sz w:val="20"/>
                <w:szCs w:val="20"/>
              </w:rPr>
              <w:t xml:space="preserve"> </w:t>
            </w:r>
          </w:p>
        </w:tc>
      </w:tr>
    </w:tbl>
    <w:p w14:paraId="0C366C40" w14:textId="77777777" w:rsidR="00FF29E2" w:rsidRPr="006A79C5" w:rsidRDefault="00FF29E2" w:rsidP="00FF29E2">
      <w:pPr>
        <w:spacing w:line="240" w:lineRule="auto"/>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136"/>
      </w:tblGrid>
      <w:tr w:rsidR="00FF29E2" w:rsidRPr="006A79C5" w14:paraId="15EC248C" w14:textId="77777777" w:rsidTr="00981CC5">
        <w:tc>
          <w:tcPr>
            <w:tcW w:w="4720" w:type="dxa"/>
          </w:tcPr>
          <w:p w14:paraId="1EE39351" w14:textId="77777777" w:rsidR="00FF29E2" w:rsidRPr="006A79C5" w:rsidRDefault="00FF29E2" w:rsidP="00981CC5">
            <w:pPr>
              <w:jc w:val="both"/>
              <w:rPr>
                <w:rFonts w:ascii="Arial" w:hAnsi="Arial" w:cs="Arial"/>
                <w:sz w:val="24"/>
                <w:szCs w:val="24"/>
              </w:rPr>
            </w:pPr>
            <w:r w:rsidRPr="006A79C5">
              <w:rPr>
                <w:rFonts w:ascii="Arial" w:hAnsi="Arial" w:cs="Arial"/>
                <w:noProof/>
                <w:sz w:val="24"/>
                <w:szCs w:val="24"/>
                <w:lang w:val="en-IE" w:eastAsia="en-IE"/>
              </w:rPr>
              <w:drawing>
                <wp:anchor distT="0" distB="0" distL="114300" distR="114300" simplePos="0" relativeHeight="251659264" behindDoc="0" locked="0" layoutInCell="1" allowOverlap="1" wp14:anchorId="19E1A6C0" wp14:editId="0291252A">
                  <wp:simplePos x="0" y="0"/>
                  <wp:positionH relativeFrom="column">
                    <wp:posOffset>596265</wp:posOffset>
                  </wp:positionH>
                  <wp:positionV relativeFrom="paragraph">
                    <wp:posOffset>-304800</wp:posOffset>
                  </wp:positionV>
                  <wp:extent cx="1822450" cy="2447925"/>
                  <wp:effectExtent l="0" t="7938" r="0" b="0"/>
                  <wp:wrapThrough wrapText="bothSides">
                    <wp:wrapPolygon edited="0">
                      <wp:start x="21694" y="70"/>
                      <wp:lineTo x="245" y="70"/>
                      <wp:lineTo x="245" y="21418"/>
                      <wp:lineTo x="21694" y="21418"/>
                      <wp:lineTo x="21694" y="7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40502-WA0062.jpg"/>
                          <pic:cNvPicPr/>
                        </pic:nvPicPr>
                        <pic:blipFill rotWithShape="1">
                          <a:blip r:embed="rId11" cstate="print">
                            <a:extLst>
                              <a:ext uri="{28A0092B-C50C-407E-A947-70E740481C1C}">
                                <a14:useLocalDpi xmlns:a14="http://schemas.microsoft.com/office/drawing/2010/main" val="0"/>
                              </a:ext>
                            </a:extLst>
                          </a:blip>
                          <a:srcRect r="64745"/>
                          <a:stretch/>
                        </pic:blipFill>
                        <pic:spPr bwMode="auto">
                          <a:xfrm rot="16200000" flipH="1" flipV="1">
                            <a:off x="0" y="0"/>
                            <a:ext cx="182245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6" w:type="dxa"/>
          </w:tcPr>
          <w:p w14:paraId="1B974985" w14:textId="77777777" w:rsidR="00FF29E2" w:rsidRPr="006A79C5" w:rsidRDefault="00FF29E2" w:rsidP="00981CC5">
            <w:pPr>
              <w:jc w:val="both"/>
              <w:rPr>
                <w:rFonts w:ascii="Arial" w:hAnsi="Arial" w:cs="Arial"/>
                <w:sz w:val="24"/>
                <w:szCs w:val="24"/>
              </w:rPr>
            </w:pPr>
            <w:r w:rsidRPr="006A79C5">
              <w:rPr>
                <w:rFonts w:ascii="Arial" w:hAnsi="Arial" w:cs="Arial"/>
                <w:b/>
                <w:noProof/>
                <w:sz w:val="24"/>
                <w:szCs w:val="24"/>
                <w:lang w:val="en-IE" w:eastAsia="en-IE"/>
              </w:rPr>
              <w:drawing>
                <wp:inline distT="0" distB="0" distL="0" distR="0" wp14:anchorId="4F467359" wp14:editId="58A6F89B">
                  <wp:extent cx="2435974" cy="1826980"/>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40602-WA0008.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35974" cy="1826980"/>
                          </a:xfrm>
                          <a:prstGeom prst="rect">
                            <a:avLst/>
                          </a:prstGeom>
                          <a:ln>
                            <a:noFill/>
                          </a:ln>
                          <a:extLst>
                            <a:ext uri="{53640926-AAD7-44D8-BBD7-CCE9431645EC}">
                              <a14:shadowObscured xmlns:a14="http://schemas.microsoft.com/office/drawing/2010/main"/>
                            </a:ext>
                          </a:extLst>
                        </pic:spPr>
                      </pic:pic>
                    </a:graphicData>
                  </a:graphic>
                </wp:inline>
              </w:drawing>
            </w:r>
          </w:p>
        </w:tc>
      </w:tr>
      <w:tr w:rsidR="00FF29E2" w:rsidRPr="006A79C5" w14:paraId="5C782F7B" w14:textId="77777777" w:rsidTr="00981CC5">
        <w:tc>
          <w:tcPr>
            <w:tcW w:w="4720" w:type="dxa"/>
          </w:tcPr>
          <w:p w14:paraId="1F42CF4D" w14:textId="77777777" w:rsidR="00FF29E2" w:rsidRPr="006A79C5" w:rsidRDefault="00FF29E2" w:rsidP="00981CC5">
            <w:pPr>
              <w:jc w:val="both"/>
              <w:rPr>
                <w:rFonts w:ascii="Arial" w:hAnsi="Arial" w:cs="Arial"/>
                <w:sz w:val="20"/>
                <w:szCs w:val="20"/>
              </w:rPr>
            </w:pPr>
            <w:r w:rsidRPr="006A79C5">
              <w:rPr>
                <w:rFonts w:ascii="Arial" w:hAnsi="Arial" w:cs="Arial"/>
                <w:sz w:val="20"/>
                <w:szCs w:val="20"/>
              </w:rPr>
              <w:t xml:space="preserve">Plate 3: Mycelium growth of </w:t>
            </w:r>
            <w:r w:rsidRPr="006A79C5">
              <w:rPr>
                <w:rFonts w:ascii="Arial" w:hAnsi="Arial" w:cs="Arial"/>
                <w:i/>
                <w:sz w:val="20"/>
                <w:szCs w:val="20"/>
              </w:rPr>
              <w:t>A. flavus</w:t>
            </w:r>
            <w:r w:rsidRPr="006A79C5">
              <w:rPr>
                <w:rFonts w:ascii="Arial" w:hAnsi="Arial" w:cs="Arial"/>
                <w:sz w:val="20"/>
                <w:szCs w:val="20"/>
              </w:rPr>
              <w:t xml:space="preserve"> of mycelium  treated with  neem seed oil  at 3DAI</w:t>
            </w:r>
          </w:p>
        </w:tc>
        <w:tc>
          <w:tcPr>
            <w:tcW w:w="4136" w:type="dxa"/>
          </w:tcPr>
          <w:p w14:paraId="6117788A" w14:textId="77777777" w:rsidR="00FF29E2" w:rsidRPr="006A79C5" w:rsidRDefault="00FF29E2" w:rsidP="00981CC5">
            <w:pPr>
              <w:jc w:val="both"/>
              <w:rPr>
                <w:rFonts w:ascii="Arial" w:hAnsi="Arial" w:cs="Arial"/>
                <w:sz w:val="20"/>
                <w:szCs w:val="20"/>
              </w:rPr>
            </w:pPr>
            <w:r w:rsidRPr="006A79C5">
              <w:rPr>
                <w:rFonts w:ascii="Arial" w:hAnsi="Arial" w:cs="Arial"/>
                <w:sz w:val="20"/>
                <w:szCs w:val="20"/>
              </w:rPr>
              <w:t xml:space="preserve">Plate 4: Total inhibition of neem seed oil </w:t>
            </w:r>
            <w:proofErr w:type="spellStart"/>
            <w:r w:rsidRPr="006A79C5">
              <w:rPr>
                <w:rFonts w:ascii="Arial" w:hAnsi="Arial" w:cs="Arial"/>
                <w:sz w:val="20"/>
                <w:szCs w:val="20"/>
              </w:rPr>
              <w:t>nanoemulsion</w:t>
            </w:r>
            <w:proofErr w:type="spellEnd"/>
            <w:r w:rsidRPr="006A79C5">
              <w:rPr>
                <w:rFonts w:ascii="Arial" w:hAnsi="Arial" w:cs="Arial"/>
                <w:sz w:val="20"/>
                <w:szCs w:val="20"/>
              </w:rPr>
              <w:t xml:space="preserve"> on the growth of </w:t>
            </w:r>
            <w:r w:rsidRPr="006A79C5">
              <w:rPr>
                <w:rFonts w:ascii="Arial" w:hAnsi="Arial" w:cs="Arial"/>
                <w:i/>
                <w:sz w:val="20"/>
                <w:szCs w:val="20"/>
              </w:rPr>
              <w:t>A. flavus</w:t>
            </w:r>
            <w:r w:rsidRPr="006A79C5">
              <w:rPr>
                <w:rFonts w:ascii="Arial" w:hAnsi="Arial" w:cs="Arial"/>
                <w:sz w:val="20"/>
                <w:szCs w:val="20"/>
              </w:rPr>
              <w:t xml:space="preserve"> mycelium at 3DAI</w:t>
            </w:r>
          </w:p>
        </w:tc>
      </w:tr>
    </w:tbl>
    <w:p w14:paraId="70DF8A77" w14:textId="77777777" w:rsidR="00630DFB" w:rsidRPr="006A79C5" w:rsidRDefault="00630DFB" w:rsidP="00630DFB">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Plates showing the antifungal effect of neem oil </w:t>
      </w:r>
      <w:proofErr w:type="spellStart"/>
      <w:r w:rsidRPr="006A79C5">
        <w:rPr>
          <w:rFonts w:ascii="Arial" w:eastAsia="Times New Roman" w:hAnsi="Arial" w:cs="Arial"/>
          <w:sz w:val="20"/>
          <w:szCs w:val="20"/>
          <w:lang w:eastAsia="en-IN"/>
        </w:rPr>
        <w:t>nanoemulsion</w:t>
      </w:r>
      <w:proofErr w:type="spellEnd"/>
      <w:r w:rsidRPr="006A79C5">
        <w:rPr>
          <w:rFonts w:ascii="Arial" w:eastAsia="Times New Roman" w:hAnsi="Arial" w:cs="Arial"/>
          <w:sz w:val="20"/>
          <w:szCs w:val="20"/>
          <w:lang w:eastAsia="en-IN"/>
        </w:rPr>
        <w:t xml:space="preserve"> (NON) against </w:t>
      </w:r>
      <w:r w:rsidRPr="006A79C5">
        <w:rPr>
          <w:rFonts w:ascii="Arial" w:eastAsia="Times New Roman" w:hAnsi="Arial" w:cs="Arial"/>
          <w:i/>
          <w:iCs/>
          <w:sz w:val="20"/>
          <w:szCs w:val="20"/>
          <w:lang w:eastAsia="en-IN"/>
        </w:rPr>
        <w:t>A. flavus</w:t>
      </w:r>
      <w:r w:rsidRPr="006A79C5">
        <w:rPr>
          <w:rFonts w:ascii="Arial" w:eastAsia="Times New Roman" w:hAnsi="Arial" w:cs="Arial"/>
          <w:sz w:val="20"/>
          <w:szCs w:val="20"/>
          <w:lang w:eastAsia="en-IN"/>
        </w:rPr>
        <w:t>, </w:t>
      </w:r>
      <w:r w:rsidRPr="006A79C5">
        <w:rPr>
          <w:rFonts w:ascii="Arial" w:eastAsia="Times New Roman" w:hAnsi="Arial" w:cs="Arial"/>
          <w:i/>
          <w:iCs/>
          <w:sz w:val="20"/>
          <w:szCs w:val="20"/>
          <w:lang w:eastAsia="en-IN"/>
        </w:rPr>
        <w:t xml:space="preserve">A. </w:t>
      </w:r>
      <w:proofErr w:type="spellStart"/>
      <w:r w:rsidRPr="006A79C5">
        <w:rPr>
          <w:rFonts w:ascii="Arial" w:eastAsia="Times New Roman" w:hAnsi="Arial" w:cs="Arial"/>
          <w:i/>
          <w:iCs/>
          <w:sz w:val="20"/>
          <w:szCs w:val="20"/>
          <w:lang w:eastAsia="en-IN"/>
        </w:rPr>
        <w:t>parasiticus</w:t>
      </w:r>
      <w:proofErr w:type="spellEnd"/>
      <w:r w:rsidRPr="006A79C5">
        <w:rPr>
          <w:rFonts w:ascii="Arial" w:eastAsia="Times New Roman" w:hAnsi="Arial" w:cs="Arial"/>
          <w:sz w:val="20"/>
          <w:szCs w:val="20"/>
          <w:lang w:eastAsia="en-IN"/>
        </w:rPr>
        <w:t>, and </w:t>
      </w:r>
      <w:r w:rsidRPr="006A79C5">
        <w:rPr>
          <w:rFonts w:ascii="Arial" w:eastAsia="Times New Roman" w:hAnsi="Arial" w:cs="Arial"/>
          <w:i/>
          <w:iCs/>
          <w:sz w:val="20"/>
          <w:szCs w:val="20"/>
          <w:lang w:eastAsia="en-IN"/>
        </w:rPr>
        <w:t xml:space="preserve">Fusarium </w:t>
      </w:r>
      <w:proofErr w:type="spellStart"/>
      <w:r w:rsidRPr="006A79C5">
        <w:rPr>
          <w:rFonts w:ascii="Arial" w:eastAsia="Times New Roman" w:hAnsi="Arial" w:cs="Arial"/>
          <w:i/>
          <w:iCs/>
          <w:sz w:val="20"/>
          <w:szCs w:val="20"/>
          <w:lang w:eastAsia="en-IN"/>
        </w:rPr>
        <w:t>graminearum</w:t>
      </w:r>
      <w:proofErr w:type="spellEnd"/>
      <w:r w:rsidRPr="006A79C5">
        <w:rPr>
          <w:rFonts w:ascii="Arial" w:eastAsia="Times New Roman" w:hAnsi="Arial" w:cs="Arial"/>
          <w:sz w:val="20"/>
          <w:szCs w:val="20"/>
          <w:lang w:eastAsia="en-IN"/>
        </w:rPr>
        <w:t> at 3 days after inoculation (DAI). Complete inhibition of mycelial growth (no visible hyphae) is observed around wells treated with NON (600–1000 mg/mL), while untreated controls exhibit dense fungal colonisation.</w:t>
      </w:r>
    </w:p>
    <w:p w14:paraId="51A3E530" w14:textId="77777777" w:rsidR="00FF29E2" w:rsidRPr="006A79C5" w:rsidRDefault="00FF29E2" w:rsidP="005974D1">
      <w:pPr>
        <w:shd w:val="clear" w:color="auto" w:fill="FFFFFF"/>
        <w:spacing w:before="206" w:after="206" w:line="240" w:lineRule="auto"/>
        <w:jc w:val="both"/>
        <w:rPr>
          <w:rFonts w:ascii="Arial" w:eastAsia="Times New Roman" w:hAnsi="Arial" w:cs="Arial"/>
          <w:sz w:val="20"/>
          <w:szCs w:val="20"/>
          <w:lang w:eastAsia="en-IN"/>
        </w:rPr>
      </w:pPr>
    </w:p>
    <w:p w14:paraId="15326366" w14:textId="573B1E55" w:rsidR="00952F2F" w:rsidRPr="006A79C5" w:rsidRDefault="00D35DD9" w:rsidP="00D35DD9">
      <w:pPr>
        <w:shd w:val="clear" w:color="auto" w:fill="FFFFFF"/>
        <w:spacing w:before="206" w:after="206" w:line="240" w:lineRule="auto"/>
        <w:rPr>
          <w:rFonts w:ascii="Arial" w:eastAsia="Times New Roman" w:hAnsi="Arial" w:cs="Arial"/>
          <w:lang w:eastAsia="en-IN"/>
        </w:rPr>
      </w:pPr>
      <w:r w:rsidRPr="006A79C5">
        <w:rPr>
          <w:rFonts w:ascii="Arial" w:eastAsia="Times New Roman" w:hAnsi="Arial" w:cs="Arial"/>
          <w:b/>
          <w:bCs/>
          <w:iCs/>
          <w:lang w:eastAsia="en-IN"/>
        </w:rPr>
        <w:t xml:space="preserve">3.2 </w:t>
      </w:r>
      <w:r w:rsidR="00952F2F" w:rsidRPr="006A79C5">
        <w:rPr>
          <w:rFonts w:ascii="Arial" w:eastAsia="Times New Roman" w:hAnsi="Arial" w:cs="Arial"/>
          <w:b/>
          <w:bCs/>
          <w:iCs/>
          <w:lang w:eastAsia="en-IN"/>
        </w:rPr>
        <w:t>Phytotoxic Effects on Seed Germination and Seedling Vigo</w:t>
      </w:r>
      <w:r w:rsidR="00E91D21" w:rsidRPr="006A79C5">
        <w:rPr>
          <w:rFonts w:ascii="Arial" w:eastAsia="Times New Roman" w:hAnsi="Arial" w:cs="Arial"/>
          <w:b/>
          <w:bCs/>
          <w:iCs/>
          <w:lang w:eastAsia="en-IN"/>
        </w:rPr>
        <w:t>u</w:t>
      </w:r>
      <w:r w:rsidR="00952F2F" w:rsidRPr="006A79C5">
        <w:rPr>
          <w:rFonts w:ascii="Arial" w:eastAsia="Times New Roman" w:hAnsi="Arial" w:cs="Arial"/>
          <w:b/>
          <w:bCs/>
          <w:iCs/>
          <w:lang w:eastAsia="en-IN"/>
        </w:rPr>
        <w:t>r</w:t>
      </w:r>
    </w:p>
    <w:p w14:paraId="15663A28" w14:textId="77777777" w:rsidR="006E2633" w:rsidRPr="006A79C5" w:rsidRDefault="00952F2F" w:rsidP="006E2633">
      <w:pPr>
        <w:shd w:val="clear" w:color="auto" w:fill="FFFFFF"/>
        <w:spacing w:before="206" w:after="206" w:line="240" w:lineRule="auto"/>
        <w:rPr>
          <w:rFonts w:ascii="Arial" w:eastAsia="Times New Roman" w:hAnsi="Arial" w:cs="Arial"/>
          <w:iCs/>
          <w:sz w:val="20"/>
          <w:szCs w:val="20"/>
          <w:lang w:eastAsia="en-IN"/>
        </w:rPr>
      </w:pPr>
      <w:r w:rsidRPr="006A79C5">
        <w:rPr>
          <w:rFonts w:ascii="Arial" w:eastAsia="Times New Roman" w:hAnsi="Arial" w:cs="Arial"/>
          <w:sz w:val="20"/>
          <w:szCs w:val="20"/>
          <w:lang w:eastAsia="en-IN"/>
        </w:rPr>
        <w:t xml:space="preserve">The phytotoxicity of </w:t>
      </w:r>
      <w:proofErr w:type="gramStart"/>
      <w:r w:rsidRPr="006A79C5">
        <w:rPr>
          <w:rFonts w:ascii="Arial" w:eastAsia="Times New Roman" w:hAnsi="Arial" w:cs="Arial"/>
          <w:sz w:val="20"/>
          <w:szCs w:val="20"/>
          <w:lang w:eastAsia="en-IN"/>
        </w:rPr>
        <w:t>NON was</w:t>
      </w:r>
      <w:proofErr w:type="gramEnd"/>
      <w:r w:rsidRPr="006A79C5">
        <w:rPr>
          <w:rFonts w:ascii="Arial" w:eastAsia="Times New Roman" w:hAnsi="Arial" w:cs="Arial"/>
          <w:sz w:val="20"/>
          <w:szCs w:val="20"/>
          <w:lang w:eastAsia="en-IN"/>
        </w:rPr>
        <w:t xml:space="preserve"> concentration-dependent (Table 2). At low concentrations (Ne6.25–Ne25 mg/mL), germination percentages (83.3–100%) and seedling vigo</w:t>
      </w:r>
      <w:r w:rsidR="00E91D21" w:rsidRPr="006A79C5">
        <w:rPr>
          <w:rFonts w:ascii="Arial" w:eastAsia="Times New Roman" w:hAnsi="Arial" w:cs="Arial"/>
          <w:sz w:val="20"/>
          <w:szCs w:val="20"/>
          <w:lang w:eastAsia="en-IN"/>
        </w:rPr>
        <w:t>u</w:t>
      </w:r>
      <w:r w:rsidRPr="006A79C5">
        <w:rPr>
          <w:rFonts w:ascii="Arial" w:eastAsia="Times New Roman" w:hAnsi="Arial" w:cs="Arial"/>
          <w:sz w:val="20"/>
          <w:szCs w:val="20"/>
          <w:lang w:eastAsia="en-IN"/>
        </w:rPr>
        <w:t>r indices (0.52–0.60) were significantly higher (</w:t>
      </w:r>
      <w:r w:rsidRPr="006A79C5">
        <w:rPr>
          <w:rFonts w:ascii="Arial" w:eastAsia="Times New Roman" w:hAnsi="Arial" w:cs="Arial"/>
          <w:i/>
          <w:iCs/>
          <w:sz w:val="20"/>
          <w:szCs w:val="20"/>
          <w:lang w:eastAsia="en-IN"/>
        </w:rPr>
        <w:t>p</w:t>
      </w:r>
      <w:r w:rsidRPr="006A79C5">
        <w:rPr>
          <w:rFonts w:ascii="Arial" w:eastAsia="Times New Roman" w:hAnsi="Arial" w:cs="Arial"/>
          <w:sz w:val="20"/>
          <w:szCs w:val="20"/>
          <w:lang w:eastAsia="en-IN"/>
        </w:rPr>
        <w:t>&lt;0.05) than the control (77.8% germination, vigo</w:t>
      </w:r>
      <w:r w:rsidR="00E91D21" w:rsidRPr="006A79C5">
        <w:rPr>
          <w:rFonts w:ascii="Arial" w:eastAsia="Times New Roman" w:hAnsi="Arial" w:cs="Arial"/>
          <w:sz w:val="20"/>
          <w:szCs w:val="20"/>
          <w:lang w:eastAsia="en-IN"/>
        </w:rPr>
        <w:t>u</w:t>
      </w:r>
      <w:r w:rsidRPr="006A79C5">
        <w:rPr>
          <w:rFonts w:ascii="Arial" w:eastAsia="Times New Roman" w:hAnsi="Arial" w:cs="Arial"/>
          <w:sz w:val="20"/>
          <w:szCs w:val="20"/>
          <w:lang w:eastAsia="en-IN"/>
        </w:rPr>
        <w:t>r index = 0.21). In contrast, Ne100 mg/mL caused severe phytotoxicity, reducing germination to 16.7% and stunting radicle/plumule growth (</w:t>
      </w:r>
      <w:r w:rsidR="00C26FD6" w:rsidRPr="006A79C5">
        <w:rPr>
          <w:rFonts w:ascii="Arial" w:eastAsia="Times New Roman" w:hAnsi="Arial" w:cs="Arial"/>
          <w:sz w:val="20"/>
          <w:szCs w:val="20"/>
          <w:lang w:eastAsia="en-IN"/>
        </w:rPr>
        <w:t>Plate 9</w:t>
      </w:r>
      <w:r w:rsidR="00870047" w:rsidRPr="006A79C5">
        <w:rPr>
          <w:rFonts w:ascii="Arial" w:eastAsia="Times New Roman" w:hAnsi="Arial" w:cs="Arial"/>
          <w:sz w:val="20"/>
          <w:szCs w:val="20"/>
          <w:lang w:eastAsia="en-IN"/>
        </w:rPr>
        <w:t>; Figure 2</w:t>
      </w:r>
      <w:r w:rsidRPr="006A79C5">
        <w:rPr>
          <w:rFonts w:ascii="Arial" w:eastAsia="Times New Roman" w:hAnsi="Arial" w:cs="Arial"/>
          <w:sz w:val="20"/>
          <w:szCs w:val="20"/>
          <w:lang w:eastAsia="en-IN"/>
        </w:rPr>
        <w:t>).</w:t>
      </w:r>
      <w:r w:rsidR="00441DCC" w:rsidRPr="006A79C5">
        <w:rPr>
          <w:rFonts w:ascii="Arial" w:eastAsia="Times New Roman" w:hAnsi="Arial" w:cs="Arial"/>
          <w:sz w:val="20"/>
          <w:szCs w:val="20"/>
          <w:lang w:eastAsia="en-IN"/>
        </w:rPr>
        <w:t xml:space="preserve"> The phytotoxic effects of </w:t>
      </w:r>
      <w:proofErr w:type="gramStart"/>
      <w:r w:rsidR="00441DCC" w:rsidRPr="006A79C5">
        <w:rPr>
          <w:rFonts w:ascii="Arial" w:eastAsia="Times New Roman" w:hAnsi="Arial" w:cs="Arial"/>
          <w:sz w:val="20"/>
          <w:szCs w:val="20"/>
          <w:lang w:eastAsia="en-IN"/>
        </w:rPr>
        <w:t>NON exhibited</w:t>
      </w:r>
      <w:proofErr w:type="gramEnd"/>
      <w:r w:rsidR="00441DCC" w:rsidRPr="006A79C5">
        <w:rPr>
          <w:rFonts w:ascii="Arial" w:eastAsia="Times New Roman" w:hAnsi="Arial" w:cs="Arial"/>
          <w:sz w:val="20"/>
          <w:szCs w:val="20"/>
          <w:lang w:eastAsia="en-IN"/>
        </w:rPr>
        <w:t xml:space="preserve"> a clear dose-dependent trend. At low concentrations (Ne6.25–Ne25 mg/mL), germination rates (83.3–100%) and seedling vigour indices (0.52–0.60) surpassed those of the control, indicating a stimulatory role. From a practical standpoint, NON at 6.25–25 mg/mL emerges as a promising seed treatment for maize, offering dual benefits of pathogen suppression and vigour enhancement. Its antioxidant properties, evidenced by superior DPPH (80.12%) and FRAP (86.59%) activities compared to raw neem oil, further support its role in mitigating abiotic stress during early seedling development (Rinaldi et al., 2017). </w:t>
      </w:r>
      <w:r w:rsidR="006E2633" w:rsidRPr="006A79C5">
        <w:rPr>
          <w:rFonts w:ascii="Arial" w:eastAsia="Times New Roman" w:hAnsi="Arial" w:cs="Arial"/>
          <w:iCs/>
          <w:sz w:val="20"/>
          <w:szCs w:val="20"/>
          <w:highlight w:val="yellow"/>
          <w:lang w:eastAsia="en-IN"/>
        </w:rPr>
        <w:t>The observed biphasic effect stimulation at low doses and inhibition at high doses is consistent with hormesis in nanoparticle–plant interactions (</w:t>
      </w:r>
      <w:proofErr w:type="spellStart"/>
      <w:r w:rsidR="006E2633" w:rsidRPr="006A79C5">
        <w:rPr>
          <w:rFonts w:ascii="Arial" w:eastAsia="Times New Roman" w:hAnsi="Arial" w:cs="Arial"/>
          <w:iCs/>
          <w:sz w:val="20"/>
          <w:szCs w:val="20"/>
          <w:highlight w:val="yellow"/>
          <w:lang w:eastAsia="en-IN"/>
        </w:rPr>
        <w:t>Szőllősi</w:t>
      </w:r>
      <w:proofErr w:type="spellEnd"/>
      <w:r w:rsidR="006E2633" w:rsidRPr="006A79C5">
        <w:rPr>
          <w:rFonts w:ascii="Arial" w:eastAsia="Times New Roman" w:hAnsi="Arial" w:cs="Arial"/>
          <w:iCs/>
          <w:sz w:val="20"/>
          <w:szCs w:val="20"/>
          <w:highlight w:val="yellow"/>
          <w:lang w:eastAsia="en-IN"/>
        </w:rPr>
        <w:t xml:space="preserve"> et al., 2020). Low NON concentrations may promote nutrient uptake and antioxidant defence, while excessive </w:t>
      </w:r>
      <w:proofErr w:type="spellStart"/>
      <w:r w:rsidR="006E2633" w:rsidRPr="006A79C5">
        <w:rPr>
          <w:rFonts w:ascii="Arial" w:eastAsia="Times New Roman" w:hAnsi="Arial" w:cs="Arial"/>
          <w:iCs/>
          <w:sz w:val="20"/>
          <w:szCs w:val="20"/>
          <w:highlight w:val="yellow"/>
          <w:lang w:eastAsia="en-IN"/>
        </w:rPr>
        <w:t>AgNP</w:t>
      </w:r>
      <w:proofErr w:type="spellEnd"/>
      <w:r w:rsidR="006E2633" w:rsidRPr="006A79C5">
        <w:rPr>
          <w:rFonts w:ascii="Arial" w:eastAsia="Times New Roman" w:hAnsi="Arial" w:cs="Arial"/>
          <w:iCs/>
          <w:sz w:val="20"/>
          <w:szCs w:val="20"/>
          <w:highlight w:val="yellow"/>
          <w:lang w:eastAsia="en-IN"/>
        </w:rPr>
        <w:t xml:space="preserve"> accumulation at higher doses induces oxidative stress, membrane damage, and impaired cell division</w:t>
      </w:r>
      <w:r w:rsidR="006E2633" w:rsidRPr="006A79C5">
        <w:rPr>
          <w:rFonts w:ascii="Arial" w:eastAsia="Times New Roman" w:hAnsi="Arial" w:cs="Arial"/>
          <w:iCs/>
          <w:sz w:val="20"/>
          <w:szCs w:val="20"/>
          <w:lang w:eastAsia="en-IN"/>
        </w:rPr>
        <w:t>.</w:t>
      </w:r>
    </w:p>
    <w:p w14:paraId="47EEA88F" w14:textId="77777777" w:rsidR="00441DCC" w:rsidRPr="006A79C5" w:rsidRDefault="00441DCC" w:rsidP="00441DCC">
      <w:pPr>
        <w:shd w:val="clear" w:color="auto" w:fill="FFFFFF"/>
        <w:spacing w:before="206" w:after="206" w:line="240" w:lineRule="auto"/>
        <w:jc w:val="both"/>
        <w:rPr>
          <w:rFonts w:ascii="Arial" w:eastAsia="Times New Roman" w:hAnsi="Arial" w:cs="Arial"/>
          <w:sz w:val="20"/>
          <w:szCs w:val="20"/>
          <w:lang w:eastAsia="en-IN"/>
        </w:rPr>
      </w:pPr>
    </w:p>
    <w:p w14:paraId="491C0BE2" w14:textId="1397F715" w:rsidR="00952F2F" w:rsidRPr="006A79C5" w:rsidRDefault="00952F2F" w:rsidP="005974D1">
      <w:pPr>
        <w:shd w:val="clear" w:color="auto" w:fill="FFFFFF"/>
        <w:spacing w:before="206" w:after="206" w:line="240" w:lineRule="auto"/>
        <w:jc w:val="both"/>
        <w:rPr>
          <w:rFonts w:ascii="Arial" w:eastAsia="Times New Roman" w:hAnsi="Arial" w:cs="Arial"/>
          <w:sz w:val="20"/>
          <w:szCs w:val="20"/>
          <w:lang w:eastAsia="en-IN"/>
        </w:rPr>
      </w:pPr>
    </w:p>
    <w:p w14:paraId="5400B00C" w14:textId="6AADFFE3" w:rsidR="00952F2F" w:rsidRPr="006A79C5" w:rsidRDefault="00952F2F" w:rsidP="005974D1">
      <w:pPr>
        <w:shd w:val="clear" w:color="auto" w:fill="FFFFFF"/>
        <w:spacing w:before="206" w:after="206" w:line="240" w:lineRule="auto"/>
        <w:rPr>
          <w:rFonts w:ascii="Arial" w:eastAsia="Times New Roman" w:hAnsi="Arial" w:cs="Arial"/>
          <w:sz w:val="20"/>
          <w:szCs w:val="20"/>
          <w:lang w:eastAsia="en-IN"/>
        </w:rPr>
      </w:pPr>
      <w:r w:rsidRPr="006A79C5">
        <w:rPr>
          <w:rFonts w:ascii="Arial" w:eastAsia="Times New Roman" w:hAnsi="Arial" w:cs="Arial"/>
          <w:bCs/>
          <w:sz w:val="20"/>
          <w:szCs w:val="20"/>
          <w:lang w:eastAsia="en-IN"/>
        </w:rPr>
        <w:t>Table 2</w:t>
      </w:r>
      <w:r w:rsidRPr="006A79C5">
        <w:rPr>
          <w:rFonts w:ascii="Arial" w:eastAsia="Times New Roman" w:hAnsi="Arial" w:cs="Arial"/>
          <w:sz w:val="20"/>
          <w:szCs w:val="20"/>
          <w:lang w:eastAsia="en-IN"/>
        </w:rPr>
        <w:br/>
      </w:r>
      <w:r w:rsidRPr="006A79C5">
        <w:rPr>
          <w:rFonts w:ascii="Arial" w:eastAsia="Times New Roman" w:hAnsi="Arial" w:cs="Arial"/>
          <w:iCs/>
          <w:sz w:val="20"/>
          <w:szCs w:val="20"/>
          <w:lang w:eastAsia="en-IN"/>
        </w:rPr>
        <w:t xml:space="preserve">Germination Parameters and Seedling </w:t>
      </w:r>
      <w:r w:rsidR="005B6B35" w:rsidRPr="006A79C5">
        <w:rPr>
          <w:rFonts w:ascii="Arial" w:eastAsia="Times New Roman" w:hAnsi="Arial" w:cs="Arial"/>
          <w:iCs/>
          <w:sz w:val="20"/>
          <w:szCs w:val="20"/>
          <w:lang w:eastAsia="en-IN"/>
        </w:rPr>
        <w:t>Vigour</w:t>
      </w:r>
      <w:r w:rsidRPr="006A79C5">
        <w:rPr>
          <w:rFonts w:ascii="Arial" w:eastAsia="Times New Roman" w:hAnsi="Arial" w:cs="Arial"/>
          <w:iCs/>
          <w:sz w:val="20"/>
          <w:szCs w:val="20"/>
          <w:lang w:eastAsia="en-IN"/>
        </w:rPr>
        <w:t xml:space="preserve"> of Maize Seeds Treated with NON</w:t>
      </w:r>
    </w:p>
    <w:tbl>
      <w:tblPr>
        <w:tblW w:w="0" w:type="auto"/>
        <w:tblCellMar>
          <w:top w:w="15" w:type="dxa"/>
          <w:left w:w="15" w:type="dxa"/>
          <w:bottom w:w="15" w:type="dxa"/>
          <w:right w:w="15" w:type="dxa"/>
        </w:tblCellMar>
        <w:tblLook w:val="04A0" w:firstRow="1" w:lastRow="0" w:firstColumn="1" w:lastColumn="0" w:noHBand="0" w:noVBand="1"/>
      </w:tblPr>
      <w:tblGrid>
        <w:gridCol w:w="1536"/>
        <w:gridCol w:w="1660"/>
        <w:gridCol w:w="1720"/>
        <w:gridCol w:w="2348"/>
        <w:gridCol w:w="1762"/>
      </w:tblGrid>
      <w:tr w:rsidR="00F530C1" w:rsidRPr="006A79C5" w14:paraId="504B8771" w14:textId="77777777" w:rsidTr="00952F2F">
        <w:trPr>
          <w:tblHeader/>
        </w:trPr>
        <w:tc>
          <w:tcPr>
            <w:tcW w:w="0" w:type="auto"/>
            <w:tcBorders>
              <w:top w:val="nil"/>
              <w:left w:val="nil"/>
              <w:bottom w:val="single" w:sz="8" w:space="0" w:color="BBBBBB"/>
              <w:right w:val="nil"/>
            </w:tcBorders>
            <w:tcMar>
              <w:top w:w="150" w:type="dxa"/>
              <w:left w:w="0" w:type="dxa"/>
              <w:bottom w:w="150" w:type="dxa"/>
              <w:right w:w="150" w:type="dxa"/>
            </w:tcMar>
            <w:vAlign w:val="center"/>
            <w:hideMark/>
          </w:tcPr>
          <w:p w14:paraId="396E991F" w14:textId="77777777" w:rsidR="00952F2F" w:rsidRPr="006A79C5" w:rsidRDefault="00952F2F" w:rsidP="005974D1">
            <w:pPr>
              <w:spacing w:after="0" w:line="240" w:lineRule="auto"/>
              <w:jc w:val="both"/>
              <w:rPr>
                <w:rFonts w:ascii="Arial" w:eastAsia="Times New Roman" w:hAnsi="Arial" w:cs="Arial"/>
                <w:b/>
                <w:bCs/>
                <w:sz w:val="20"/>
                <w:szCs w:val="20"/>
                <w:lang w:eastAsia="en-IN"/>
              </w:rPr>
            </w:pPr>
            <w:r w:rsidRPr="006A79C5">
              <w:rPr>
                <w:rFonts w:ascii="Arial" w:eastAsia="Times New Roman" w:hAnsi="Arial" w:cs="Arial"/>
                <w:b/>
                <w:bCs/>
                <w:sz w:val="20"/>
                <w:szCs w:val="20"/>
                <w:lang w:eastAsia="en-IN"/>
              </w:rPr>
              <w:t>Treatment (mg/mL)</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62F50F27" w14:textId="77777777" w:rsidR="00952F2F" w:rsidRPr="006A79C5" w:rsidRDefault="00952F2F" w:rsidP="005974D1">
            <w:pPr>
              <w:spacing w:after="0" w:line="240" w:lineRule="auto"/>
              <w:jc w:val="both"/>
              <w:rPr>
                <w:rFonts w:ascii="Arial" w:eastAsia="Times New Roman" w:hAnsi="Arial" w:cs="Arial"/>
                <w:b/>
                <w:bCs/>
                <w:sz w:val="20"/>
                <w:szCs w:val="20"/>
                <w:lang w:eastAsia="en-IN"/>
              </w:rPr>
            </w:pPr>
            <w:r w:rsidRPr="006A79C5">
              <w:rPr>
                <w:rFonts w:ascii="Arial" w:eastAsia="Times New Roman" w:hAnsi="Arial" w:cs="Arial"/>
                <w:b/>
                <w:bCs/>
                <w:sz w:val="20"/>
                <w:szCs w:val="20"/>
                <w:lang w:eastAsia="en-IN"/>
              </w:rPr>
              <w:t>Germination (%)</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6E5343A6" w14:textId="77777777" w:rsidR="00952F2F" w:rsidRPr="006A79C5" w:rsidRDefault="00952F2F" w:rsidP="005974D1">
            <w:pPr>
              <w:spacing w:after="0" w:line="240" w:lineRule="auto"/>
              <w:jc w:val="both"/>
              <w:rPr>
                <w:rFonts w:ascii="Arial" w:eastAsia="Times New Roman" w:hAnsi="Arial" w:cs="Arial"/>
                <w:b/>
                <w:bCs/>
                <w:sz w:val="20"/>
                <w:szCs w:val="20"/>
                <w:lang w:eastAsia="en-IN"/>
              </w:rPr>
            </w:pPr>
            <w:r w:rsidRPr="006A79C5">
              <w:rPr>
                <w:rFonts w:ascii="Arial" w:eastAsia="Times New Roman" w:hAnsi="Arial" w:cs="Arial"/>
                <w:b/>
                <w:bCs/>
                <w:sz w:val="20"/>
                <w:szCs w:val="20"/>
                <w:lang w:eastAsia="en-IN"/>
              </w:rPr>
              <w:t>Germination Rate</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0B573A82" w14:textId="77777777" w:rsidR="00952F2F" w:rsidRPr="006A79C5" w:rsidRDefault="00952F2F" w:rsidP="005974D1">
            <w:pPr>
              <w:spacing w:after="0" w:line="240" w:lineRule="auto"/>
              <w:jc w:val="both"/>
              <w:rPr>
                <w:rFonts w:ascii="Arial" w:eastAsia="Times New Roman" w:hAnsi="Arial" w:cs="Arial"/>
                <w:b/>
                <w:bCs/>
                <w:sz w:val="20"/>
                <w:szCs w:val="20"/>
                <w:lang w:eastAsia="en-IN"/>
              </w:rPr>
            </w:pPr>
            <w:r w:rsidRPr="006A79C5">
              <w:rPr>
                <w:rFonts w:ascii="Arial" w:eastAsia="Times New Roman" w:hAnsi="Arial" w:cs="Arial"/>
                <w:b/>
                <w:bCs/>
                <w:sz w:val="20"/>
                <w:szCs w:val="20"/>
                <w:lang w:eastAsia="en-IN"/>
              </w:rPr>
              <w:t>Mean Germination Time (Days)</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2C6C42CD" w14:textId="698038AB" w:rsidR="00952F2F" w:rsidRPr="006A79C5" w:rsidRDefault="00952F2F" w:rsidP="005974D1">
            <w:pPr>
              <w:spacing w:after="0" w:line="240" w:lineRule="auto"/>
              <w:jc w:val="both"/>
              <w:rPr>
                <w:rFonts w:ascii="Arial" w:eastAsia="Times New Roman" w:hAnsi="Arial" w:cs="Arial"/>
                <w:b/>
                <w:bCs/>
                <w:sz w:val="20"/>
                <w:szCs w:val="20"/>
                <w:lang w:eastAsia="en-IN"/>
              </w:rPr>
            </w:pPr>
            <w:r w:rsidRPr="006A79C5">
              <w:rPr>
                <w:rFonts w:ascii="Arial" w:eastAsia="Times New Roman" w:hAnsi="Arial" w:cs="Arial"/>
                <w:b/>
                <w:bCs/>
                <w:sz w:val="20"/>
                <w:szCs w:val="20"/>
                <w:lang w:eastAsia="en-IN"/>
              </w:rPr>
              <w:t xml:space="preserve">Seedling </w:t>
            </w:r>
            <w:r w:rsidR="005B6B35" w:rsidRPr="006A79C5">
              <w:rPr>
                <w:rFonts w:ascii="Arial" w:eastAsia="Times New Roman" w:hAnsi="Arial" w:cs="Arial"/>
                <w:b/>
                <w:bCs/>
                <w:sz w:val="20"/>
                <w:szCs w:val="20"/>
                <w:lang w:eastAsia="en-IN"/>
              </w:rPr>
              <w:t>Vigour</w:t>
            </w:r>
            <w:r w:rsidRPr="006A79C5">
              <w:rPr>
                <w:rFonts w:ascii="Arial" w:eastAsia="Times New Roman" w:hAnsi="Arial" w:cs="Arial"/>
                <w:b/>
                <w:bCs/>
                <w:sz w:val="20"/>
                <w:szCs w:val="20"/>
                <w:lang w:eastAsia="en-IN"/>
              </w:rPr>
              <w:t xml:space="preserve"> Index</w:t>
            </w:r>
          </w:p>
        </w:tc>
      </w:tr>
      <w:tr w:rsidR="00F530C1" w:rsidRPr="006A79C5" w14:paraId="4A85B1C2"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7C97D323"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Ne6.25</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678BE4CB"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94.4 ± 2.9ᵇ</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CD51BFB"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1.89 ± 0.12ᵇ</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169F5D07"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2.00 ± 0.00ᵃ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AC09E4C"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0.52 ± 0.03ᵇ</w:t>
            </w:r>
          </w:p>
        </w:tc>
      </w:tr>
      <w:tr w:rsidR="00F530C1" w:rsidRPr="006A79C5" w14:paraId="69FABBAE"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06014BE7"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Ne12.5</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AC98A06"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83.3 ± 3.3ᵇ</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0C0EF5C"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1.67 ± 0.15ᵇ</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4AB548C"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2.08 ± 0.12ᵃ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5BD73435"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0.37 ± 0.02ᶜ</w:t>
            </w:r>
          </w:p>
        </w:tc>
      </w:tr>
      <w:tr w:rsidR="00F530C1" w:rsidRPr="006A79C5" w14:paraId="10A7BB8B"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52FEE7AA"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Ne25</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180A3C5A"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100.0 ± 0.0ᵃ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5BBA0922"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2.00 ± 0.00ᵃ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0AFD3F49"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2.00 ± 0.00ᵃ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30719682"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0.60 ± 0.04ᵃ</w:t>
            </w:r>
          </w:p>
        </w:tc>
      </w:tr>
      <w:tr w:rsidR="00F530C1" w:rsidRPr="006A79C5" w14:paraId="6418A446"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0DD26D76"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Ne50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5CBDF08D"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77.8 ± 4.4ᶜ</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DC24343"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1.56 ± 0.10ᶜ</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09B4CB7"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2.35 ± 0.09ᵇ</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00DAC733"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0.31 ± 0.02ᶜ</w:t>
            </w:r>
          </w:p>
        </w:tc>
      </w:tr>
      <w:tr w:rsidR="00F530C1" w:rsidRPr="006A79C5" w14:paraId="14B23D6E"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20630CD7"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Ne100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12F05944"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16.7 ± 2.9ᵈ</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99D5248"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0.22 ± 0.03ᵈ</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136A6010"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2.67 ± 0.15ᵇ</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2F3F95C"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0.03 ± 0.01ᵈ</w:t>
            </w:r>
          </w:p>
        </w:tc>
      </w:tr>
      <w:tr w:rsidR="00F530C1" w:rsidRPr="006A79C5" w14:paraId="24576662"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14EB53F2"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Control</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3001A1F"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77.8 ± 3.3ᶜ</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55F6DB5F"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1.55 ± 0.08ᶜ</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A4AA99E"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2.00 ± 0.00ᵃ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1D5A17FF"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0.21 ± 0.01ᵈ</w:t>
            </w:r>
          </w:p>
        </w:tc>
      </w:tr>
    </w:tbl>
    <w:p w14:paraId="7CAF335E" w14:textId="2F14375A" w:rsidR="009965F8" w:rsidRPr="006A79C5" w:rsidRDefault="00952F2F" w:rsidP="005974D1">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i/>
          <w:iCs/>
          <w:sz w:val="20"/>
          <w:szCs w:val="20"/>
          <w:lang w:eastAsia="en-IN"/>
        </w:rPr>
        <w:t>Note.</w:t>
      </w:r>
      <w:r w:rsidRPr="006A79C5">
        <w:rPr>
          <w:rFonts w:ascii="Arial" w:eastAsia="Times New Roman" w:hAnsi="Arial" w:cs="Arial"/>
          <w:sz w:val="20"/>
          <w:szCs w:val="20"/>
          <w:lang w:eastAsia="en-IN"/>
        </w:rPr>
        <w:t> Values are mean ± SD (</w:t>
      </w:r>
      <w:r w:rsidRPr="006A79C5">
        <w:rPr>
          <w:rFonts w:ascii="Arial" w:eastAsia="Times New Roman" w:hAnsi="Arial" w:cs="Arial"/>
          <w:i/>
          <w:iCs/>
          <w:sz w:val="20"/>
          <w:szCs w:val="20"/>
          <w:lang w:eastAsia="en-IN"/>
        </w:rPr>
        <w:t>n</w:t>
      </w:r>
      <w:r w:rsidRPr="006A79C5">
        <w:rPr>
          <w:rFonts w:ascii="Arial" w:eastAsia="Times New Roman" w:hAnsi="Arial" w:cs="Arial"/>
          <w:sz w:val="20"/>
          <w:szCs w:val="20"/>
          <w:lang w:eastAsia="en-IN"/>
        </w:rPr>
        <w:t>=3). Means with different superscripts (ᵃ, ᵇ, ᶜ, ᵈ) within columns differ significantly (</w:t>
      </w:r>
      <w:r w:rsidRPr="006A79C5">
        <w:rPr>
          <w:rFonts w:ascii="Arial" w:eastAsia="Times New Roman" w:hAnsi="Arial" w:cs="Arial"/>
          <w:i/>
          <w:iCs/>
          <w:sz w:val="20"/>
          <w:szCs w:val="20"/>
          <w:lang w:eastAsia="en-IN"/>
        </w:rPr>
        <w:t>p</w:t>
      </w:r>
      <w:r w:rsidRPr="006A79C5">
        <w:rPr>
          <w:rFonts w:ascii="Arial" w:eastAsia="Times New Roman" w:hAnsi="Arial" w:cs="Arial"/>
          <w:sz w:val="20"/>
          <w:szCs w:val="20"/>
          <w:lang w:eastAsia="en-IN"/>
        </w:rPr>
        <w:t>&lt;0.05) by Duncan’s test.</w:t>
      </w:r>
    </w:p>
    <w:p w14:paraId="1E23DC16" w14:textId="1ED66A00" w:rsidR="00870047" w:rsidRPr="006A79C5" w:rsidRDefault="00870047" w:rsidP="00870047">
      <w:pPr>
        <w:shd w:val="clear" w:color="auto" w:fill="FFFFFF"/>
        <w:spacing w:before="206" w:after="206" w:line="240" w:lineRule="auto"/>
        <w:jc w:val="both"/>
        <w:rPr>
          <w:rFonts w:ascii="Arial" w:eastAsia="Times New Roman" w:hAnsi="Arial" w:cs="Arial"/>
          <w:sz w:val="20"/>
          <w:szCs w:val="20"/>
          <w:lang w:eastAsia="en-IN"/>
        </w:rPr>
      </w:pPr>
    </w:p>
    <w:tbl>
      <w:tblPr>
        <w:tblStyle w:val="TableGrid"/>
        <w:tblW w:w="0" w:type="auto"/>
        <w:tblInd w:w="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6"/>
      </w:tblGrid>
      <w:tr w:rsidR="00870047" w:rsidRPr="006A79C5" w14:paraId="11CE88AE" w14:textId="77777777" w:rsidTr="00981CC5">
        <w:tc>
          <w:tcPr>
            <w:tcW w:w="7586" w:type="dxa"/>
          </w:tcPr>
          <w:p w14:paraId="60BF0371" w14:textId="77777777" w:rsidR="00870047" w:rsidRPr="006A79C5" w:rsidRDefault="00870047" w:rsidP="00981CC5">
            <w:pPr>
              <w:rPr>
                <w:rFonts w:ascii="Arial" w:hAnsi="Arial" w:cs="Arial"/>
                <w:sz w:val="24"/>
                <w:szCs w:val="24"/>
              </w:rPr>
            </w:pPr>
          </w:p>
          <w:tbl>
            <w:tblPr>
              <w:tblStyle w:val="TableGrid"/>
              <w:tblW w:w="6972" w:type="dxa"/>
              <w:tblLook w:val="04A0" w:firstRow="1" w:lastRow="0" w:firstColumn="1" w:lastColumn="0" w:noHBand="0" w:noVBand="1"/>
            </w:tblPr>
            <w:tblGrid>
              <w:gridCol w:w="3576"/>
              <w:gridCol w:w="3396"/>
            </w:tblGrid>
            <w:tr w:rsidR="00870047" w:rsidRPr="006A79C5" w14:paraId="3529D5D5" w14:textId="77777777" w:rsidTr="00981CC5">
              <w:tc>
                <w:tcPr>
                  <w:tcW w:w="3576" w:type="dxa"/>
                  <w:tcBorders>
                    <w:top w:val="nil"/>
                    <w:left w:val="nil"/>
                    <w:bottom w:val="nil"/>
                    <w:right w:val="nil"/>
                  </w:tcBorders>
                </w:tcPr>
                <w:p w14:paraId="1AF402E2" w14:textId="77777777" w:rsidR="00870047" w:rsidRPr="006A79C5" w:rsidRDefault="00870047" w:rsidP="00981CC5">
                  <w:pPr>
                    <w:rPr>
                      <w:rFonts w:ascii="Arial" w:hAnsi="Arial" w:cs="Arial"/>
                      <w:sz w:val="24"/>
                      <w:szCs w:val="24"/>
                    </w:rPr>
                  </w:pPr>
                  <w:r w:rsidRPr="006A79C5">
                    <w:rPr>
                      <w:rFonts w:ascii="Arial" w:hAnsi="Arial" w:cs="Arial"/>
                      <w:noProof/>
                      <w:sz w:val="24"/>
                      <w:szCs w:val="24"/>
                      <w:lang w:val="en-IE" w:eastAsia="en-IE"/>
                    </w:rPr>
                    <w:lastRenderedPageBreak/>
                    <w:drawing>
                      <wp:inline distT="0" distB="0" distL="0" distR="0" wp14:anchorId="257A1B66" wp14:editId="1939F73F">
                        <wp:extent cx="1864492" cy="1478655"/>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40923_132906_281.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64492" cy="1478655"/>
                                </a:xfrm>
                                <a:prstGeom prst="rect">
                                  <a:avLst/>
                                </a:prstGeom>
                                <a:ln>
                                  <a:noFill/>
                                </a:ln>
                                <a:extLst>
                                  <a:ext uri="{53640926-AAD7-44D8-BBD7-CCE9431645EC}">
                                    <a14:shadowObscured xmlns:a14="http://schemas.microsoft.com/office/drawing/2010/main"/>
                                  </a:ext>
                                </a:extLst>
                              </pic:spPr>
                            </pic:pic>
                          </a:graphicData>
                        </a:graphic>
                      </wp:inline>
                    </w:drawing>
                  </w:r>
                </w:p>
              </w:tc>
              <w:tc>
                <w:tcPr>
                  <w:tcW w:w="3396" w:type="dxa"/>
                  <w:tcBorders>
                    <w:top w:val="nil"/>
                    <w:left w:val="nil"/>
                    <w:bottom w:val="nil"/>
                    <w:right w:val="nil"/>
                  </w:tcBorders>
                </w:tcPr>
                <w:p w14:paraId="1E1F631B" w14:textId="77777777" w:rsidR="00870047" w:rsidRPr="006A79C5" w:rsidRDefault="00870047" w:rsidP="00981CC5">
                  <w:pPr>
                    <w:rPr>
                      <w:rFonts w:ascii="Arial" w:hAnsi="Arial" w:cs="Arial"/>
                      <w:sz w:val="24"/>
                      <w:szCs w:val="24"/>
                    </w:rPr>
                  </w:pPr>
                  <w:r w:rsidRPr="006A79C5">
                    <w:rPr>
                      <w:rFonts w:ascii="Arial" w:hAnsi="Arial" w:cs="Arial"/>
                      <w:noProof/>
                      <w:sz w:val="24"/>
                      <w:szCs w:val="24"/>
                      <w:lang w:val="en-IE" w:eastAsia="en-IE"/>
                    </w:rPr>
                    <w:drawing>
                      <wp:inline distT="0" distB="0" distL="0" distR="0" wp14:anchorId="55F1B603" wp14:editId="62DAA3D5">
                        <wp:extent cx="1819468" cy="1343098"/>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40923_132918_209.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19468" cy="1343098"/>
                                </a:xfrm>
                                <a:prstGeom prst="rect">
                                  <a:avLst/>
                                </a:prstGeom>
                                <a:ln>
                                  <a:noFill/>
                                </a:ln>
                                <a:extLst>
                                  <a:ext uri="{53640926-AAD7-44D8-BBD7-CCE9431645EC}">
                                    <a14:shadowObscured xmlns:a14="http://schemas.microsoft.com/office/drawing/2010/main"/>
                                  </a:ext>
                                </a:extLst>
                              </pic:spPr>
                            </pic:pic>
                          </a:graphicData>
                        </a:graphic>
                      </wp:inline>
                    </w:drawing>
                  </w:r>
                </w:p>
              </w:tc>
            </w:tr>
            <w:tr w:rsidR="00870047" w:rsidRPr="006A79C5" w14:paraId="0D11B865" w14:textId="77777777" w:rsidTr="00981CC5">
              <w:tc>
                <w:tcPr>
                  <w:tcW w:w="3576" w:type="dxa"/>
                  <w:tcBorders>
                    <w:top w:val="nil"/>
                    <w:left w:val="nil"/>
                    <w:bottom w:val="nil"/>
                    <w:right w:val="nil"/>
                  </w:tcBorders>
                </w:tcPr>
                <w:p w14:paraId="20FD09BF" w14:textId="77777777" w:rsidR="00870047" w:rsidRPr="006A79C5" w:rsidRDefault="00870047" w:rsidP="00981CC5">
                  <w:pPr>
                    <w:rPr>
                      <w:rFonts w:ascii="Arial" w:hAnsi="Arial" w:cs="Arial"/>
                      <w:sz w:val="20"/>
                      <w:szCs w:val="20"/>
                    </w:rPr>
                  </w:pPr>
                  <w:r w:rsidRPr="006A79C5">
                    <w:rPr>
                      <w:rFonts w:ascii="Arial" w:hAnsi="Arial" w:cs="Arial"/>
                      <w:sz w:val="20"/>
                      <w:szCs w:val="20"/>
                    </w:rPr>
                    <w:t>Plate 5: Germination of maize seeds treated with Ne25 at 7DAS.</w:t>
                  </w:r>
                </w:p>
              </w:tc>
              <w:tc>
                <w:tcPr>
                  <w:tcW w:w="3396" w:type="dxa"/>
                  <w:tcBorders>
                    <w:top w:val="nil"/>
                    <w:left w:val="nil"/>
                    <w:bottom w:val="nil"/>
                    <w:right w:val="nil"/>
                  </w:tcBorders>
                </w:tcPr>
                <w:p w14:paraId="266BB529" w14:textId="77777777" w:rsidR="00870047" w:rsidRPr="006A79C5" w:rsidRDefault="00870047" w:rsidP="00981CC5">
                  <w:pPr>
                    <w:rPr>
                      <w:rFonts w:ascii="Arial" w:hAnsi="Arial" w:cs="Arial"/>
                      <w:sz w:val="20"/>
                      <w:szCs w:val="20"/>
                    </w:rPr>
                  </w:pPr>
                  <w:r w:rsidRPr="006A79C5">
                    <w:rPr>
                      <w:rFonts w:ascii="Arial" w:hAnsi="Arial" w:cs="Arial"/>
                      <w:sz w:val="20"/>
                      <w:szCs w:val="20"/>
                    </w:rPr>
                    <w:t>Plate 6: Germination of maize seeds treated with Ne50 at 7DAS.</w:t>
                  </w:r>
                </w:p>
              </w:tc>
            </w:tr>
            <w:tr w:rsidR="00870047" w:rsidRPr="006A79C5" w14:paraId="0A0E267B" w14:textId="77777777" w:rsidTr="00981CC5">
              <w:tc>
                <w:tcPr>
                  <w:tcW w:w="3576" w:type="dxa"/>
                  <w:tcBorders>
                    <w:top w:val="nil"/>
                    <w:left w:val="nil"/>
                    <w:bottom w:val="nil"/>
                    <w:right w:val="nil"/>
                  </w:tcBorders>
                </w:tcPr>
                <w:p w14:paraId="7BDBADA4" w14:textId="77777777" w:rsidR="00870047" w:rsidRPr="006A79C5" w:rsidRDefault="00870047" w:rsidP="00981CC5">
                  <w:pPr>
                    <w:rPr>
                      <w:rFonts w:ascii="Arial" w:hAnsi="Arial" w:cs="Arial"/>
                      <w:sz w:val="24"/>
                      <w:szCs w:val="24"/>
                    </w:rPr>
                  </w:pPr>
                  <w:r w:rsidRPr="006A79C5">
                    <w:rPr>
                      <w:rFonts w:ascii="Arial" w:hAnsi="Arial" w:cs="Arial"/>
                      <w:noProof/>
                      <w:sz w:val="24"/>
                      <w:szCs w:val="24"/>
                      <w:lang w:val="en-IE" w:eastAsia="en-IE"/>
                    </w:rPr>
                    <w:drawing>
                      <wp:inline distT="0" distB="0" distL="0" distR="0" wp14:anchorId="24587142" wp14:editId="6EDF1591">
                        <wp:extent cx="1854830" cy="1483217"/>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40923_132837_998.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54830" cy="1483217"/>
                                </a:xfrm>
                                <a:prstGeom prst="rect">
                                  <a:avLst/>
                                </a:prstGeom>
                                <a:ln>
                                  <a:noFill/>
                                </a:ln>
                                <a:extLst>
                                  <a:ext uri="{53640926-AAD7-44D8-BBD7-CCE9431645EC}">
                                    <a14:shadowObscured xmlns:a14="http://schemas.microsoft.com/office/drawing/2010/main"/>
                                  </a:ext>
                                </a:extLst>
                              </pic:spPr>
                            </pic:pic>
                          </a:graphicData>
                        </a:graphic>
                      </wp:inline>
                    </w:drawing>
                  </w:r>
                </w:p>
              </w:tc>
              <w:tc>
                <w:tcPr>
                  <w:tcW w:w="3396" w:type="dxa"/>
                  <w:tcBorders>
                    <w:top w:val="nil"/>
                    <w:left w:val="nil"/>
                    <w:bottom w:val="nil"/>
                    <w:right w:val="nil"/>
                  </w:tcBorders>
                </w:tcPr>
                <w:p w14:paraId="35A15A33" w14:textId="77777777" w:rsidR="00870047" w:rsidRPr="006A79C5" w:rsidRDefault="00870047" w:rsidP="00981CC5">
                  <w:pPr>
                    <w:rPr>
                      <w:rFonts w:ascii="Arial" w:hAnsi="Arial" w:cs="Arial"/>
                      <w:sz w:val="24"/>
                      <w:szCs w:val="24"/>
                    </w:rPr>
                  </w:pPr>
                  <w:r w:rsidRPr="006A79C5">
                    <w:rPr>
                      <w:rFonts w:ascii="Arial" w:hAnsi="Arial" w:cs="Arial"/>
                      <w:noProof/>
                      <w:sz w:val="24"/>
                      <w:szCs w:val="24"/>
                      <w:lang w:val="en-IE" w:eastAsia="en-IE"/>
                    </w:rPr>
                    <w:drawing>
                      <wp:inline distT="0" distB="0" distL="0" distR="0" wp14:anchorId="74B3F89B" wp14:editId="6AA55B54">
                        <wp:extent cx="1837717" cy="12854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40923_132856_747.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37717" cy="1285410"/>
                                </a:xfrm>
                                <a:prstGeom prst="rect">
                                  <a:avLst/>
                                </a:prstGeom>
                                <a:ln>
                                  <a:noFill/>
                                </a:ln>
                                <a:extLst>
                                  <a:ext uri="{53640926-AAD7-44D8-BBD7-CCE9431645EC}">
                                    <a14:shadowObscured xmlns:a14="http://schemas.microsoft.com/office/drawing/2010/main"/>
                                  </a:ext>
                                </a:extLst>
                              </pic:spPr>
                            </pic:pic>
                          </a:graphicData>
                        </a:graphic>
                      </wp:inline>
                    </w:drawing>
                  </w:r>
                </w:p>
              </w:tc>
            </w:tr>
            <w:tr w:rsidR="00870047" w:rsidRPr="006A79C5" w14:paraId="305E42AC" w14:textId="77777777" w:rsidTr="00981CC5">
              <w:tc>
                <w:tcPr>
                  <w:tcW w:w="3576" w:type="dxa"/>
                  <w:tcBorders>
                    <w:top w:val="nil"/>
                    <w:left w:val="nil"/>
                    <w:bottom w:val="nil"/>
                    <w:right w:val="nil"/>
                  </w:tcBorders>
                </w:tcPr>
                <w:p w14:paraId="5BE6E8E4" w14:textId="77777777" w:rsidR="00870047" w:rsidRPr="006A79C5" w:rsidRDefault="00870047" w:rsidP="00981CC5">
                  <w:pPr>
                    <w:rPr>
                      <w:rFonts w:ascii="Arial" w:hAnsi="Arial" w:cs="Arial"/>
                      <w:sz w:val="20"/>
                      <w:szCs w:val="20"/>
                    </w:rPr>
                  </w:pPr>
                  <w:r w:rsidRPr="006A79C5">
                    <w:rPr>
                      <w:rFonts w:ascii="Arial" w:hAnsi="Arial" w:cs="Arial"/>
                      <w:sz w:val="20"/>
                      <w:szCs w:val="20"/>
                    </w:rPr>
                    <w:t>Plate 7: Germination of maize seeds treated with Ne6.25 at 7DAS.</w:t>
                  </w:r>
                  <w:r w:rsidRPr="006A79C5">
                    <w:rPr>
                      <w:rFonts w:ascii="Arial" w:hAnsi="Arial" w:cs="Arial"/>
                      <w:noProof/>
                      <w:sz w:val="20"/>
                      <w:szCs w:val="20"/>
                    </w:rPr>
                    <w:t xml:space="preserve"> </w:t>
                  </w:r>
                </w:p>
              </w:tc>
              <w:tc>
                <w:tcPr>
                  <w:tcW w:w="3396" w:type="dxa"/>
                  <w:tcBorders>
                    <w:top w:val="nil"/>
                    <w:left w:val="nil"/>
                    <w:bottom w:val="nil"/>
                    <w:right w:val="nil"/>
                  </w:tcBorders>
                </w:tcPr>
                <w:p w14:paraId="4481531C" w14:textId="77777777" w:rsidR="00870047" w:rsidRPr="006A79C5" w:rsidRDefault="00870047" w:rsidP="00981CC5">
                  <w:pPr>
                    <w:rPr>
                      <w:rFonts w:ascii="Arial" w:hAnsi="Arial" w:cs="Arial"/>
                      <w:sz w:val="20"/>
                      <w:szCs w:val="20"/>
                    </w:rPr>
                  </w:pPr>
                  <w:r w:rsidRPr="006A79C5">
                    <w:rPr>
                      <w:rFonts w:ascii="Arial" w:hAnsi="Arial" w:cs="Arial"/>
                      <w:sz w:val="20"/>
                      <w:szCs w:val="20"/>
                    </w:rPr>
                    <w:t>Plate 8: Germination of maize seeds treated with Ne12.5 at 7DAS.</w:t>
                  </w:r>
                </w:p>
              </w:tc>
            </w:tr>
            <w:tr w:rsidR="00870047" w:rsidRPr="006A79C5" w14:paraId="40A50D0A" w14:textId="77777777" w:rsidTr="00981CC5">
              <w:tc>
                <w:tcPr>
                  <w:tcW w:w="3576" w:type="dxa"/>
                  <w:tcBorders>
                    <w:top w:val="nil"/>
                    <w:left w:val="nil"/>
                    <w:bottom w:val="nil"/>
                    <w:right w:val="nil"/>
                  </w:tcBorders>
                </w:tcPr>
                <w:p w14:paraId="2B3090BC" w14:textId="77777777" w:rsidR="00870047" w:rsidRPr="006A79C5" w:rsidRDefault="00870047" w:rsidP="00981CC5">
                  <w:pPr>
                    <w:rPr>
                      <w:rFonts w:ascii="Arial" w:hAnsi="Arial" w:cs="Arial"/>
                      <w:sz w:val="24"/>
                      <w:szCs w:val="24"/>
                    </w:rPr>
                  </w:pPr>
                  <w:r w:rsidRPr="006A79C5">
                    <w:rPr>
                      <w:rFonts w:ascii="Arial" w:hAnsi="Arial" w:cs="Arial"/>
                      <w:noProof/>
                      <w:sz w:val="24"/>
                      <w:szCs w:val="24"/>
                      <w:lang w:val="en-IE" w:eastAsia="en-IE"/>
                    </w:rPr>
                    <w:drawing>
                      <wp:inline distT="0" distB="0" distL="0" distR="0" wp14:anchorId="5E094BD2" wp14:editId="0CEC2B14">
                        <wp:extent cx="1915390" cy="1347866"/>
                        <wp:effectExtent l="0" t="0" r="889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40923_132923_802.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915390" cy="1347866"/>
                                </a:xfrm>
                                <a:prstGeom prst="rect">
                                  <a:avLst/>
                                </a:prstGeom>
                                <a:ln>
                                  <a:noFill/>
                                </a:ln>
                                <a:extLst>
                                  <a:ext uri="{53640926-AAD7-44D8-BBD7-CCE9431645EC}">
                                    <a14:shadowObscured xmlns:a14="http://schemas.microsoft.com/office/drawing/2010/main"/>
                                  </a:ext>
                                </a:extLst>
                              </pic:spPr>
                            </pic:pic>
                          </a:graphicData>
                        </a:graphic>
                      </wp:inline>
                    </w:drawing>
                  </w:r>
                </w:p>
              </w:tc>
              <w:tc>
                <w:tcPr>
                  <w:tcW w:w="3396" w:type="dxa"/>
                  <w:tcBorders>
                    <w:top w:val="nil"/>
                    <w:left w:val="nil"/>
                    <w:bottom w:val="nil"/>
                    <w:right w:val="nil"/>
                  </w:tcBorders>
                </w:tcPr>
                <w:p w14:paraId="012D4462" w14:textId="77777777" w:rsidR="00870047" w:rsidRPr="006A79C5" w:rsidRDefault="00870047" w:rsidP="00981CC5">
                  <w:pPr>
                    <w:rPr>
                      <w:rFonts w:ascii="Arial" w:hAnsi="Arial" w:cs="Arial"/>
                      <w:sz w:val="24"/>
                      <w:szCs w:val="24"/>
                    </w:rPr>
                  </w:pPr>
                  <w:r w:rsidRPr="006A79C5">
                    <w:rPr>
                      <w:rFonts w:ascii="Arial" w:hAnsi="Arial" w:cs="Arial"/>
                      <w:noProof/>
                      <w:sz w:val="24"/>
                      <w:szCs w:val="24"/>
                      <w:lang w:val="en-IE" w:eastAsia="en-IE"/>
                    </w:rPr>
                    <w:drawing>
                      <wp:inline distT="0" distB="0" distL="0" distR="0" wp14:anchorId="362A8357" wp14:editId="60E4F7B0">
                        <wp:extent cx="2018606" cy="1407169"/>
                        <wp:effectExtent l="0" t="0" r="127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40923_132807_744.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18606" cy="1407169"/>
                                </a:xfrm>
                                <a:prstGeom prst="rect">
                                  <a:avLst/>
                                </a:prstGeom>
                                <a:ln>
                                  <a:noFill/>
                                </a:ln>
                                <a:extLst>
                                  <a:ext uri="{53640926-AAD7-44D8-BBD7-CCE9431645EC}">
                                    <a14:shadowObscured xmlns:a14="http://schemas.microsoft.com/office/drawing/2010/main"/>
                                  </a:ext>
                                </a:extLst>
                              </pic:spPr>
                            </pic:pic>
                          </a:graphicData>
                        </a:graphic>
                      </wp:inline>
                    </w:drawing>
                  </w:r>
                </w:p>
              </w:tc>
            </w:tr>
            <w:tr w:rsidR="00870047" w:rsidRPr="006A79C5" w14:paraId="50B02008" w14:textId="77777777" w:rsidTr="00981CC5">
              <w:trPr>
                <w:trHeight w:val="1103"/>
              </w:trPr>
              <w:tc>
                <w:tcPr>
                  <w:tcW w:w="3576" w:type="dxa"/>
                  <w:tcBorders>
                    <w:top w:val="nil"/>
                    <w:left w:val="nil"/>
                    <w:bottom w:val="nil"/>
                    <w:right w:val="nil"/>
                  </w:tcBorders>
                </w:tcPr>
                <w:p w14:paraId="16F1FD45" w14:textId="77777777" w:rsidR="00870047" w:rsidRPr="006A79C5" w:rsidRDefault="00870047" w:rsidP="00981CC5">
                  <w:pPr>
                    <w:rPr>
                      <w:rFonts w:ascii="Arial" w:hAnsi="Arial" w:cs="Arial"/>
                      <w:sz w:val="20"/>
                      <w:szCs w:val="20"/>
                    </w:rPr>
                  </w:pPr>
                  <w:r w:rsidRPr="006A79C5">
                    <w:rPr>
                      <w:rFonts w:ascii="Arial" w:hAnsi="Arial" w:cs="Arial"/>
                      <w:sz w:val="20"/>
                      <w:szCs w:val="20"/>
                    </w:rPr>
                    <w:t>Plate 9: Germination of maize seed treated with Ne100 at 7DAS</w:t>
                  </w:r>
                </w:p>
              </w:tc>
              <w:tc>
                <w:tcPr>
                  <w:tcW w:w="3396" w:type="dxa"/>
                  <w:tcBorders>
                    <w:top w:val="nil"/>
                    <w:left w:val="nil"/>
                    <w:bottom w:val="nil"/>
                    <w:right w:val="nil"/>
                  </w:tcBorders>
                </w:tcPr>
                <w:p w14:paraId="5C8E0DB1" w14:textId="77777777" w:rsidR="00870047" w:rsidRPr="006A79C5" w:rsidRDefault="00870047" w:rsidP="00981CC5">
                  <w:pPr>
                    <w:rPr>
                      <w:rFonts w:ascii="Arial" w:hAnsi="Arial" w:cs="Arial"/>
                      <w:sz w:val="20"/>
                      <w:szCs w:val="20"/>
                    </w:rPr>
                  </w:pPr>
                  <w:r w:rsidRPr="006A79C5">
                    <w:rPr>
                      <w:rFonts w:ascii="Arial" w:hAnsi="Arial" w:cs="Arial"/>
                      <w:sz w:val="20"/>
                      <w:szCs w:val="20"/>
                    </w:rPr>
                    <w:t>Plate 10:  Germination of maize seeds with no treatment (Control) at 7DAS.</w:t>
                  </w:r>
                </w:p>
              </w:tc>
            </w:tr>
            <w:tr w:rsidR="00870047" w:rsidRPr="006A79C5" w14:paraId="1CE78978" w14:textId="77777777" w:rsidTr="00981CC5">
              <w:tc>
                <w:tcPr>
                  <w:tcW w:w="3576" w:type="dxa"/>
                  <w:tcBorders>
                    <w:top w:val="nil"/>
                    <w:left w:val="nil"/>
                    <w:bottom w:val="nil"/>
                    <w:right w:val="nil"/>
                  </w:tcBorders>
                </w:tcPr>
                <w:p w14:paraId="0FC9BFDB" w14:textId="77777777" w:rsidR="00870047" w:rsidRPr="006A79C5" w:rsidRDefault="00870047" w:rsidP="00981CC5">
                  <w:pPr>
                    <w:rPr>
                      <w:rFonts w:ascii="Arial" w:hAnsi="Arial" w:cs="Arial"/>
                      <w:sz w:val="24"/>
                      <w:szCs w:val="24"/>
                    </w:rPr>
                  </w:pPr>
                  <w:r w:rsidRPr="006A79C5">
                    <w:rPr>
                      <w:rFonts w:ascii="Arial" w:hAnsi="Arial" w:cs="Arial"/>
                      <w:noProof/>
                      <w:sz w:val="24"/>
                      <w:szCs w:val="24"/>
                      <w:lang w:val="en-IE" w:eastAsia="en-IE"/>
                    </w:rPr>
                    <w:drawing>
                      <wp:inline distT="0" distB="0" distL="0" distR="0" wp14:anchorId="71DF1E20" wp14:editId="46F8CC32">
                        <wp:extent cx="2130401" cy="1597800"/>
                        <wp:effectExtent l="0" t="0" r="381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40923_132821_141.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30401" cy="1597800"/>
                                </a:xfrm>
                                <a:prstGeom prst="rect">
                                  <a:avLst/>
                                </a:prstGeom>
                                <a:ln>
                                  <a:noFill/>
                                </a:ln>
                                <a:extLst>
                                  <a:ext uri="{53640926-AAD7-44D8-BBD7-CCE9431645EC}">
                                    <a14:shadowObscured xmlns:a14="http://schemas.microsoft.com/office/drawing/2010/main"/>
                                  </a:ext>
                                </a:extLst>
                              </pic:spPr>
                            </pic:pic>
                          </a:graphicData>
                        </a:graphic>
                      </wp:inline>
                    </w:drawing>
                  </w:r>
                </w:p>
                <w:p w14:paraId="49D1EC15" w14:textId="69C10C07" w:rsidR="00870047" w:rsidRPr="006A79C5" w:rsidRDefault="00870047" w:rsidP="00981CC5">
                  <w:pPr>
                    <w:rPr>
                      <w:rFonts w:ascii="Arial" w:hAnsi="Arial" w:cs="Arial"/>
                      <w:sz w:val="20"/>
                      <w:szCs w:val="20"/>
                    </w:rPr>
                  </w:pPr>
                </w:p>
              </w:tc>
              <w:tc>
                <w:tcPr>
                  <w:tcW w:w="3396" w:type="dxa"/>
                  <w:tcBorders>
                    <w:top w:val="nil"/>
                    <w:left w:val="nil"/>
                    <w:bottom w:val="nil"/>
                    <w:right w:val="nil"/>
                  </w:tcBorders>
                </w:tcPr>
                <w:p w14:paraId="155AABF6" w14:textId="77777777" w:rsidR="00870047" w:rsidRPr="006A79C5" w:rsidRDefault="00870047" w:rsidP="00981CC5">
                  <w:pPr>
                    <w:rPr>
                      <w:rFonts w:ascii="Arial" w:hAnsi="Arial" w:cs="Arial"/>
                      <w:sz w:val="24"/>
                      <w:szCs w:val="24"/>
                    </w:rPr>
                  </w:pPr>
                </w:p>
                <w:p w14:paraId="5283B709" w14:textId="77777777" w:rsidR="00870047" w:rsidRPr="006A79C5" w:rsidRDefault="00870047" w:rsidP="00981CC5">
                  <w:pPr>
                    <w:rPr>
                      <w:rFonts w:ascii="Arial" w:hAnsi="Arial" w:cs="Arial"/>
                      <w:sz w:val="24"/>
                      <w:szCs w:val="24"/>
                    </w:rPr>
                  </w:pPr>
                </w:p>
                <w:p w14:paraId="2211B6BA" w14:textId="2DF745AE" w:rsidR="00870047" w:rsidRPr="006A79C5" w:rsidRDefault="00870047" w:rsidP="00981CC5">
                  <w:pPr>
                    <w:rPr>
                      <w:rFonts w:ascii="Arial" w:hAnsi="Arial" w:cs="Arial"/>
                      <w:sz w:val="24"/>
                      <w:szCs w:val="24"/>
                    </w:rPr>
                  </w:pPr>
                  <w:r w:rsidRPr="006A79C5">
                    <w:rPr>
                      <w:rFonts w:ascii="Arial" w:hAnsi="Arial" w:cs="Arial"/>
                      <w:sz w:val="20"/>
                      <w:szCs w:val="20"/>
                    </w:rPr>
                    <w:t>Plate  11:  Maize seeds treated with raw neem seed oil at 7DAS</w:t>
                  </w:r>
                </w:p>
                <w:p w14:paraId="1C9BCAF9" w14:textId="77777777" w:rsidR="00870047" w:rsidRPr="006A79C5" w:rsidRDefault="00870047" w:rsidP="00981CC5">
                  <w:pPr>
                    <w:rPr>
                      <w:rFonts w:ascii="Arial" w:hAnsi="Arial" w:cs="Arial"/>
                      <w:sz w:val="24"/>
                      <w:szCs w:val="24"/>
                    </w:rPr>
                  </w:pPr>
                </w:p>
                <w:p w14:paraId="1FC67E49" w14:textId="77777777" w:rsidR="00870047" w:rsidRPr="006A79C5" w:rsidRDefault="00870047" w:rsidP="00981CC5">
                  <w:pPr>
                    <w:rPr>
                      <w:rFonts w:ascii="Arial" w:hAnsi="Arial" w:cs="Arial"/>
                      <w:sz w:val="24"/>
                      <w:szCs w:val="24"/>
                    </w:rPr>
                  </w:pPr>
                </w:p>
              </w:tc>
            </w:tr>
            <w:tr w:rsidR="00870047" w:rsidRPr="006A79C5" w14:paraId="6BE21AD1" w14:textId="77777777" w:rsidTr="00981CC5">
              <w:tc>
                <w:tcPr>
                  <w:tcW w:w="3576" w:type="dxa"/>
                  <w:tcBorders>
                    <w:top w:val="nil"/>
                    <w:left w:val="nil"/>
                    <w:bottom w:val="nil"/>
                    <w:right w:val="nil"/>
                  </w:tcBorders>
                </w:tcPr>
                <w:p w14:paraId="799176FD" w14:textId="77777777" w:rsidR="00870047" w:rsidRPr="006A79C5" w:rsidRDefault="00870047" w:rsidP="00981CC5">
                  <w:pPr>
                    <w:rPr>
                      <w:rFonts w:ascii="Arial" w:hAnsi="Arial" w:cs="Arial"/>
                      <w:sz w:val="24"/>
                      <w:szCs w:val="24"/>
                    </w:rPr>
                  </w:pPr>
                </w:p>
              </w:tc>
              <w:tc>
                <w:tcPr>
                  <w:tcW w:w="3396" w:type="dxa"/>
                  <w:tcBorders>
                    <w:top w:val="nil"/>
                    <w:left w:val="nil"/>
                    <w:bottom w:val="nil"/>
                    <w:right w:val="nil"/>
                  </w:tcBorders>
                </w:tcPr>
                <w:p w14:paraId="5C8EC32A" w14:textId="77777777" w:rsidR="00870047" w:rsidRPr="006A79C5" w:rsidRDefault="00870047" w:rsidP="00981CC5">
                  <w:pPr>
                    <w:rPr>
                      <w:rFonts w:ascii="Arial" w:hAnsi="Arial" w:cs="Arial"/>
                      <w:sz w:val="24"/>
                      <w:szCs w:val="24"/>
                    </w:rPr>
                  </w:pPr>
                </w:p>
              </w:tc>
            </w:tr>
          </w:tbl>
          <w:p w14:paraId="5C2BA7BB" w14:textId="77777777" w:rsidR="00870047" w:rsidRPr="006A79C5" w:rsidRDefault="00870047" w:rsidP="00981CC5">
            <w:pPr>
              <w:rPr>
                <w:rFonts w:ascii="Arial" w:hAnsi="Arial" w:cs="Arial"/>
                <w:sz w:val="24"/>
                <w:szCs w:val="24"/>
              </w:rPr>
            </w:pPr>
          </w:p>
        </w:tc>
      </w:tr>
    </w:tbl>
    <w:p w14:paraId="22AD46CA" w14:textId="6C816B80" w:rsidR="00630DFB" w:rsidRPr="006A79C5" w:rsidRDefault="00630DFB" w:rsidP="00D35DD9">
      <w:pPr>
        <w:shd w:val="clear" w:color="auto" w:fill="FFFFFF"/>
        <w:spacing w:before="206" w:after="206" w:line="240" w:lineRule="auto"/>
        <w:rPr>
          <w:rFonts w:ascii="Arial" w:eastAsia="Times New Roman" w:hAnsi="Arial" w:cs="Arial"/>
          <w:b/>
          <w:bCs/>
          <w:iCs/>
          <w:sz w:val="20"/>
          <w:szCs w:val="20"/>
          <w:u w:val="single"/>
          <w:lang w:eastAsia="en-IN"/>
        </w:rPr>
      </w:pPr>
      <w:r w:rsidRPr="006A79C5">
        <w:rPr>
          <w:rFonts w:ascii="Arial" w:eastAsia="Times New Roman" w:hAnsi="Arial" w:cs="Arial"/>
          <w:sz w:val="20"/>
          <w:szCs w:val="20"/>
          <w:lang w:eastAsia="en-IN"/>
        </w:rPr>
        <w:lastRenderedPageBreak/>
        <w:t xml:space="preserve">Comparative visualisation of maize seed germination at 7 days after sowing (DAS). Seeds treated with Ne25 and Ne6.25 mg/mL </w:t>
      </w:r>
      <w:proofErr w:type="gramStart"/>
      <w:r w:rsidRPr="006A79C5">
        <w:rPr>
          <w:rFonts w:ascii="Arial" w:eastAsia="Times New Roman" w:hAnsi="Arial" w:cs="Arial"/>
          <w:sz w:val="20"/>
          <w:szCs w:val="20"/>
          <w:lang w:eastAsia="en-IN"/>
        </w:rPr>
        <w:t>NON demonstrate</w:t>
      </w:r>
      <w:proofErr w:type="gramEnd"/>
      <w:r w:rsidRPr="006A79C5">
        <w:rPr>
          <w:rFonts w:ascii="Arial" w:eastAsia="Times New Roman" w:hAnsi="Arial" w:cs="Arial"/>
          <w:sz w:val="20"/>
          <w:szCs w:val="20"/>
          <w:lang w:eastAsia="en-IN"/>
        </w:rPr>
        <w:t xml:space="preserve"> strong germination (100% and 94.4%, respectively) with healthy radicle emergence, whereas Ne100-treated seeds exhibit limited germination (16.7%) and necrotic symptoms.</w:t>
      </w:r>
    </w:p>
    <w:p w14:paraId="12C02346" w14:textId="77777777" w:rsidR="001F4B47" w:rsidRPr="006A79C5" w:rsidRDefault="001F4B47" w:rsidP="00D35DD9">
      <w:pPr>
        <w:shd w:val="clear" w:color="auto" w:fill="FFFFFF"/>
        <w:spacing w:before="206" w:after="206" w:line="240" w:lineRule="auto"/>
        <w:rPr>
          <w:rFonts w:ascii="Arial" w:eastAsia="Times New Roman" w:hAnsi="Arial" w:cs="Arial"/>
          <w:b/>
          <w:bCs/>
          <w:iCs/>
          <w:sz w:val="20"/>
          <w:szCs w:val="20"/>
          <w:u w:val="single"/>
          <w:lang w:eastAsia="en-IN"/>
        </w:rPr>
      </w:pPr>
    </w:p>
    <w:p w14:paraId="7015E92D" w14:textId="77777777" w:rsidR="001F4B47" w:rsidRPr="006A79C5" w:rsidRDefault="001F4B47" w:rsidP="00D35DD9">
      <w:pPr>
        <w:shd w:val="clear" w:color="auto" w:fill="FFFFFF"/>
        <w:spacing w:before="206" w:after="206" w:line="240" w:lineRule="auto"/>
        <w:rPr>
          <w:rFonts w:ascii="Arial" w:eastAsia="Times New Roman" w:hAnsi="Arial" w:cs="Arial"/>
          <w:b/>
          <w:bCs/>
          <w:iCs/>
          <w:sz w:val="20"/>
          <w:szCs w:val="20"/>
          <w:u w:val="single"/>
          <w:lang w:eastAsia="en-IN"/>
        </w:rPr>
      </w:pPr>
    </w:p>
    <w:p w14:paraId="45225732" w14:textId="34F22789" w:rsidR="00952F2F" w:rsidRPr="006A79C5" w:rsidRDefault="00D35DD9" w:rsidP="00D35DD9">
      <w:pPr>
        <w:shd w:val="clear" w:color="auto" w:fill="FFFFFF"/>
        <w:spacing w:before="206" w:after="206" w:line="240" w:lineRule="auto"/>
        <w:rPr>
          <w:rFonts w:ascii="Arial" w:eastAsia="Times New Roman" w:hAnsi="Arial" w:cs="Arial"/>
          <w:iCs/>
          <w:sz w:val="20"/>
          <w:szCs w:val="20"/>
          <w:u w:val="single"/>
          <w:lang w:eastAsia="en-IN"/>
        </w:rPr>
      </w:pPr>
      <w:r w:rsidRPr="006A79C5">
        <w:rPr>
          <w:rFonts w:ascii="Arial" w:eastAsia="Times New Roman" w:hAnsi="Arial" w:cs="Arial"/>
          <w:b/>
          <w:bCs/>
          <w:iCs/>
          <w:sz w:val="20"/>
          <w:szCs w:val="20"/>
          <w:u w:val="single"/>
          <w:lang w:eastAsia="en-IN"/>
        </w:rPr>
        <w:lastRenderedPageBreak/>
        <w:t xml:space="preserve">3.2.1 </w:t>
      </w:r>
      <w:r w:rsidR="00952F2F" w:rsidRPr="006A79C5">
        <w:rPr>
          <w:rFonts w:ascii="Arial" w:eastAsia="Times New Roman" w:hAnsi="Arial" w:cs="Arial"/>
          <w:b/>
          <w:bCs/>
          <w:iCs/>
          <w:sz w:val="20"/>
          <w:szCs w:val="20"/>
          <w:u w:val="single"/>
          <w:lang w:eastAsia="en-IN"/>
        </w:rPr>
        <w:t>Radicle and Plumule Growth</w:t>
      </w:r>
    </w:p>
    <w:p w14:paraId="5177EE35" w14:textId="32F71ECB" w:rsidR="00952F2F" w:rsidRPr="006A79C5" w:rsidRDefault="00952F2F" w:rsidP="005974D1">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Radicle and plumule elongation were significantly enhanced at low NON concentrations (Ne6.25–Ne25 mg/mL) but inhibited at higher doses (Ne50–Ne100 mg/mL). At 7 days after sowing (DAS), Ne25-treated seedlings exhibited the longest radicles (14.24 ± 0.72 cm) and plumules (7.44 ± 0.38 cm), while Ne100 caused complete </w:t>
      </w:r>
      <w:r w:rsidR="00A94834" w:rsidRPr="006A79C5">
        <w:rPr>
          <w:rFonts w:ascii="Arial" w:eastAsia="Times New Roman" w:hAnsi="Arial" w:cs="Arial"/>
          <w:sz w:val="20"/>
          <w:szCs w:val="20"/>
          <w:lang w:eastAsia="en-IN"/>
        </w:rPr>
        <w:t>growth arrest (Table 3, Plate 9</w:t>
      </w:r>
      <w:r w:rsidRPr="006A79C5">
        <w:rPr>
          <w:rFonts w:ascii="Arial" w:eastAsia="Times New Roman" w:hAnsi="Arial" w:cs="Arial"/>
          <w:sz w:val="20"/>
          <w:szCs w:val="20"/>
          <w:lang w:eastAsia="en-IN"/>
        </w:rPr>
        <w:t>).</w:t>
      </w:r>
      <w:r w:rsidR="00720B1A" w:rsidRPr="006A79C5">
        <w:rPr>
          <w:rFonts w:ascii="Arial" w:eastAsia="Times New Roman" w:hAnsi="Arial" w:cs="Arial"/>
          <w:sz w:val="20"/>
          <w:szCs w:val="20"/>
          <w:lang w:eastAsia="en-IN"/>
        </w:rPr>
        <w:t xml:space="preserve"> . This enhancement may stem from the </w:t>
      </w:r>
      <w:proofErr w:type="spellStart"/>
      <w:r w:rsidR="00720B1A" w:rsidRPr="006A79C5">
        <w:rPr>
          <w:rFonts w:ascii="Arial" w:eastAsia="Times New Roman" w:hAnsi="Arial" w:cs="Arial"/>
          <w:sz w:val="20"/>
          <w:szCs w:val="20"/>
          <w:lang w:eastAsia="en-IN"/>
        </w:rPr>
        <w:t>nanoemulsion’s</w:t>
      </w:r>
      <w:proofErr w:type="spellEnd"/>
      <w:r w:rsidR="00720B1A" w:rsidRPr="006A79C5">
        <w:rPr>
          <w:rFonts w:ascii="Arial" w:eastAsia="Times New Roman" w:hAnsi="Arial" w:cs="Arial"/>
          <w:sz w:val="20"/>
          <w:szCs w:val="20"/>
          <w:lang w:eastAsia="en-IN"/>
        </w:rPr>
        <w:t xml:space="preserve"> ability to deliver nutrients and antioxidants directly to seeds, mitigating oxidative stress during germination (Surendhiran et al., 2019). Conversely, higher doses (Ne50–Ne100 mg/mL) significantly suppressed germination (16.7–77.8%) and stunted radicle/plumule growth, likely due to nanoparticle-induced oxidative damage or membrane disruption (Szőllősi et al., 2020). Similar biphasic responses have been reported for </w:t>
      </w:r>
      <w:proofErr w:type="spellStart"/>
      <w:r w:rsidR="00720B1A" w:rsidRPr="006A79C5">
        <w:rPr>
          <w:rFonts w:ascii="Arial" w:eastAsia="Times New Roman" w:hAnsi="Arial" w:cs="Arial"/>
          <w:sz w:val="20"/>
          <w:szCs w:val="20"/>
          <w:lang w:eastAsia="en-IN"/>
        </w:rPr>
        <w:t>AgNPs</w:t>
      </w:r>
      <w:proofErr w:type="spellEnd"/>
      <w:r w:rsidR="00720B1A" w:rsidRPr="006A79C5">
        <w:rPr>
          <w:rFonts w:ascii="Arial" w:eastAsia="Times New Roman" w:hAnsi="Arial" w:cs="Arial"/>
          <w:sz w:val="20"/>
          <w:szCs w:val="20"/>
          <w:lang w:eastAsia="en-IN"/>
        </w:rPr>
        <w:t xml:space="preserve">, where low concentrations promote root elongation via hormesis, while high doses trigger reactive oxygen species (ROS) accumulation (Michałek et al., 2018). </w:t>
      </w:r>
    </w:p>
    <w:p w14:paraId="00FA4751" w14:textId="77777777" w:rsidR="00952F2F" w:rsidRPr="006A79C5" w:rsidRDefault="00952F2F" w:rsidP="005974D1">
      <w:pPr>
        <w:shd w:val="clear" w:color="auto" w:fill="FFFFFF"/>
        <w:spacing w:before="206" w:after="206" w:line="240" w:lineRule="auto"/>
        <w:rPr>
          <w:rFonts w:ascii="Arial" w:eastAsia="Times New Roman" w:hAnsi="Arial" w:cs="Arial"/>
          <w:sz w:val="20"/>
          <w:szCs w:val="20"/>
          <w:lang w:eastAsia="en-IN"/>
        </w:rPr>
      </w:pPr>
      <w:r w:rsidRPr="006A79C5">
        <w:rPr>
          <w:rFonts w:ascii="Arial" w:eastAsia="Times New Roman" w:hAnsi="Arial" w:cs="Arial"/>
          <w:bCs/>
          <w:sz w:val="20"/>
          <w:szCs w:val="20"/>
          <w:lang w:eastAsia="en-IN"/>
        </w:rPr>
        <w:t>Table 3</w:t>
      </w:r>
      <w:r w:rsidRPr="006A79C5">
        <w:rPr>
          <w:rFonts w:ascii="Arial" w:eastAsia="Times New Roman" w:hAnsi="Arial" w:cs="Arial"/>
          <w:sz w:val="20"/>
          <w:szCs w:val="20"/>
          <w:lang w:eastAsia="en-IN"/>
        </w:rPr>
        <w:br/>
      </w:r>
      <w:r w:rsidRPr="006A79C5">
        <w:rPr>
          <w:rFonts w:ascii="Arial" w:eastAsia="Times New Roman" w:hAnsi="Arial" w:cs="Arial"/>
          <w:iCs/>
          <w:sz w:val="20"/>
          <w:szCs w:val="20"/>
          <w:lang w:eastAsia="en-IN"/>
        </w:rPr>
        <w:t>Radicle and Plumule Lengths of Maize Seedlings Treated</w:t>
      </w:r>
      <w:r w:rsidRPr="006A79C5">
        <w:rPr>
          <w:rFonts w:ascii="Arial" w:eastAsia="Times New Roman" w:hAnsi="Arial" w:cs="Arial"/>
          <w:iCs/>
          <w:sz w:val="24"/>
          <w:szCs w:val="24"/>
          <w:lang w:eastAsia="en-IN"/>
        </w:rPr>
        <w:t xml:space="preserve"> </w:t>
      </w:r>
      <w:r w:rsidRPr="006A79C5">
        <w:rPr>
          <w:rFonts w:ascii="Arial" w:eastAsia="Times New Roman" w:hAnsi="Arial" w:cs="Arial"/>
          <w:iCs/>
          <w:sz w:val="20"/>
          <w:szCs w:val="20"/>
          <w:lang w:eastAsia="en-IN"/>
        </w:rPr>
        <w:t>with NON</w:t>
      </w:r>
    </w:p>
    <w:tbl>
      <w:tblPr>
        <w:tblW w:w="0" w:type="auto"/>
        <w:tblCellMar>
          <w:top w:w="15" w:type="dxa"/>
          <w:left w:w="15" w:type="dxa"/>
          <w:bottom w:w="15" w:type="dxa"/>
          <w:right w:w="15" w:type="dxa"/>
        </w:tblCellMar>
        <w:tblLook w:val="04A0" w:firstRow="1" w:lastRow="0" w:firstColumn="1" w:lastColumn="0" w:noHBand="0" w:noVBand="1"/>
      </w:tblPr>
      <w:tblGrid>
        <w:gridCol w:w="1962"/>
        <w:gridCol w:w="2212"/>
        <w:gridCol w:w="2278"/>
      </w:tblGrid>
      <w:tr w:rsidR="00F530C1" w:rsidRPr="006A79C5" w14:paraId="33B32B11" w14:textId="77777777" w:rsidTr="00952F2F">
        <w:trPr>
          <w:tblHeader/>
        </w:trPr>
        <w:tc>
          <w:tcPr>
            <w:tcW w:w="0" w:type="auto"/>
            <w:tcBorders>
              <w:top w:val="nil"/>
              <w:left w:val="nil"/>
              <w:bottom w:val="single" w:sz="8" w:space="0" w:color="BBBBBB"/>
              <w:right w:val="nil"/>
            </w:tcBorders>
            <w:tcMar>
              <w:top w:w="150" w:type="dxa"/>
              <w:left w:w="0" w:type="dxa"/>
              <w:bottom w:w="150" w:type="dxa"/>
              <w:right w:w="150" w:type="dxa"/>
            </w:tcMar>
            <w:vAlign w:val="center"/>
            <w:hideMark/>
          </w:tcPr>
          <w:p w14:paraId="1C8E9CA9" w14:textId="77777777" w:rsidR="00952F2F" w:rsidRPr="006A79C5" w:rsidRDefault="00952F2F" w:rsidP="005974D1">
            <w:pPr>
              <w:spacing w:after="0" w:line="240" w:lineRule="auto"/>
              <w:jc w:val="both"/>
              <w:rPr>
                <w:rFonts w:ascii="Arial" w:eastAsia="Times New Roman" w:hAnsi="Arial" w:cs="Arial"/>
                <w:b/>
                <w:bCs/>
                <w:sz w:val="20"/>
                <w:szCs w:val="20"/>
                <w:lang w:eastAsia="en-IN"/>
              </w:rPr>
            </w:pPr>
            <w:r w:rsidRPr="006A79C5">
              <w:rPr>
                <w:rFonts w:ascii="Arial" w:eastAsia="Times New Roman" w:hAnsi="Arial" w:cs="Arial"/>
                <w:b/>
                <w:bCs/>
                <w:sz w:val="20"/>
                <w:szCs w:val="20"/>
                <w:lang w:eastAsia="en-IN"/>
              </w:rPr>
              <w:t>Treatment (mg/mL)</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261CB5A5" w14:textId="77777777" w:rsidR="00952F2F" w:rsidRPr="006A79C5" w:rsidRDefault="00952F2F" w:rsidP="005974D1">
            <w:pPr>
              <w:spacing w:after="0" w:line="240" w:lineRule="auto"/>
              <w:jc w:val="both"/>
              <w:rPr>
                <w:rFonts w:ascii="Arial" w:eastAsia="Times New Roman" w:hAnsi="Arial" w:cs="Arial"/>
                <w:b/>
                <w:bCs/>
                <w:sz w:val="20"/>
                <w:szCs w:val="20"/>
                <w:lang w:eastAsia="en-IN"/>
              </w:rPr>
            </w:pPr>
            <w:r w:rsidRPr="006A79C5">
              <w:rPr>
                <w:rFonts w:ascii="Arial" w:eastAsia="Times New Roman" w:hAnsi="Arial" w:cs="Arial"/>
                <w:b/>
                <w:bCs/>
                <w:sz w:val="20"/>
                <w:szCs w:val="20"/>
                <w:lang w:eastAsia="en-IN"/>
              </w:rPr>
              <w:t>Radicle Length (cm)</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36714D67" w14:textId="77777777" w:rsidR="00952F2F" w:rsidRPr="006A79C5" w:rsidRDefault="00952F2F" w:rsidP="005974D1">
            <w:pPr>
              <w:spacing w:after="0" w:line="240" w:lineRule="auto"/>
              <w:jc w:val="both"/>
              <w:rPr>
                <w:rFonts w:ascii="Arial" w:eastAsia="Times New Roman" w:hAnsi="Arial" w:cs="Arial"/>
                <w:b/>
                <w:bCs/>
                <w:sz w:val="20"/>
                <w:szCs w:val="20"/>
                <w:lang w:eastAsia="en-IN"/>
              </w:rPr>
            </w:pPr>
            <w:r w:rsidRPr="006A79C5">
              <w:rPr>
                <w:rFonts w:ascii="Arial" w:eastAsia="Times New Roman" w:hAnsi="Arial" w:cs="Arial"/>
                <w:b/>
                <w:bCs/>
                <w:sz w:val="20"/>
                <w:szCs w:val="20"/>
                <w:lang w:eastAsia="en-IN"/>
              </w:rPr>
              <w:t>Plumule Length (cm)</w:t>
            </w:r>
          </w:p>
        </w:tc>
      </w:tr>
      <w:tr w:rsidR="00F530C1" w:rsidRPr="006A79C5" w14:paraId="497E4BA5"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7B8807A2"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Ne6.25</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C99D79A"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14.72 ± 0.65ᵃ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4F0EB44"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7.78 ± 0.30ᵃ</w:t>
            </w:r>
          </w:p>
        </w:tc>
      </w:tr>
      <w:tr w:rsidR="00F530C1" w:rsidRPr="006A79C5" w14:paraId="272FBA07"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0D28DEC6"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Ne12.5</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3F6FFA2"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12.21 ± 0.54ᵇ</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65B9E269"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8.79 ± 0.42ᵃ</w:t>
            </w:r>
          </w:p>
        </w:tc>
      </w:tr>
      <w:tr w:rsidR="00F530C1" w:rsidRPr="006A79C5" w14:paraId="63C4FABF"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6D0056E3"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Ne25</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41123315"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14.24 ± 0.72ᵃ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23E86C4"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7.44 ± 0.38ᵃ</w:t>
            </w:r>
          </w:p>
        </w:tc>
      </w:tr>
      <w:tr w:rsidR="00F530C1" w:rsidRPr="006A79C5" w14:paraId="11C03E35"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16D460CF"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Ne50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6C929C7E"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8.47 ± 0.33ᶜ</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4F8A8FEC"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6.14 ± 0.25ᵇ</w:t>
            </w:r>
          </w:p>
        </w:tc>
      </w:tr>
      <w:tr w:rsidR="00F530C1" w:rsidRPr="006A79C5" w14:paraId="1BD4A064"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171F3932"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Ne100</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3E1E0A6"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3.63 ± 0.18ᵈ</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2B73FD99"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2.53 ± 0.12ᶜ</w:t>
            </w:r>
          </w:p>
        </w:tc>
      </w:tr>
      <w:tr w:rsidR="00F530C1" w:rsidRPr="006A79C5" w14:paraId="44FFC1E8"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4719CC95"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Control</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43CA4912"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5.59 ± 0.24ᶜ</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42620251"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5.37 ± 0.22ᵇ</w:t>
            </w:r>
          </w:p>
        </w:tc>
      </w:tr>
    </w:tbl>
    <w:p w14:paraId="22BEAB03" w14:textId="40182A41" w:rsidR="00952F2F" w:rsidRPr="006A79C5" w:rsidRDefault="00952F2F" w:rsidP="005974D1">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i/>
          <w:iCs/>
          <w:sz w:val="20"/>
          <w:szCs w:val="20"/>
          <w:lang w:eastAsia="en-IN"/>
        </w:rPr>
        <w:t>Note.</w:t>
      </w:r>
      <w:r w:rsidRPr="006A79C5">
        <w:rPr>
          <w:rFonts w:ascii="Arial" w:eastAsia="Times New Roman" w:hAnsi="Arial" w:cs="Arial"/>
          <w:sz w:val="20"/>
          <w:szCs w:val="20"/>
          <w:lang w:eastAsia="en-IN"/>
        </w:rPr>
        <w:t> Values are mean ± SD (</w:t>
      </w:r>
      <w:r w:rsidRPr="006A79C5">
        <w:rPr>
          <w:rFonts w:ascii="Arial" w:eastAsia="Times New Roman" w:hAnsi="Arial" w:cs="Arial"/>
          <w:i/>
          <w:iCs/>
          <w:sz w:val="20"/>
          <w:szCs w:val="20"/>
          <w:lang w:eastAsia="en-IN"/>
        </w:rPr>
        <w:t>n</w:t>
      </w:r>
      <w:r w:rsidRPr="006A79C5">
        <w:rPr>
          <w:rFonts w:ascii="Arial" w:eastAsia="Times New Roman" w:hAnsi="Arial" w:cs="Arial"/>
          <w:sz w:val="20"/>
          <w:szCs w:val="20"/>
          <w:lang w:eastAsia="en-IN"/>
        </w:rPr>
        <w:t>=3). Means with different superscripts (ᵃ, ᵇ, ᶜ, ᵈ) within columns differ significantly (</w:t>
      </w:r>
      <w:r w:rsidRPr="006A79C5">
        <w:rPr>
          <w:rFonts w:ascii="Arial" w:eastAsia="Times New Roman" w:hAnsi="Arial" w:cs="Arial"/>
          <w:i/>
          <w:iCs/>
          <w:sz w:val="20"/>
          <w:szCs w:val="20"/>
          <w:lang w:eastAsia="en-IN"/>
        </w:rPr>
        <w:t>p</w:t>
      </w:r>
      <w:r w:rsidRPr="006A79C5">
        <w:rPr>
          <w:rFonts w:ascii="Arial" w:eastAsia="Times New Roman" w:hAnsi="Arial" w:cs="Arial"/>
          <w:sz w:val="20"/>
          <w:szCs w:val="20"/>
          <w:lang w:eastAsia="en-IN"/>
        </w:rPr>
        <w:t>&lt;0.05).</w:t>
      </w:r>
    </w:p>
    <w:p w14:paraId="42398CB9" w14:textId="77777777" w:rsidR="008377B2" w:rsidRPr="006A79C5" w:rsidRDefault="008377B2" w:rsidP="005974D1">
      <w:pPr>
        <w:shd w:val="clear" w:color="auto" w:fill="FFFFFF"/>
        <w:spacing w:before="206" w:after="206" w:line="240" w:lineRule="auto"/>
        <w:jc w:val="both"/>
        <w:rPr>
          <w:rFonts w:ascii="Arial" w:eastAsia="Times New Roman" w:hAnsi="Arial" w:cs="Arial"/>
          <w:sz w:val="20"/>
          <w:szCs w:val="20"/>
          <w:lang w:eastAsia="en-IN"/>
        </w:rPr>
      </w:pPr>
    </w:p>
    <w:p w14:paraId="10BCE182" w14:textId="3923F299" w:rsidR="008377B2" w:rsidRPr="006A79C5" w:rsidRDefault="008377B2" w:rsidP="005974D1">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hAnsi="Arial" w:cs="Arial"/>
          <w:noProof/>
          <w:lang w:val="en-IE" w:eastAsia="en-IE"/>
        </w:rPr>
        <w:lastRenderedPageBreak/>
        <w:drawing>
          <wp:inline distT="0" distB="0" distL="0" distR="0" wp14:anchorId="331E9E2A" wp14:editId="38A68F25">
            <wp:extent cx="5486400" cy="356616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6ED03B" w14:textId="77777777" w:rsidR="008377B2" w:rsidRPr="006A79C5" w:rsidRDefault="008377B2" w:rsidP="008377B2">
      <w:pPr>
        <w:spacing w:line="240" w:lineRule="auto"/>
        <w:rPr>
          <w:rFonts w:ascii="Arial" w:hAnsi="Arial" w:cs="Arial"/>
          <w:sz w:val="20"/>
          <w:szCs w:val="20"/>
        </w:rPr>
      </w:pPr>
      <w:r w:rsidRPr="006A79C5">
        <w:rPr>
          <w:rFonts w:ascii="Arial" w:eastAsia="Times New Roman" w:hAnsi="Arial" w:cs="Arial"/>
          <w:bCs/>
          <w:sz w:val="20"/>
          <w:szCs w:val="20"/>
          <w:lang w:eastAsia="en-IN"/>
        </w:rPr>
        <w:t>Figure 1. Radicle elongation in seedlings treated with NON.</w:t>
      </w:r>
    </w:p>
    <w:p w14:paraId="4754C74E" w14:textId="0CC41D19" w:rsidR="008377B2" w:rsidRPr="006A79C5" w:rsidRDefault="008377B2" w:rsidP="00D35DD9">
      <w:pPr>
        <w:spacing w:before="480" w:after="480" w:line="240" w:lineRule="auto"/>
        <w:rPr>
          <w:rFonts w:ascii="Arial" w:eastAsia="Times New Roman" w:hAnsi="Arial" w:cs="Arial"/>
          <w:b/>
          <w:bCs/>
          <w:iCs/>
          <w:lang w:eastAsia="en-IN"/>
        </w:rPr>
      </w:pPr>
      <w:r w:rsidRPr="006A79C5">
        <w:rPr>
          <w:rFonts w:ascii="Arial" w:hAnsi="Arial" w:cs="Arial"/>
          <w:noProof/>
          <w:sz w:val="20"/>
          <w:szCs w:val="20"/>
          <w:lang w:val="en-IE" w:eastAsia="en-IE"/>
        </w:rPr>
        <w:drawing>
          <wp:inline distT="0" distB="0" distL="0" distR="0" wp14:anchorId="5A9CEF91" wp14:editId="13B60B5D">
            <wp:extent cx="5731510" cy="3361519"/>
            <wp:effectExtent l="0" t="0" r="254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82D9E0" w14:textId="77777777" w:rsidR="008377B2" w:rsidRPr="006A79C5" w:rsidRDefault="008377B2" w:rsidP="008377B2">
      <w:pPr>
        <w:spacing w:line="240" w:lineRule="auto"/>
        <w:rPr>
          <w:rFonts w:ascii="Arial" w:eastAsia="Times New Roman" w:hAnsi="Arial" w:cs="Arial"/>
          <w:b/>
          <w:bCs/>
          <w:sz w:val="24"/>
          <w:szCs w:val="24"/>
          <w:lang w:eastAsia="en-IN"/>
        </w:rPr>
      </w:pPr>
      <w:r w:rsidRPr="006A79C5">
        <w:rPr>
          <w:rFonts w:ascii="Arial" w:eastAsia="Times New Roman" w:hAnsi="Arial" w:cs="Arial"/>
          <w:bCs/>
          <w:sz w:val="20"/>
          <w:szCs w:val="20"/>
          <w:lang w:eastAsia="en-IN"/>
        </w:rPr>
        <w:t>Figure 2. Plumule elongation in seedlings treated with NON</w:t>
      </w:r>
    </w:p>
    <w:p w14:paraId="1F9B290F" w14:textId="51F3D01D" w:rsidR="008377B2" w:rsidRPr="006A79C5" w:rsidRDefault="008377B2" w:rsidP="008377B2">
      <w:pPr>
        <w:spacing w:line="240" w:lineRule="auto"/>
        <w:rPr>
          <w:rFonts w:ascii="Arial" w:hAnsi="Arial" w:cs="Arial"/>
          <w:sz w:val="20"/>
          <w:szCs w:val="20"/>
        </w:rPr>
      </w:pPr>
      <w:r w:rsidRPr="006A79C5">
        <w:rPr>
          <w:rFonts w:ascii="Arial" w:eastAsia="Times New Roman" w:hAnsi="Arial" w:cs="Arial"/>
          <w:sz w:val="20"/>
          <w:szCs w:val="20"/>
          <w:lang w:eastAsia="en-IN"/>
        </w:rPr>
        <w:t>Bar graphs illustrating the dose-dependent effects of NON on radicle and plumule lengths. Low concentrations (Ne6.25–Ne25 mg/mL) significantly enhance elongation compared to the control, while Ne100 mg/mL causes severe growth inhibition. Error bars represent standard deviation (</w:t>
      </w:r>
      <w:r w:rsidRPr="006A79C5">
        <w:rPr>
          <w:rFonts w:ascii="Arial" w:eastAsia="Times New Roman" w:hAnsi="Arial" w:cs="Arial"/>
          <w:i/>
          <w:iCs/>
          <w:sz w:val="20"/>
          <w:szCs w:val="20"/>
          <w:lang w:eastAsia="en-IN"/>
        </w:rPr>
        <w:t>n</w:t>
      </w:r>
      <w:r w:rsidRPr="006A79C5">
        <w:rPr>
          <w:rFonts w:ascii="Arial" w:eastAsia="Times New Roman" w:hAnsi="Arial" w:cs="Arial"/>
          <w:sz w:val="20"/>
          <w:szCs w:val="20"/>
          <w:lang w:eastAsia="en-IN"/>
        </w:rPr>
        <w:t>=3).</w:t>
      </w:r>
    </w:p>
    <w:p w14:paraId="07B96CBA" w14:textId="36969012" w:rsidR="00952F2F" w:rsidRPr="006A79C5" w:rsidRDefault="00D35DD9" w:rsidP="00D35DD9">
      <w:pPr>
        <w:spacing w:before="480" w:after="480" w:line="240" w:lineRule="auto"/>
        <w:rPr>
          <w:rFonts w:ascii="Arial" w:eastAsia="Times New Roman" w:hAnsi="Arial" w:cs="Arial"/>
          <w:iCs/>
          <w:lang w:eastAsia="en-IN"/>
        </w:rPr>
      </w:pPr>
      <w:r w:rsidRPr="006A79C5">
        <w:rPr>
          <w:rFonts w:ascii="Arial" w:eastAsia="Times New Roman" w:hAnsi="Arial" w:cs="Arial"/>
          <w:b/>
          <w:bCs/>
          <w:iCs/>
          <w:lang w:eastAsia="en-IN"/>
        </w:rPr>
        <w:lastRenderedPageBreak/>
        <w:t xml:space="preserve">3.3 </w:t>
      </w:r>
      <w:r w:rsidR="00952F2F" w:rsidRPr="006A79C5">
        <w:rPr>
          <w:rFonts w:ascii="Arial" w:eastAsia="Times New Roman" w:hAnsi="Arial" w:cs="Arial"/>
          <w:b/>
          <w:bCs/>
          <w:iCs/>
          <w:lang w:eastAsia="en-IN"/>
        </w:rPr>
        <w:t>Antioxidant Activity of NON</w:t>
      </w:r>
    </w:p>
    <w:p w14:paraId="6F8CBF9C" w14:textId="4ED53D7A" w:rsidR="00952F2F" w:rsidRPr="006A79C5" w:rsidRDefault="00952F2F" w:rsidP="005974D1">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The DPPH and FRAP assays demonstrated that </w:t>
      </w:r>
      <w:proofErr w:type="gramStart"/>
      <w:r w:rsidRPr="006A79C5">
        <w:rPr>
          <w:rFonts w:ascii="Arial" w:eastAsia="Times New Roman" w:hAnsi="Arial" w:cs="Arial"/>
          <w:sz w:val="20"/>
          <w:szCs w:val="20"/>
          <w:lang w:eastAsia="en-IN"/>
        </w:rPr>
        <w:t>NON possessed</w:t>
      </w:r>
      <w:proofErr w:type="gramEnd"/>
      <w:r w:rsidRPr="006A79C5">
        <w:rPr>
          <w:rFonts w:ascii="Arial" w:eastAsia="Times New Roman" w:hAnsi="Arial" w:cs="Arial"/>
          <w:sz w:val="20"/>
          <w:szCs w:val="20"/>
          <w:lang w:eastAsia="en-IN"/>
        </w:rPr>
        <w:t xml:space="preserve"> significantly higher (</w:t>
      </w:r>
      <w:r w:rsidRPr="006A79C5">
        <w:rPr>
          <w:rFonts w:ascii="Arial" w:eastAsia="Times New Roman" w:hAnsi="Arial" w:cs="Arial"/>
          <w:i/>
          <w:iCs/>
          <w:sz w:val="20"/>
          <w:szCs w:val="20"/>
          <w:lang w:eastAsia="en-IN"/>
        </w:rPr>
        <w:t>p</w:t>
      </w:r>
      <w:r w:rsidRPr="006A79C5">
        <w:rPr>
          <w:rFonts w:ascii="Arial" w:eastAsia="Times New Roman" w:hAnsi="Arial" w:cs="Arial"/>
          <w:sz w:val="20"/>
          <w:szCs w:val="20"/>
          <w:lang w:eastAsia="en-IN"/>
        </w:rPr>
        <w:t>&lt;0.05) antioxidant activity compared to raw neem oil. At 100 µg/mL, NON scavenged 80.12 ± 0.45% of DPPH radicals and exhibited a FRAP value of 86.59 ± 0.31%, whereas raw neem oil showed 48.34 ± 0.28% and 56.96 ± 0.22%, respectively (Table 4).</w:t>
      </w:r>
    </w:p>
    <w:p w14:paraId="059FABAD" w14:textId="77777777" w:rsidR="00952F2F" w:rsidRPr="006A79C5" w:rsidRDefault="00952F2F" w:rsidP="005974D1">
      <w:pPr>
        <w:shd w:val="clear" w:color="auto" w:fill="FFFFFF"/>
        <w:spacing w:before="206" w:after="206" w:line="240" w:lineRule="auto"/>
        <w:rPr>
          <w:rFonts w:ascii="Arial" w:eastAsia="Times New Roman" w:hAnsi="Arial" w:cs="Arial"/>
          <w:sz w:val="20"/>
          <w:szCs w:val="20"/>
          <w:lang w:eastAsia="en-IN"/>
        </w:rPr>
      </w:pPr>
      <w:r w:rsidRPr="006A79C5">
        <w:rPr>
          <w:rFonts w:ascii="Arial" w:eastAsia="Times New Roman" w:hAnsi="Arial" w:cs="Arial"/>
          <w:bCs/>
          <w:sz w:val="20"/>
          <w:szCs w:val="20"/>
          <w:lang w:eastAsia="en-IN"/>
        </w:rPr>
        <w:t>Table 4</w:t>
      </w:r>
      <w:r w:rsidRPr="006A79C5">
        <w:rPr>
          <w:rFonts w:ascii="Arial" w:eastAsia="Times New Roman" w:hAnsi="Arial" w:cs="Arial"/>
          <w:sz w:val="20"/>
          <w:szCs w:val="20"/>
          <w:lang w:eastAsia="en-IN"/>
        </w:rPr>
        <w:br/>
      </w:r>
      <w:r w:rsidRPr="006A79C5">
        <w:rPr>
          <w:rFonts w:ascii="Arial" w:eastAsia="Times New Roman" w:hAnsi="Arial" w:cs="Arial"/>
          <w:iCs/>
          <w:sz w:val="20"/>
          <w:szCs w:val="20"/>
          <w:lang w:eastAsia="en-IN"/>
        </w:rPr>
        <w:t>Antioxidant Activity of NON and Raw Neem Oil</w:t>
      </w:r>
    </w:p>
    <w:tbl>
      <w:tblPr>
        <w:tblW w:w="0" w:type="auto"/>
        <w:tblCellMar>
          <w:top w:w="15" w:type="dxa"/>
          <w:left w:w="15" w:type="dxa"/>
          <w:bottom w:w="15" w:type="dxa"/>
          <w:right w:w="15" w:type="dxa"/>
        </w:tblCellMar>
        <w:tblLook w:val="04A0" w:firstRow="1" w:lastRow="0" w:firstColumn="1" w:lastColumn="0" w:noHBand="0" w:noVBand="1"/>
      </w:tblPr>
      <w:tblGrid>
        <w:gridCol w:w="2578"/>
        <w:gridCol w:w="2401"/>
        <w:gridCol w:w="1990"/>
      </w:tblGrid>
      <w:tr w:rsidR="00F530C1" w:rsidRPr="006A79C5" w14:paraId="0EA29C64" w14:textId="77777777" w:rsidTr="00952F2F">
        <w:trPr>
          <w:tblHeader/>
        </w:trPr>
        <w:tc>
          <w:tcPr>
            <w:tcW w:w="0" w:type="auto"/>
            <w:tcBorders>
              <w:top w:val="nil"/>
              <w:left w:val="nil"/>
              <w:bottom w:val="single" w:sz="8" w:space="0" w:color="BBBBBB"/>
              <w:right w:val="nil"/>
            </w:tcBorders>
            <w:tcMar>
              <w:top w:w="150" w:type="dxa"/>
              <w:left w:w="0" w:type="dxa"/>
              <w:bottom w:w="150" w:type="dxa"/>
              <w:right w:w="150" w:type="dxa"/>
            </w:tcMar>
            <w:vAlign w:val="center"/>
            <w:hideMark/>
          </w:tcPr>
          <w:p w14:paraId="5989C3D1" w14:textId="77777777" w:rsidR="00952F2F" w:rsidRPr="006A79C5" w:rsidRDefault="00952F2F" w:rsidP="005974D1">
            <w:pPr>
              <w:spacing w:after="0" w:line="240" w:lineRule="auto"/>
              <w:jc w:val="both"/>
              <w:rPr>
                <w:rFonts w:ascii="Arial" w:eastAsia="Times New Roman" w:hAnsi="Arial" w:cs="Arial"/>
                <w:b/>
                <w:bCs/>
                <w:sz w:val="20"/>
                <w:szCs w:val="20"/>
                <w:lang w:eastAsia="en-IN"/>
              </w:rPr>
            </w:pPr>
            <w:r w:rsidRPr="006A79C5">
              <w:rPr>
                <w:rFonts w:ascii="Arial" w:eastAsia="Times New Roman" w:hAnsi="Arial" w:cs="Arial"/>
                <w:b/>
                <w:bCs/>
                <w:sz w:val="20"/>
                <w:szCs w:val="20"/>
                <w:lang w:eastAsia="en-IN"/>
              </w:rPr>
              <w:t>Sample</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152A1D11" w14:textId="77777777" w:rsidR="00952F2F" w:rsidRPr="006A79C5" w:rsidRDefault="00952F2F" w:rsidP="005974D1">
            <w:pPr>
              <w:spacing w:after="0" w:line="240" w:lineRule="auto"/>
              <w:jc w:val="both"/>
              <w:rPr>
                <w:rFonts w:ascii="Arial" w:eastAsia="Times New Roman" w:hAnsi="Arial" w:cs="Arial"/>
                <w:b/>
                <w:bCs/>
                <w:sz w:val="20"/>
                <w:szCs w:val="20"/>
                <w:lang w:eastAsia="en-IN"/>
              </w:rPr>
            </w:pPr>
            <w:r w:rsidRPr="006A79C5">
              <w:rPr>
                <w:rFonts w:ascii="Arial" w:eastAsia="Times New Roman" w:hAnsi="Arial" w:cs="Arial"/>
                <w:b/>
                <w:bCs/>
                <w:sz w:val="20"/>
                <w:szCs w:val="20"/>
                <w:lang w:eastAsia="en-IN"/>
              </w:rPr>
              <w:t>DPPH Scavenging (%)</w:t>
            </w:r>
          </w:p>
        </w:tc>
        <w:tc>
          <w:tcPr>
            <w:tcW w:w="0" w:type="auto"/>
            <w:tcBorders>
              <w:top w:val="nil"/>
              <w:left w:val="nil"/>
              <w:bottom w:val="single" w:sz="8" w:space="0" w:color="BBBBBB"/>
              <w:right w:val="nil"/>
            </w:tcBorders>
            <w:tcMar>
              <w:top w:w="150" w:type="dxa"/>
              <w:left w:w="150" w:type="dxa"/>
              <w:bottom w:w="150" w:type="dxa"/>
              <w:right w:w="150" w:type="dxa"/>
            </w:tcMar>
            <w:vAlign w:val="center"/>
            <w:hideMark/>
          </w:tcPr>
          <w:p w14:paraId="0BA9DD7C" w14:textId="77777777" w:rsidR="00952F2F" w:rsidRPr="006A79C5" w:rsidRDefault="00952F2F" w:rsidP="005974D1">
            <w:pPr>
              <w:spacing w:after="0" w:line="240" w:lineRule="auto"/>
              <w:jc w:val="both"/>
              <w:rPr>
                <w:rFonts w:ascii="Arial" w:eastAsia="Times New Roman" w:hAnsi="Arial" w:cs="Arial"/>
                <w:b/>
                <w:bCs/>
                <w:sz w:val="20"/>
                <w:szCs w:val="20"/>
                <w:lang w:eastAsia="en-IN"/>
              </w:rPr>
            </w:pPr>
            <w:r w:rsidRPr="006A79C5">
              <w:rPr>
                <w:rFonts w:ascii="Arial" w:eastAsia="Times New Roman" w:hAnsi="Arial" w:cs="Arial"/>
                <w:b/>
                <w:bCs/>
                <w:sz w:val="20"/>
                <w:szCs w:val="20"/>
                <w:lang w:eastAsia="en-IN"/>
              </w:rPr>
              <w:t>FRAP Activity (%)</w:t>
            </w:r>
          </w:p>
        </w:tc>
      </w:tr>
      <w:tr w:rsidR="00F530C1" w:rsidRPr="006A79C5" w14:paraId="407403AD"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0F56609A"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NON (100 µg/mL)</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FC4B73A"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80.12 ± 0.45ᵃ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38B6309F"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86.59 ± 0.31ᵃ</w:t>
            </w:r>
          </w:p>
        </w:tc>
      </w:tr>
      <w:tr w:rsidR="00F530C1" w:rsidRPr="006A79C5" w14:paraId="71E659C0"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3DBDDB5D"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Raw Neem Oil (100 µg/mL)</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37955E9F"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48.34 ± 0.28ᵇ</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785BB973"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56.96 ± 0.22ᵇ</w:t>
            </w:r>
          </w:p>
        </w:tc>
      </w:tr>
      <w:tr w:rsidR="00F530C1" w:rsidRPr="006A79C5" w14:paraId="64997652" w14:textId="77777777" w:rsidTr="00952F2F">
        <w:tc>
          <w:tcPr>
            <w:tcW w:w="0" w:type="auto"/>
            <w:tcBorders>
              <w:top w:val="nil"/>
              <w:left w:val="nil"/>
              <w:bottom w:val="single" w:sz="8" w:space="0" w:color="E5E5E5"/>
              <w:right w:val="nil"/>
            </w:tcBorders>
            <w:tcMar>
              <w:top w:w="150" w:type="dxa"/>
              <w:left w:w="0" w:type="dxa"/>
              <w:bottom w:w="150" w:type="dxa"/>
              <w:right w:w="150" w:type="dxa"/>
            </w:tcMar>
            <w:vAlign w:val="center"/>
            <w:hideMark/>
          </w:tcPr>
          <w:p w14:paraId="2D0E0706"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Ascorbic Acid (Control)</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0E3036CB"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89.32 ± 0.30ᵃ</w:t>
            </w:r>
          </w:p>
        </w:tc>
        <w:tc>
          <w:tcPr>
            <w:tcW w:w="0" w:type="auto"/>
            <w:tcBorders>
              <w:top w:val="nil"/>
              <w:left w:val="nil"/>
              <w:bottom w:val="single" w:sz="8" w:space="0" w:color="E5E5E5"/>
              <w:right w:val="nil"/>
            </w:tcBorders>
            <w:tcMar>
              <w:top w:w="150" w:type="dxa"/>
              <w:left w:w="150" w:type="dxa"/>
              <w:bottom w:w="150" w:type="dxa"/>
              <w:right w:w="150" w:type="dxa"/>
            </w:tcMar>
            <w:vAlign w:val="center"/>
            <w:hideMark/>
          </w:tcPr>
          <w:p w14:paraId="6AB2B367" w14:textId="77777777" w:rsidR="00952F2F" w:rsidRPr="006A79C5" w:rsidRDefault="00952F2F" w:rsidP="005974D1">
            <w:pPr>
              <w:spacing w:after="0"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93.20 ± 0.61ᵃ</w:t>
            </w:r>
          </w:p>
        </w:tc>
      </w:tr>
    </w:tbl>
    <w:p w14:paraId="6E5D03F3" w14:textId="6F5093B2" w:rsidR="00952F2F" w:rsidRPr="006A79C5" w:rsidRDefault="00952F2F" w:rsidP="005974D1">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i/>
          <w:iCs/>
          <w:sz w:val="20"/>
          <w:szCs w:val="20"/>
          <w:lang w:eastAsia="en-IN"/>
        </w:rPr>
        <w:t>Note.</w:t>
      </w:r>
      <w:r w:rsidRPr="006A79C5">
        <w:rPr>
          <w:rFonts w:ascii="Arial" w:eastAsia="Times New Roman" w:hAnsi="Arial" w:cs="Arial"/>
          <w:sz w:val="20"/>
          <w:szCs w:val="20"/>
          <w:lang w:eastAsia="en-IN"/>
        </w:rPr>
        <w:t> Values are mean ± SD (</w:t>
      </w:r>
      <w:r w:rsidRPr="006A79C5">
        <w:rPr>
          <w:rFonts w:ascii="Arial" w:eastAsia="Times New Roman" w:hAnsi="Arial" w:cs="Arial"/>
          <w:i/>
          <w:iCs/>
          <w:sz w:val="20"/>
          <w:szCs w:val="20"/>
          <w:lang w:eastAsia="en-IN"/>
        </w:rPr>
        <w:t>n</w:t>
      </w:r>
      <w:r w:rsidRPr="006A79C5">
        <w:rPr>
          <w:rFonts w:ascii="Arial" w:eastAsia="Times New Roman" w:hAnsi="Arial" w:cs="Arial"/>
          <w:sz w:val="20"/>
          <w:szCs w:val="20"/>
          <w:lang w:eastAsia="en-IN"/>
        </w:rPr>
        <w:t>=3). Means with different superscripts (ᵃ, ᵇ) within columns differ significantly (</w:t>
      </w:r>
      <w:r w:rsidRPr="006A79C5">
        <w:rPr>
          <w:rFonts w:ascii="Arial" w:eastAsia="Times New Roman" w:hAnsi="Arial" w:cs="Arial"/>
          <w:i/>
          <w:iCs/>
          <w:sz w:val="20"/>
          <w:szCs w:val="20"/>
          <w:lang w:eastAsia="en-IN"/>
        </w:rPr>
        <w:t>p</w:t>
      </w:r>
      <w:r w:rsidRPr="006A79C5">
        <w:rPr>
          <w:rFonts w:ascii="Arial" w:eastAsia="Times New Roman" w:hAnsi="Arial" w:cs="Arial"/>
          <w:sz w:val="20"/>
          <w:szCs w:val="20"/>
          <w:lang w:eastAsia="en-IN"/>
        </w:rPr>
        <w:t>&lt;0.05).</w:t>
      </w:r>
    </w:p>
    <w:p w14:paraId="574BD1E5" w14:textId="77777777" w:rsidR="001F4B47" w:rsidRPr="006A79C5" w:rsidRDefault="001F4B47" w:rsidP="005974D1">
      <w:pPr>
        <w:shd w:val="clear" w:color="auto" w:fill="FFFFFF"/>
        <w:spacing w:before="206" w:after="206" w:line="240" w:lineRule="auto"/>
        <w:jc w:val="both"/>
        <w:rPr>
          <w:rFonts w:ascii="Arial" w:eastAsia="Times New Roman" w:hAnsi="Arial" w:cs="Arial"/>
          <w:b/>
          <w:bCs/>
          <w:lang w:eastAsia="en-IN"/>
        </w:rPr>
      </w:pPr>
    </w:p>
    <w:p w14:paraId="54B0A513" w14:textId="4A3A4F62" w:rsidR="009965F8" w:rsidRPr="006A79C5" w:rsidRDefault="00870047" w:rsidP="005974D1">
      <w:pPr>
        <w:shd w:val="clear" w:color="auto" w:fill="FFFFFF"/>
        <w:spacing w:before="206" w:after="206" w:line="240" w:lineRule="auto"/>
        <w:jc w:val="both"/>
        <w:rPr>
          <w:rFonts w:ascii="Arial" w:eastAsia="Times New Roman" w:hAnsi="Arial" w:cs="Arial"/>
          <w:lang w:eastAsia="en-IN"/>
        </w:rPr>
      </w:pPr>
      <w:r w:rsidRPr="006A79C5">
        <w:rPr>
          <w:rFonts w:ascii="Arial" w:eastAsia="Times New Roman" w:hAnsi="Arial" w:cs="Arial"/>
          <w:b/>
          <w:bCs/>
          <w:lang w:eastAsia="en-IN"/>
        </w:rPr>
        <w:t>5. CONCLUSION</w:t>
      </w:r>
    </w:p>
    <w:p w14:paraId="68DFDE89" w14:textId="02032E6A" w:rsidR="009965F8" w:rsidRPr="006A79C5" w:rsidRDefault="009965F8" w:rsidP="005974D1">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The neem oil </w:t>
      </w:r>
      <w:proofErr w:type="spellStart"/>
      <w:r w:rsidRPr="006A79C5">
        <w:rPr>
          <w:rFonts w:ascii="Arial" w:eastAsia="Times New Roman" w:hAnsi="Arial" w:cs="Arial"/>
          <w:sz w:val="20"/>
          <w:szCs w:val="20"/>
          <w:lang w:eastAsia="en-IN"/>
        </w:rPr>
        <w:t>nanoemulsion</w:t>
      </w:r>
      <w:proofErr w:type="spellEnd"/>
      <w:r w:rsidRPr="006A79C5">
        <w:rPr>
          <w:rFonts w:ascii="Arial" w:eastAsia="Times New Roman" w:hAnsi="Arial" w:cs="Arial"/>
          <w:sz w:val="20"/>
          <w:szCs w:val="20"/>
          <w:lang w:eastAsia="en-IN"/>
        </w:rPr>
        <w:t xml:space="preserve"> (NON) </w:t>
      </w:r>
      <w:r w:rsidR="00D20B77" w:rsidRPr="006A79C5">
        <w:rPr>
          <w:rFonts w:ascii="Arial" w:eastAsia="Times New Roman" w:hAnsi="Arial" w:cs="Arial"/>
          <w:sz w:val="20"/>
          <w:szCs w:val="20"/>
          <w:lang w:eastAsia="en-IN"/>
        </w:rPr>
        <w:t>synthesised</w:t>
      </w:r>
      <w:r w:rsidRPr="006A79C5">
        <w:rPr>
          <w:rFonts w:ascii="Arial" w:eastAsia="Times New Roman" w:hAnsi="Arial" w:cs="Arial"/>
          <w:sz w:val="20"/>
          <w:szCs w:val="20"/>
          <w:lang w:eastAsia="en-IN"/>
        </w:rPr>
        <w:t xml:space="preserve"> in this study demonstrated remarkable potential as a sustainable alternative to synthetic fungicides for maize seed protection. At low concentrations (6.25–25 mg/mL), </w:t>
      </w:r>
      <w:proofErr w:type="gramStart"/>
      <w:r w:rsidRPr="006A79C5">
        <w:rPr>
          <w:rFonts w:ascii="Arial" w:eastAsia="Times New Roman" w:hAnsi="Arial" w:cs="Arial"/>
          <w:sz w:val="20"/>
          <w:szCs w:val="20"/>
          <w:lang w:eastAsia="en-IN"/>
        </w:rPr>
        <w:t>NON effectively</w:t>
      </w:r>
      <w:proofErr w:type="gramEnd"/>
      <w:r w:rsidRPr="006A79C5">
        <w:rPr>
          <w:rFonts w:ascii="Arial" w:eastAsia="Times New Roman" w:hAnsi="Arial" w:cs="Arial"/>
          <w:sz w:val="20"/>
          <w:szCs w:val="20"/>
          <w:lang w:eastAsia="en-IN"/>
        </w:rPr>
        <w:t xml:space="preserve"> suppressed seed-borne fungal pathogens (</w:t>
      </w:r>
      <w:r w:rsidR="009801FD" w:rsidRPr="006A79C5">
        <w:rPr>
          <w:rFonts w:ascii="Arial" w:eastAsia="Times New Roman" w:hAnsi="Arial" w:cs="Arial"/>
          <w:i/>
          <w:iCs/>
          <w:sz w:val="20"/>
          <w:szCs w:val="20"/>
          <w:lang w:eastAsia="en-IN"/>
        </w:rPr>
        <w:t xml:space="preserve">A. </w:t>
      </w:r>
      <w:r w:rsidRPr="006A79C5">
        <w:rPr>
          <w:rFonts w:ascii="Arial" w:eastAsia="Times New Roman" w:hAnsi="Arial" w:cs="Arial"/>
          <w:i/>
          <w:iCs/>
          <w:sz w:val="20"/>
          <w:szCs w:val="20"/>
          <w:lang w:eastAsia="en-IN"/>
        </w:rPr>
        <w:t xml:space="preserve"> flavus</w:t>
      </w:r>
      <w:r w:rsidRPr="006A79C5">
        <w:rPr>
          <w:rFonts w:ascii="Arial" w:eastAsia="Times New Roman" w:hAnsi="Arial" w:cs="Arial"/>
          <w:sz w:val="20"/>
          <w:szCs w:val="20"/>
          <w:lang w:eastAsia="en-IN"/>
        </w:rPr>
        <w:t>, </w:t>
      </w:r>
      <w:r w:rsidRPr="006A79C5">
        <w:rPr>
          <w:rFonts w:ascii="Arial" w:eastAsia="Times New Roman" w:hAnsi="Arial" w:cs="Arial"/>
          <w:i/>
          <w:iCs/>
          <w:sz w:val="20"/>
          <w:szCs w:val="20"/>
          <w:lang w:eastAsia="en-IN"/>
        </w:rPr>
        <w:t xml:space="preserve">A. </w:t>
      </w:r>
      <w:proofErr w:type="spellStart"/>
      <w:r w:rsidRPr="006A79C5">
        <w:rPr>
          <w:rFonts w:ascii="Arial" w:eastAsia="Times New Roman" w:hAnsi="Arial" w:cs="Arial"/>
          <w:i/>
          <w:iCs/>
          <w:sz w:val="20"/>
          <w:szCs w:val="20"/>
          <w:lang w:eastAsia="en-IN"/>
        </w:rPr>
        <w:t>parasiticus</w:t>
      </w:r>
      <w:proofErr w:type="spellEnd"/>
      <w:r w:rsidRPr="006A79C5">
        <w:rPr>
          <w:rFonts w:ascii="Arial" w:eastAsia="Times New Roman" w:hAnsi="Arial" w:cs="Arial"/>
          <w:sz w:val="20"/>
          <w:szCs w:val="20"/>
          <w:lang w:eastAsia="en-IN"/>
        </w:rPr>
        <w:t>, and </w:t>
      </w:r>
      <w:r w:rsidRPr="006A79C5">
        <w:rPr>
          <w:rFonts w:ascii="Arial" w:eastAsia="Times New Roman" w:hAnsi="Arial" w:cs="Arial"/>
          <w:i/>
          <w:iCs/>
          <w:sz w:val="20"/>
          <w:szCs w:val="20"/>
          <w:lang w:eastAsia="en-IN"/>
        </w:rPr>
        <w:t xml:space="preserve">Fusarium </w:t>
      </w:r>
      <w:proofErr w:type="spellStart"/>
      <w:r w:rsidRPr="006A79C5">
        <w:rPr>
          <w:rFonts w:ascii="Arial" w:eastAsia="Times New Roman" w:hAnsi="Arial" w:cs="Arial"/>
          <w:i/>
          <w:iCs/>
          <w:sz w:val="20"/>
          <w:szCs w:val="20"/>
          <w:lang w:eastAsia="en-IN"/>
        </w:rPr>
        <w:t>graminearum</w:t>
      </w:r>
      <w:proofErr w:type="spellEnd"/>
      <w:r w:rsidRPr="006A79C5">
        <w:rPr>
          <w:rFonts w:ascii="Arial" w:eastAsia="Times New Roman" w:hAnsi="Arial" w:cs="Arial"/>
          <w:sz w:val="20"/>
          <w:szCs w:val="20"/>
          <w:lang w:eastAsia="en-IN"/>
        </w:rPr>
        <w:t>) while enhancing seed germination (83.3–100%) and seedling vigo</w:t>
      </w:r>
      <w:r w:rsidR="009801FD" w:rsidRPr="006A79C5">
        <w:rPr>
          <w:rFonts w:ascii="Arial" w:eastAsia="Times New Roman" w:hAnsi="Arial" w:cs="Arial"/>
          <w:sz w:val="20"/>
          <w:szCs w:val="20"/>
          <w:lang w:eastAsia="en-IN"/>
        </w:rPr>
        <w:t>u</w:t>
      </w:r>
      <w:r w:rsidRPr="006A79C5">
        <w:rPr>
          <w:rFonts w:ascii="Arial" w:eastAsia="Times New Roman" w:hAnsi="Arial" w:cs="Arial"/>
          <w:sz w:val="20"/>
          <w:szCs w:val="20"/>
          <w:lang w:eastAsia="en-IN"/>
        </w:rPr>
        <w:t>r (</w:t>
      </w:r>
      <w:proofErr w:type="spellStart"/>
      <w:r w:rsidRPr="006A79C5">
        <w:rPr>
          <w:rFonts w:ascii="Arial" w:eastAsia="Times New Roman" w:hAnsi="Arial" w:cs="Arial"/>
          <w:sz w:val="20"/>
          <w:szCs w:val="20"/>
          <w:lang w:eastAsia="en-IN"/>
        </w:rPr>
        <w:t>vig</w:t>
      </w:r>
      <w:proofErr w:type="spellEnd"/>
      <w:r w:rsidR="005C7D05" w:rsidRPr="006A79C5">
        <w:rPr>
          <w:rFonts w:ascii="Arial" w:eastAsia="Times New Roman" w:hAnsi="Arial" w:cs="Arial"/>
          <w:sz w:val="20"/>
          <w:szCs w:val="20"/>
          <w:lang w:eastAsia="en-IN"/>
        </w:rPr>
        <w:t>]</w:t>
      </w:r>
      <w:proofErr w:type="gramStart"/>
      <w:r w:rsidR="005C7D05" w:rsidRPr="006A79C5">
        <w:rPr>
          <w:rFonts w:ascii="Arial" w:eastAsia="Times New Roman" w:hAnsi="Arial" w:cs="Arial"/>
          <w:sz w:val="20"/>
          <w:szCs w:val="20"/>
          <w:lang w:eastAsia="en-IN"/>
        </w:rPr>
        <w:t>l[</w:t>
      </w:r>
      <w:proofErr w:type="spellStart"/>
      <w:proofErr w:type="gramEnd"/>
      <w:r w:rsidR="009801FD" w:rsidRPr="006A79C5">
        <w:rPr>
          <w:rFonts w:ascii="Arial" w:eastAsia="Times New Roman" w:hAnsi="Arial" w:cs="Arial"/>
          <w:sz w:val="20"/>
          <w:szCs w:val="20"/>
          <w:lang w:eastAsia="en-IN"/>
        </w:rPr>
        <w:t>u</w:t>
      </w:r>
      <w:r w:rsidRPr="006A79C5">
        <w:rPr>
          <w:rFonts w:ascii="Arial" w:eastAsia="Times New Roman" w:hAnsi="Arial" w:cs="Arial"/>
          <w:sz w:val="20"/>
          <w:szCs w:val="20"/>
          <w:lang w:eastAsia="en-IN"/>
        </w:rPr>
        <w:t>r</w:t>
      </w:r>
      <w:proofErr w:type="spellEnd"/>
      <w:r w:rsidRPr="006A79C5">
        <w:rPr>
          <w:rFonts w:ascii="Arial" w:eastAsia="Times New Roman" w:hAnsi="Arial" w:cs="Arial"/>
          <w:sz w:val="20"/>
          <w:szCs w:val="20"/>
          <w:lang w:eastAsia="en-IN"/>
        </w:rPr>
        <w:t xml:space="preserve"> index = 0.52–0.60). The antifungal activity, attributed to the synergistic effects of neem oil’s bioactive compounds and the enhanced bioavailability of silver nanoparticles (</w:t>
      </w:r>
      <w:proofErr w:type="spellStart"/>
      <w:r w:rsidRPr="006A79C5">
        <w:rPr>
          <w:rFonts w:ascii="Arial" w:eastAsia="Times New Roman" w:hAnsi="Arial" w:cs="Arial"/>
          <w:sz w:val="20"/>
          <w:szCs w:val="20"/>
          <w:lang w:eastAsia="en-IN"/>
        </w:rPr>
        <w:t>AgNPs</w:t>
      </w:r>
      <w:proofErr w:type="spellEnd"/>
      <w:r w:rsidRPr="006A79C5">
        <w:rPr>
          <w:rFonts w:ascii="Arial" w:eastAsia="Times New Roman" w:hAnsi="Arial" w:cs="Arial"/>
          <w:sz w:val="20"/>
          <w:szCs w:val="20"/>
          <w:lang w:eastAsia="en-IN"/>
        </w:rPr>
        <w:t xml:space="preserve">), aligns with recent advancements in </w:t>
      </w:r>
      <w:proofErr w:type="spellStart"/>
      <w:r w:rsidRPr="006A79C5">
        <w:rPr>
          <w:rFonts w:ascii="Arial" w:eastAsia="Times New Roman" w:hAnsi="Arial" w:cs="Arial"/>
          <w:sz w:val="20"/>
          <w:szCs w:val="20"/>
          <w:lang w:eastAsia="en-IN"/>
        </w:rPr>
        <w:t>nanoformulated</w:t>
      </w:r>
      <w:proofErr w:type="spellEnd"/>
      <w:r w:rsidRPr="006A79C5">
        <w:rPr>
          <w:rFonts w:ascii="Arial" w:eastAsia="Times New Roman" w:hAnsi="Arial" w:cs="Arial"/>
          <w:sz w:val="20"/>
          <w:szCs w:val="20"/>
          <w:lang w:eastAsia="en-IN"/>
        </w:rPr>
        <w:t xml:space="preserve"> essential oils (Zhao et al., 2017; Singh et al., 2024). However, high concentrations (50–100 mg/mL) induced phytotoxicity, reducing germination to 16.7% and stunting radicle/plumule growth, likely due to nanoparticle-induced oxidative stress (Szőllősi et al., 2020). These findings underscore the importance of </w:t>
      </w:r>
      <w:r w:rsidR="00FF29E2" w:rsidRPr="006A79C5">
        <w:rPr>
          <w:rFonts w:ascii="Arial" w:eastAsia="Times New Roman" w:hAnsi="Arial" w:cs="Arial"/>
          <w:sz w:val="20"/>
          <w:szCs w:val="20"/>
          <w:lang w:eastAsia="en-IN"/>
        </w:rPr>
        <w:t>optimising</w:t>
      </w:r>
      <w:r w:rsidRPr="006A79C5">
        <w:rPr>
          <w:rFonts w:ascii="Arial" w:eastAsia="Times New Roman" w:hAnsi="Arial" w:cs="Arial"/>
          <w:sz w:val="20"/>
          <w:szCs w:val="20"/>
          <w:lang w:eastAsia="en-IN"/>
        </w:rPr>
        <w:t xml:space="preserve"> NON dosage to balance pathogen control and crop safety.</w:t>
      </w:r>
    </w:p>
    <w:p w14:paraId="6F8389A4" w14:textId="244440CE" w:rsidR="0010427F" w:rsidRPr="006A79C5" w:rsidRDefault="009965F8" w:rsidP="0010427F">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sz w:val="20"/>
          <w:szCs w:val="20"/>
          <w:highlight w:val="yellow"/>
          <w:lang w:eastAsia="en-IN"/>
        </w:rPr>
        <w:t xml:space="preserve">In conclusion, </w:t>
      </w:r>
      <w:proofErr w:type="gramStart"/>
      <w:r w:rsidRPr="006A79C5">
        <w:rPr>
          <w:rFonts w:ascii="Arial" w:eastAsia="Times New Roman" w:hAnsi="Arial" w:cs="Arial"/>
          <w:sz w:val="20"/>
          <w:szCs w:val="20"/>
          <w:highlight w:val="yellow"/>
          <w:lang w:eastAsia="en-IN"/>
        </w:rPr>
        <w:t>NON represents</w:t>
      </w:r>
      <w:proofErr w:type="gramEnd"/>
      <w:r w:rsidRPr="006A79C5">
        <w:rPr>
          <w:rFonts w:ascii="Arial" w:eastAsia="Times New Roman" w:hAnsi="Arial" w:cs="Arial"/>
          <w:sz w:val="20"/>
          <w:szCs w:val="20"/>
          <w:highlight w:val="yellow"/>
          <w:lang w:eastAsia="en-IN"/>
        </w:rPr>
        <w:t xml:space="preserve"> a sustainable alternative to synthetic fungicides, but its application requires precise dose </w:t>
      </w:r>
      <w:r w:rsidR="00E91D21" w:rsidRPr="006A79C5">
        <w:rPr>
          <w:rFonts w:ascii="Arial" w:eastAsia="Times New Roman" w:hAnsi="Arial" w:cs="Arial"/>
          <w:sz w:val="20"/>
          <w:szCs w:val="20"/>
          <w:highlight w:val="yellow"/>
          <w:lang w:eastAsia="en-IN"/>
        </w:rPr>
        <w:t>calibration (25- 6.25mg/ml)</w:t>
      </w:r>
      <w:r w:rsidRPr="006A79C5">
        <w:rPr>
          <w:rFonts w:ascii="Arial" w:eastAsia="Times New Roman" w:hAnsi="Arial" w:cs="Arial"/>
          <w:sz w:val="20"/>
          <w:szCs w:val="20"/>
          <w:highlight w:val="yellow"/>
          <w:lang w:eastAsia="en-IN"/>
        </w:rPr>
        <w:t xml:space="preserve">. </w:t>
      </w:r>
      <w:r w:rsidR="0010427F" w:rsidRPr="006A79C5">
        <w:rPr>
          <w:rFonts w:ascii="Arial" w:eastAsia="Times New Roman" w:hAnsi="Arial" w:cs="Arial"/>
          <w:sz w:val="20"/>
          <w:szCs w:val="20"/>
          <w:highlight w:val="yellow"/>
          <w:lang w:eastAsia="en-IN"/>
        </w:rPr>
        <w:t xml:space="preserve">Beyond laboratory validation, field trials across diverse agroecological zones are essential to confirm efficacy under real farming conditions. Long-term stability studies should investigate the residual activity of NON and its environmental interactions, including possible accumulation of </w:t>
      </w:r>
      <w:proofErr w:type="spellStart"/>
      <w:r w:rsidR="0010427F" w:rsidRPr="006A79C5">
        <w:rPr>
          <w:rFonts w:ascii="Arial" w:eastAsia="Times New Roman" w:hAnsi="Arial" w:cs="Arial"/>
          <w:sz w:val="20"/>
          <w:szCs w:val="20"/>
          <w:highlight w:val="yellow"/>
          <w:lang w:eastAsia="en-IN"/>
        </w:rPr>
        <w:t>AgNPs</w:t>
      </w:r>
      <w:proofErr w:type="spellEnd"/>
      <w:r w:rsidR="0010427F" w:rsidRPr="006A79C5">
        <w:rPr>
          <w:rFonts w:ascii="Arial" w:eastAsia="Times New Roman" w:hAnsi="Arial" w:cs="Arial"/>
          <w:sz w:val="20"/>
          <w:szCs w:val="20"/>
          <w:highlight w:val="yellow"/>
          <w:lang w:eastAsia="en-IN"/>
        </w:rPr>
        <w:t xml:space="preserve"> in soil. By addressing scalability, stability, and environmental safety, </w:t>
      </w:r>
      <w:proofErr w:type="gramStart"/>
      <w:r w:rsidR="0010427F" w:rsidRPr="006A79C5">
        <w:rPr>
          <w:rFonts w:ascii="Arial" w:eastAsia="Times New Roman" w:hAnsi="Arial" w:cs="Arial"/>
          <w:sz w:val="20"/>
          <w:szCs w:val="20"/>
          <w:highlight w:val="yellow"/>
          <w:lang w:eastAsia="en-IN"/>
        </w:rPr>
        <w:t>NON could</w:t>
      </w:r>
      <w:proofErr w:type="gramEnd"/>
      <w:r w:rsidR="0010427F" w:rsidRPr="006A79C5">
        <w:rPr>
          <w:rFonts w:ascii="Arial" w:eastAsia="Times New Roman" w:hAnsi="Arial" w:cs="Arial"/>
          <w:sz w:val="20"/>
          <w:szCs w:val="20"/>
          <w:highlight w:val="yellow"/>
          <w:lang w:eastAsia="en-IN"/>
        </w:rPr>
        <w:t xml:space="preserve"> contribute to global food security goals while reducing reliance on synthetic agrochemicals.</w:t>
      </w:r>
    </w:p>
    <w:p w14:paraId="6CE34567" w14:textId="7AAD903E" w:rsidR="00013625" w:rsidRPr="006A79C5" w:rsidRDefault="00013625" w:rsidP="0010427F">
      <w:pPr>
        <w:shd w:val="clear" w:color="auto" w:fill="FFFFFF"/>
        <w:spacing w:before="206" w:after="206" w:line="240" w:lineRule="auto"/>
        <w:jc w:val="both"/>
        <w:rPr>
          <w:rFonts w:ascii="Arial" w:hAnsi="Arial" w:cs="Arial"/>
          <w:b/>
          <w:caps/>
          <w:sz w:val="20"/>
        </w:rPr>
      </w:pPr>
    </w:p>
    <w:p w14:paraId="5F116E29" w14:textId="6FFE2FF8" w:rsidR="00013625" w:rsidRPr="006A79C5" w:rsidRDefault="00013625" w:rsidP="00013625">
      <w:pPr>
        <w:pStyle w:val="ReferHead"/>
        <w:spacing w:after="0"/>
        <w:rPr>
          <w:rFonts w:ascii="Arial" w:hAnsi="Arial" w:cs="Arial"/>
          <w:caps w:val="0"/>
          <w:szCs w:val="22"/>
        </w:rPr>
      </w:pPr>
      <w:r w:rsidRPr="006A79C5">
        <w:rPr>
          <w:rFonts w:ascii="Arial" w:hAnsi="Arial" w:cs="Arial"/>
          <w:caps w:val="0"/>
          <w:szCs w:val="22"/>
        </w:rPr>
        <w:t>9. CONSENT</w:t>
      </w:r>
    </w:p>
    <w:p w14:paraId="512172F1" w14:textId="77777777" w:rsidR="009C39F7" w:rsidRPr="006A79C5" w:rsidRDefault="009C39F7" w:rsidP="009C39F7">
      <w:pPr>
        <w:pStyle w:val="NormalWeb"/>
        <w:rPr>
          <w:rFonts w:ascii="Arial" w:hAnsi="Arial" w:cs="Arial"/>
          <w:sz w:val="20"/>
          <w:szCs w:val="20"/>
        </w:rPr>
      </w:pPr>
      <w:r w:rsidRPr="006A79C5">
        <w:rPr>
          <w:rFonts w:ascii="Arial" w:hAnsi="Arial" w:cs="Arial"/>
          <w:sz w:val="20"/>
          <w:szCs w:val="20"/>
        </w:rPr>
        <w:t>All authors have read and approved the final manuscript and consent to its publication in this journal.</w:t>
      </w:r>
    </w:p>
    <w:p w14:paraId="1EA93E54" w14:textId="1AF04339" w:rsidR="009965F8" w:rsidRPr="006A79C5" w:rsidRDefault="00013625" w:rsidP="00870047">
      <w:pPr>
        <w:shd w:val="clear" w:color="auto" w:fill="FFFFFF"/>
        <w:spacing w:after="100" w:afterAutospacing="1" w:line="240" w:lineRule="auto"/>
        <w:jc w:val="both"/>
        <w:rPr>
          <w:rFonts w:ascii="Arial" w:eastAsia="Times New Roman" w:hAnsi="Arial" w:cs="Arial"/>
          <w:lang w:eastAsia="en-IN"/>
        </w:rPr>
      </w:pPr>
      <w:r w:rsidRPr="006A79C5">
        <w:rPr>
          <w:rFonts w:ascii="Arial" w:eastAsia="Times New Roman" w:hAnsi="Arial" w:cs="Arial"/>
          <w:b/>
          <w:lang w:eastAsia="en-IN"/>
        </w:rPr>
        <w:t>10.</w:t>
      </w:r>
      <w:r w:rsidRPr="006A79C5">
        <w:rPr>
          <w:rFonts w:ascii="Arial" w:eastAsia="Times New Roman" w:hAnsi="Arial" w:cs="Arial"/>
          <w:b/>
          <w:bCs/>
          <w:lang w:eastAsia="en-IN"/>
        </w:rPr>
        <w:t xml:space="preserve"> ETHICAL</w:t>
      </w:r>
      <w:r w:rsidR="00870047" w:rsidRPr="006A79C5">
        <w:rPr>
          <w:rFonts w:ascii="Arial" w:eastAsia="Times New Roman" w:hAnsi="Arial" w:cs="Arial"/>
          <w:b/>
          <w:bCs/>
          <w:lang w:eastAsia="en-IN"/>
        </w:rPr>
        <w:t xml:space="preserve"> </w:t>
      </w:r>
      <w:r w:rsidRPr="006A79C5">
        <w:rPr>
          <w:rFonts w:ascii="Arial" w:eastAsia="Times New Roman" w:hAnsi="Arial" w:cs="Arial"/>
          <w:b/>
          <w:bCs/>
          <w:lang w:eastAsia="en-IN"/>
        </w:rPr>
        <w:t>APPROVAL</w:t>
      </w:r>
    </w:p>
    <w:p w14:paraId="38BC42AC" w14:textId="7D432A53" w:rsidR="009801FD" w:rsidRPr="006A79C5" w:rsidRDefault="009965F8" w:rsidP="005974D1">
      <w:pPr>
        <w:shd w:val="clear" w:color="auto" w:fill="FFFFFF"/>
        <w:spacing w:before="206" w:after="206"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This study adhered to ethical guidelines for plant-based research. No human or animal subjects were involved. Conflicts of interest are declared as none.</w:t>
      </w:r>
    </w:p>
    <w:p w14:paraId="2ACEBFE7" w14:textId="77777777" w:rsidR="0010427F" w:rsidRPr="006A79C5" w:rsidRDefault="0010427F" w:rsidP="0010427F">
      <w:pPr>
        <w:shd w:val="clear" w:color="auto" w:fill="FFFFFF"/>
        <w:spacing w:before="206" w:after="206" w:line="240" w:lineRule="auto"/>
        <w:jc w:val="both"/>
        <w:rPr>
          <w:rFonts w:ascii="Arial" w:hAnsi="Arial" w:cs="Arial"/>
          <w:b/>
          <w:bCs/>
          <w:highlight w:val="yellow"/>
        </w:rPr>
      </w:pPr>
      <w:r w:rsidRPr="006A79C5">
        <w:rPr>
          <w:rFonts w:ascii="Arial" w:hAnsi="Arial" w:cs="Arial"/>
          <w:b/>
          <w:bCs/>
          <w:highlight w:val="yellow"/>
        </w:rPr>
        <w:t>Disclaimer (Artificial Intelligence)</w:t>
      </w:r>
    </w:p>
    <w:p w14:paraId="58A4C04E" w14:textId="77777777" w:rsidR="0010427F" w:rsidRPr="006A79C5" w:rsidRDefault="0010427F" w:rsidP="0010427F">
      <w:pPr>
        <w:shd w:val="clear" w:color="auto" w:fill="FFFFFF"/>
        <w:spacing w:before="206" w:after="206" w:line="240" w:lineRule="auto"/>
        <w:jc w:val="both"/>
        <w:rPr>
          <w:rFonts w:ascii="Arial" w:hAnsi="Arial" w:cs="Arial"/>
          <w:highlight w:val="yellow"/>
        </w:rPr>
      </w:pPr>
      <w:r w:rsidRPr="006A79C5">
        <w:rPr>
          <w:rFonts w:ascii="Arial" w:hAnsi="Arial" w:cs="Arial"/>
          <w:highlight w:val="yellow"/>
        </w:rPr>
        <w:lastRenderedPageBreak/>
        <w:t>Author(s) hereby declare that generative AI technologies such as Large Language Models have been used during the writing and editing of this manuscript.</w:t>
      </w:r>
    </w:p>
    <w:p w14:paraId="437263CD" w14:textId="77777777" w:rsidR="0010427F" w:rsidRPr="006A79C5" w:rsidRDefault="0010427F" w:rsidP="0010427F">
      <w:pPr>
        <w:shd w:val="clear" w:color="auto" w:fill="FFFFFF"/>
        <w:spacing w:before="206" w:after="206" w:line="240" w:lineRule="auto"/>
        <w:jc w:val="both"/>
        <w:rPr>
          <w:rFonts w:ascii="Arial" w:hAnsi="Arial" w:cs="Arial"/>
          <w:highlight w:val="yellow"/>
        </w:rPr>
      </w:pPr>
      <w:r w:rsidRPr="006A79C5">
        <w:rPr>
          <w:rFonts w:ascii="Arial" w:hAnsi="Arial" w:cs="Arial"/>
          <w:highlight w:val="yellow"/>
        </w:rPr>
        <w:t>Details of the AI usage are given below:</w:t>
      </w:r>
    </w:p>
    <w:p w14:paraId="166B85CB" w14:textId="77777777" w:rsidR="0010427F" w:rsidRPr="006A79C5" w:rsidRDefault="0010427F" w:rsidP="0010427F">
      <w:pPr>
        <w:shd w:val="clear" w:color="auto" w:fill="FFFFFF"/>
        <w:spacing w:before="206" w:after="206" w:line="240" w:lineRule="auto"/>
        <w:jc w:val="both"/>
        <w:rPr>
          <w:rFonts w:ascii="Arial" w:hAnsi="Arial" w:cs="Arial"/>
          <w:highlight w:val="yellow"/>
        </w:rPr>
      </w:pPr>
    </w:p>
    <w:p w14:paraId="35F879D0" w14:textId="77777777" w:rsidR="0010427F" w:rsidRPr="006A79C5" w:rsidRDefault="0010427F" w:rsidP="0010427F">
      <w:pPr>
        <w:pStyle w:val="ListParagraph"/>
        <w:numPr>
          <w:ilvl w:val="0"/>
          <w:numId w:val="28"/>
        </w:numPr>
        <w:shd w:val="clear" w:color="auto" w:fill="FFFFFF"/>
        <w:spacing w:before="206" w:after="206" w:line="240" w:lineRule="auto"/>
        <w:jc w:val="both"/>
        <w:rPr>
          <w:rFonts w:ascii="Arial" w:hAnsi="Arial" w:cs="Arial"/>
          <w:highlight w:val="yellow"/>
        </w:rPr>
      </w:pPr>
      <w:r w:rsidRPr="006A79C5">
        <w:rPr>
          <w:rFonts w:ascii="Arial" w:hAnsi="Arial" w:cs="Arial"/>
          <w:highlight w:val="yellow"/>
        </w:rPr>
        <w:t>Refining language, structure, and clarity to enhance scholarly readability.</w:t>
      </w:r>
    </w:p>
    <w:p w14:paraId="1865FBD4" w14:textId="77777777" w:rsidR="0010427F" w:rsidRPr="006A79C5" w:rsidRDefault="0010427F" w:rsidP="0010427F">
      <w:pPr>
        <w:pStyle w:val="ListParagraph"/>
        <w:numPr>
          <w:ilvl w:val="0"/>
          <w:numId w:val="28"/>
        </w:numPr>
        <w:shd w:val="clear" w:color="auto" w:fill="FFFFFF"/>
        <w:spacing w:before="206" w:after="206" w:line="240" w:lineRule="auto"/>
        <w:jc w:val="both"/>
        <w:rPr>
          <w:rFonts w:ascii="Arial" w:hAnsi="Arial" w:cs="Arial"/>
          <w:highlight w:val="yellow"/>
        </w:rPr>
      </w:pPr>
      <w:r w:rsidRPr="006A79C5">
        <w:rPr>
          <w:rFonts w:ascii="Arial" w:hAnsi="Arial" w:cs="Arial"/>
          <w:highlight w:val="yellow"/>
        </w:rPr>
        <w:t>Generating schematic diagrams to summarise the experimental workflow for improved visual communication.</w:t>
      </w:r>
    </w:p>
    <w:p w14:paraId="1B7AB0A3" w14:textId="77777777" w:rsidR="0010427F" w:rsidRPr="006A79C5" w:rsidRDefault="0010427F" w:rsidP="0010427F">
      <w:pPr>
        <w:shd w:val="clear" w:color="auto" w:fill="FFFFFF"/>
        <w:spacing w:before="206" w:after="206" w:line="240" w:lineRule="auto"/>
        <w:jc w:val="both"/>
        <w:rPr>
          <w:rFonts w:ascii="Arial" w:hAnsi="Arial" w:cs="Arial"/>
          <w:highlight w:val="yellow"/>
        </w:rPr>
      </w:pPr>
      <w:r w:rsidRPr="006A79C5">
        <w:rPr>
          <w:rFonts w:ascii="Arial" w:hAnsi="Arial" w:cs="Arial"/>
          <w:highlight w:val="yellow"/>
        </w:rPr>
        <w:t>Name, version, model, and source of the generative AI technology:</w:t>
      </w:r>
    </w:p>
    <w:p w14:paraId="4CD70EAB" w14:textId="77777777" w:rsidR="0010427F" w:rsidRPr="006A79C5" w:rsidRDefault="0010427F" w:rsidP="0010427F">
      <w:pPr>
        <w:shd w:val="clear" w:color="auto" w:fill="FFFFFF"/>
        <w:spacing w:before="206" w:after="206" w:line="240" w:lineRule="auto"/>
        <w:jc w:val="both"/>
        <w:rPr>
          <w:rFonts w:ascii="Arial" w:hAnsi="Arial" w:cs="Arial"/>
          <w:highlight w:val="yellow"/>
        </w:rPr>
      </w:pPr>
      <w:r w:rsidRPr="006A79C5">
        <w:rPr>
          <w:rFonts w:ascii="Arial" w:hAnsi="Arial" w:cs="Arial"/>
          <w:highlight w:val="yellow"/>
        </w:rPr>
        <w:t xml:space="preserve">Name: </w:t>
      </w:r>
      <w:proofErr w:type="spellStart"/>
      <w:r w:rsidRPr="006A79C5">
        <w:rPr>
          <w:rFonts w:ascii="Arial" w:hAnsi="Arial" w:cs="Arial"/>
          <w:highlight w:val="yellow"/>
        </w:rPr>
        <w:t>ChatGPT</w:t>
      </w:r>
      <w:proofErr w:type="spellEnd"/>
    </w:p>
    <w:p w14:paraId="715A8B76" w14:textId="77777777" w:rsidR="0010427F" w:rsidRPr="006A79C5" w:rsidRDefault="0010427F" w:rsidP="0010427F">
      <w:pPr>
        <w:shd w:val="clear" w:color="auto" w:fill="FFFFFF"/>
        <w:spacing w:before="206" w:after="206" w:line="240" w:lineRule="auto"/>
        <w:jc w:val="both"/>
        <w:rPr>
          <w:rFonts w:ascii="Arial" w:hAnsi="Arial" w:cs="Arial"/>
          <w:highlight w:val="yellow"/>
        </w:rPr>
      </w:pPr>
      <w:r w:rsidRPr="006A79C5">
        <w:rPr>
          <w:rFonts w:ascii="Arial" w:hAnsi="Arial" w:cs="Arial"/>
          <w:highlight w:val="yellow"/>
        </w:rPr>
        <w:t>Version: GPT-5</w:t>
      </w:r>
    </w:p>
    <w:p w14:paraId="39A529CD" w14:textId="77777777" w:rsidR="0010427F" w:rsidRPr="006A79C5" w:rsidRDefault="0010427F" w:rsidP="0010427F">
      <w:pPr>
        <w:shd w:val="clear" w:color="auto" w:fill="FFFFFF"/>
        <w:spacing w:before="206" w:after="206" w:line="240" w:lineRule="auto"/>
        <w:jc w:val="both"/>
        <w:rPr>
          <w:rFonts w:ascii="Arial" w:hAnsi="Arial" w:cs="Arial"/>
          <w:highlight w:val="yellow"/>
        </w:rPr>
      </w:pPr>
      <w:r w:rsidRPr="006A79C5">
        <w:rPr>
          <w:rFonts w:ascii="Arial" w:hAnsi="Arial" w:cs="Arial"/>
          <w:highlight w:val="yellow"/>
        </w:rPr>
        <w:t xml:space="preserve">Source: </w:t>
      </w:r>
      <w:proofErr w:type="spellStart"/>
      <w:r w:rsidRPr="006A79C5">
        <w:rPr>
          <w:rFonts w:ascii="Arial" w:hAnsi="Arial" w:cs="Arial"/>
          <w:highlight w:val="yellow"/>
        </w:rPr>
        <w:t>OpenAI</w:t>
      </w:r>
      <w:proofErr w:type="spellEnd"/>
      <w:r w:rsidRPr="006A79C5">
        <w:rPr>
          <w:rFonts w:ascii="Arial" w:hAnsi="Arial" w:cs="Arial"/>
          <w:highlight w:val="yellow"/>
        </w:rPr>
        <w:t xml:space="preserve"> (https://openai.com)</w:t>
      </w:r>
    </w:p>
    <w:p w14:paraId="104161BC" w14:textId="77777777" w:rsidR="0010427F" w:rsidRPr="006A79C5" w:rsidRDefault="0010427F" w:rsidP="0010427F">
      <w:pPr>
        <w:shd w:val="clear" w:color="auto" w:fill="FFFFFF"/>
        <w:spacing w:before="206" w:after="206" w:line="240" w:lineRule="auto"/>
        <w:jc w:val="both"/>
        <w:rPr>
          <w:rFonts w:ascii="Arial" w:hAnsi="Arial" w:cs="Arial"/>
          <w:highlight w:val="yellow"/>
        </w:rPr>
      </w:pPr>
      <w:r w:rsidRPr="006A79C5">
        <w:rPr>
          <w:rFonts w:ascii="Arial" w:hAnsi="Arial" w:cs="Arial"/>
          <w:highlight w:val="yellow"/>
        </w:rPr>
        <w:t>Prompts included requests for:</w:t>
      </w:r>
    </w:p>
    <w:p w14:paraId="374F2EFB" w14:textId="77777777" w:rsidR="0010427F" w:rsidRPr="006A79C5" w:rsidRDefault="0010427F" w:rsidP="0010427F">
      <w:pPr>
        <w:pStyle w:val="ListParagraph"/>
        <w:numPr>
          <w:ilvl w:val="0"/>
          <w:numId w:val="28"/>
        </w:numPr>
        <w:shd w:val="clear" w:color="auto" w:fill="FFFFFF"/>
        <w:spacing w:before="206" w:after="206" w:line="240" w:lineRule="auto"/>
        <w:jc w:val="both"/>
        <w:rPr>
          <w:rFonts w:ascii="Arial" w:hAnsi="Arial" w:cs="Arial"/>
          <w:highlight w:val="yellow"/>
        </w:rPr>
      </w:pPr>
      <w:r w:rsidRPr="006A79C5">
        <w:rPr>
          <w:rFonts w:ascii="Arial" w:hAnsi="Arial" w:cs="Arial"/>
          <w:highlight w:val="yellow"/>
        </w:rPr>
        <w:t xml:space="preserve">Rewriting abstract, discussion, and conclusion to be </w:t>
      </w:r>
      <w:proofErr w:type="gramStart"/>
      <w:r w:rsidRPr="006A79C5">
        <w:rPr>
          <w:rFonts w:ascii="Arial" w:hAnsi="Arial" w:cs="Arial"/>
          <w:highlight w:val="yellow"/>
        </w:rPr>
        <w:t>more clearer</w:t>
      </w:r>
      <w:proofErr w:type="gramEnd"/>
      <w:r w:rsidRPr="006A79C5">
        <w:rPr>
          <w:rFonts w:ascii="Arial" w:hAnsi="Arial" w:cs="Arial"/>
          <w:highlight w:val="yellow"/>
        </w:rPr>
        <w:t xml:space="preserve"> with academic tone.</w:t>
      </w:r>
    </w:p>
    <w:p w14:paraId="73CA2A2C" w14:textId="77777777" w:rsidR="0010427F" w:rsidRPr="006A79C5" w:rsidRDefault="0010427F" w:rsidP="0010427F">
      <w:pPr>
        <w:pStyle w:val="ListParagraph"/>
        <w:numPr>
          <w:ilvl w:val="0"/>
          <w:numId w:val="28"/>
        </w:numPr>
        <w:shd w:val="clear" w:color="auto" w:fill="FFFFFF"/>
        <w:spacing w:before="206" w:after="206" w:line="240" w:lineRule="auto"/>
        <w:jc w:val="both"/>
        <w:rPr>
          <w:rFonts w:ascii="Arial" w:hAnsi="Arial" w:cs="Arial"/>
          <w:highlight w:val="yellow"/>
        </w:rPr>
      </w:pPr>
      <w:r w:rsidRPr="006A79C5">
        <w:rPr>
          <w:rFonts w:ascii="Arial" w:hAnsi="Arial" w:cs="Arial"/>
          <w:highlight w:val="yellow"/>
        </w:rPr>
        <w:t xml:space="preserve">Requests to create a schematic diagram illustrating neem oil </w:t>
      </w:r>
      <w:proofErr w:type="spellStart"/>
      <w:r w:rsidRPr="006A79C5">
        <w:rPr>
          <w:rFonts w:ascii="Arial" w:hAnsi="Arial" w:cs="Arial"/>
          <w:highlight w:val="yellow"/>
        </w:rPr>
        <w:t>nanoemulsion</w:t>
      </w:r>
      <w:proofErr w:type="spellEnd"/>
      <w:r w:rsidRPr="006A79C5">
        <w:rPr>
          <w:rFonts w:ascii="Arial" w:hAnsi="Arial" w:cs="Arial"/>
          <w:highlight w:val="yellow"/>
        </w:rPr>
        <w:t xml:space="preserve"> synthesis and experimental design.</w:t>
      </w:r>
    </w:p>
    <w:p w14:paraId="29568B0A" w14:textId="77777777" w:rsidR="009801FD" w:rsidRPr="006A79C5" w:rsidRDefault="009801FD" w:rsidP="005974D1">
      <w:pPr>
        <w:shd w:val="clear" w:color="auto" w:fill="FFFFFF"/>
        <w:spacing w:before="206" w:after="206" w:line="240" w:lineRule="auto"/>
        <w:jc w:val="both"/>
        <w:rPr>
          <w:rFonts w:ascii="Arial" w:eastAsia="Times New Roman" w:hAnsi="Arial" w:cs="Arial"/>
          <w:b/>
          <w:bCs/>
          <w:sz w:val="27"/>
          <w:szCs w:val="27"/>
          <w:lang w:eastAsia="en-IN"/>
        </w:rPr>
      </w:pPr>
    </w:p>
    <w:p w14:paraId="1055E30D" w14:textId="286B534D" w:rsidR="009965F8" w:rsidRPr="006A79C5" w:rsidRDefault="00870047" w:rsidP="005974D1">
      <w:pPr>
        <w:shd w:val="clear" w:color="auto" w:fill="FFFFFF"/>
        <w:spacing w:before="206" w:after="206" w:line="240" w:lineRule="auto"/>
        <w:jc w:val="both"/>
        <w:rPr>
          <w:rFonts w:ascii="Arial" w:eastAsia="Times New Roman" w:hAnsi="Arial" w:cs="Arial"/>
          <w:b/>
          <w:bCs/>
          <w:lang w:eastAsia="en-IN"/>
        </w:rPr>
      </w:pPr>
      <w:r w:rsidRPr="006A79C5">
        <w:rPr>
          <w:rFonts w:ascii="Arial" w:eastAsia="Times New Roman" w:hAnsi="Arial" w:cs="Arial"/>
          <w:b/>
          <w:bCs/>
          <w:lang w:eastAsia="en-IN"/>
        </w:rPr>
        <w:t>REFERENCES</w:t>
      </w:r>
    </w:p>
    <w:p w14:paraId="2E32A477" w14:textId="77777777" w:rsidR="001F4B47" w:rsidRPr="006A79C5" w:rsidRDefault="001F4B47" w:rsidP="001F4B47">
      <w:pPr>
        <w:shd w:val="clear" w:color="auto" w:fill="FFFFFF"/>
        <w:spacing w:after="100" w:afterAutospacing="1"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Abdul-</w:t>
      </w:r>
      <w:proofErr w:type="spellStart"/>
      <w:r w:rsidRPr="006A79C5">
        <w:rPr>
          <w:rFonts w:ascii="Arial" w:eastAsia="Times New Roman" w:hAnsi="Arial" w:cs="Arial"/>
          <w:sz w:val="20"/>
          <w:szCs w:val="20"/>
          <w:lang w:eastAsia="en-IN"/>
        </w:rPr>
        <w:t>Baki</w:t>
      </w:r>
      <w:proofErr w:type="spellEnd"/>
      <w:r w:rsidRPr="006A79C5">
        <w:rPr>
          <w:rFonts w:ascii="Arial" w:eastAsia="Times New Roman" w:hAnsi="Arial" w:cs="Arial"/>
          <w:sz w:val="20"/>
          <w:szCs w:val="20"/>
          <w:lang w:eastAsia="en-IN"/>
        </w:rPr>
        <w:t>, A.A., Anderson, J.D. (1973). Vigour determination in soybean seed by multiple criteria. </w:t>
      </w:r>
      <w:r w:rsidRPr="006A79C5">
        <w:rPr>
          <w:rFonts w:ascii="Arial" w:eastAsia="Times New Roman" w:hAnsi="Arial" w:cs="Arial"/>
          <w:i/>
          <w:iCs/>
          <w:sz w:val="20"/>
          <w:szCs w:val="20"/>
          <w:lang w:eastAsia="en-IN"/>
        </w:rPr>
        <w:t>Crop Science</w:t>
      </w:r>
      <w:r w:rsidRPr="006A79C5">
        <w:rPr>
          <w:rFonts w:ascii="Arial" w:eastAsia="Times New Roman" w:hAnsi="Arial" w:cs="Arial"/>
          <w:sz w:val="20"/>
          <w:szCs w:val="20"/>
          <w:lang w:eastAsia="en-IN"/>
        </w:rPr>
        <w:t>, 13, 630–633.</w:t>
      </w:r>
    </w:p>
    <w:p w14:paraId="67DC2E63" w14:textId="77777777" w:rsidR="001F4B47" w:rsidRPr="006A79C5" w:rsidRDefault="001F4B47" w:rsidP="001F4B47">
      <w:pPr>
        <w:spacing w:line="240" w:lineRule="auto"/>
        <w:rPr>
          <w:rStyle w:val="nowrap"/>
          <w:rFonts w:ascii="Arial" w:hAnsi="Arial" w:cs="Arial"/>
          <w:color w:val="000000" w:themeColor="text1"/>
          <w:sz w:val="20"/>
          <w:szCs w:val="20"/>
          <w:shd w:val="clear" w:color="auto" w:fill="FFFFFF"/>
        </w:rPr>
      </w:pPr>
      <w:r w:rsidRPr="006A79C5">
        <w:rPr>
          <w:rFonts w:ascii="Arial" w:hAnsi="Arial" w:cs="Arial"/>
          <w:color w:val="000000" w:themeColor="text1"/>
          <w:sz w:val="20"/>
          <w:szCs w:val="20"/>
        </w:rPr>
        <w:t xml:space="preserve">Al-Othman M.R., Abd El-Aziz A.R.M., Mahmoud M.A., </w:t>
      </w:r>
      <w:proofErr w:type="spellStart"/>
      <w:r w:rsidRPr="006A79C5">
        <w:rPr>
          <w:rFonts w:ascii="Arial" w:hAnsi="Arial" w:cs="Arial"/>
          <w:color w:val="000000" w:themeColor="text1"/>
          <w:sz w:val="20"/>
          <w:szCs w:val="20"/>
        </w:rPr>
        <w:t>Eifan</w:t>
      </w:r>
      <w:proofErr w:type="spellEnd"/>
      <w:r w:rsidRPr="006A79C5">
        <w:rPr>
          <w:rFonts w:ascii="Arial" w:hAnsi="Arial" w:cs="Arial"/>
          <w:color w:val="000000" w:themeColor="text1"/>
          <w:sz w:val="20"/>
          <w:szCs w:val="20"/>
        </w:rPr>
        <w:t xml:space="preserve"> S.A., El-</w:t>
      </w:r>
      <w:proofErr w:type="spellStart"/>
      <w:r w:rsidRPr="006A79C5">
        <w:rPr>
          <w:rFonts w:ascii="Arial" w:hAnsi="Arial" w:cs="Arial"/>
          <w:color w:val="000000" w:themeColor="text1"/>
          <w:sz w:val="20"/>
          <w:szCs w:val="20"/>
        </w:rPr>
        <w:t>Shikh</w:t>
      </w:r>
      <w:proofErr w:type="spellEnd"/>
      <w:r w:rsidRPr="006A79C5">
        <w:rPr>
          <w:rFonts w:ascii="Arial" w:hAnsi="Arial" w:cs="Arial"/>
          <w:color w:val="000000" w:themeColor="text1"/>
          <w:sz w:val="20"/>
          <w:szCs w:val="20"/>
        </w:rPr>
        <w:t xml:space="preserve"> M.S. </w:t>
      </w:r>
      <w:proofErr w:type="gramStart"/>
      <w:r w:rsidRPr="006A79C5">
        <w:rPr>
          <w:rFonts w:ascii="Arial" w:hAnsi="Arial" w:cs="Arial"/>
          <w:color w:val="000000" w:themeColor="text1"/>
          <w:sz w:val="20"/>
          <w:szCs w:val="20"/>
        </w:rPr>
        <w:t xml:space="preserve">and  </w:t>
      </w:r>
      <w:proofErr w:type="spellStart"/>
      <w:r w:rsidRPr="006A79C5">
        <w:rPr>
          <w:rFonts w:ascii="Arial" w:hAnsi="Arial" w:cs="Arial"/>
          <w:color w:val="000000" w:themeColor="text1"/>
          <w:sz w:val="20"/>
          <w:szCs w:val="20"/>
        </w:rPr>
        <w:t>Majrashi</w:t>
      </w:r>
      <w:proofErr w:type="spellEnd"/>
      <w:proofErr w:type="gramEnd"/>
      <w:r w:rsidRPr="006A79C5">
        <w:rPr>
          <w:rFonts w:ascii="Arial" w:hAnsi="Arial" w:cs="Arial"/>
          <w:color w:val="000000" w:themeColor="text1"/>
          <w:sz w:val="20"/>
          <w:szCs w:val="20"/>
        </w:rPr>
        <w:t xml:space="preserve"> M. (2014). Application of silver nanoparticles as antifungal and </w:t>
      </w:r>
      <w:proofErr w:type="spellStart"/>
      <w:r w:rsidRPr="006A79C5">
        <w:rPr>
          <w:rFonts w:ascii="Arial" w:hAnsi="Arial" w:cs="Arial"/>
          <w:color w:val="000000" w:themeColor="text1"/>
          <w:sz w:val="20"/>
          <w:szCs w:val="20"/>
        </w:rPr>
        <w:t>antiaflatoxin</w:t>
      </w:r>
      <w:proofErr w:type="spellEnd"/>
      <w:r w:rsidRPr="006A79C5">
        <w:rPr>
          <w:rFonts w:ascii="Arial" w:hAnsi="Arial" w:cs="Arial"/>
          <w:color w:val="000000" w:themeColor="text1"/>
          <w:sz w:val="20"/>
          <w:szCs w:val="20"/>
        </w:rPr>
        <w:t xml:space="preserve"> B1 produced by Aspergillus flavus</w:t>
      </w:r>
      <w:r w:rsidRPr="006A79C5">
        <w:rPr>
          <w:rFonts w:ascii="Arial" w:hAnsi="Arial" w:cs="Arial"/>
          <w:i/>
          <w:color w:val="000000" w:themeColor="text1"/>
          <w:sz w:val="20"/>
          <w:szCs w:val="20"/>
        </w:rPr>
        <w:t xml:space="preserve">, Dig. J. </w:t>
      </w:r>
      <w:proofErr w:type="spellStart"/>
      <w:r w:rsidRPr="006A79C5">
        <w:rPr>
          <w:rFonts w:ascii="Arial" w:hAnsi="Arial" w:cs="Arial"/>
          <w:i/>
          <w:color w:val="000000" w:themeColor="text1"/>
          <w:sz w:val="20"/>
          <w:szCs w:val="20"/>
        </w:rPr>
        <w:t>Nanomater</w:t>
      </w:r>
      <w:proofErr w:type="spellEnd"/>
      <w:r w:rsidRPr="006A79C5">
        <w:rPr>
          <w:rFonts w:ascii="Arial" w:hAnsi="Arial" w:cs="Arial"/>
          <w:i/>
          <w:color w:val="000000" w:themeColor="text1"/>
          <w:sz w:val="20"/>
          <w:szCs w:val="20"/>
        </w:rPr>
        <w:t xml:space="preserve">. </w:t>
      </w:r>
      <w:proofErr w:type="spellStart"/>
      <w:r w:rsidRPr="006A79C5">
        <w:rPr>
          <w:rFonts w:ascii="Arial" w:hAnsi="Arial" w:cs="Arial"/>
          <w:i/>
          <w:color w:val="000000" w:themeColor="text1"/>
          <w:sz w:val="20"/>
          <w:szCs w:val="20"/>
        </w:rPr>
        <w:t>Biostruct</w:t>
      </w:r>
      <w:proofErr w:type="spellEnd"/>
      <w:r w:rsidRPr="006A79C5">
        <w:rPr>
          <w:rFonts w:ascii="Arial" w:hAnsi="Arial" w:cs="Arial"/>
          <w:color w:val="000000" w:themeColor="text1"/>
          <w:sz w:val="20"/>
          <w:szCs w:val="20"/>
        </w:rPr>
        <w:t>. 9 (1) 151e157. http:// www.chalcogen.ro/151.</w:t>
      </w:r>
    </w:p>
    <w:p w14:paraId="04EC7EE9" w14:textId="77777777" w:rsidR="001F4B47" w:rsidRPr="006A79C5" w:rsidRDefault="001F4B47" w:rsidP="001F4B47">
      <w:pPr>
        <w:shd w:val="clear" w:color="auto" w:fill="FFFFFF"/>
        <w:spacing w:after="100" w:afterAutospacing="1" w:line="240" w:lineRule="auto"/>
        <w:jc w:val="both"/>
        <w:rPr>
          <w:rFonts w:ascii="Arial" w:eastAsia="Times New Roman" w:hAnsi="Arial" w:cs="Arial"/>
          <w:sz w:val="20"/>
          <w:szCs w:val="20"/>
          <w:lang w:eastAsia="en-IN"/>
        </w:rPr>
      </w:pPr>
      <w:proofErr w:type="spellStart"/>
      <w:r w:rsidRPr="006A79C5">
        <w:rPr>
          <w:rFonts w:ascii="Arial" w:eastAsia="Times New Roman" w:hAnsi="Arial" w:cs="Arial"/>
          <w:sz w:val="20"/>
          <w:szCs w:val="20"/>
          <w:lang w:eastAsia="en-IN"/>
        </w:rPr>
        <w:t>Anjorin</w:t>
      </w:r>
      <w:proofErr w:type="spellEnd"/>
      <w:r w:rsidRPr="006A79C5">
        <w:rPr>
          <w:rFonts w:ascii="Arial" w:eastAsia="Times New Roman" w:hAnsi="Arial" w:cs="Arial"/>
          <w:sz w:val="20"/>
          <w:szCs w:val="20"/>
          <w:lang w:eastAsia="en-IN"/>
        </w:rPr>
        <w:t xml:space="preserve">, T.S., Adeleke, D.B., </w:t>
      </w:r>
      <w:proofErr w:type="spellStart"/>
      <w:r w:rsidRPr="006A79C5">
        <w:rPr>
          <w:rFonts w:ascii="Arial" w:eastAsia="Times New Roman" w:hAnsi="Arial" w:cs="Arial"/>
          <w:sz w:val="20"/>
          <w:szCs w:val="20"/>
          <w:lang w:eastAsia="en-IN"/>
        </w:rPr>
        <w:t>Olowo</w:t>
      </w:r>
      <w:proofErr w:type="spellEnd"/>
      <w:r w:rsidRPr="006A79C5">
        <w:rPr>
          <w:rFonts w:ascii="Arial" w:eastAsia="Times New Roman" w:hAnsi="Arial" w:cs="Arial"/>
          <w:sz w:val="20"/>
          <w:szCs w:val="20"/>
          <w:lang w:eastAsia="en-IN"/>
        </w:rPr>
        <w:t xml:space="preserve">, J.O., Bello, F.O., Akande, A. (2022). Effects of humus, </w:t>
      </w:r>
      <w:proofErr w:type="spellStart"/>
      <w:r w:rsidRPr="006A79C5">
        <w:rPr>
          <w:rFonts w:ascii="Arial" w:eastAsia="Times New Roman" w:hAnsi="Arial" w:cs="Arial"/>
          <w:sz w:val="20"/>
          <w:szCs w:val="20"/>
          <w:lang w:eastAsia="en-IN"/>
        </w:rPr>
        <w:t>Albit</w:t>
      </w:r>
      <w:proofErr w:type="spellEnd"/>
      <w:r w:rsidRPr="006A79C5">
        <w:rPr>
          <w:rFonts w:ascii="Arial" w:eastAsia="Times New Roman" w:hAnsi="Arial" w:cs="Arial"/>
          <w:sz w:val="20"/>
          <w:szCs w:val="20"/>
          <w:lang w:eastAsia="en-IN"/>
        </w:rPr>
        <w:t>®, garlic, and wood ash extracts on the growth of </w:t>
      </w:r>
      <w:r w:rsidRPr="006A79C5">
        <w:rPr>
          <w:rFonts w:ascii="Arial" w:eastAsia="Times New Roman" w:hAnsi="Arial" w:cs="Arial"/>
          <w:i/>
          <w:iCs/>
          <w:sz w:val="20"/>
          <w:szCs w:val="20"/>
          <w:lang w:eastAsia="en-IN"/>
        </w:rPr>
        <w:t>Aspergillus flavus</w:t>
      </w:r>
      <w:r w:rsidRPr="006A79C5">
        <w:rPr>
          <w:rFonts w:ascii="Arial" w:eastAsia="Times New Roman" w:hAnsi="Arial" w:cs="Arial"/>
          <w:sz w:val="20"/>
          <w:szCs w:val="20"/>
          <w:lang w:eastAsia="en-IN"/>
        </w:rPr>
        <w:t> and seed vigour of maize (</w:t>
      </w:r>
      <w:proofErr w:type="spellStart"/>
      <w:r w:rsidRPr="006A79C5">
        <w:rPr>
          <w:rFonts w:ascii="Arial" w:eastAsia="Times New Roman" w:hAnsi="Arial" w:cs="Arial"/>
          <w:i/>
          <w:iCs/>
          <w:sz w:val="20"/>
          <w:szCs w:val="20"/>
          <w:lang w:eastAsia="en-IN"/>
        </w:rPr>
        <w:t>Zea</w:t>
      </w:r>
      <w:proofErr w:type="spellEnd"/>
      <w:r w:rsidRPr="006A79C5">
        <w:rPr>
          <w:rFonts w:ascii="Arial" w:eastAsia="Times New Roman" w:hAnsi="Arial" w:cs="Arial"/>
          <w:i/>
          <w:iCs/>
          <w:sz w:val="20"/>
          <w:szCs w:val="20"/>
          <w:lang w:eastAsia="en-IN"/>
        </w:rPr>
        <w:t xml:space="preserve"> mays</w:t>
      </w:r>
      <w:r w:rsidRPr="006A79C5">
        <w:rPr>
          <w:rFonts w:ascii="Arial" w:eastAsia="Times New Roman" w:hAnsi="Arial" w:cs="Arial"/>
          <w:sz w:val="20"/>
          <w:szCs w:val="20"/>
          <w:lang w:eastAsia="en-IN"/>
        </w:rPr>
        <w:t> L). </w:t>
      </w:r>
      <w:r w:rsidRPr="006A79C5">
        <w:rPr>
          <w:rFonts w:ascii="Arial" w:eastAsia="Times New Roman" w:hAnsi="Arial" w:cs="Arial"/>
          <w:i/>
          <w:iCs/>
          <w:sz w:val="20"/>
          <w:szCs w:val="20"/>
          <w:lang w:eastAsia="en-IN"/>
        </w:rPr>
        <w:t>African Journal of Agriculture and Allied Sciences</w:t>
      </w:r>
      <w:r w:rsidRPr="006A79C5">
        <w:rPr>
          <w:rFonts w:ascii="Arial" w:eastAsia="Times New Roman" w:hAnsi="Arial" w:cs="Arial"/>
          <w:sz w:val="20"/>
          <w:szCs w:val="20"/>
          <w:lang w:eastAsia="en-IN"/>
        </w:rPr>
        <w:t>, 2(1), 43–58.</w:t>
      </w:r>
    </w:p>
    <w:p w14:paraId="7FCD562E" w14:textId="77777777" w:rsidR="001F4B47" w:rsidRPr="006A79C5" w:rsidRDefault="001F4B47" w:rsidP="001F4B47">
      <w:pPr>
        <w:shd w:val="clear" w:color="auto" w:fill="FFFFFF"/>
        <w:spacing w:after="100" w:afterAutospacing="1"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Asif, M., Yasmin, R., Asif, R., Ambreen, A., Mustafa, M., </w:t>
      </w:r>
      <w:proofErr w:type="spellStart"/>
      <w:r w:rsidRPr="006A79C5">
        <w:rPr>
          <w:rFonts w:ascii="Arial" w:eastAsia="Times New Roman" w:hAnsi="Arial" w:cs="Arial"/>
          <w:sz w:val="20"/>
          <w:szCs w:val="20"/>
          <w:lang w:eastAsia="en-IN"/>
        </w:rPr>
        <w:t>Umbreen</w:t>
      </w:r>
      <w:proofErr w:type="spellEnd"/>
      <w:r w:rsidRPr="006A79C5">
        <w:rPr>
          <w:rFonts w:ascii="Arial" w:eastAsia="Times New Roman" w:hAnsi="Arial" w:cs="Arial"/>
          <w:sz w:val="20"/>
          <w:szCs w:val="20"/>
          <w:lang w:eastAsia="en-IN"/>
        </w:rPr>
        <w:t>, S. (2022). Green synthesis of silver nanoparticles (</w:t>
      </w:r>
      <w:proofErr w:type="spellStart"/>
      <w:r w:rsidRPr="006A79C5">
        <w:rPr>
          <w:rFonts w:ascii="Arial" w:eastAsia="Times New Roman" w:hAnsi="Arial" w:cs="Arial"/>
          <w:sz w:val="20"/>
          <w:szCs w:val="20"/>
          <w:lang w:eastAsia="en-IN"/>
        </w:rPr>
        <w:t>AgNPs</w:t>
      </w:r>
      <w:proofErr w:type="spellEnd"/>
      <w:r w:rsidRPr="006A79C5">
        <w:rPr>
          <w:rFonts w:ascii="Arial" w:eastAsia="Times New Roman" w:hAnsi="Arial" w:cs="Arial"/>
          <w:sz w:val="20"/>
          <w:szCs w:val="20"/>
          <w:lang w:eastAsia="en-IN"/>
        </w:rPr>
        <w:t>), structural characterisation, and their antibacterial potential. </w:t>
      </w:r>
      <w:r w:rsidRPr="006A79C5">
        <w:rPr>
          <w:rFonts w:ascii="Arial" w:eastAsia="Times New Roman" w:hAnsi="Arial" w:cs="Arial"/>
          <w:i/>
          <w:iCs/>
          <w:sz w:val="20"/>
          <w:szCs w:val="20"/>
          <w:lang w:eastAsia="en-IN"/>
        </w:rPr>
        <w:t>Dose-Response</w:t>
      </w:r>
      <w:r w:rsidRPr="006A79C5">
        <w:rPr>
          <w:rFonts w:ascii="Arial" w:eastAsia="Times New Roman" w:hAnsi="Arial" w:cs="Arial"/>
          <w:sz w:val="20"/>
          <w:szCs w:val="20"/>
          <w:lang w:eastAsia="en-IN"/>
        </w:rPr>
        <w:t>, 20(1), 15593258221088709.</w:t>
      </w:r>
    </w:p>
    <w:p w14:paraId="037022FE" w14:textId="77777777" w:rsidR="001F4B47" w:rsidRPr="006A79C5" w:rsidRDefault="001F4B47" w:rsidP="001F4B47">
      <w:pPr>
        <w:shd w:val="clear" w:color="auto" w:fill="FFFFFF"/>
        <w:spacing w:after="100" w:afterAutospacing="1"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Bauer, A.W., Kirby, M.M., Sherris, J.C., </w:t>
      </w:r>
      <w:proofErr w:type="spellStart"/>
      <w:r w:rsidRPr="006A79C5">
        <w:rPr>
          <w:rFonts w:ascii="Arial" w:eastAsia="Times New Roman" w:hAnsi="Arial" w:cs="Arial"/>
          <w:sz w:val="20"/>
          <w:szCs w:val="20"/>
          <w:lang w:eastAsia="en-IN"/>
        </w:rPr>
        <w:t>Turck</w:t>
      </w:r>
      <w:proofErr w:type="spellEnd"/>
      <w:r w:rsidRPr="006A79C5">
        <w:rPr>
          <w:rFonts w:ascii="Arial" w:eastAsia="Times New Roman" w:hAnsi="Arial" w:cs="Arial"/>
          <w:sz w:val="20"/>
          <w:szCs w:val="20"/>
          <w:lang w:eastAsia="en-IN"/>
        </w:rPr>
        <w:t>, M.D. (1966). Antibiotic susceptibility testing by a standardised single disk method. </w:t>
      </w:r>
      <w:r w:rsidRPr="006A79C5">
        <w:rPr>
          <w:rFonts w:ascii="Arial" w:eastAsia="Times New Roman" w:hAnsi="Arial" w:cs="Arial"/>
          <w:i/>
          <w:iCs/>
          <w:sz w:val="20"/>
          <w:szCs w:val="20"/>
          <w:lang w:eastAsia="en-IN"/>
        </w:rPr>
        <w:t>American Journal of Clinical Pathology</w:t>
      </w:r>
      <w:r w:rsidRPr="006A79C5">
        <w:rPr>
          <w:rFonts w:ascii="Arial" w:eastAsia="Times New Roman" w:hAnsi="Arial" w:cs="Arial"/>
          <w:sz w:val="20"/>
          <w:szCs w:val="20"/>
          <w:lang w:eastAsia="en-IN"/>
        </w:rPr>
        <w:t>, 45(4), 493–496.</w:t>
      </w:r>
    </w:p>
    <w:p w14:paraId="7FFB1C8C" w14:textId="77777777" w:rsidR="001F4B47" w:rsidRPr="006A79C5" w:rsidRDefault="001F4B47" w:rsidP="001F4B47">
      <w:pPr>
        <w:shd w:val="clear" w:color="auto" w:fill="FFFFFF"/>
        <w:spacing w:after="100" w:afterAutospacing="1" w:line="240" w:lineRule="auto"/>
        <w:jc w:val="both"/>
        <w:rPr>
          <w:rFonts w:ascii="Arial" w:hAnsi="Arial" w:cs="Arial"/>
          <w:sz w:val="20"/>
          <w:szCs w:val="20"/>
        </w:rPr>
      </w:pPr>
      <w:proofErr w:type="spellStart"/>
      <w:r w:rsidRPr="006A79C5">
        <w:rPr>
          <w:rFonts w:ascii="Arial" w:hAnsi="Arial" w:cs="Arial"/>
          <w:sz w:val="20"/>
          <w:szCs w:val="20"/>
        </w:rPr>
        <w:t>Bortolini</w:t>
      </w:r>
      <w:proofErr w:type="spellEnd"/>
      <w:r w:rsidRPr="006A79C5">
        <w:rPr>
          <w:rFonts w:ascii="Arial" w:hAnsi="Arial" w:cs="Arial"/>
          <w:sz w:val="20"/>
          <w:szCs w:val="20"/>
        </w:rPr>
        <w:t xml:space="preserve">, C., Pham, C.D., Jordan, M.R., </w:t>
      </w:r>
      <w:proofErr w:type="spellStart"/>
      <w:r w:rsidRPr="006A79C5">
        <w:rPr>
          <w:rFonts w:ascii="Arial" w:hAnsi="Arial" w:cs="Arial"/>
          <w:sz w:val="20"/>
          <w:szCs w:val="20"/>
        </w:rPr>
        <w:t>Revankar</w:t>
      </w:r>
      <w:proofErr w:type="spellEnd"/>
      <w:r w:rsidRPr="006A79C5">
        <w:rPr>
          <w:rFonts w:ascii="Arial" w:hAnsi="Arial" w:cs="Arial"/>
          <w:sz w:val="20"/>
          <w:szCs w:val="20"/>
        </w:rPr>
        <w:t xml:space="preserve">, S.G. (2024). Ergosterol biosynthesis and regulation impact the antifungal resistance and virulence of Candida spp. </w:t>
      </w:r>
      <w:r w:rsidRPr="006A79C5">
        <w:rPr>
          <w:rStyle w:val="Emphasis"/>
          <w:rFonts w:ascii="Arial" w:hAnsi="Arial" w:cs="Arial"/>
          <w:sz w:val="20"/>
          <w:szCs w:val="20"/>
        </w:rPr>
        <w:t>International Journal of Molecular Sciences</w:t>
      </w:r>
      <w:r w:rsidRPr="006A79C5">
        <w:rPr>
          <w:rFonts w:ascii="Arial" w:hAnsi="Arial" w:cs="Arial"/>
          <w:sz w:val="20"/>
          <w:szCs w:val="20"/>
        </w:rPr>
        <w:t>, 4(4), 41.</w:t>
      </w:r>
    </w:p>
    <w:p w14:paraId="5F83227D" w14:textId="77777777" w:rsidR="001F4B47" w:rsidRPr="006A79C5" w:rsidRDefault="001F4B47" w:rsidP="001F4B47">
      <w:pPr>
        <w:shd w:val="clear" w:color="auto" w:fill="FFFFFF"/>
        <w:spacing w:after="100" w:afterAutospacing="1"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Campos, E.V.R., Oliveira, J.L., </w:t>
      </w:r>
      <w:proofErr w:type="spellStart"/>
      <w:r w:rsidRPr="006A79C5">
        <w:rPr>
          <w:rFonts w:ascii="Arial" w:eastAsia="Times New Roman" w:hAnsi="Arial" w:cs="Arial"/>
          <w:sz w:val="20"/>
          <w:szCs w:val="20"/>
          <w:lang w:eastAsia="en-IN"/>
        </w:rPr>
        <w:t>Pascoli</w:t>
      </w:r>
      <w:proofErr w:type="spellEnd"/>
      <w:r w:rsidRPr="006A79C5">
        <w:rPr>
          <w:rFonts w:ascii="Arial" w:eastAsia="Times New Roman" w:hAnsi="Arial" w:cs="Arial"/>
          <w:sz w:val="20"/>
          <w:szCs w:val="20"/>
          <w:lang w:eastAsia="en-IN"/>
        </w:rPr>
        <w:t xml:space="preserve">, M., Lima, R., </w:t>
      </w:r>
      <w:proofErr w:type="spellStart"/>
      <w:r w:rsidRPr="006A79C5">
        <w:rPr>
          <w:rFonts w:ascii="Arial" w:eastAsia="Times New Roman" w:hAnsi="Arial" w:cs="Arial"/>
          <w:sz w:val="20"/>
          <w:szCs w:val="20"/>
          <w:lang w:eastAsia="en-IN"/>
        </w:rPr>
        <w:t>Fraceto</w:t>
      </w:r>
      <w:proofErr w:type="spellEnd"/>
      <w:r w:rsidRPr="006A79C5">
        <w:rPr>
          <w:rFonts w:ascii="Arial" w:eastAsia="Times New Roman" w:hAnsi="Arial" w:cs="Arial"/>
          <w:sz w:val="20"/>
          <w:szCs w:val="20"/>
          <w:lang w:eastAsia="en-IN"/>
        </w:rPr>
        <w:t>, L.F. (2016). Neem oil and crop protection: From now to the future. </w:t>
      </w:r>
      <w:r w:rsidRPr="006A79C5">
        <w:rPr>
          <w:rFonts w:ascii="Arial" w:eastAsia="Times New Roman" w:hAnsi="Arial" w:cs="Arial"/>
          <w:i/>
          <w:iCs/>
          <w:sz w:val="20"/>
          <w:szCs w:val="20"/>
          <w:lang w:eastAsia="en-IN"/>
        </w:rPr>
        <w:t>Frontiers in Plant Science</w:t>
      </w:r>
      <w:r w:rsidRPr="006A79C5">
        <w:rPr>
          <w:rFonts w:ascii="Arial" w:eastAsia="Times New Roman" w:hAnsi="Arial" w:cs="Arial"/>
          <w:sz w:val="20"/>
          <w:szCs w:val="20"/>
          <w:lang w:eastAsia="en-IN"/>
        </w:rPr>
        <w:t>, 7, 1494.</w:t>
      </w:r>
    </w:p>
    <w:p w14:paraId="44CF0A86" w14:textId="77777777" w:rsidR="001F4B47" w:rsidRPr="006A79C5" w:rsidRDefault="001F4B47" w:rsidP="001F4B47">
      <w:pPr>
        <w:shd w:val="clear" w:color="auto" w:fill="FFFFFF"/>
        <w:spacing w:after="100" w:afterAutospacing="1"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Costa, E. N., </w:t>
      </w:r>
      <w:proofErr w:type="spellStart"/>
      <w:r w:rsidRPr="006A79C5">
        <w:rPr>
          <w:rFonts w:ascii="Arial" w:eastAsia="Times New Roman" w:hAnsi="Arial" w:cs="Arial"/>
          <w:sz w:val="20"/>
          <w:szCs w:val="20"/>
          <w:lang w:eastAsia="en-IN"/>
        </w:rPr>
        <w:t>Forim</w:t>
      </w:r>
      <w:proofErr w:type="spellEnd"/>
      <w:r w:rsidRPr="006A79C5">
        <w:rPr>
          <w:rFonts w:ascii="Arial" w:eastAsia="Times New Roman" w:hAnsi="Arial" w:cs="Arial"/>
          <w:sz w:val="20"/>
          <w:szCs w:val="20"/>
          <w:lang w:eastAsia="en-IN"/>
        </w:rPr>
        <w:t xml:space="preserve">, M. R., Costa, E. S., Nogueira, L., de </w:t>
      </w:r>
      <w:proofErr w:type="spellStart"/>
      <w:r w:rsidRPr="006A79C5">
        <w:rPr>
          <w:rFonts w:ascii="Arial" w:eastAsia="Times New Roman" w:hAnsi="Arial" w:cs="Arial"/>
          <w:sz w:val="20"/>
          <w:szCs w:val="20"/>
          <w:lang w:eastAsia="en-IN"/>
        </w:rPr>
        <w:t>Moraes</w:t>
      </w:r>
      <w:proofErr w:type="spellEnd"/>
      <w:r w:rsidRPr="006A79C5">
        <w:rPr>
          <w:rFonts w:ascii="Arial" w:eastAsia="Times New Roman" w:hAnsi="Arial" w:cs="Arial"/>
          <w:sz w:val="20"/>
          <w:szCs w:val="20"/>
          <w:lang w:eastAsia="en-IN"/>
        </w:rPr>
        <w:t xml:space="preserve">, R. F. O., &amp; </w:t>
      </w:r>
      <w:proofErr w:type="spellStart"/>
      <w:r w:rsidRPr="006A79C5">
        <w:rPr>
          <w:rFonts w:ascii="Arial" w:eastAsia="Times New Roman" w:hAnsi="Arial" w:cs="Arial"/>
          <w:sz w:val="20"/>
          <w:szCs w:val="20"/>
          <w:lang w:eastAsia="en-IN"/>
        </w:rPr>
        <w:t>Boica</w:t>
      </w:r>
      <w:proofErr w:type="spellEnd"/>
      <w:r w:rsidRPr="006A79C5">
        <w:rPr>
          <w:rFonts w:ascii="Arial" w:eastAsia="Times New Roman" w:hAnsi="Arial" w:cs="Arial"/>
          <w:sz w:val="20"/>
          <w:szCs w:val="20"/>
          <w:lang w:eastAsia="en-IN"/>
        </w:rPr>
        <w:t xml:space="preserve"> Junior, A. L. (2021). Lignin-based compounds for the microencapsulation of neem extract for the control of </w:t>
      </w:r>
      <w:proofErr w:type="spellStart"/>
      <w:r w:rsidRPr="006A79C5">
        <w:rPr>
          <w:rFonts w:ascii="Arial" w:eastAsia="Times New Roman" w:hAnsi="Arial" w:cs="Arial"/>
          <w:sz w:val="20"/>
          <w:szCs w:val="20"/>
          <w:lang w:eastAsia="en-IN"/>
        </w:rPr>
        <w:t>Diabrotica</w:t>
      </w:r>
      <w:proofErr w:type="spellEnd"/>
      <w:r w:rsidRPr="006A79C5">
        <w:rPr>
          <w:rFonts w:ascii="Arial" w:eastAsia="Times New Roman" w:hAnsi="Arial" w:cs="Arial"/>
          <w:sz w:val="20"/>
          <w:szCs w:val="20"/>
          <w:lang w:eastAsia="en-IN"/>
        </w:rPr>
        <w:t xml:space="preserve"> </w:t>
      </w:r>
      <w:proofErr w:type="spellStart"/>
      <w:r w:rsidRPr="006A79C5">
        <w:rPr>
          <w:rFonts w:ascii="Arial" w:eastAsia="Times New Roman" w:hAnsi="Arial" w:cs="Arial"/>
          <w:sz w:val="20"/>
          <w:szCs w:val="20"/>
          <w:lang w:eastAsia="en-IN"/>
        </w:rPr>
        <w:t>speciosa</w:t>
      </w:r>
      <w:proofErr w:type="spellEnd"/>
      <w:r w:rsidRPr="006A79C5">
        <w:rPr>
          <w:rFonts w:ascii="Arial" w:eastAsia="Times New Roman" w:hAnsi="Arial" w:cs="Arial"/>
          <w:sz w:val="20"/>
          <w:szCs w:val="20"/>
          <w:lang w:eastAsia="en-IN"/>
        </w:rPr>
        <w:t xml:space="preserve"> larvae on maize roots. </w:t>
      </w:r>
      <w:proofErr w:type="spellStart"/>
      <w:r w:rsidRPr="006A79C5">
        <w:rPr>
          <w:rFonts w:ascii="Arial" w:eastAsia="Times New Roman" w:hAnsi="Arial" w:cs="Arial"/>
          <w:sz w:val="20"/>
          <w:szCs w:val="20"/>
          <w:lang w:eastAsia="en-IN"/>
        </w:rPr>
        <w:t>Phytoparasitica</w:t>
      </w:r>
      <w:proofErr w:type="spellEnd"/>
      <w:r w:rsidRPr="006A79C5">
        <w:rPr>
          <w:rFonts w:ascii="Arial" w:eastAsia="Times New Roman" w:hAnsi="Arial" w:cs="Arial"/>
          <w:sz w:val="20"/>
          <w:szCs w:val="20"/>
          <w:lang w:eastAsia="en-IN"/>
        </w:rPr>
        <w:t>, 49(5), 959–970. https://doi.org/10.1007/s12600-021-00915-x</w:t>
      </w:r>
    </w:p>
    <w:p w14:paraId="55D38CD9" w14:textId="77777777" w:rsidR="001F4B47" w:rsidRPr="006A79C5" w:rsidRDefault="001F4B47" w:rsidP="001F4B47">
      <w:pPr>
        <w:shd w:val="clear" w:color="auto" w:fill="FFFFFF"/>
        <w:spacing w:after="100" w:afterAutospacing="1"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lastRenderedPageBreak/>
        <w:t xml:space="preserve">Ju, J., Guo, Y., Cheng, Y., &amp; </w:t>
      </w:r>
      <w:proofErr w:type="spellStart"/>
      <w:r w:rsidRPr="006A79C5">
        <w:rPr>
          <w:rFonts w:ascii="Arial" w:eastAsia="Times New Roman" w:hAnsi="Arial" w:cs="Arial"/>
          <w:sz w:val="20"/>
          <w:szCs w:val="20"/>
          <w:lang w:eastAsia="en-IN"/>
        </w:rPr>
        <w:t>Yaoc</w:t>
      </w:r>
      <w:proofErr w:type="spellEnd"/>
      <w:r w:rsidRPr="006A79C5">
        <w:rPr>
          <w:rFonts w:ascii="Arial" w:eastAsia="Times New Roman" w:hAnsi="Arial" w:cs="Arial"/>
          <w:sz w:val="20"/>
          <w:szCs w:val="20"/>
          <w:lang w:eastAsia="en-IN"/>
        </w:rPr>
        <w:t xml:space="preserve">, W. (2022). Analysis of the synergistic antifungal mechanism of small molecular combinations of essential oils at the molecular level. Industrial Crops and Products, 188, 115612. </w:t>
      </w:r>
      <w:hyperlink r:id="rId22" w:history="1">
        <w:r w:rsidRPr="006A79C5">
          <w:rPr>
            <w:rStyle w:val="Hyperlink"/>
            <w:rFonts w:ascii="Arial" w:eastAsia="Times New Roman" w:hAnsi="Arial" w:cs="Arial"/>
            <w:sz w:val="20"/>
            <w:szCs w:val="20"/>
            <w:lang w:eastAsia="en-IN"/>
          </w:rPr>
          <w:t>https://doi.org/10.1016/j.indcrop.2022.115612</w:t>
        </w:r>
      </w:hyperlink>
      <w:r w:rsidRPr="006A79C5">
        <w:rPr>
          <w:rFonts w:ascii="Arial" w:eastAsia="Times New Roman" w:hAnsi="Arial" w:cs="Arial"/>
          <w:sz w:val="20"/>
          <w:szCs w:val="20"/>
          <w:lang w:eastAsia="en-IN"/>
        </w:rPr>
        <w:t>.</w:t>
      </w:r>
    </w:p>
    <w:p w14:paraId="2FCF3654" w14:textId="77777777" w:rsidR="001F4B47" w:rsidRPr="006A79C5" w:rsidRDefault="001F4B47" w:rsidP="001F4B47">
      <w:pPr>
        <w:shd w:val="clear" w:color="auto" w:fill="FFFFFF"/>
        <w:spacing w:after="100" w:afterAutospacing="1" w:line="240" w:lineRule="auto"/>
        <w:jc w:val="both"/>
        <w:rPr>
          <w:rFonts w:ascii="Arial" w:hAnsi="Arial" w:cs="Arial"/>
          <w:sz w:val="20"/>
          <w:szCs w:val="20"/>
        </w:rPr>
      </w:pPr>
      <w:r w:rsidRPr="006A79C5">
        <w:rPr>
          <w:rStyle w:val="Strong"/>
          <w:rFonts w:ascii="Arial" w:hAnsi="Arial" w:cs="Arial"/>
          <w:b w:val="0"/>
          <w:sz w:val="20"/>
          <w:szCs w:val="20"/>
        </w:rPr>
        <w:t>Li, H. B., Shen, Q. S., Zhou, W., Xu, L. C., Zhang, Y. Y., &amp; Shen, J. Z. (2015).</w:t>
      </w:r>
      <w:r w:rsidRPr="006A79C5">
        <w:rPr>
          <w:rFonts w:ascii="Arial" w:hAnsi="Arial" w:cs="Arial"/>
          <w:sz w:val="20"/>
          <w:szCs w:val="20"/>
        </w:rPr>
        <w:t xml:space="preserve"> </w:t>
      </w:r>
      <w:proofErr w:type="spellStart"/>
      <w:r w:rsidRPr="006A79C5">
        <w:rPr>
          <w:rFonts w:ascii="Arial" w:hAnsi="Arial" w:cs="Arial"/>
          <w:sz w:val="20"/>
          <w:szCs w:val="20"/>
        </w:rPr>
        <w:t>Nanocapsular</w:t>
      </w:r>
      <w:proofErr w:type="spellEnd"/>
      <w:r w:rsidRPr="006A79C5">
        <w:rPr>
          <w:rFonts w:ascii="Arial" w:hAnsi="Arial" w:cs="Arial"/>
          <w:sz w:val="20"/>
          <w:szCs w:val="20"/>
        </w:rPr>
        <w:t xml:space="preserve"> dispersion of cinnamaldehyde for enhanced inhibitory activity against aflatoxin production. </w:t>
      </w:r>
      <w:r w:rsidRPr="006A79C5">
        <w:rPr>
          <w:rStyle w:val="Emphasis"/>
          <w:rFonts w:ascii="Arial" w:hAnsi="Arial" w:cs="Arial"/>
          <w:sz w:val="20"/>
          <w:szCs w:val="20"/>
        </w:rPr>
        <w:t>Molecules, 20</w:t>
      </w:r>
      <w:r w:rsidRPr="006A79C5">
        <w:rPr>
          <w:rFonts w:ascii="Arial" w:hAnsi="Arial" w:cs="Arial"/>
          <w:sz w:val="20"/>
          <w:szCs w:val="20"/>
        </w:rPr>
        <w:t xml:space="preserve">(4), 6022–6032. </w:t>
      </w:r>
    </w:p>
    <w:p w14:paraId="3B63F1A8" w14:textId="77777777" w:rsidR="001F4B47" w:rsidRPr="006A79C5" w:rsidRDefault="001F4B47" w:rsidP="001F4B47">
      <w:pPr>
        <w:shd w:val="clear" w:color="auto" w:fill="FFFFFF"/>
        <w:spacing w:after="100" w:afterAutospacing="1"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Loy, D.D., Lundy, E.L. (2019). Nutritional properties and feeding value of corn and its coproducts. In: Serna-Saldivar, S.O. (Ed.), </w:t>
      </w:r>
      <w:r w:rsidRPr="006A79C5">
        <w:rPr>
          <w:rFonts w:ascii="Arial" w:eastAsia="Times New Roman" w:hAnsi="Arial" w:cs="Arial"/>
          <w:i/>
          <w:iCs/>
          <w:sz w:val="20"/>
          <w:szCs w:val="20"/>
          <w:lang w:eastAsia="en-IN"/>
        </w:rPr>
        <w:t>Corn (Third Edition)</w:t>
      </w:r>
      <w:r w:rsidRPr="006A79C5">
        <w:rPr>
          <w:rFonts w:ascii="Arial" w:eastAsia="Times New Roman" w:hAnsi="Arial" w:cs="Arial"/>
          <w:sz w:val="20"/>
          <w:szCs w:val="20"/>
          <w:lang w:eastAsia="en-IN"/>
        </w:rPr>
        <w:t>. AACC International Press.</w:t>
      </w:r>
    </w:p>
    <w:p w14:paraId="043A9C44" w14:textId="77777777" w:rsidR="001F4B47" w:rsidRPr="006A79C5" w:rsidRDefault="001F4B47" w:rsidP="001F4B47">
      <w:pPr>
        <w:shd w:val="clear" w:color="auto" w:fill="FFFFFF"/>
        <w:spacing w:after="100" w:afterAutospacing="1" w:line="240" w:lineRule="auto"/>
        <w:jc w:val="both"/>
        <w:rPr>
          <w:rFonts w:ascii="Arial" w:eastAsia="Times New Roman" w:hAnsi="Arial" w:cs="Arial"/>
          <w:sz w:val="20"/>
          <w:szCs w:val="20"/>
          <w:lang w:eastAsia="en-IN"/>
        </w:rPr>
      </w:pPr>
      <w:proofErr w:type="spellStart"/>
      <w:r w:rsidRPr="006A79C5">
        <w:rPr>
          <w:rFonts w:ascii="Arial" w:eastAsia="Times New Roman" w:hAnsi="Arial" w:cs="Arial"/>
          <w:sz w:val="20"/>
          <w:szCs w:val="20"/>
          <w:lang w:eastAsia="en-IN"/>
        </w:rPr>
        <w:t>Michałek</w:t>
      </w:r>
      <w:proofErr w:type="spellEnd"/>
      <w:r w:rsidRPr="006A79C5">
        <w:rPr>
          <w:rFonts w:ascii="Arial" w:eastAsia="Times New Roman" w:hAnsi="Arial" w:cs="Arial"/>
          <w:sz w:val="20"/>
          <w:szCs w:val="20"/>
          <w:lang w:eastAsia="en-IN"/>
        </w:rPr>
        <w:t xml:space="preserve">, S., </w:t>
      </w:r>
      <w:proofErr w:type="spellStart"/>
      <w:r w:rsidRPr="006A79C5">
        <w:rPr>
          <w:rFonts w:ascii="Arial" w:eastAsia="Times New Roman" w:hAnsi="Arial" w:cs="Arial"/>
          <w:sz w:val="20"/>
          <w:szCs w:val="20"/>
          <w:lang w:eastAsia="en-IN"/>
        </w:rPr>
        <w:t>Świeciło</w:t>
      </w:r>
      <w:proofErr w:type="spellEnd"/>
      <w:r w:rsidRPr="006A79C5">
        <w:rPr>
          <w:rFonts w:ascii="Arial" w:eastAsia="Times New Roman" w:hAnsi="Arial" w:cs="Arial"/>
          <w:sz w:val="20"/>
          <w:szCs w:val="20"/>
          <w:lang w:eastAsia="en-IN"/>
        </w:rPr>
        <w:t xml:space="preserve">, A., </w:t>
      </w:r>
      <w:proofErr w:type="spellStart"/>
      <w:r w:rsidRPr="006A79C5">
        <w:rPr>
          <w:rFonts w:ascii="Arial" w:eastAsia="Times New Roman" w:hAnsi="Arial" w:cs="Arial"/>
          <w:sz w:val="20"/>
          <w:szCs w:val="20"/>
          <w:lang w:eastAsia="en-IN"/>
        </w:rPr>
        <w:t>Molas</w:t>
      </w:r>
      <w:proofErr w:type="spellEnd"/>
      <w:r w:rsidRPr="006A79C5">
        <w:rPr>
          <w:rFonts w:ascii="Arial" w:eastAsia="Times New Roman" w:hAnsi="Arial" w:cs="Arial"/>
          <w:sz w:val="20"/>
          <w:szCs w:val="20"/>
          <w:lang w:eastAsia="en-IN"/>
        </w:rPr>
        <w:t xml:space="preserve">, J.E. (2018). Effect of silver nanoparticles and ions on seeds’ epiphytic </w:t>
      </w:r>
      <w:proofErr w:type="gramStart"/>
      <w:r w:rsidRPr="006A79C5">
        <w:rPr>
          <w:rFonts w:ascii="Arial" w:eastAsia="Times New Roman" w:hAnsi="Arial" w:cs="Arial"/>
          <w:sz w:val="20"/>
          <w:szCs w:val="20"/>
          <w:lang w:eastAsia="en-IN"/>
        </w:rPr>
        <w:t>microorganisms</w:t>
      </w:r>
      <w:proofErr w:type="gramEnd"/>
      <w:r w:rsidRPr="006A79C5">
        <w:rPr>
          <w:rFonts w:ascii="Arial" w:eastAsia="Times New Roman" w:hAnsi="Arial" w:cs="Arial"/>
          <w:sz w:val="20"/>
          <w:szCs w:val="20"/>
          <w:lang w:eastAsia="en-IN"/>
        </w:rPr>
        <w:t xml:space="preserve"> activity and early stages of sweetcorn development. </w:t>
      </w:r>
      <w:proofErr w:type="spellStart"/>
      <w:r w:rsidRPr="006A79C5">
        <w:rPr>
          <w:rFonts w:ascii="Arial" w:eastAsia="Times New Roman" w:hAnsi="Arial" w:cs="Arial"/>
          <w:i/>
          <w:iCs/>
          <w:sz w:val="20"/>
          <w:szCs w:val="20"/>
          <w:lang w:eastAsia="en-IN"/>
        </w:rPr>
        <w:t>Przemysław</w:t>
      </w:r>
      <w:proofErr w:type="spellEnd"/>
      <w:r w:rsidRPr="006A79C5">
        <w:rPr>
          <w:rFonts w:ascii="Arial" w:eastAsia="Times New Roman" w:hAnsi="Arial" w:cs="Arial"/>
          <w:i/>
          <w:iCs/>
          <w:sz w:val="20"/>
          <w:szCs w:val="20"/>
          <w:lang w:eastAsia="en-IN"/>
        </w:rPr>
        <w:t xml:space="preserve"> </w:t>
      </w:r>
      <w:proofErr w:type="spellStart"/>
      <w:r w:rsidRPr="006A79C5">
        <w:rPr>
          <w:rFonts w:ascii="Arial" w:eastAsia="Times New Roman" w:hAnsi="Arial" w:cs="Arial"/>
          <w:i/>
          <w:iCs/>
          <w:sz w:val="20"/>
          <w:szCs w:val="20"/>
          <w:lang w:eastAsia="en-IN"/>
        </w:rPr>
        <w:t>Chemiczny</w:t>
      </w:r>
      <w:proofErr w:type="spellEnd"/>
      <w:r w:rsidRPr="006A79C5">
        <w:rPr>
          <w:rFonts w:ascii="Arial" w:eastAsia="Times New Roman" w:hAnsi="Arial" w:cs="Arial"/>
          <w:sz w:val="20"/>
          <w:szCs w:val="20"/>
          <w:lang w:eastAsia="en-IN"/>
        </w:rPr>
        <w:t>, 97, 1654–1658.</w:t>
      </w:r>
    </w:p>
    <w:p w14:paraId="57899533" w14:textId="77777777" w:rsidR="001F4B47" w:rsidRPr="006A79C5" w:rsidRDefault="001F4B47" w:rsidP="001F4B47">
      <w:pPr>
        <w:shd w:val="clear" w:color="auto" w:fill="FFFFFF"/>
        <w:spacing w:after="100" w:afterAutospacing="1" w:line="240" w:lineRule="auto"/>
        <w:jc w:val="both"/>
        <w:rPr>
          <w:rFonts w:ascii="Arial" w:eastAsia="Times New Roman" w:hAnsi="Arial" w:cs="Arial"/>
          <w:sz w:val="20"/>
          <w:szCs w:val="20"/>
          <w:lang w:eastAsia="en-IN"/>
        </w:rPr>
      </w:pPr>
      <w:proofErr w:type="spellStart"/>
      <w:r w:rsidRPr="006A79C5">
        <w:rPr>
          <w:rFonts w:ascii="Arial" w:eastAsia="Times New Roman" w:hAnsi="Arial" w:cs="Arial"/>
          <w:sz w:val="20"/>
          <w:szCs w:val="20"/>
          <w:lang w:eastAsia="en-IN"/>
        </w:rPr>
        <w:t>Onumah</w:t>
      </w:r>
      <w:proofErr w:type="spellEnd"/>
      <w:r w:rsidRPr="006A79C5">
        <w:rPr>
          <w:rFonts w:ascii="Arial" w:eastAsia="Times New Roman" w:hAnsi="Arial" w:cs="Arial"/>
          <w:sz w:val="20"/>
          <w:szCs w:val="20"/>
          <w:lang w:eastAsia="en-IN"/>
        </w:rPr>
        <w:t xml:space="preserve">, G., </w:t>
      </w:r>
      <w:proofErr w:type="spellStart"/>
      <w:r w:rsidRPr="006A79C5">
        <w:rPr>
          <w:rFonts w:ascii="Arial" w:eastAsia="Times New Roman" w:hAnsi="Arial" w:cs="Arial"/>
          <w:sz w:val="20"/>
          <w:szCs w:val="20"/>
          <w:lang w:eastAsia="en-IN"/>
        </w:rPr>
        <w:t>Dhamankar</w:t>
      </w:r>
      <w:proofErr w:type="spellEnd"/>
      <w:r w:rsidRPr="006A79C5">
        <w:rPr>
          <w:rFonts w:ascii="Arial" w:eastAsia="Times New Roman" w:hAnsi="Arial" w:cs="Arial"/>
          <w:sz w:val="20"/>
          <w:szCs w:val="20"/>
          <w:lang w:eastAsia="en-IN"/>
        </w:rPr>
        <w:t xml:space="preserve">, M., </w:t>
      </w:r>
      <w:proofErr w:type="spellStart"/>
      <w:r w:rsidRPr="006A79C5">
        <w:rPr>
          <w:rFonts w:ascii="Arial" w:eastAsia="Times New Roman" w:hAnsi="Arial" w:cs="Arial"/>
          <w:sz w:val="20"/>
          <w:szCs w:val="20"/>
          <w:lang w:eastAsia="en-IN"/>
        </w:rPr>
        <w:t>Ponsioen</w:t>
      </w:r>
      <w:proofErr w:type="spellEnd"/>
      <w:r w:rsidRPr="006A79C5">
        <w:rPr>
          <w:rFonts w:ascii="Arial" w:eastAsia="Times New Roman" w:hAnsi="Arial" w:cs="Arial"/>
          <w:sz w:val="20"/>
          <w:szCs w:val="20"/>
          <w:lang w:eastAsia="en-IN"/>
        </w:rPr>
        <w:t>, T., Bello, M. (2021). Maize value chain analysis in Nigeria. </w:t>
      </w:r>
      <w:r w:rsidRPr="006A79C5">
        <w:rPr>
          <w:rFonts w:ascii="Arial" w:eastAsia="Times New Roman" w:hAnsi="Arial" w:cs="Arial"/>
          <w:i/>
          <w:iCs/>
          <w:sz w:val="20"/>
          <w:szCs w:val="20"/>
          <w:lang w:eastAsia="en-IN"/>
        </w:rPr>
        <w:t>European Union Report</w:t>
      </w:r>
      <w:r w:rsidRPr="006A79C5">
        <w:rPr>
          <w:rFonts w:ascii="Arial" w:eastAsia="Times New Roman" w:hAnsi="Arial" w:cs="Arial"/>
          <w:sz w:val="20"/>
          <w:szCs w:val="20"/>
          <w:lang w:eastAsia="en-IN"/>
        </w:rPr>
        <w:t>.</w:t>
      </w:r>
    </w:p>
    <w:p w14:paraId="542D9DB8" w14:textId="77777777" w:rsidR="001F4B47" w:rsidRPr="006A79C5" w:rsidRDefault="001F4B47" w:rsidP="001F4B47">
      <w:pPr>
        <w:spacing w:line="240" w:lineRule="auto"/>
        <w:jc w:val="both"/>
        <w:rPr>
          <w:rFonts w:ascii="Arial" w:hAnsi="Arial" w:cs="Arial"/>
          <w:color w:val="000000" w:themeColor="text1"/>
          <w:sz w:val="20"/>
          <w:szCs w:val="20"/>
        </w:rPr>
      </w:pPr>
      <w:r w:rsidRPr="006A79C5">
        <w:rPr>
          <w:rFonts w:ascii="Arial" w:hAnsi="Arial" w:cs="Arial"/>
          <w:color w:val="212121"/>
          <w:sz w:val="20"/>
          <w:szCs w:val="20"/>
          <w:shd w:val="clear" w:color="auto" w:fill="FFFFFF"/>
          <w:lang w:val="it-IT"/>
        </w:rPr>
        <w:t xml:space="preserve">Rinaldi F.,  Hanieh PN.,  Longhi C.,  Carradori S.,  Secci D.,  Zengin G.,  Ammendolia M.G.,  Mattia E.,  Del Favero E.,  Marianecci C. and Carafa M. (2017). </w:t>
      </w:r>
      <w:r w:rsidRPr="006A79C5">
        <w:rPr>
          <w:rFonts w:ascii="Arial" w:hAnsi="Arial" w:cs="Arial"/>
          <w:color w:val="212121"/>
          <w:sz w:val="20"/>
          <w:szCs w:val="20"/>
          <w:shd w:val="clear" w:color="auto" w:fill="FFFFFF"/>
        </w:rPr>
        <w:t xml:space="preserve">Neem oil </w:t>
      </w:r>
      <w:proofErr w:type="spellStart"/>
      <w:r w:rsidRPr="006A79C5">
        <w:rPr>
          <w:rFonts w:ascii="Arial" w:hAnsi="Arial" w:cs="Arial"/>
          <w:color w:val="212121"/>
          <w:sz w:val="20"/>
          <w:szCs w:val="20"/>
          <w:shd w:val="clear" w:color="auto" w:fill="FFFFFF"/>
        </w:rPr>
        <w:t>nanoemulsions</w:t>
      </w:r>
      <w:proofErr w:type="spellEnd"/>
      <w:r w:rsidRPr="006A79C5">
        <w:rPr>
          <w:rFonts w:ascii="Arial" w:hAnsi="Arial" w:cs="Arial"/>
          <w:color w:val="212121"/>
          <w:sz w:val="20"/>
          <w:szCs w:val="20"/>
          <w:shd w:val="clear" w:color="auto" w:fill="FFFFFF"/>
        </w:rPr>
        <w:t xml:space="preserve">: characterization and antioxidant activity. </w:t>
      </w:r>
      <w:r w:rsidRPr="006A79C5">
        <w:rPr>
          <w:rFonts w:ascii="Arial" w:hAnsi="Arial" w:cs="Arial"/>
          <w:i/>
          <w:color w:val="212121"/>
          <w:sz w:val="20"/>
          <w:szCs w:val="20"/>
          <w:shd w:val="clear" w:color="auto" w:fill="FFFFFF"/>
        </w:rPr>
        <w:t xml:space="preserve">J Enzyme </w:t>
      </w:r>
      <w:proofErr w:type="spellStart"/>
      <w:r w:rsidRPr="006A79C5">
        <w:rPr>
          <w:rFonts w:ascii="Arial" w:hAnsi="Arial" w:cs="Arial"/>
          <w:i/>
          <w:color w:val="212121"/>
          <w:sz w:val="20"/>
          <w:szCs w:val="20"/>
          <w:shd w:val="clear" w:color="auto" w:fill="FFFFFF"/>
        </w:rPr>
        <w:t>Inhib</w:t>
      </w:r>
      <w:proofErr w:type="spellEnd"/>
      <w:r w:rsidRPr="006A79C5">
        <w:rPr>
          <w:rFonts w:ascii="Arial" w:hAnsi="Arial" w:cs="Arial"/>
          <w:i/>
          <w:color w:val="212121"/>
          <w:sz w:val="20"/>
          <w:szCs w:val="20"/>
          <w:shd w:val="clear" w:color="auto" w:fill="FFFFFF"/>
        </w:rPr>
        <w:t xml:space="preserve"> Med Chem</w:t>
      </w:r>
      <w:r w:rsidRPr="006A79C5">
        <w:rPr>
          <w:rFonts w:ascii="Arial" w:hAnsi="Arial" w:cs="Arial"/>
          <w:color w:val="212121"/>
          <w:sz w:val="20"/>
          <w:szCs w:val="20"/>
          <w:shd w:val="clear" w:color="auto" w:fill="FFFFFF"/>
        </w:rPr>
        <w:t xml:space="preserve">. 2017 Dec;32(1):1265-1273. </w:t>
      </w:r>
      <w:proofErr w:type="spellStart"/>
      <w:r w:rsidRPr="006A79C5">
        <w:rPr>
          <w:rFonts w:ascii="Arial" w:hAnsi="Arial" w:cs="Arial"/>
          <w:color w:val="212121"/>
          <w:sz w:val="20"/>
          <w:szCs w:val="20"/>
          <w:shd w:val="clear" w:color="auto" w:fill="FFFFFF"/>
        </w:rPr>
        <w:t>doi</w:t>
      </w:r>
      <w:proofErr w:type="spellEnd"/>
      <w:r w:rsidRPr="006A79C5">
        <w:rPr>
          <w:rFonts w:ascii="Arial" w:hAnsi="Arial" w:cs="Arial"/>
          <w:color w:val="212121"/>
          <w:sz w:val="20"/>
          <w:szCs w:val="20"/>
          <w:shd w:val="clear" w:color="auto" w:fill="FFFFFF"/>
        </w:rPr>
        <w:t>: 10.1080/14756366.2017.1378190. PMID: 28965424; PMCID: PMC6009939.</w:t>
      </w:r>
    </w:p>
    <w:p w14:paraId="75086DAA" w14:textId="77777777" w:rsidR="001F4B47" w:rsidRPr="006A79C5" w:rsidRDefault="001F4B47" w:rsidP="001F4B47">
      <w:pPr>
        <w:spacing w:line="240" w:lineRule="auto"/>
        <w:jc w:val="both"/>
        <w:rPr>
          <w:rFonts w:ascii="Arial" w:hAnsi="Arial" w:cs="Arial"/>
          <w:sz w:val="20"/>
          <w:szCs w:val="20"/>
        </w:rPr>
      </w:pPr>
      <w:r w:rsidRPr="006A79C5">
        <w:rPr>
          <w:rFonts w:ascii="Arial" w:hAnsi="Arial" w:cs="Arial"/>
          <w:color w:val="212121"/>
          <w:sz w:val="20"/>
          <w:szCs w:val="20"/>
          <w:shd w:val="clear" w:color="auto" w:fill="FFFFFF"/>
        </w:rPr>
        <w:t xml:space="preserve">Rodrigues MP, </w:t>
      </w:r>
      <w:proofErr w:type="spellStart"/>
      <w:r w:rsidRPr="006A79C5">
        <w:rPr>
          <w:rFonts w:ascii="Arial" w:hAnsi="Arial" w:cs="Arial"/>
          <w:color w:val="212121"/>
          <w:sz w:val="20"/>
          <w:szCs w:val="20"/>
          <w:shd w:val="clear" w:color="auto" w:fill="FFFFFF"/>
        </w:rPr>
        <w:t>Astoreca</w:t>
      </w:r>
      <w:proofErr w:type="spellEnd"/>
      <w:r w:rsidRPr="006A79C5">
        <w:rPr>
          <w:rFonts w:ascii="Arial" w:hAnsi="Arial" w:cs="Arial"/>
          <w:color w:val="212121"/>
          <w:sz w:val="20"/>
          <w:szCs w:val="20"/>
          <w:shd w:val="clear" w:color="auto" w:fill="FFFFFF"/>
        </w:rPr>
        <w:t xml:space="preserve"> AL, Oliveira ÁA, </w:t>
      </w:r>
      <w:proofErr w:type="spellStart"/>
      <w:r w:rsidRPr="006A79C5">
        <w:rPr>
          <w:rFonts w:ascii="Arial" w:hAnsi="Arial" w:cs="Arial"/>
          <w:color w:val="212121"/>
          <w:sz w:val="20"/>
          <w:szCs w:val="20"/>
          <w:shd w:val="clear" w:color="auto" w:fill="FFFFFF"/>
        </w:rPr>
        <w:t>Salvato</w:t>
      </w:r>
      <w:proofErr w:type="spellEnd"/>
      <w:r w:rsidRPr="006A79C5">
        <w:rPr>
          <w:rFonts w:ascii="Arial" w:hAnsi="Arial" w:cs="Arial"/>
          <w:color w:val="212121"/>
          <w:sz w:val="20"/>
          <w:szCs w:val="20"/>
          <w:shd w:val="clear" w:color="auto" w:fill="FFFFFF"/>
        </w:rPr>
        <w:t xml:space="preserve"> LA, </w:t>
      </w:r>
      <w:proofErr w:type="spellStart"/>
      <w:r w:rsidRPr="006A79C5">
        <w:rPr>
          <w:rFonts w:ascii="Arial" w:hAnsi="Arial" w:cs="Arial"/>
          <w:color w:val="212121"/>
          <w:sz w:val="20"/>
          <w:szCs w:val="20"/>
          <w:shd w:val="clear" w:color="auto" w:fill="FFFFFF"/>
        </w:rPr>
        <w:t>Biscoto</w:t>
      </w:r>
      <w:proofErr w:type="spellEnd"/>
      <w:r w:rsidRPr="006A79C5">
        <w:rPr>
          <w:rFonts w:ascii="Arial" w:hAnsi="Arial" w:cs="Arial"/>
          <w:color w:val="212121"/>
          <w:sz w:val="20"/>
          <w:szCs w:val="20"/>
          <w:shd w:val="clear" w:color="auto" w:fill="FFFFFF"/>
        </w:rPr>
        <w:t xml:space="preserve"> GL, Keller LAM, Rosa CADR, </w:t>
      </w:r>
      <w:proofErr w:type="spellStart"/>
      <w:r w:rsidRPr="006A79C5">
        <w:rPr>
          <w:rFonts w:ascii="Arial" w:hAnsi="Arial" w:cs="Arial"/>
          <w:color w:val="212121"/>
          <w:sz w:val="20"/>
          <w:szCs w:val="20"/>
          <w:shd w:val="clear" w:color="auto" w:fill="FFFFFF"/>
        </w:rPr>
        <w:t>Cavaglieri</w:t>
      </w:r>
      <w:proofErr w:type="spellEnd"/>
      <w:r w:rsidRPr="006A79C5">
        <w:rPr>
          <w:rFonts w:ascii="Arial" w:hAnsi="Arial" w:cs="Arial"/>
          <w:color w:val="212121"/>
          <w:sz w:val="20"/>
          <w:szCs w:val="20"/>
          <w:shd w:val="clear" w:color="auto" w:fill="FFFFFF"/>
        </w:rPr>
        <w:t xml:space="preserve"> LR, Azevedo MI, Keller KM.(2019) In Vitro Activity of Neem (</w:t>
      </w:r>
      <w:proofErr w:type="spellStart"/>
      <w:r w:rsidRPr="006A79C5">
        <w:rPr>
          <w:rFonts w:ascii="Arial" w:hAnsi="Arial" w:cs="Arial"/>
          <w:i/>
          <w:iCs/>
          <w:color w:val="212121"/>
          <w:sz w:val="20"/>
          <w:szCs w:val="20"/>
          <w:shd w:val="clear" w:color="auto" w:fill="FFFFFF"/>
        </w:rPr>
        <w:t>Azadirachta</w:t>
      </w:r>
      <w:proofErr w:type="spellEnd"/>
      <w:r w:rsidRPr="006A79C5">
        <w:rPr>
          <w:rFonts w:ascii="Arial" w:hAnsi="Arial" w:cs="Arial"/>
          <w:i/>
          <w:iCs/>
          <w:color w:val="212121"/>
          <w:sz w:val="20"/>
          <w:szCs w:val="20"/>
          <w:shd w:val="clear" w:color="auto" w:fill="FFFFFF"/>
        </w:rPr>
        <w:t xml:space="preserve"> </w:t>
      </w:r>
      <w:proofErr w:type="spellStart"/>
      <w:r w:rsidRPr="006A79C5">
        <w:rPr>
          <w:rFonts w:ascii="Arial" w:hAnsi="Arial" w:cs="Arial"/>
          <w:i/>
          <w:iCs/>
          <w:color w:val="212121"/>
          <w:sz w:val="20"/>
          <w:szCs w:val="20"/>
          <w:shd w:val="clear" w:color="auto" w:fill="FFFFFF"/>
        </w:rPr>
        <w:t>indica</w:t>
      </w:r>
      <w:proofErr w:type="spellEnd"/>
      <w:r w:rsidRPr="006A79C5">
        <w:rPr>
          <w:rFonts w:ascii="Arial" w:hAnsi="Arial" w:cs="Arial"/>
          <w:color w:val="212121"/>
          <w:sz w:val="20"/>
          <w:szCs w:val="20"/>
          <w:shd w:val="clear" w:color="auto" w:fill="FFFFFF"/>
        </w:rPr>
        <w:t>) Oil on Growth and Ochratoxin A Production by </w:t>
      </w:r>
      <w:r w:rsidRPr="006A79C5">
        <w:rPr>
          <w:rFonts w:ascii="Arial" w:hAnsi="Arial" w:cs="Arial"/>
          <w:i/>
          <w:iCs/>
          <w:color w:val="212121"/>
          <w:sz w:val="20"/>
          <w:szCs w:val="20"/>
          <w:shd w:val="clear" w:color="auto" w:fill="FFFFFF"/>
        </w:rPr>
        <w:t xml:space="preserve">Aspergillus </w:t>
      </w:r>
      <w:proofErr w:type="spellStart"/>
      <w:r w:rsidRPr="006A79C5">
        <w:rPr>
          <w:rFonts w:ascii="Arial" w:hAnsi="Arial" w:cs="Arial"/>
          <w:i/>
          <w:iCs/>
          <w:color w:val="212121"/>
          <w:sz w:val="20"/>
          <w:szCs w:val="20"/>
          <w:shd w:val="clear" w:color="auto" w:fill="FFFFFF"/>
        </w:rPr>
        <w:t>carbonarius</w:t>
      </w:r>
      <w:proofErr w:type="spellEnd"/>
      <w:r w:rsidRPr="006A79C5">
        <w:rPr>
          <w:rFonts w:ascii="Arial" w:hAnsi="Arial" w:cs="Arial"/>
          <w:color w:val="212121"/>
          <w:sz w:val="20"/>
          <w:szCs w:val="20"/>
          <w:shd w:val="clear" w:color="auto" w:fill="FFFFFF"/>
        </w:rPr>
        <w:t xml:space="preserve"> Isolates. Toxins (Basel). 2019 Oct 5;11(10):579. </w:t>
      </w:r>
      <w:proofErr w:type="spellStart"/>
      <w:r w:rsidRPr="006A79C5">
        <w:rPr>
          <w:rFonts w:ascii="Arial" w:hAnsi="Arial" w:cs="Arial"/>
          <w:color w:val="212121"/>
          <w:sz w:val="20"/>
          <w:szCs w:val="20"/>
          <w:shd w:val="clear" w:color="auto" w:fill="FFFFFF"/>
        </w:rPr>
        <w:t>doi</w:t>
      </w:r>
      <w:proofErr w:type="spellEnd"/>
      <w:r w:rsidRPr="006A79C5">
        <w:rPr>
          <w:rFonts w:ascii="Arial" w:hAnsi="Arial" w:cs="Arial"/>
          <w:color w:val="212121"/>
          <w:sz w:val="20"/>
          <w:szCs w:val="20"/>
          <w:shd w:val="clear" w:color="auto" w:fill="FFFFFF"/>
        </w:rPr>
        <w:t>: 10.3390/toxins11100579. PMID: 31590398; PMCID: PMC6833479.</w:t>
      </w:r>
      <w:r w:rsidRPr="006A79C5">
        <w:rPr>
          <w:rFonts w:ascii="Arial" w:hAnsi="Arial" w:cs="Arial"/>
          <w:sz w:val="20"/>
          <w:szCs w:val="20"/>
        </w:rPr>
        <w:t xml:space="preserve"> </w:t>
      </w:r>
    </w:p>
    <w:p w14:paraId="5F63FA15" w14:textId="77777777" w:rsidR="001F4B47" w:rsidRPr="006A79C5" w:rsidRDefault="001F4B47" w:rsidP="001F4B47">
      <w:pPr>
        <w:shd w:val="clear" w:color="auto" w:fill="FFFFFF"/>
        <w:spacing w:after="100" w:afterAutospacing="1"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São Pedro, A., </w:t>
      </w:r>
      <w:proofErr w:type="spellStart"/>
      <w:r w:rsidRPr="006A79C5">
        <w:rPr>
          <w:rFonts w:ascii="Arial" w:eastAsia="Times New Roman" w:hAnsi="Arial" w:cs="Arial"/>
          <w:sz w:val="20"/>
          <w:szCs w:val="20"/>
          <w:lang w:eastAsia="en-IN"/>
        </w:rPr>
        <w:t>Espirito</w:t>
      </w:r>
      <w:proofErr w:type="spellEnd"/>
      <w:r w:rsidRPr="006A79C5">
        <w:rPr>
          <w:rFonts w:ascii="Arial" w:eastAsia="Times New Roman" w:hAnsi="Arial" w:cs="Arial"/>
          <w:sz w:val="20"/>
          <w:szCs w:val="20"/>
          <w:lang w:eastAsia="en-IN"/>
        </w:rPr>
        <w:t xml:space="preserve"> Santo, C., Silva, C.V., </w:t>
      </w:r>
      <w:proofErr w:type="spellStart"/>
      <w:r w:rsidRPr="006A79C5">
        <w:rPr>
          <w:rFonts w:ascii="Arial" w:eastAsia="Times New Roman" w:hAnsi="Arial" w:cs="Arial"/>
          <w:sz w:val="20"/>
          <w:szCs w:val="20"/>
          <w:lang w:eastAsia="en-IN"/>
        </w:rPr>
        <w:t>Detoni</w:t>
      </w:r>
      <w:proofErr w:type="spellEnd"/>
      <w:r w:rsidRPr="006A79C5">
        <w:rPr>
          <w:rFonts w:ascii="Arial" w:eastAsia="Times New Roman" w:hAnsi="Arial" w:cs="Arial"/>
          <w:sz w:val="20"/>
          <w:szCs w:val="20"/>
          <w:lang w:eastAsia="en-IN"/>
        </w:rPr>
        <w:t>, C., Albuquerque, E. (2013). The use of nanotechnology as an approach for essential oil-based formulations with antimicrobial activity.</w:t>
      </w:r>
    </w:p>
    <w:p w14:paraId="197DE40E" w14:textId="77777777" w:rsidR="001F4B47" w:rsidRPr="006A79C5" w:rsidRDefault="001F4B47" w:rsidP="001F4B47">
      <w:pPr>
        <w:spacing w:line="240" w:lineRule="auto"/>
        <w:jc w:val="both"/>
        <w:rPr>
          <w:rFonts w:ascii="Arial" w:hAnsi="Arial" w:cs="Arial"/>
          <w:sz w:val="20"/>
          <w:szCs w:val="20"/>
          <w:shd w:val="clear" w:color="auto" w:fill="FFFFFF"/>
        </w:rPr>
      </w:pPr>
      <w:r w:rsidRPr="006A79C5">
        <w:rPr>
          <w:rFonts w:ascii="Arial" w:hAnsi="Arial" w:cs="Arial"/>
          <w:color w:val="222222"/>
          <w:sz w:val="20"/>
          <w:szCs w:val="20"/>
          <w:shd w:val="clear" w:color="auto" w:fill="FFFFFF"/>
        </w:rPr>
        <w:t>Singh J., Kumar</w:t>
      </w:r>
      <w:r w:rsidRPr="006A79C5">
        <w:rPr>
          <w:rFonts w:ascii="Arial" w:hAnsi="Arial" w:cs="Arial"/>
          <w:sz w:val="20"/>
          <w:szCs w:val="20"/>
          <w:shd w:val="clear" w:color="auto" w:fill="FFFFFF"/>
        </w:rPr>
        <w:t xml:space="preserve"> A., </w:t>
      </w:r>
      <w:proofErr w:type="spellStart"/>
      <w:r w:rsidRPr="006A79C5">
        <w:rPr>
          <w:rFonts w:ascii="Arial" w:hAnsi="Arial" w:cs="Arial"/>
          <w:sz w:val="20"/>
          <w:szCs w:val="20"/>
          <w:shd w:val="clear" w:color="auto" w:fill="FFFFFF"/>
        </w:rPr>
        <w:t>Nayal</w:t>
      </w:r>
      <w:proofErr w:type="spellEnd"/>
      <w:r w:rsidRPr="006A79C5">
        <w:rPr>
          <w:rFonts w:ascii="Arial" w:hAnsi="Arial" w:cs="Arial"/>
          <w:sz w:val="20"/>
          <w:szCs w:val="20"/>
          <w:shd w:val="clear" w:color="auto" w:fill="FFFFFF"/>
        </w:rPr>
        <w:t xml:space="preserve"> A., </w:t>
      </w:r>
      <w:r w:rsidRPr="006A79C5">
        <w:rPr>
          <w:rFonts w:ascii="Arial" w:hAnsi="Arial" w:cs="Arial"/>
          <w:sz w:val="20"/>
          <w:szCs w:val="20"/>
        </w:rPr>
        <w:t xml:space="preserve"> </w:t>
      </w:r>
      <w:hyperlink r:id="rId23" w:anchor="auth-Sagar-Vikal-Aff3" w:history="1">
        <w:r w:rsidRPr="006A79C5">
          <w:rPr>
            <w:rStyle w:val="Hyperlink"/>
            <w:rFonts w:ascii="Arial" w:hAnsi="Arial" w:cs="Arial"/>
            <w:sz w:val="20"/>
            <w:szCs w:val="20"/>
          </w:rPr>
          <w:t>Vikal</w:t>
        </w:r>
      </w:hyperlink>
      <w:r w:rsidRPr="006A79C5">
        <w:rPr>
          <w:rFonts w:ascii="Arial" w:hAnsi="Arial" w:cs="Arial"/>
          <w:sz w:val="20"/>
          <w:szCs w:val="20"/>
        </w:rPr>
        <w:t xml:space="preserve"> S., </w:t>
      </w:r>
      <w:hyperlink r:id="rId24" w:anchor="auth-Gyanika-Shukla-Aff4" w:history="1">
        <w:r w:rsidRPr="006A79C5">
          <w:rPr>
            <w:rStyle w:val="Hyperlink"/>
            <w:rFonts w:ascii="Arial" w:hAnsi="Arial" w:cs="Arial"/>
            <w:sz w:val="20"/>
            <w:szCs w:val="20"/>
          </w:rPr>
          <w:t xml:space="preserve"> Shukla</w:t>
        </w:r>
      </w:hyperlink>
      <w:r w:rsidRPr="006A79C5">
        <w:rPr>
          <w:rFonts w:ascii="Arial" w:hAnsi="Arial" w:cs="Arial"/>
          <w:sz w:val="20"/>
          <w:szCs w:val="20"/>
        </w:rPr>
        <w:t xml:space="preserve"> G.,  </w:t>
      </w:r>
      <w:hyperlink r:id="rId25" w:anchor="auth-Amardeep-Singh-Aff4" w:history="1">
        <w:r w:rsidRPr="006A79C5">
          <w:rPr>
            <w:rStyle w:val="Hyperlink"/>
            <w:rFonts w:ascii="Arial" w:hAnsi="Arial" w:cs="Arial"/>
            <w:sz w:val="20"/>
            <w:szCs w:val="20"/>
          </w:rPr>
          <w:t>Singh</w:t>
        </w:r>
      </w:hyperlink>
      <w:r w:rsidRPr="006A79C5">
        <w:rPr>
          <w:rFonts w:ascii="Arial" w:hAnsi="Arial" w:cs="Arial"/>
          <w:sz w:val="20"/>
          <w:szCs w:val="20"/>
        </w:rPr>
        <w:t xml:space="preserve">  A.,  </w:t>
      </w:r>
      <w:hyperlink r:id="rId26" w:anchor="auth-Anupma-Singh-Aff5" w:history="1">
        <w:r w:rsidRPr="006A79C5">
          <w:rPr>
            <w:rStyle w:val="Hyperlink"/>
            <w:rFonts w:ascii="Arial" w:hAnsi="Arial" w:cs="Arial"/>
            <w:sz w:val="20"/>
            <w:szCs w:val="20"/>
          </w:rPr>
          <w:t>Singh</w:t>
        </w:r>
      </w:hyperlink>
      <w:r w:rsidRPr="006A79C5">
        <w:rPr>
          <w:rFonts w:ascii="Arial" w:hAnsi="Arial" w:cs="Arial"/>
          <w:sz w:val="20"/>
          <w:szCs w:val="20"/>
        </w:rPr>
        <w:t xml:space="preserve">  A.,  </w:t>
      </w:r>
      <w:hyperlink r:id="rId27" w:anchor="auth-Sakshi-Goswami-Aff6" w:history="1">
        <w:r w:rsidRPr="006A79C5">
          <w:rPr>
            <w:rStyle w:val="Hyperlink"/>
            <w:rFonts w:ascii="Arial" w:hAnsi="Arial" w:cs="Arial"/>
            <w:sz w:val="20"/>
            <w:szCs w:val="20"/>
          </w:rPr>
          <w:t>Goswami</w:t>
        </w:r>
      </w:hyperlink>
      <w:r w:rsidRPr="006A79C5">
        <w:rPr>
          <w:rFonts w:ascii="Arial" w:hAnsi="Arial" w:cs="Arial"/>
          <w:sz w:val="20"/>
          <w:szCs w:val="20"/>
        </w:rPr>
        <w:t xml:space="preserve"> S.,  </w:t>
      </w:r>
      <w:hyperlink r:id="rId28" w:anchor="auth-Ashwani-Kumar-Aff7" w:history="1">
        <w:r w:rsidRPr="006A79C5">
          <w:rPr>
            <w:rStyle w:val="Hyperlink"/>
            <w:rFonts w:ascii="Arial" w:hAnsi="Arial" w:cs="Arial"/>
            <w:sz w:val="20"/>
            <w:szCs w:val="20"/>
          </w:rPr>
          <w:t xml:space="preserve"> Kumar</w:t>
        </w:r>
      </w:hyperlink>
      <w:r w:rsidRPr="006A79C5">
        <w:rPr>
          <w:rFonts w:ascii="Arial" w:hAnsi="Arial" w:cs="Arial"/>
          <w:sz w:val="20"/>
          <w:szCs w:val="20"/>
        </w:rPr>
        <w:t xml:space="preserve"> D.,  </w:t>
      </w:r>
      <w:hyperlink r:id="rId29" w:anchor="auth-Yogendra_K_-Gautam-Aff3" w:history="1">
        <w:r w:rsidRPr="006A79C5">
          <w:rPr>
            <w:rStyle w:val="Hyperlink"/>
            <w:rFonts w:ascii="Arial" w:hAnsi="Arial" w:cs="Arial"/>
            <w:sz w:val="20"/>
            <w:szCs w:val="20"/>
          </w:rPr>
          <w:t xml:space="preserve"> Gautam</w:t>
        </w:r>
      </w:hyperlink>
      <w:r w:rsidRPr="006A79C5">
        <w:rPr>
          <w:rFonts w:ascii="Arial" w:hAnsi="Arial" w:cs="Arial"/>
          <w:sz w:val="20"/>
          <w:szCs w:val="20"/>
        </w:rPr>
        <w:t xml:space="preserve"> Y.K.,  </w:t>
      </w:r>
      <w:hyperlink r:id="rId30" w:anchor="auth-Yeshvandra-Verma-Aff6" w:history="1">
        <w:r w:rsidRPr="006A79C5">
          <w:rPr>
            <w:rStyle w:val="Hyperlink"/>
            <w:rFonts w:ascii="Arial" w:hAnsi="Arial" w:cs="Arial"/>
            <w:sz w:val="20"/>
            <w:szCs w:val="20"/>
          </w:rPr>
          <w:t>Verma</w:t>
        </w:r>
      </w:hyperlink>
      <w:r w:rsidRPr="006A79C5">
        <w:rPr>
          <w:rFonts w:ascii="Arial" w:hAnsi="Arial" w:cs="Arial"/>
          <w:sz w:val="20"/>
          <w:szCs w:val="20"/>
        </w:rPr>
        <w:t xml:space="preserve"> Y.,  </w:t>
      </w:r>
      <w:hyperlink r:id="rId31" w:anchor="auth-Shailendra_Singh-Gaurav-Aff4" w:history="1">
        <w:r w:rsidRPr="006A79C5">
          <w:rPr>
            <w:rStyle w:val="Hyperlink"/>
            <w:rFonts w:ascii="Arial" w:hAnsi="Arial" w:cs="Arial"/>
            <w:sz w:val="20"/>
            <w:szCs w:val="20"/>
          </w:rPr>
          <w:t>Gaurav</w:t>
        </w:r>
      </w:hyperlink>
      <w:r w:rsidRPr="006A79C5">
        <w:rPr>
          <w:rFonts w:ascii="Arial" w:hAnsi="Arial" w:cs="Arial"/>
          <w:sz w:val="20"/>
          <w:szCs w:val="20"/>
        </w:rPr>
        <w:t xml:space="preserve"> S. and  </w:t>
      </w:r>
      <w:hyperlink r:id="rId32" w:anchor="auth-Dharmendra-Pratap-Aff1" w:history="1">
        <w:r w:rsidRPr="006A79C5">
          <w:rPr>
            <w:rStyle w:val="Hyperlink"/>
            <w:rFonts w:ascii="Arial" w:hAnsi="Arial" w:cs="Arial"/>
            <w:sz w:val="20"/>
            <w:szCs w:val="20"/>
          </w:rPr>
          <w:t>Pratap</w:t>
        </w:r>
      </w:hyperlink>
      <w:r w:rsidRPr="006A79C5">
        <w:rPr>
          <w:rFonts w:ascii="Arial" w:hAnsi="Arial" w:cs="Arial"/>
          <w:sz w:val="20"/>
          <w:szCs w:val="20"/>
        </w:rPr>
        <w:t xml:space="preserve"> D </w:t>
      </w:r>
      <w:r w:rsidRPr="006A79C5">
        <w:rPr>
          <w:rFonts w:ascii="Arial" w:hAnsi="Arial" w:cs="Arial"/>
          <w:sz w:val="20"/>
          <w:szCs w:val="20"/>
          <w:shd w:val="clear" w:color="auto" w:fill="FFFFFF"/>
        </w:rPr>
        <w:t xml:space="preserve">(2024). Comprehensive antifungal investigation of green synthesized silver </w:t>
      </w:r>
      <w:proofErr w:type="spellStart"/>
      <w:r w:rsidRPr="006A79C5">
        <w:rPr>
          <w:rFonts w:ascii="Arial" w:hAnsi="Arial" w:cs="Arial"/>
          <w:sz w:val="20"/>
          <w:szCs w:val="20"/>
          <w:shd w:val="clear" w:color="auto" w:fill="FFFFFF"/>
        </w:rPr>
        <w:t>nanoformulation</w:t>
      </w:r>
      <w:proofErr w:type="spellEnd"/>
      <w:r w:rsidRPr="006A79C5">
        <w:rPr>
          <w:rFonts w:ascii="Arial" w:hAnsi="Arial" w:cs="Arial"/>
          <w:sz w:val="20"/>
          <w:szCs w:val="20"/>
          <w:shd w:val="clear" w:color="auto" w:fill="FFFFFF"/>
        </w:rPr>
        <w:t xml:space="preserve"> against four agriculturally significant fungi and its cytotoxic applications. </w:t>
      </w:r>
      <w:r w:rsidRPr="006A79C5">
        <w:rPr>
          <w:rFonts w:ascii="Arial" w:hAnsi="Arial" w:cs="Arial"/>
          <w:i/>
          <w:iCs/>
          <w:sz w:val="20"/>
          <w:szCs w:val="20"/>
          <w:shd w:val="clear" w:color="auto" w:fill="FFFFFF"/>
        </w:rPr>
        <w:t>Sci Rep</w:t>
      </w:r>
      <w:r w:rsidRPr="006A79C5">
        <w:rPr>
          <w:rFonts w:ascii="Arial" w:hAnsi="Arial" w:cs="Arial"/>
          <w:sz w:val="20"/>
          <w:szCs w:val="20"/>
          <w:shd w:val="clear" w:color="auto" w:fill="FFFFFF"/>
        </w:rPr>
        <w:t> </w:t>
      </w:r>
      <w:r w:rsidRPr="006A79C5">
        <w:rPr>
          <w:rFonts w:ascii="Arial" w:hAnsi="Arial" w:cs="Arial"/>
          <w:bCs/>
          <w:sz w:val="20"/>
          <w:szCs w:val="20"/>
          <w:shd w:val="clear" w:color="auto" w:fill="FFFFFF"/>
        </w:rPr>
        <w:t>14</w:t>
      </w:r>
      <w:r w:rsidRPr="006A79C5">
        <w:rPr>
          <w:rFonts w:ascii="Arial" w:hAnsi="Arial" w:cs="Arial"/>
          <w:sz w:val="20"/>
          <w:szCs w:val="20"/>
          <w:shd w:val="clear" w:color="auto" w:fill="FFFFFF"/>
        </w:rPr>
        <w:t xml:space="preserve">, 5934 </w:t>
      </w:r>
      <w:r w:rsidRPr="006A79C5">
        <w:rPr>
          <w:rFonts w:ascii="Arial" w:hAnsi="Arial" w:cs="Arial"/>
          <w:sz w:val="20"/>
          <w:szCs w:val="20"/>
          <w:u w:val="single"/>
          <w:shd w:val="clear" w:color="auto" w:fill="FFFFFF"/>
        </w:rPr>
        <w:t>https://doi.org/10.1038/s41598-024-56619-9</w:t>
      </w:r>
    </w:p>
    <w:p w14:paraId="0DA29A32" w14:textId="77777777" w:rsidR="001F4B47" w:rsidRPr="006A79C5" w:rsidRDefault="001F4B47" w:rsidP="001F4B47">
      <w:pPr>
        <w:shd w:val="clear" w:color="auto" w:fill="FFFFFF"/>
        <w:spacing w:after="100" w:afterAutospacing="1" w:line="240" w:lineRule="auto"/>
        <w:jc w:val="both"/>
        <w:rPr>
          <w:rFonts w:ascii="Arial" w:eastAsia="Times New Roman" w:hAnsi="Arial" w:cs="Arial"/>
          <w:sz w:val="20"/>
          <w:szCs w:val="20"/>
          <w:lang w:eastAsia="en-IN"/>
        </w:rPr>
      </w:pPr>
      <w:proofErr w:type="spellStart"/>
      <w:r w:rsidRPr="006A79C5">
        <w:rPr>
          <w:rFonts w:ascii="Arial" w:eastAsia="Times New Roman" w:hAnsi="Arial" w:cs="Arial"/>
          <w:sz w:val="20"/>
          <w:szCs w:val="20"/>
          <w:lang w:eastAsia="en-IN"/>
        </w:rPr>
        <w:t>Szőllősi</w:t>
      </w:r>
      <w:proofErr w:type="spellEnd"/>
      <w:r w:rsidRPr="006A79C5">
        <w:rPr>
          <w:rFonts w:ascii="Arial" w:eastAsia="Times New Roman" w:hAnsi="Arial" w:cs="Arial"/>
          <w:sz w:val="20"/>
          <w:szCs w:val="20"/>
          <w:lang w:eastAsia="en-IN"/>
        </w:rPr>
        <w:t xml:space="preserve">, R., </w:t>
      </w:r>
      <w:proofErr w:type="spellStart"/>
      <w:r w:rsidRPr="006A79C5">
        <w:rPr>
          <w:rFonts w:ascii="Arial" w:eastAsia="Times New Roman" w:hAnsi="Arial" w:cs="Arial"/>
          <w:sz w:val="20"/>
          <w:szCs w:val="20"/>
          <w:lang w:eastAsia="en-IN"/>
        </w:rPr>
        <w:t>Molnár</w:t>
      </w:r>
      <w:proofErr w:type="spellEnd"/>
      <w:r w:rsidRPr="006A79C5">
        <w:rPr>
          <w:rFonts w:ascii="Arial" w:eastAsia="Times New Roman" w:hAnsi="Arial" w:cs="Arial"/>
          <w:sz w:val="20"/>
          <w:szCs w:val="20"/>
          <w:lang w:eastAsia="en-IN"/>
        </w:rPr>
        <w:t xml:space="preserve">, Á., </w:t>
      </w:r>
      <w:proofErr w:type="spellStart"/>
      <w:r w:rsidRPr="006A79C5">
        <w:rPr>
          <w:rFonts w:ascii="Arial" w:eastAsia="Times New Roman" w:hAnsi="Arial" w:cs="Arial"/>
          <w:sz w:val="20"/>
          <w:szCs w:val="20"/>
          <w:lang w:eastAsia="en-IN"/>
        </w:rPr>
        <w:t>Kondak</w:t>
      </w:r>
      <w:proofErr w:type="spellEnd"/>
      <w:r w:rsidRPr="006A79C5">
        <w:rPr>
          <w:rFonts w:ascii="Arial" w:eastAsia="Times New Roman" w:hAnsi="Arial" w:cs="Arial"/>
          <w:sz w:val="20"/>
          <w:szCs w:val="20"/>
          <w:lang w:eastAsia="en-IN"/>
        </w:rPr>
        <w:t>, S., Kolbert, Z. (2020). Dual effect of nanomaterials on germination and seedling growth: Stimulation vs. phytotoxicity. </w:t>
      </w:r>
      <w:r w:rsidRPr="006A79C5">
        <w:rPr>
          <w:rFonts w:ascii="Arial" w:eastAsia="Times New Roman" w:hAnsi="Arial" w:cs="Arial"/>
          <w:i/>
          <w:iCs/>
          <w:sz w:val="20"/>
          <w:szCs w:val="20"/>
          <w:lang w:eastAsia="en-IN"/>
        </w:rPr>
        <w:t>Plants</w:t>
      </w:r>
      <w:r w:rsidRPr="006A79C5">
        <w:rPr>
          <w:rFonts w:ascii="Arial" w:eastAsia="Times New Roman" w:hAnsi="Arial" w:cs="Arial"/>
          <w:sz w:val="20"/>
          <w:szCs w:val="20"/>
          <w:lang w:eastAsia="en-IN"/>
        </w:rPr>
        <w:t>, 9(12), 1745.</w:t>
      </w:r>
    </w:p>
    <w:p w14:paraId="320230FA" w14:textId="77777777" w:rsidR="001F4B47" w:rsidRPr="006A79C5" w:rsidRDefault="001F4B47" w:rsidP="001F4B47">
      <w:pPr>
        <w:shd w:val="clear" w:color="auto" w:fill="FFFFFF"/>
        <w:spacing w:after="100" w:afterAutospacing="1"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Titus, E.O., </w:t>
      </w:r>
      <w:proofErr w:type="spellStart"/>
      <w:r w:rsidRPr="006A79C5">
        <w:rPr>
          <w:rFonts w:ascii="Arial" w:eastAsia="Times New Roman" w:hAnsi="Arial" w:cs="Arial"/>
          <w:sz w:val="20"/>
          <w:szCs w:val="20"/>
          <w:lang w:eastAsia="en-IN"/>
        </w:rPr>
        <w:t>Anjorin</w:t>
      </w:r>
      <w:proofErr w:type="spellEnd"/>
      <w:r w:rsidRPr="006A79C5">
        <w:rPr>
          <w:rFonts w:ascii="Arial" w:eastAsia="Times New Roman" w:hAnsi="Arial" w:cs="Arial"/>
          <w:sz w:val="20"/>
          <w:szCs w:val="20"/>
          <w:lang w:eastAsia="en-IN"/>
        </w:rPr>
        <w:t xml:space="preserve">, T.S., </w:t>
      </w:r>
      <w:proofErr w:type="spellStart"/>
      <w:r w:rsidRPr="006A79C5">
        <w:rPr>
          <w:rFonts w:ascii="Arial" w:eastAsia="Times New Roman" w:hAnsi="Arial" w:cs="Arial"/>
          <w:sz w:val="20"/>
          <w:szCs w:val="20"/>
          <w:lang w:eastAsia="en-IN"/>
        </w:rPr>
        <w:t>Asala</w:t>
      </w:r>
      <w:proofErr w:type="spellEnd"/>
      <w:r w:rsidRPr="006A79C5">
        <w:rPr>
          <w:rFonts w:ascii="Arial" w:eastAsia="Times New Roman" w:hAnsi="Arial" w:cs="Arial"/>
          <w:sz w:val="20"/>
          <w:szCs w:val="20"/>
          <w:lang w:eastAsia="en-IN"/>
        </w:rPr>
        <w:t>, S.W. (2020). Effect of </w:t>
      </w:r>
      <w:proofErr w:type="spellStart"/>
      <w:r w:rsidRPr="006A79C5">
        <w:rPr>
          <w:rFonts w:ascii="Arial" w:eastAsia="Times New Roman" w:hAnsi="Arial" w:cs="Arial"/>
          <w:i/>
          <w:iCs/>
          <w:sz w:val="20"/>
          <w:szCs w:val="20"/>
          <w:lang w:eastAsia="en-IN"/>
        </w:rPr>
        <w:t>Psorospermum</w:t>
      </w:r>
      <w:proofErr w:type="spellEnd"/>
      <w:r w:rsidRPr="006A79C5">
        <w:rPr>
          <w:rFonts w:ascii="Arial" w:eastAsia="Times New Roman" w:hAnsi="Arial" w:cs="Arial"/>
          <w:i/>
          <w:iCs/>
          <w:sz w:val="20"/>
          <w:szCs w:val="20"/>
          <w:lang w:eastAsia="en-IN"/>
        </w:rPr>
        <w:t xml:space="preserve"> </w:t>
      </w:r>
      <w:proofErr w:type="spellStart"/>
      <w:r w:rsidRPr="006A79C5">
        <w:rPr>
          <w:rFonts w:ascii="Arial" w:eastAsia="Times New Roman" w:hAnsi="Arial" w:cs="Arial"/>
          <w:i/>
          <w:iCs/>
          <w:sz w:val="20"/>
          <w:szCs w:val="20"/>
          <w:lang w:eastAsia="en-IN"/>
        </w:rPr>
        <w:t>guineense</w:t>
      </w:r>
      <w:proofErr w:type="spellEnd"/>
      <w:r w:rsidRPr="006A79C5">
        <w:rPr>
          <w:rFonts w:ascii="Arial" w:eastAsia="Times New Roman" w:hAnsi="Arial" w:cs="Arial"/>
          <w:sz w:val="20"/>
          <w:szCs w:val="20"/>
          <w:lang w:eastAsia="en-IN"/>
        </w:rPr>
        <w:t> stem bark and leaf extracts on germination, seedling vigour, and seed-borne fungi associated with maize. </w:t>
      </w:r>
      <w:r w:rsidRPr="006A79C5">
        <w:rPr>
          <w:rFonts w:ascii="Arial" w:eastAsia="Times New Roman" w:hAnsi="Arial" w:cs="Arial"/>
          <w:i/>
          <w:iCs/>
          <w:sz w:val="20"/>
          <w:szCs w:val="20"/>
          <w:lang w:eastAsia="en-IN"/>
        </w:rPr>
        <w:t>Journal of Applied Agricultural Research</w:t>
      </w:r>
      <w:r w:rsidRPr="006A79C5">
        <w:rPr>
          <w:rFonts w:ascii="Arial" w:eastAsia="Times New Roman" w:hAnsi="Arial" w:cs="Arial"/>
          <w:sz w:val="20"/>
          <w:szCs w:val="20"/>
          <w:lang w:eastAsia="en-IN"/>
        </w:rPr>
        <w:t>, 8(1), 100–111.</w:t>
      </w:r>
    </w:p>
    <w:p w14:paraId="191DC53C" w14:textId="77777777" w:rsidR="001F4B47" w:rsidRPr="006A79C5" w:rsidRDefault="001F4B47" w:rsidP="001F4B47">
      <w:pPr>
        <w:shd w:val="clear" w:color="auto" w:fill="FFFFFF"/>
        <w:spacing w:after="100" w:afterAutospacing="1" w:line="240" w:lineRule="auto"/>
        <w:jc w:val="both"/>
        <w:rPr>
          <w:rFonts w:ascii="Arial" w:eastAsia="Times New Roman" w:hAnsi="Arial" w:cs="Arial"/>
          <w:sz w:val="20"/>
          <w:szCs w:val="20"/>
          <w:lang w:eastAsia="en-IN"/>
        </w:rPr>
      </w:pPr>
      <w:proofErr w:type="spellStart"/>
      <w:r w:rsidRPr="006A79C5">
        <w:rPr>
          <w:rFonts w:ascii="Arial" w:hAnsi="Arial" w:cs="Arial"/>
          <w:sz w:val="20"/>
          <w:szCs w:val="20"/>
        </w:rPr>
        <w:t>Tortella</w:t>
      </w:r>
      <w:proofErr w:type="spellEnd"/>
      <w:r w:rsidRPr="006A79C5">
        <w:rPr>
          <w:rFonts w:ascii="Arial" w:hAnsi="Arial" w:cs="Arial"/>
          <w:sz w:val="20"/>
          <w:szCs w:val="20"/>
        </w:rPr>
        <w:t xml:space="preserve">, G., </w:t>
      </w:r>
      <w:proofErr w:type="spellStart"/>
      <w:r w:rsidRPr="006A79C5">
        <w:rPr>
          <w:rFonts w:ascii="Arial" w:hAnsi="Arial" w:cs="Arial"/>
          <w:sz w:val="20"/>
          <w:szCs w:val="20"/>
        </w:rPr>
        <w:t>Rubilar</w:t>
      </w:r>
      <w:proofErr w:type="spellEnd"/>
      <w:r w:rsidRPr="006A79C5">
        <w:rPr>
          <w:rFonts w:ascii="Arial" w:hAnsi="Arial" w:cs="Arial"/>
          <w:sz w:val="20"/>
          <w:szCs w:val="20"/>
        </w:rPr>
        <w:t xml:space="preserve">, O., </w:t>
      </w:r>
      <w:proofErr w:type="spellStart"/>
      <w:r w:rsidRPr="006A79C5">
        <w:rPr>
          <w:rFonts w:ascii="Arial" w:hAnsi="Arial" w:cs="Arial"/>
          <w:sz w:val="20"/>
          <w:szCs w:val="20"/>
        </w:rPr>
        <w:t>Pieretti</w:t>
      </w:r>
      <w:proofErr w:type="spellEnd"/>
      <w:r w:rsidRPr="006A79C5">
        <w:rPr>
          <w:rFonts w:ascii="Arial" w:hAnsi="Arial" w:cs="Arial"/>
          <w:sz w:val="20"/>
          <w:szCs w:val="20"/>
        </w:rPr>
        <w:t xml:space="preserve">, J.C., </w:t>
      </w:r>
      <w:proofErr w:type="spellStart"/>
      <w:r w:rsidRPr="006A79C5">
        <w:rPr>
          <w:rFonts w:ascii="Arial" w:hAnsi="Arial" w:cs="Arial"/>
          <w:sz w:val="20"/>
          <w:szCs w:val="20"/>
        </w:rPr>
        <w:t>Fincheira</w:t>
      </w:r>
      <w:proofErr w:type="spellEnd"/>
      <w:r w:rsidRPr="006A79C5">
        <w:rPr>
          <w:rFonts w:ascii="Arial" w:hAnsi="Arial" w:cs="Arial"/>
          <w:sz w:val="20"/>
          <w:szCs w:val="20"/>
        </w:rPr>
        <w:t>, P., Fernández-</w:t>
      </w:r>
      <w:proofErr w:type="spellStart"/>
      <w:r w:rsidRPr="006A79C5">
        <w:rPr>
          <w:rFonts w:ascii="Arial" w:hAnsi="Arial" w:cs="Arial"/>
          <w:sz w:val="20"/>
          <w:szCs w:val="20"/>
        </w:rPr>
        <w:t>Baldo</w:t>
      </w:r>
      <w:proofErr w:type="spellEnd"/>
      <w:r w:rsidRPr="006A79C5">
        <w:rPr>
          <w:rFonts w:ascii="Arial" w:hAnsi="Arial" w:cs="Arial"/>
          <w:sz w:val="20"/>
          <w:szCs w:val="20"/>
        </w:rPr>
        <w:t xml:space="preserve">, M.A., </w:t>
      </w:r>
      <w:proofErr w:type="spellStart"/>
      <w:r w:rsidRPr="006A79C5">
        <w:rPr>
          <w:rFonts w:ascii="Arial" w:hAnsi="Arial" w:cs="Arial"/>
          <w:sz w:val="20"/>
          <w:szCs w:val="20"/>
        </w:rPr>
        <w:t>Seabra</w:t>
      </w:r>
      <w:proofErr w:type="spellEnd"/>
      <w:r w:rsidRPr="006A79C5">
        <w:rPr>
          <w:rFonts w:ascii="Arial" w:hAnsi="Arial" w:cs="Arial"/>
          <w:sz w:val="20"/>
          <w:szCs w:val="20"/>
        </w:rPr>
        <w:t xml:space="preserve">, A.B. (2024). Advances in silver nanoparticles: a comprehensive review on their potential as antimicrobial agents and their mechanisms of action elucidated by proteomics. </w:t>
      </w:r>
      <w:r w:rsidRPr="006A79C5">
        <w:rPr>
          <w:rStyle w:val="Emphasis"/>
          <w:rFonts w:ascii="Arial" w:hAnsi="Arial" w:cs="Arial"/>
          <w:sz w:val="20"/>
          <w:szCs w:val="20"/>
        </w:rPr>
        <w:t>Frontiers in Microbiology</w:t>
      </w:r>
      <w:r w:rsidRPr="006A79C5">
        <w:rPr>
          <w:rFonts w:ascii="Arial" w:hAnsi="Arial" w:cs="Arial"/>
          <w:sz w:val="20"/>
          <w:szCs w:val="20"/>
        </w:rPr>
        <w:t>, 15, 1440065.</w:t>
      </w:r>
    </w:p>
    <w:p w14:paraId="26243D2E" w14:textId="77777777" w:rsidR="001F4B47" w:rsidRPr="006A79C5" w:rsidRDefault="001F4B47" w:rsidP="001F4B47">
      <w:pPr>
        <w:shd w:val="clear" w:color="auto" w:fill="FFFFFF"/>
        <w:spacing w:after="100" w:afterAutospacing="1" w:line="240" w:lineRule="auto"/>
        <w:jc w:val="both"/>
        <w:rPr>
          <w:rFonts w:ascii="Arial" w:eastAsia="Times New Roman" w:hAnsi="Arial" w:cs="Arial"/>
          <w:sz w:val="20"/>
          <w:szCs w:val="20"/>
          <w:lang w:eastAsia="en-IN"/>
        </w:rPr>
      </w:pPr>
      <w:r w:rsidRPr="006A79C5">
        <w:rPr>
          <w:rFonts w:ascii="Arial" w:eastAsia="Times New Roman" w:hAnsi="Arial" w:cs="Arial"/>
          <w:sz w:val="20"/>
          <w:szCs w:val="20"/>
          <w:lang w:eastAsia="en-IN"/>
        </w:rPr>
        <w:t xml:space="preserve">Zhao, X., Cui, H., Wang, Y., Sun, C., Cui, B., Zeng, Z. (2017). Development strategies and prospects of </w:t>
      </w:r>
      <w:proofErr w:type="spellStart"/>
      <w:r w:rsidRPr="006A79C5">
        <w:rPr>
          <w:rFonts w:ascii="Arial" w:eastAsia="Times New Roman" w:hAnsi="Arial" w:cs="Arial"/>
          <w:sz w:val="20"/>
          <w:szCs w:val="20"/>
          <w:lang w:eastAsia="en-IN"/>
        </w:rPr>
        <w:t>nano</w:t>
      </w:r>
      <w:proofErr w:type="spellEnd"/>
      <w:r w:rsidRPr="006A79C5">
        <w:rPr>
          <w:rFonts w:ascii="Arial" w:eastAsia="Times New Roman" w:hAnsi="Arial" w:cs="Arial"/>
          <w:sz w:val="20"/>
          <w:szCs w:val="20"/>
          <w:lang w:eastAsia="en-IN"/>
        </w:rPr>
        <w:t>-based smart pesticide formulation. </w:t>
      </w:r>
      <w:r w:rsidRPr="006A79C5">
        <w:rPr>
          <w:rFonts w:ascii="Arial" w:eastAsia="Times New Roman" w:hAnsi="Arial" w:cs="Arial"/>
          <w:i/>
          <w:iCs/>
          <w:sz w:val="20"/>
          <w:szCs w:val="20"/>
          <w:lang w:eastAsia="en-IN"/>
        </w:rPr>
        <w:t>Journal of Agricultural and Food Chemistry</w:t>
      </w:r>
      <w:r w:rsidRPr="006A79C5">
        <w:rPr>
          <w:rFonts w:ascii="Arial" w:eastAsia="Times New Roman" w:hAnsi="Arial" w:cs="Arial"/>
          <w:sz w:val="20"/>
          <w:szCs w:val="20"/>
          <w:lang w:eastAsia="en-IN"/>
        </w:rPr>
        <w:t>, 66, 6504–6512.</w:t>
      </w:r>
    </w:p>
    <w:p w14:paraId="5E4E6FA4" w14:textId="77777777" w:rsidR="001F4B47" w:rsidRPr="006A79C5" w:rsidRDefault="001F4B47" w:rsidP="005974D1">
      <w:pPr>
        <w:shd w:val="clear" w:color="auto" w:fill="FFFFFF"/>
        <w:spacing w:before="206" w:after="206" w:line="240" w:lineRule="auto"/>
        <w:jc w:val="both"/>
        <w:rPr>
          <w:rFonts w:ascii="Arial" w:eastAsia="Times New Roman" w:hAnsi="Arial" w:cs="Arial"/>
          <w:lang w:eastAsia="en-IN"/>
        </w:rPr>
      </w:pPr>
    </w:p>
    <w:sectPr w:rsidR="001F4B47" w:rsidRPr="006A79C5">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E6C3F" w14:textId="77777777" w:rsidR="00F33BF5" w:rsidRDefault="00F33BF5" w:rsidP="00C931A2">
      <w:pPr>
        <w:spacing w:after="0" w:line="240" w:lineRule="auto"/>
      </w:pPr>
      <w:r>
        <w:separator/>
      </w:r>
    </w:p>
  </w:endnote>
  <w:endnote w:type="continuationSeparator" w:id="0">
    <w:p w14:paraId="229805FC" w14:textId="77777777" w:rsidR="00F33BF5" w:rsidRDefault="00F33BF5" w:rsidP="00C93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4C204" w14:textId="77777777" w:rsidR="00C931A2" w:rsidRDefault="00C931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95DE2" w14:textId="77777777" w:rsidR="00C931A2" w:rsidRDefault="00C931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16220" w14:textId="77777777" w:rsidR="00C931A2" w:rsidRDefault="00C931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D59B63" w14:textId="77777777" w:rsidR="00F33BF5" w:rsidRDefault="00F33BF5" w:rsidP="00C931A2">
      <w:pPr>
        <w:spacing w:after="0" w:line="240" w:lineRule="auto"/>
      </w:pPr>
      <w:r>
        <w:separator/>
      </w:r>
    </w:p>
  </w:footnote>
  <w:footnote w:type="continuationSeparator" w:id="0">
    <w:p w14:paraId="06EB8ADB" w14:textId="77777777" w:rsidR="00F33BF5" w:rsidRDefault="00F33BF5" w:rsidP="00C93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80160" w14:textId="28E1C2AD" w:rsidR="00C931A2" w:rsidRDefault="00F33BF5">
    <w:pPr>
      <w:pStyle w:val="Header"/>
    </w:pPr>
    <w:r>
      <w:rPr>
        <w:noProof/>
      </w:rPr>
      <w:pict w14:anchorId="507B65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472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78BB6" w14:textId="12C620C5" w:rsidR="00C931A2" w:rsidRDefault="00F33BF5">
    <w:pPr>
      <w:pStyle w:val="Header"/>
    </w:pPr>
    <w:r>
      <w:rPr>
        <w:noProof/>
      </w:rPr>
      <w:pict w14:anchorId="0DC9D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472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927E9" w14:textId="4CB5F952" w:rsidR="00C931A2" w:rsidRDefault="00F33BF5">
    <w:pPr>
      <w:pStyle w:val="Header"/>
    </w:pPr>
    <w:r>
      <w:rPr>
        <w:noProof/>
      </w:rPr>
      <w:pict w14:anchorId="4593A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472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05B36"/>
    <w:multiLevelType w:val="multilevel"/>
    <w:tmpl w:val="F9D4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D1412"/>
    <w:multiLevelType w:val="multilevel"/>
    <w:tmpl w:val="6E984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FA043C"/>
    <w:multiLevelType w:val="multilevel"/>
    <w:tmpl w:val="23DA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270E8"/>
    <w:multiLevelType w:val="multilevel"/>
    <w:tmpl w:val="9BD82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62F22"/>
    <w:multiLevelType w:val="multilevel"/>
    <w:tmpl w:val="F516F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5B50E7"/>
    <w:multiLevelType w:val="multilevel"/>
    <w:tmpl w:val="0EB6C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1C2AE0"/>
    <w:multiLevelType w:val="multilevel"/>
    <w:tmpl w:val="FBC4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7D3D3F"/>
    <w:multiLevelType w:val="multilevel"/>
    <w:tmpl w:val="BE122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841B09"/>
    <w:multiLevelType w:val="multilevel"/>
    <w:tmpl w:val="D64CD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4F5EB9"/>
    <w:multiLevelType w:val="multilevel"/>
    <w:tmpl w:val="486A5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5090F"/>
    <w:multiLevelType w:val="hybridMultilevel"/>
    <w:tmpl w:val="50AEBB9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3413046B"/>
    <w:multiLevelType w:val="hybridMultilevel"/>
    <w:tmpl w:val="5DACF1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4584696"/>
    <w:multiLevelType w:val="multilevel"/>
    <w:tmpl w:val="4DA89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F004F"/>
    <w:multiLevelType w:val="multilevel"/>
    <w:tmpl w:val="1EBA1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793481"/>
    <w:multiLevelType w:val="hybridMultilevel"/>
    <w:tmpl w:val="CD7A791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9F10293"/>
    <w:multiLevelType w:val="hybridMultilevel"/>
    <w:tmpl w:val="C0DE9D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38E2DCF"/>
    <w:multiLevelType w:val="hybridMultilevel"/>
    <w:tmpl w:val="80A6EAB4"/>
    <w:lvl w:ilvl="0" w:tplc="607E6086">
      <w:start w:val="2"/>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7" w15:restartNumberingAfterBreak="0">
    <w:nsid w:val="578A052A"/>
    <w:multiLevelType w:val="hybridMultilevel"/>
    <w:tmpl w:val="9FE6D4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A6926E2"/>
    <w:multiLevelType w:val="multilevel"/>
    <w:tmpl w:val="C9900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FA2F1C"/>
    <w:multiLevelType w:val="multilevel"/>
    <w:tmpl w:val="20D0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A34E18"/>
    <w:multiLevelType w:val="hybridMultilevel"/>
    <w:tmpl w:val="D820E2D6"/>
    <w:lvl w:ilvl="0" w:tplc="29E0F2A8">
      <w:start w:val="6"/>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FE52CF9"/>
    <w:multiLevelType w:val="hybridMultilevel"/>
    <w:tmpl w:val="3FB434D4"/>
    <w:lvl w:ilvl="0" w:tplc="39AA7DE8">
      <w:start w:val="1"/>
      <w:numFmt w:val="decimal"/>
      <w:lvlText w:val="%1"/>
      <w:lvlJc w:val="left"/>
      <w:pPr>
        <w:ind w:left="720" w:hanging="360"/>
      </w:pPr>
      <w:rPr>
        <w:rFonts w:asciiTheme="majorHAnsi" w:eastAsia="Times New Roman" w:hAnsiTheme="majorHAnsi" w:cstheme="majorHAns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FE93A97"/>
    <w:multiLevelType w:val="multilevel"/>
    <w:tmpl w:val="EEA83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385D0B"/>
    <w:multiLevelType w:val="hybridMultilevel"/>
    <w:tmpl w:val="6330BA8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4" w15:restartNumberingAfterBreak="0">
    <w:nsid w:val="6A0B7CB0"/>
    <w:multiLevelType w:val="multilevel"/>
    <w:tmpl w:val="6474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781824"/>
    <w:multiLevelType w:val="hybridMultilevel"/>
    <w:tmpl w:val="AEE634B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7A393BDC"/>
    <w:multiLevelType w:val="multilevel"/>
    <w:tmpl w:val="4D38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9D17D3"/>
    <w:multiLevelType w:val="multilevel"/>
    <w:tmpl w:val="3B90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1"/>
  </w:num>
  <w:num w:numId="4">
    <w:abstractNumId w:val="8"/>
  </w:num>
  <w:num w:numId="5">
    <w:abstractNumId w:val="12"/>
  </w:num>
  <w:num w:numId="6">
    <w:abstractNumId w:val="13"/>
  </w:num>
  <w:num w:numId="7">
    <w:abstractNumId w:val="0"/>
  </w:num>
  <w:num w:numId="8">
    <w:abstractNumId w:val="4"/>
  </w:num>
  <w:num w:numId="9">
    <w:abstractNumId w:val="7"/>
  </w:num>
  <w:num w:numId="10">
    <w:abstractNumId w:val="26"/>
  </w:num>
  <w:num w:numId="11">
    <w:abstractNumId w:val="2"/>
  </w:num>
  <w:num w:numId="12">
    <w:abstractNumId w:val="5"/>
  </w:num>
  <w:num w:numId="13">
    <w:abstractNumId w:val="24"/>
  </w:num>
  <w:num w:numId="14">
    <w:abstractNumId w:val="14"/>
  </w:num>
  <w:num w:numId="15">
    <w:abstractNumId w:val="23"/>
  </w:num>
  <w:num w:numId="16">
    <w:abstractNumId w:val="19"/>
  </w:num>
  <w:num w:numId="17">
    <w:abstractNumId w:val="6"/>
  </w:num>
  <w:num w:numId="18">
    <w:abstractNumId w:val="18"/>
  </w:num>
  <w:num w:numId="19">
    <w:abstractNumId w:val="22"/>
  </w:num>
  <w:num w:numId="20">
    <w:abstractNumId w:val="27"/>
  </w:num>
  <w:num w:numId="21">
    <w:abstractNumId w:val="11"/>
  </w:num>
  <w:num w:numId="22">
    <w:abstractNumId w:val="10"/>
  </w:num>
  <w:num w:numId="23">
    <w:abstractNumId w:val="17"/>
  </w:num>
  <w:num w:numId="24">
    <w:abstractNumId w:val="25"/>
  </w:num>
  <w:num w:numId="25">
    <w:abstractNumId w:val="21"/>
  </w:num>
  <w:num w:numId="26">
    <w:abstractNumId w:val="16"/>
  </w:num>
  <w:num w:numId="27">
    <w:abstractNumId w:val="20"/>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BA7"/>
    <w:rsid w:val="00013625"/>
    <w:rsid w:val="0003611F"/>
    <w:rsid w:val="000822B9"/>
    <w:rsid w:val="000A7AA6"/>
    <w:rsid w:val="000E4437"/>
    <w:rsid w:val="0010427F"/>
    <w:rsid w:val="0012642C"/>
    <w:rsid w:val="00136FD0"/>
    <w:rsid w:val="001410E8"/>
    <w:rsid w:val="00181B4B"/>
    <w:rsid w:val="001922B3"/>
    <w:rsid w:val="001A6C79"/>
    <w:rsid w:val="001B0FD4"/>
    <w:rsid w:val="001F4B47"/>
    <w:rsid w:val="002A3229"/>
    <w:rsid w:val="002B36A8"/>
    <w:rsid w:val="002E1D5D"/>
    <w:rsid w:val="0031004A"/>
    <w:rsid w:val="00347AE1"/>
    <w:rsid w:val="00365EA6"/>
    <w:rsid w:val="003B05FC"/>
    <w:rsid w:val="003B2BD5"/>
    <w:rsid w:val="00441DCC"/>
    <w:rsid w:val="00443653"/>
    <w:rsid w:val="00444E28"/>
    <w:rsid w:val="00464C8D"/>
    <w:rsid w:val="004A07DD"/>
    <w:rsid w:val="004C2F68"/>
    <w:rsid w:val="004E0ADE"/>
    <w:rsid w:val="005500F3"/>
    <w:rsid w:val="00562583"/>
    <w:rsid w:val="005974D1"/>
    <w:rsid w:val="005B6B35"/>
    <w:rsid w:val="005C7D05"/>
    <w:rsid w:val="005F2972"/>
    <w:rsid w:val="006033CF"/>
    <w:rsid w:val="00630DFB"/>
    <w:rsid w:val="0063237B"/>
    <w:rsid w:val="00633EA9"/>
    <w:rsid w:val="0065623F"/>
    <w:rsid w:val="0066715E"/>
    <w:rsid w:val="006719F2"/>
    <w:rsid w:val="00674234"/>
    <w:rsid w:val="006A79C5"/>
    <w:rsid w:val="006B455F"/>
    <w:rsid w:val="006D578B"/>
    <w:rsid w:val="006E2633"/>
    <w:rsid w:val="006F0132"/>
    <w:rsid w:val="00720B1A"/>
    <w:rsid w:val="007442E7"/>
    <w:rsid w:val="00752BD2"/>
    <w:rsid w:val="00786912"/>
    <w:rsid w:val="007C3FBE"/>
    <w:rsid w:val="007F743A"/>
    <w:rsid w:val="00822BBF"/>
    <w:rsid w:val="008271D7"/>
    <w:rsid w:val="008377B2"/>
    <w:rsid w:val="00847326"/>
    <w:rsid w:val="00870047"/>
    <w:rsid w:val="008E0FBA"/>
    <w:rsid w:val="00950535"/>
    <w:rsid w:val="00952F2F"/>
    <w:rsid w:val="009801FD"/>
    <w:rsid w:val="00990CC8"/>
    <w:rsid w:val="009965F8"/>
    <w:rsid w:val="009C39F7"/>
    <w:rsid w:val="00A522BE"/>
    <w:rsid w:val="00A73804"/>
    <w:rsid w:val="00A94834"/>
    <w:rsid w:val="00A9539C"/>
    <w:rsid w:val="00AB3402"/>
    <w:rsid w:val="00AD6DA3"/>
    <w:rsid w:val="00AE2228"/>
    <w:rsid w:val="00B0740B"/>
    <w:rsid w:val="00B878EB"/>
    <w:rsid w:val="00BB6E79"/>
    <w:rsid w:val="00BC4B77"/>
    <w:rsid w:val="00C05C86"/>
    <w:rsid w:val="00C26FD6"/>
    <w:rsid w:val="00C931A2"/>
    <w:rsid w:val="00CB16E5"/>
    <w:rsid w:val="00CD2D5A"/>
    <w:rsid w:val="00CF1B89"/>
    <w:rsid w:val="00D20B77"/>
    <w:rsid w:val="00D35DD9"/>
    <w:rsid w:val="00D73BA7"/>
    <w:rsid w:val="00DA031B"/>
    <w:rsid w:val="00DC5723"/>
    <w:rsid w:val="00E6058D"/>
    <w:rsid w:val="00E677CD"/>
    <w:rsid w:val="00E91D21"/>
    <w:rsid w:val="00EA5CC4"/>
    <w:rsid w:val="00ED5036"/>
    <w:rsid w:val="00F05A32"/>
    <w:rsid w:val="00F20FA4"/>
    <w:rsid w:val="00F253D3"/>
    <w:rsid w:val="00F33BF5"/>
    <w:rsid w:val="00F530C1"/>
    <w:rsid w:val="00F85DC5"/>
    <w:rsid w:val="00FB61A3"/>
    <w:rsid w:val="00FF29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D589ADA"/>
  <w15:chartTrackingRefBased/>
  <w15:docId w15:val="{EB3888FD-3290-415C-A357-02D1EF43F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7AA6"/>
  </w:style>
  <w:style w:type="paragraph" w:styleId="Heading3">
    <w:name w:val="heading 3"/>
    <w:basedOn w:val="Normal"/>
    <w:link w:val="Heading3Char"/>
    <w:uiPriority w:val="9"/>
    <w:qFormat/>
    <w:rsid w:val="00D73BA7"/>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D73BA7"/>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73BA7"/>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D73BA7"/>
    <w:rPr>
      <w:rFonts w:ascii="Times New Roman" w:eastAsia="Times New Roman" w:hAnsi="Times New Roman" w:cs="Times New Roman"/>
      <w:b/>
      <w:bCs/>
      <w:sz w:val="24"/>
      <w:szCs w:val="24"/>
      <w:lang w:eastAsia="en-IN"/>
    </w:rPr>
  </w:style>
  <w:style w:type="character" w:styleId="Strong">
    <w:name w:val="Strong"/>
    <w:basedOn w:val="DefaultParagraphFont"/>
    <w:uiPriority w:val="22"/>
    <w:qFormat/>
    <w:rsid w:val="00D73BA7"/>
    <w:rPr>
      <w:b/>
      <w:bCs/>
    </w:rPr>
  </w:style>
  <w:style w:type="character" w:styleId="Emphasis">
    <w:name w:val="Emphasis"/>
    <w:basedOn w:val="DefaultParagraphFont"/>
    <w:uiPriority w:val="20"/>
    <w:qFormat/>
    <w:rsid w:val="00D73BA7"/>
    <w:rPr>
      <w:i/>
      <w:iCs/>
    </w:rPr>
  </w:style>
  <w:style w:type="paragraph" w:customStyle="1" w:styleId="ds-markdown-paragraph">
    <w:name w:val="ds-markdown-paragraph"/>
    <w:basedOn w:val="Normal"/>
    <w:rsid w:val="00D73BA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katex-mathml">
    <w:name w:val="katex-mathml"/>
    <w:basedOn w:val="DefaultParagraphFont"/>
    <w:rsid w:val="00D73BA7"/>
  </w:style>
  <w:style w:type="character" w:customStyle="1" w:styleId="mord">
    <w:name w:val="mord"/>
    <w:basedOn w:val="DefaultParagraphFont"/>
    <w:rsid w:val="00D73BA7"/>
  </w:style>
  <w:style w:type="character" w:customStyle="1" w:styleId="mrel">
    <w:name w:val="mrel"/>
    <w:basedOn w:val="DefaultParagraphFont"/>
    <w:rsid w:val="00D73BA7"/>
  </w:style>
  <w:style w:type="character" w:customStyle="1" w:styleId="mopen">
    <w:name w:val="mopen"/>
    <w:basedOn w:val="DefaultParagraphFont"/>
    <w:rsid w:val="00D73BA7"/>
  </w:style>
  <w:style w:type="character" w:customStyle="1" w:styleId="vlist-s">
    <w:name w:val="vlist-s"/>
    <w:basedOn w:val="DefaultParagraphFont"/>
    <w:rsid w:val="00D73BA7"/>
  </w:style>
  <w:style w:type="character" w:customStyle="1" w:styleId="mclose">
    <w:name w:val="mclose"/>
    <w:basedOn w:val="DefaultParagraphFont"/>
    <w:rsid w:val="00D73BA7"/>
  </w:style>
  <w:style w:type="character" w:customStyle="1" w:styleId="mbin">
    <w:name w:val="mbin"/>
    <w:basedOn w:val="DefaultParagraphFont"/>
    <w:rsid w:val="00D73BA7"/>
  </w:style>
  <w:style w:type="character" w:customStyle="1" w:styleId="mop">
    <w:name w:val="mop"/>
    <w:basedOn w:val="DefaultParagraphFont"/>
    <w:rsid w:val="00D73BA7"/>
  </w:style>
  <w:style w:type="character" w:styleId="PlaceholderText">
    <w:name w:val="Placeholder Text"/>
    <w:basedOn w:val="DefaultParagraphFont"/>
    <w:uiPriority w:val="99"/>
    <w:semiHidden/>
    <w:rsid w:val="00E677CD"/>
    <w:rPr>
      <w:color w:val="808080"/>
    </w:rPr>
  </w:style>
  <w:style w:type="paragraph" w:styleId="ListParagraph">
    <w:name w:val="List Paragraph"/>
    <w:basedOn w:val="Normal"/>
    <w:uiPriority w:val="34"/>
    <w:qFormat/>
    <w:rsid w:val="00E677CD"/>
    <w:pPr>
      <w:ind w:left="720"/>
      <w:contextualSpacing/>
    </w:pPr>
  </w:style>
  <w:style w:type="paragraph" w:styleId="BalloonText">
    <w:name w:val="Balloon Text"/>
    <w:basedOn w:val="Normal"/>
    <w:link w:val="BalloonTextChar"/>
    <w:uiPriority w:val="99"/>
    <w:semiHidden/>
    <w:unhideWhenUsed/>
    <w:rsid w:val="00C05C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C86"/>
    <w:rPr>
      <w:rFonts w:ascii="Segoe UI" w:hAnsi="Segoe UI" w:cs="Segoe UI"/>
      <w:sz w:val="18"/>
      <w:szCs w:val="18"/>
    </w:rPr>
  </w:style>
  <w:style w:type="table" w:styleId="TableGrid">
    <w:name w:val="Table Grid"/>
    <w:basedOn w:val="TableNormal"/>
    <w:uiPriority w:val="39"/>
    <w:rsid w:val="0003611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3611F"/>
    <w:rPr>
      <w:sz w:val="16"/>
      <w:szCs w:val="16"/>
    </w:rPr>
  </w:style>
  <w:style w:type="paragraph" w:styleId="CommentText">
    <w:name w:val="annotation text"/>
    <w:basedOn w:val="Normal"/>
    <w:link w:val="CommentTextChar"/>
    <w:uiPriority w:val="99"/>
    <w:semiHidden/>
    <w:unhideWhenUsed/>
    <w:rsid w:val="0003611F"/>
    <w:pPr>
      <w:spacing w:after="200" w:line="240" w:lineRule="auto"/>
    </w:pPr>
    <w:rPr>
      <w:sz w:val="20"/>
      <w:szCs w:val="20"/>
      <w:lang w:val="en-US"/>
    </w:rPr>
  </w:style>
  <w:style w:type="character" w:customStyle="1" w:styleId="CommentTextChar">
    <w:name w:val="Comment Text Char"/>
    <w:basedOn w:val="DefaultParagraphFont"/>
    <w:link w:val="CommentText"/>
    <w:uiPriority w:val="99"/>
    <w:semiHidden/>
    <w:rsid w:val="0003611F"/>
    <w:rPr>
      <w:sz w:val="20"/>
      <w:szCs w:val="20"/>
      <w:lang w:val="en-US"/>
    </w:rPr>
  </w:style>
  <w:style w:type="paragraph" w:styleId="NormalWeb">
    <w:name w:val="Normal (Web)"/>
    <w:basedOn w:val="Normal"/>
    <w:uiPriority w:val="99"/>
    <w:unhideWhenUsed/>
    <w:rsid w:val="00F253D3"/>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styleId="CommentSubject">
    <w:name w:val="annotation subject"/>
    <w:basedOn w:val="CommentText"/>
    <w:next w:val="CommentText"/>
    <w:link w:val="CommentSubjectChar"/>
    <w:uiPriority w:val="99"/>
    <w:semiHidden/>
    <w:unhideWhenUsed/>
    <w:rsid w:val="005B6B35"/>
    <w:pPr>
      <w:spacing w:after="160"/>
    </w:pPr>
    <w:rPr>
      <w:b/>
      <w:bCs/>
      <w:lang w:val="en-IN"/>
    </w:rPr>
  </w:style>
  <w:style w:type="character" w:customStyle="1" w:styleId="CommentSubjectChar">
    <w:name w:val="Comment Subject Char"/>
    <w:basedOn w:val="CommentTextChar"/>
    <w:link w:val="CommentSubject"/>
    <w:uiPriority w:val="99"/>
    <w:semiHidden/>
    <w:rsid w:val="005B6B35"/>
    <w:rPr>
      <w:b/>
      <w:bCs/>
      <w:sz w:val="20"/>
      <w:szCs w:val="20"/>
      <w:lang w:val="en-US"/>
    </w:rPr>
  </w:style>
  <w:style w:type="character" w:customStyle="1" w:styleId="nowrap">
    <w:name w:val="nowrap"/>
    <w:basedOn w:val="DefaultParagraphFont"/>
    <w:rsid w:val="00181B4B"/>
  </w:style>
  <w:style w:type="character" w:styleId="Hyperlink">
    <w:name w:val="Hyperlink"/>
    <w:basedOn w:val="DefaultParagraphFont"/>
    <w:uiPriority w:val="99"/>
    <w:unhideWhenUsed/>
    <w:rsid w:val="00181B4B"/>
    <w:rPr>
      <w:color w:val="0000FF"/>
      <w:u w:val="single"/>
    </w:rPr>
  </w:style>
  <w:style w:type="paragraph" w:customStyle="1" w:styleId="ReferHead">
    <w:name w:val="Refer Head"/>
    <w:basedOn w:val="Normal"/>
    <w:rsid w:val="00013625"/>
    <w:pPr>
      <w:keepNext/>
      <w:spacing w:after="240" w:line="240" w:lineRule="auto"/>
    </w:pPr>
    <w:rPr>
      <w:rFonts w:ascii="Helvetica" w:eastAsia="Times New Roman" w:hAnsi="Helvetica" w:cs="Times New Roman"/>
      <w:b/>
      <w:caps/>
      <w:szCs w:val="20"/>
      <w:lang w:val="en-US"/>
    </w:rPr>
  </w:style>
  <w:style w:type="character" w:customStyle="1" w:styleId="UnresolvedMention1">
    <w:name w:val="Unresolved Mention1"/>
    <w:basedOn w:val="DefaultParagraphFont"/>
    <w:uiPriority w:val="99"/>
    <w:semiHidden/>
    <w:unhideWhenUsed/>
    <w:rsid w:val="00822BBF"/>
    <w:rPr>
      <w:color w:val="605E5C"/>
      <w:shd w:val="clear" w:color="auto" w:fill="E1DFDD"/>
    </w:rPr>
  </w:style>
  <w:style w:type="paragraph" w:styleId="Header">
    <w:name w:val="header"/>
    <w:basedOn w:val="Normal"/>
    <w:link w:val="HeaderChar"/>
    <w:uiPriority w:val="99"/>
    <w:unhideWhenUsed/>
    <w:rsid w:val="00C931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1A2"/>
  </w:style>
  <w:style w:type="paragraph" w:styleId="Footer">
    <w:name w:val="footer"/>
    <w:basedOn w:val="Normal"/>
    <w:link w:val="FooterChar"/>
    <w:uiPriority w:val="99"/>
    <w:unhideWhenUsed/>
    <w:rsid w:val="00C931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01120">
      <w:bodyDiv w:val="1"/>
      <w:marLeft w:val="0"/>
      <w:marRight w:val="0"/>
      <w:marTop w:val="0"/>
      <w:marBottom w:val="0"/>
      <w:divBdr>
        <w:top w:val="none" w:sz="0" w:space="0" w:color="auto"/>
        <w:left w:val="none" w:sz="0" w:space="0" w:color="auto"/>
        <w:bottom w:val="none" w:sz="0" w:space="0" w:color="auto"/>
        <w:right w:val="none" w:sz="0" w:space="0" w:color="auto"/>
      </w:divBdr>
    </w:div>
    <w:div w:id="259414961">
      <w:bodyDiv w:val="1"/>
      <w:marLeft w:val="0"/>
      <w:marRight w:val="0"/>
      <w:marTop w:val="0"/>
      <w:marBottom w:val="0"/>
      <w:divBdr>
        <w:top w:val="none" w:sz="0" w:space="0" w:color="auto"/>
        <w:left w:val="none" w:sz="0" w:space="0" w:color="auto"/>
        <w:bottom w:val="none" w:sz="0" w:space="0" w:color="auto"/>
        <w:right w:val="none" w:sz="0" w:space="0" w:color="auto"/>
      </w:divBdr>
    </w:div>
    <w:div w:id="417412208">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1284073003">
      <w:bodyDiv w:val="1"/>
      <w:marLeft w:val="0"/>
      <w:marRight w:val="0"/>
      <w:marTop w:val="0"/>
      <w:marBottom w:val="0"/>
      <w:divBdr>
        <w:top w:val="none" w:sz="0" w:space="0" w:color="auto"/>
        <w:left w:val="none" w:sz="0" w:space="0" w:color="auto"/>
        <w:bottom w:val="none" w:sz="0" w:space="0" w:color="auto"/>
        <w:right w:val="none" w:sz="0" w:space="0" w:color="auto"/>
      </w:divBdr>
    </w:div>
    <w:div w:id="1413815784">
      <w:bodyDiv w:val="1"/>
      <w:marLeft w:val="0"/>
      <w:marRight w:val="0"/>
      <w:marTop w:val="0"/>
      <w:marBottom w:val="0"/>
      <w:divBdr>
        <w:top w:val="none" w:sz="0" w:space="0" w:color="auto"/>
        <w:left w:val="none" w:sz="0" w:space="0" w:color="auto"/>
        <w:bottom w:val="none" w:sz="0" w:space="0" w:color="auto"/>
        <w:right w:val="none" w:sz="0" w:space="0" w:color="auto"/>
      </w:divBdr>
    </w:div>
    <w:div w:id="1636065122">
      <w:bodyDiv w:val="1"/>
      <w:marLeft w:val="0"/>
      <w:marRight w:val="0"/>
      <w:marTop w:val="0"/>
      <w:marBottom w:val="0"/>
      <w:divBdr>
        <w:top w:val="none" w:sz="0" w:space="0" w:color="auto"/>
        <w:left w:val="none" w:sz="0" w:space="0" w:color="auto"/>
        <w:bottom w:val="none" w:sz="0" w:space="0" w:color="auto"/>
        <w:right w:val="none" w:sz="0" w:space="0" w:color="auto"/>
      </w:divBdr>
      <w:divsChild>
        <w:div w:id="722869607">
          <w:marLeft w:val="0"/>
          <w:marRight w:val="0"/>
          <w:marTop w:val="0"/>
          <w:marBottom w:val="0"/>
          <w:divBdr>
            <w:top w:val="none" w:sz="0" w:space="0" w:color="auto"/>
            <w:left w:val="none" w:sz="0" w:space="0" w:color="auto"/>
            <w:bottom w:val="none" w:sz="0" w:space="0" w:color="auto"/>
            <w:right w:val="none" w:sz="0" w:space="0" w:color="auto"/>
          </w:divBdr>
        </w:div>
        <w:div w:id="892157275">
          <w:marLeft w:val="0"/>
          <w:marRight w:val="0"/>
          <w:marTop w:val="0"/>
          <w:marBottom w:val="0"/>
          <w:divBdr>
            <w:top w:val="none" w:sz="0" w:space="0" w:color="auto"/>
            <w:left w:val="none" w:sz="0" w:space="0" w:color="auto"/>
            <w:bottom w:val="none" w:sz="0" w:space="0" w:color="auto"/>
            <w:right w:val="none" w:sz="0" w:space="0" w:color="auto"/>
          </w:divBdr>
        </w:div>
        <w:div w:id="1234776335">
          <w:marLeft w:val="0"/>
          <w:marRight w:val="0"/>
          <w:marTop w:val="0"/>
          <w:marBottom w:val="0"/>
          <w:divBdr>
            <w:top w:val="none" w:sz="0" w:space="0" w:color="auto"/>
            <w:left w:val="none" w:sz="0" w:space="0" w:color="auto"/>
            <w:bottom w:val="none" w:sz="0" w:space="0" w:color="auto"/>
            <w:right w:val="none" w:sz="0" w:space="0" w:color="auto"/>
          </w:divBdr>
        </w:div>
        <w:div w:id="614674875">
          <w:marLeft w:val="0"/>
          <w:marRight w:val="0"/>
          <w:marTop w:val="0"/>
          <w:marBottom w:val="0"/>
          <w:divBdr>
            <w:top w:val="none" w:sz="0" w:space="0" w:color="auto"/>
            <w:left w:val="none" w:sz="0" w:space="0" w:color="auto"/>
            <w:bottom w:val="none" w:sz="0" w:space="0" w:color="auto"/>
            <w:right w:val="none" w:sz="0" w:space="0" w:color="auto"/>
          </w:divBdr>
        </w:div>
      </w:divsChild>
    </w:div>
    <w:div w:id="1757020577">
      <w:bodyDiv w:val="1"/>
      <w:marLeft w:val="0"/>
      <w:marRight w:val="0"/>
      <w:marTop w:val="0"/>
      <w:marBottom w:val="0"/>
      <w:divBdr>
        <w:top w:val="none" w:sz="0" w:space="0" w:color="auto"/>
        <w:left w:val="none" w:sz="0" w:space="0" w:color="auto"/>
        <w:bottom w:val="none" w:sz="0" w:space="0" w:color="auto"/>
        <w:right w:val="none" w:sz="0" w:space="0" w:color="auto"/>
      </w:divBdr>
    </w:div>
    <w:div w:id="1870753024">
      <w:bodyDiv w:val="1"/>
      <w:marLeft w:val="0"/>
      <w:marRight w:val="0"/>
      <w:marTop w:val="0"/>
      <w:marBottom w:val="0"/>
      <w:divBdr>
        <w:top w:val="none" w:sz="0" w:space="0" w:color="auto"/>
        <w:left w:val="none" w:sz="0" w:space="0" w:color="auto"/>
        <w:bottom w:val="none" w:sz="0" w:space="0" w:color="auto"/>
        <w:right w:val="none" w:sz="0" w:space="0" w:color="auto"/>
      </w:divBdr>
    </w:div>
    <w:div w:id="211381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nature.com/articles/s41598-024-56619-9" TargetMode="External"/><Relationship Id="rId39" Type="http://schemas.openxmlformats.org/officeDocument/2006/relationships/fontTable" Target="fontTable.xml"/><Relationship Id="rId21" Type="http://schemas.openxmlformats.org/officeDocument/2006/relationships/chart" Target="charts/chart2.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nature.com/articles/s41598-024-56619-9"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29" Type="http://schemas.openxmlformats.org/officeDocument/2006/relationships/hyperlink" Target="https://www.nature.com/articles/s41598-024-5661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ature.com/articles/s41598-024-56619-9" TargetMode="External"/><Relationship Id="rId32" Type="http://schemas.openxmlformats.org/officeDocument/2006/relationships/hyperlink" Target="https://www.nature.com/articles/s41598-024-56619-9"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nature.com/articles/s41598-024-56619-9" TargetMode="External"/><Relationship Id="rId28" Type="http://schemas.openxmlformats.org/officeDocument/2006/relationships/hyperlink" Target="https://www.nature.com/articles/s41598-024-56619-9"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nature.com/articles/s41598-024-56619-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indcrop.2022.115612" TargetMode="External"/><Relationship Id="rId27" Type="http://schemas.openxmlformats.org/officeDocument/2006/relationships/hyperlink" Target="https://www.nature.com/articles/s41598-024-56619-9" TargetMode="External"/><Relationship Id="rId30" Type="http://schemas.openxmlformats.org/officeDocument/2006/relationships/hyperlink" Target="https://www.nature.com/articles/s41598-024-56619-9"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ocuments\Book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ocuments\Book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Sheet2!$B$1:$B$2</c:f>
              <c:strCache>
                <c:ptCount val="1"/>
                <c:pt idx="0">
                  <c:v>3DAS RL</c:v>
                </c:pt>
              </c:strCache>
            </c:strRef>
          </c:tx>
          <c:marker>
            <c:symbol val="none"/>
          </c:marker>
          <c:cat>
            <c:strRef>
              <c:f>Sheet2!$A$3:$A$9</c:f>
              <c:strCache>
                <c:ptCount val="7"/>
                <c:pt idx="1">
                  <c:v>100</c:v>
                </c:pt>
                <c:pt idx="2">
                  <c:v>50</c:v>
                </c:pt>
                <c:pt idx="3">
                  <c:v>25</c:v>
                </c:pt>
                <c:pt idx="4">
                  <c:v>12.5</c:v>
                </c:pt>
                <c:pt idx="5">
                  <c:v>6.25</c:v>
                </c:pt>
                <c:pt idx="6">
                  <c:v>Control</c:v>
                </c:pt>
              </c:strCache>
            </c:strRef>
          </c:cat>
          <c:val>
            <c:numRef>
              <c:f>Sheet2!$B$3:$B$9</c:f>
              <c:numCache>
                <c:formatCode>General</c:formatCode>
                <c:ptCount val="7"/>
                <c:pt idx="1">
                  <c:v>0</c:v>
                </c:pt>
                <c:pt idx="2">
                  <c:v>1.97</c:v>
                </c:pt>
                <c:pt idx="3">
                  <c:v>3.69</c:v>
                </c:pt>
                <c:pt idx="4">
                  <c:v>4.04</c:v>
                </c:pt>
                <c:pt idx="5">
                  <c:v>4.34</c:v>
                </c:pt>
                <c:pt idx="6">
                  <c:v>3.2</c:v>
                </c:pt>
              </c:numCache>
            </c:numRef>
          </c:val>
          <c:smooth val="0"/>
          <c:extLst>
            <c:ext xmlns:c16="http://schemas.microsoft.com/office/drawing/2014/chart" uri="{C3380CC4-5D6E-409C-BE32-E72D297353CC}">
              <c16:uniqueId val="{00000000-1CA2-4D0E-8347-A1849A45247C}"/>
            </c:ext>
          </c:extLst>
        </c:ser>
        <c:ser>
          <c:idx val="1"/>
          <c:order val="1"/>
          <c:tx>
            <c:strRef>
              <c:f>Sheet2!$C$1:$C$2</c:f>
              <c:strCache>
                <c:ptCount val="1"/>
                <c:pt idx="0">
                  <c:v>4DAS RL</c:v>
                </c:pt>
              </c:strCache>
            </c:strRef>
          </c:tx>
          <c:marker>
            <c:symbol val="none"/>
          </c:marker>
          <c:cat>
            <c:strRef>
              <c:f>Sheet2!$A$3:$A$9</c:f>
              <c:strCache>
                <c:ptCount val="7"/>
                <c:pt idx="1">
                  <c:v>100</c:v>
                </c:pt>
                <c:pt idx="2">
                  <c:v>50</c:v>
                </c:pt>
                <c:pt idx="3">
                  <c:v>25</c:v>
                </c:pt>
                <c:pt idx="4">
                  <c:v>12.5</c:v>
                </c:pt>
                <c:pt idx="5">
                  <c:v>6.25</c:v>
                </c:pt>
                <c:pt idx="6">
                  <c:v>Control</c:v>
                </c:pt>
              </c:strCache>
            </c:strRef>
          </c:cat>
          <c:val>
            <c:numRef>
              <c:f>Sheet2!$C$3:$C$9</c:f>
              <c:numCache>
                <c:formatCode>General</c:formatCode>
                <c:ptCount val="7"/>
                <c:pt idx="1">
                  <c:v>0.75</c:v>
                </c:pt>
                <c:pt idx="2">
                  <c:v>4.92</c:v>
                </c:pt>
                <c:pt idx="3">
                  <c:v>6.61</c:v>
                </c:pt>
                <c:pt idx="4">
                  <c:v>6.7</c:v>
                </c:pt>
                <c:pt idx="5">
                  <c:v>8.85</c:v>
                </c:pt>
                <c:pt idx="6">
                  <c:v>4.78</c:v>
                </c:pt>
              </c:numCache>
            </c:numRef>
          </c:val>
          <c:smooth val="0"/>
          <c:extLst>
            <c:ext xmlns:c16="http://schemas.microsoft.com/office/drawing/2014/chart" uri="{C3380CC4-5D6E-409C-BE32-E72D297353CC}">
              <c16:uniqueId val="{00000001-1CA2-4D0E-8347-A1849A45247C}"/>
            </c:ext>
          </c:extLst>
        </c:ser>
        <c:ser>
          <c:idx val="2"/>
          <c:order val="2"/>
          <c:tx>
            <c:strRef>
              <c:f>Sheet2!$D$1:$D$2</c:f>
              <c:strCache>
                <c:ptCount val="1"/>
                <c:pt idx="0">
                  <c:v>5DAS RL</c:v>
                </c:pt>
              </c:strCache>
            </c:strRef>
          </c:tx>
          <c:marker>
            <c:symbol val="none"/>
          </c:marker>
          <c:cat>
            <c:strRef>
              <c:f>Sheet2!$A$3:$A$9</c:f>
              <c:strCache>
                <c:ptCount val="7"/>
                <c:pt idx="1">
                  <c:v>100</c:v>
                </c:pt>
                <c:pt idx="2">
                  <c:v>50</c:v>
                </c:pt>
                <c:pt idx="3">
                  <c:v>25</c:v>
                </c:pt>
                <c:pt idx="4">
                  <c:v>12.5</c:v>
                </c:pt>
                <c:pt idx="5">
                  <c:v>6.25</c:v>
                </c:pt>
                <c:pt idx="6">
                  <c:v>Control</c:v>
                </c:pt>
              </c:strCache>
            </c:strRef>
          </c:cat>
          <c:val>
            <c:numRef>
              <c:f>Sheet2!$D$3:$D$9</c:f>
              <c:numCache>
                <c:formatCode>General</c:formatCode>
                <c:ptCount val="7"/>
                <c:pt idx="1">
                  <c:v>2.73</c:v>
                </c:pt>
                <c:pt idx="2">
                  <c:v>7.81</c:v>
                </c:pt>
                <c:pt idx="3">
                  <c:v>9.44</c:v>
                </c:pt>
                <c:pt idx="4">
                  <c:v>9.4499999999999993</c:v>
                </c:pt>
                <c:pt idx="5">
                  <c:v>12.51</c:v>
                </c:pt>
                <c:pt idx="6">
                  <c:v>4.7</c:v>
                </c:pt>
              </c:numCache>
            </c:numRef>
          </c:val>
          <c:smooth val="0"/>
          <c:extLst>
            <c:ext xmlns:c16="http://schemas.microsoft.com/office/drawing/2014/chart" uri="{C3380CC4-5D6E-409C-BE32-E72D297353CC}">
              <c16:uniqueId val="{00000002-1CA2-4D0E-8347-A1849A45247C}"/>
            </c:ext>
          </c:extLst>
        </c:ser>
        <c:ser>
          <c:idx val="3"/>
          <c:order val="3"/>
          <c:tx>
            <c:strRef>
              <c:f>Sheet2!$E$1:$E$2</c:f>
              <c:strCache>
                <c:ptCount val="1"/>
                <c:pt idx="0">
                  <c:v>6DAS RL</c:v>
                </c:pt>
              </c:strCache>
            </c:strRef>
          </c:tx>
          <c:marker>
            <c:symbol val="none"/>
          </c:marker>
          <c:cat>
            <c:strRef>
              <c:f>Sheet2!$A$3:$A$9</c:f>
              <c:strCache>
                <c:ptCount val="7"/>
                <c:pt idx="1">
                  <c:v>100</c:v>
                </c:pt>
                <c:pt idx="2">
                  <c:v>50</c:v>
                </c:pt>
                <c:pt idx="3">
                  <c:v>25</c:v>
                </c:pt>
                <c:pt idx="4">
                  <c:v>12.5</c:v>
                </c:pt>
                <c:pt idx="5">
                  <c:v>6.25</c:v>
                </c:pt>
                <c:pt idx="6">
                  <c:v>Control</c:v>
                </c:pt>
              </c:strCache>
            </c:strRef>
          </c:cat>
          <c:val>
            <c:numRef>
              <c:f>Sheet2!$E$3:$E$9</c:f>
              <c:numCache>
                <c:formatCode>General</c:formatCode>
                <c:ptCount val="7"/>
                <c:pt idx="1">
                  <c:v>3.47</c:v>
                </c:pt>
                <c:pt idx="2">
                  <c:v>8.1999999999999993</c:v>
                </c:pt>
                <c:pt idx="3">
                  <c:v>11.25</c:v>
                </c:pt>
                <c:pt idx="4">
                  <c:v>10.42</c:v>
                </c:pt>
                <c:pt idx="5">
                  <c:v>13.3</c:v>
                </c:pt>
                <c:pt idx="6">
                  <c:v>5.0199999999999996</c:v>
                </c:pt>
              </c:numCache>
            </c:numRef>
          </c:val>
          <c:smooth val="0"/>
          <c:extLst>
            <c:ext xmlns:c16="http://schemas.microsoft.com/office/drawing/2014/chart" uri="{C3380CC4-5D6E-409C-BE32-E72D297353CC}">
              <c16:uniqueId val="{00000003-1CA2-4D0E-8347-A1849A45247C}"/>
            </c:ext>
          </c:extLst>
        </c:ser>
        <c:ser>
          <c:idx val="4"/>
          <c:order val="4"/>
          <c:tx>
            <c:strRef>
              <c:f>Sheet2!$F$1:$F$2</c:f>
              <c:strCache>
                <c:ptCount val="1"/>
                <c:pt idx="0">
                  <c:v>7DAS RL</c:v>
                </c:pt>
              </c:strCache>
            </c:strRef>
          </c:tx>
          <c:marker>
            <c:symbol val="none"/>
          </c:marker>
          <c:cat>
            <c:strRef>
              <c:f>Sheet2!$A$3:$A$9</c:f>
              <c:strCache>
                <c:ptCount val="7"/>
                <c:pt idx="1">
                  <c:v>100</c:v>
                </c:pt>
                <c:pt idx="2">
                  <c:v>50</c:v>
                </c:pt>
                <c:pt idx="3">
                  <c:v>25</c:v>
                </c:pt>
                <c:pt idx="4">
                  <c:v>12.5</c:v>
                </c:pt>
                <c:pt idx="5">
                  <c:v>6.25</c:v>
                </c:pt>
                <c:pt idx="6">
                  <c:v>Control</c:v>
                </c:pt>
              </c:strCache>
            </c:strRef>
          </c:cat>
          <c:val>
            <c:numRef>
              <c:f>Sheet2!$F$3:$F$9</c:f>
              <c:numCache>
                <c:formatCode>General</c:formatCode>
                <c:ptCount val="7"/>
                <c:pt idx="1">
                  <c:v>3.63</c:v>
                </c:pt>
                <c:pt idx="2">
                  <c:v>8.4700000000000006</c:v>
                </c:pt>
                <c:pt idx="3">
                  <c:v>14.24</c:v>
                </c:pt>
                <c:pt idx="4">
                  <c:v>12.21</c:v>
                </c:pt>
                <c:pt idx="5">
                  <c:v>14.72</c:v>
                </c:pt>
                <c:pt idx="6">
                  <c:v>5.59</c:v>
                </c:pt>
              </c:numCache>
            </c:numRef>
          </c:val>
          <c:smooth val="0"/>
          <c:extLst>
            <c:ext xmlns:c16="http://schemas.microsoft.com/office/drawing/2014/chart" uri="{C3380CC4-5D6E-409C-BE32-E72D297353CC}">
              <c16:uniqueId val="{00000004-1CA2-4D0E-8347-A1849A45247C}"/>
            </c:ext>
          </c:extLst>
        </c:ser>
        <c:dLbls>
          <c:showLegendKey val="0"/>
          <c:showVal val="0"/>
          <c:showCatName val="0"/>
          <c:showSerName val="0"/>
          <c:showPercent val="0"/>
          <c:showBubbleSize val="0"/>
        </c:dLbls>
        <c:hiLowLines/>
        <c:smooth val="0"/>
        <c:axId val="335574128"/>
        <c:axId val="335574520"/>
      </c:lineChart>
      <c:catAx>
        <c:axId val="335574128"/>
        <c:scaling>
          <c:orientation val="minMax"/>
        </c:scaling>
        <c:delete val="0"/>
        <c:axPos val="b"/>
        <c:title>
          <c:tx>
            <c:rich>
              <a:bodyPr/>
              <a:lstStyle/>
              <a:p>
                <a:pPr>
                  <a:defRPr/>
                </a:pPr>
                <a:r>
                  <a:rPr lang="en-US"/>
                  <a:t>NON Concentration</a:t>
                </a:r>
              </a:p>
            </c:rich>
          </c:tx>
          <c:overlay val="0"/>
        </c:title>
        <c:numFmt formatCode="General" sourceLinked="0"/>
        <c:majorTickMark val="out"/>
        <c:minorTickMark val="none"/>
        <c:tickLblPos val="nextTo"/>
        <c:crossAx val="335574520"/>
        <c:crosses val="autoZero"/>
        <c:auto val="1"/>
        <c:lblAlgn val="ctr"/>
        <c:lblOffset val="100"/>
        <c:noMultiLvlLbl val="0"/>
      </c:catAx>
      <c:valAx>
        <c:axId val="335574520"/>
        <c:scaling>
          <c:orientation val="minMax"/>
        </c:scaling>
        <c:delete val="0"/>
        <c:axPos val="l"/>
        <c:title>
          <c:tx>
            <c:rich>
              <a:bodyPr/>
              <a:lstStyle/>
              <a:p>
                <a:pPr>
                  <a:defRPr/>
                </a:pPr>
                <a:r>
                  <a:rPr lang="en-US"/>
                  <a:t>Radicle Length (cm)</a:t>
                </a:r>
              </a:p>
            </c:rich>
          </c:tx>
          <c:overlay val="0"/>
        </c:title>
        <c:numFmt formatCode="General" sourceLinked="1"/>
        <c:majorTickMark val="out"/>
        <c:minorTickMark val="none"/>
        <c:tickLblPos val="nextTo"/>
        <c:crossAx val="335574128"/>
        <c:crosses val="autoZero"/>
        <c:crossBetween val="between"/>
      </c:valAx>
      <c:spPr>
        <a:noFill/>
        <a:ln w="25400">
          <a:noFill/>
        </a:ln>
      </c:spPr>
    </c:plotArea>
    <c:legend>
      <c:legendPos val="r"/>
      <c:overlay val="0"/>
    </c:legend>
    <c:plotVisOnly val="1"/>
    <c:dispBlanksAs val="zero"/>
    <c:showDLblsOverMax val="0"/>
  </c:chart>
  <c:spPr>
    <a:ln>
      <a:noFill/>
    </a:ln>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32911392405063"/>
          <c:y val="4.5485753129779642E-2"/>
          <c:w val="0.70953586497890297"/>
          <c:h val="0.72962216053928508"/>
        </c:manualLayout>
      </c:layout>
      <c:lineChart>
        <c:grouping val="stacked"/>
        <c:varyColors val="0"/>
        <c:ser>
          <c:idx val="0"/>
          <c:order val="0"/>
          <c:tx>
            <c:strRef>
              <c:f>Sheet1!$B$1:$B$2</c:f>
              <c:strCache>
                <c:ptCount val="1"/>
                <c:pt idx="0">
                  <c:v>3DAS PL</c:v>
                </c:pt>
              </c:strCache>
            </c:strRef>
          </c:tx>
          <c:marker>
            <c:symbol val="none"/>
          </c:marker>
          <c:cat>
            <c:strRef>
              <c:f>Sheet1!$A$3:$A$9</c:f>
              <c:strCache>
                <c:ptCount val="7"/>
                <c:pt idx="1">
                  <c:v>100</c:v>
                </c:pt>
                <c:pt idx="2">
                  <c:v>50</c:v>
                </c:pt>
                <c:pt idx="3">
                  <c:v>25</c:v>
                </c:pt>
                <c:pt idx="4">
                  <c:v>12.5</c:v>
                </c:pt>
                <c:pt idx="5">
                  <c:v>6.25</c:v>
                </c:pt>
                <c:pt idx="6">
                  <c:v>Control</c:v>
                </c:pt>
              </c:strCache>
            </c:strRef>
          </c:cat>
          <c:val>
            <c:numRef>
              <c:f>Sheet1!$B$3:$B$9</c:f>
              <c:numCache>
                <c:formatCode>General</c:formatCode>
                <c:ptCount val="7"/>
                <c:pt idx="1">
                  <c:v>0</c:v>
                </c:pt>
                <c:pt idx="2">
                  <c:v>0.75</c:v>
                </c:pt>
                <c:pt idx="3">
                  <c:v>0.88</c:v>
                </c:pt>
                <c:pt idx="4">
                  <c:v>1.24</c:v>
                </c:pt>
                <c:pt idx="5">
                  <c:v>1.43</c:v>
                </c:pt>
                <c:pt idx="6">
                  <c:v>1.34</c:v>
                </c:pt>
              </c:numCache>
            </c:numRef>
          </c:val>
          <c:smooth val="0"/>
          <c:extLst>
            <c:ext xmlns:c16="http://schemas.microsoft.com/office/drawing/2014/chart" uri="{C3380CC4-5D6E-409C-BE32-E72D297353CC}">
              <c16:uniqueId val="{00000000-1DED-47AC-A01E-164156FB97EC}"/>
            </c:ext>
          </c:extLst>
        </c:ser>
        <c:ser>
          <c:idx val="1"/>
          <c:order val="1"/>
          <c:tx>
            <c:strRef>
              <c:f>Sheet1!$C$1:$C$2</c:f>
              <c:strCache>
                <c:ptCount val="1"/>
                <c:pt idx="0">
                  <c:v>4DAS PL</c:v>
                </c:pt>
              </c:strCache>
            </c:strRef>
          </c:tx>
          <c:marker>
            <c:symbol val="none"/>
          </c:marker>
          <c:cat>
            <c:strRef>
              <c:f>Sheet1!$A$3:$A$9</c:f>
              <c:strCache>
                <c:ptCount val="7"/>
                <c:pt idx="1">
                  <c:v>100</c:v>
                </c:pt>
                <c:pt idx="2">
                  <c:v>50</c:v>
                </c:pt>
                <c:pt idx="3">
                  <c:v>25</c:v>
                </c:pt>
                <c:pt idx="4">
                  <c:v>12.5</c:v>
                </c:pt>
                <c:pt idx="5">
                  <c:v>6.25</c:v>
                </c:pt>
                <c:pt idx="6">
                  <c:v>Control</c:v>
                </c:pt>
              </c:strCache>
            </c:strRef>
          </c:cat>
          <c:val>
            <c:numRef>
              <c:f>Sheet1!$C$3:$C$9</c:f>
              <c:numCache>
                <c:formatCode>General</c:formatCode>
                <c:ptCount val="7"/>
                <c:pt idx="1">
                  <c:v>0.17</c:v>
                </c:pt>
                <c:pt idx="2">
                  <c:v>2.92</c:v>
                </c:pt>
                <c:pt idx="3">
                  <c:v>3.28</c:v>
                </c:pt>
                <c:pt idx="4">
                  <c:v>3.95</c:v>
                </c:pt>
                <c:pt idx="5">
                  <c:v>3.88</c:v>
                </c:pt>
                <c:pt idx="6">
                  <c:v>3.49</c:v>
                </c:pt>
              </c:numCache>
            </c:numRef>
          </c:val>
          <c:smooth val="0"/>
          <c:extLst>
            <c:ext xmlns:c16="http://schemas.microsoft.com/office/drawing/2014/chart" uri="{C3380CC4-5D6E-409C-BE32-E72D297353CC}">
              <c16:uniqueId val="{00000001-1DED-47AC-A01E-164156FB97EC}"/>
            </c:ext>
          </c:extLst>
        </c:ser>
        <c:ser>
          <c:idx val="2"/>
          <c:order val="2"/>
          <c:tx>
            <c:strRef>
              <c:f>Sheet1!$D$1:$D$2</c:f>
              <c:strCache>
                <c:ptCount val="1"/>
                <c:pt idx="0">
                  <c:v>5DAS PL</c:v>
                </c:pt>
              </c:strCache>
            </c:strRef>
          </c:tx>
          <c:marker>
            <c:symbol val="none"/>
          </c:marker>
          <c:cat>
            <c:strRef>
              <c:f>Sheet1!$A$3:$A$9</c:f>
              <c:strCache>
                <c:ptCount val="7"/>
                <c:pt idx="1">
                  <c:v>100</c:v>
                </c:pt>
                <c:pt idx="2">
                  <c:v>50</c:v>
                </c:pt>
                <c:pt idx="3">
                  <c:v>25</c:v>
                </c:pt>
                <c:pt idx="4">
                  <c:v>12.5</c:v>
                </c:pt>
                <c:pt idx="5">
                  <c:v>6.25</c:v>
                </c:pt>
                <c:pt idx="6">
                  <c:v>Control</c:v>
                </c:pt>
              </c:strCache>
            </c:strRef>
          </c:cat>
          <c:val>
            <c:numRef>
              <c:f>Sheet1!$D$3:$D$9</c:f>
              <c:numCache>
                <c:formatCode>General</c:formatCode>
                <c:ptCount val="7"/>
                <c:pt idx="1">
                  <c:v>2</c:v>
                </c:pt>
                <c:pt idx="2">
                  <c:v>4.55</c:v>
                </c:pt>
                <c:pt idx="3">
                  <c:v>4.79</c:v>
                </c:pt>
                <c:pt idx="4">
                  <c:v>6.02</c:v>
                </c:pt>
                <c:pt idx="5">
                  <c:v>5.46</c:v>
                </c:pt>
                <c:pt idx="6">
                  <c:v>4.42</c:v>
                </c:pt>
              </c:numCache>
            </c:numRef>
          </c:val>
          <c:smooth val="0"/>
          <c:extLst>
            <c:ext xmlns:c16="http://schemas.microsoft.com/office/drawing/2014/chart" uri="{C3380CC4-5D6E-409C-BE32-E72D297353CC}">
              <c16:uniqueId val="{00000002-1DED-47AC-A01E-164156FB97EC}"/>
            </c:ext>
          </c:extLst>
        </c:ser>
        <c:ser>
          <c:idx val="3"/>
          <c:order val="3"/>
          <c:tx>
            <c:strRef>
              <c:f>Sheet1!$E$1:$E$2</c:f>
              <c:strCache>
                <c:ptCount val="1"/>
                <c:pt idx="0">
                  <c:v>6DAS PL</c:v>
                </c:pt>
              </c:strCache>
            </c:strRef>
          </c:tx>
          <c:marker>
            <c:symbol val="none"/>
          </c:marker>
          <c:cat>
            <c:strRef>
              <c:f>Sheet1!$A$3:$A$9</c:f>
              <c:strCache>
                <c:ptCount val="7"/>
                <c:pt idx="1">
                  <c:v>100</c:v>
                </c:pt>
                <c:pt idx="2">
                  <c:v>50</c:v>
                </c:pt>
                <c:pt idx="3">
                  <c:v>25</c:v>
                </c:pt>
                <c:pt idx="4">
                  <c:v>12.5</c:v>
                </c:pt>
                <c:pt idx="5">
                  <c:v>6.25</c:v>
                </c:pt>
                <c:pt idx="6">
                  <c:v>Control</c:v>
                </c:pt>
              </c:strCache>
            </c:strRef>
          </c:cat>
          <c:val>
            <c:numRef>
              <c:f>Sheet1!$E$3:$E$9</c:f>
              <c:numCache>
                <c:formatCode>General</c:formatCode>
                <c:ptCount val="7"/>
                <c:pt idx="1">
                  <c:v>2.42</c:v>
                </c:pt>
                <c:pt idx="2">
                  <c:v>5.26</c:v>
                </c:pt>
                <c:pt idx="3">
                  <c:v>5.47</c:v>
                </c:pt>
                <c:pt idx="4">
                  <c:v>7.27</c:v>
                </c:pt>
                <c:pt idx="5">
                  <c:v>6.99</c:v>
                </c:pt>
                <c:pt idx="6">
                  <c:v>5.07</c:v>
                </c:pt>
              </c:numCache>
            </c:numRef>
          </c:val>
          <c:smooth val="0"/>
          <c:extLst>
            <c:ext xmlns:c16="http://schemas.microsoft.com/office/drawing/2014/chart" uri="{C3380CC4-5D6E-409C-BE32-E72D297353CC}">
              <c16:uniqueId val="{00000003-1DED-47AC-A01E-164156FB97EC}"/>
            </c:ext>
          </c:extLst>
        </c:ser>
        <c:ser>
          <c:idx val="4"/>
          <c:order val="4"/>
          <c:tx>
            <c:strRef>
              <c:f>Sheet1!$F$1:$F$2</c:f>
              <c:strCache>
                <c:ptCount val="1"/>
                <c:pt idx="0">
                  <c:v>7DAS PL</c:v>
                </c:pt>
              </c:strCache>
            </c:strRef>
          </c:tx>
          <c:marker>
            <c:symbol val="none"/>
          </c:marker>
          <c:cat>
            <c:strRef>
              <c:f>Sheet1!$A$3:$A$9</c:f>
              <c:strCache>
                <c:ptCount val="7"/>
                <c:pt idx="1">
                  <c:v>100</c:v>
                </c:pt>
                <c:pt idx="2">
                  <c:v>50</c:v>
                </c:pt>
                <c:pt idx="3">
                  <c:v>25</c:v>
                </c:pt>
                <c:pt idx="4">
                  <c:v>12.5</c:v>
                </c:pt>
                <c:pt idx="5">
                  <c:v>6.25</c:v>
                </c:pt>
                <c:pt idx="6">
                  <c:v>Control</c:v>
                </c:pt>
              </c:strCache>
            </c:strRef>
          </c:cat>
          <c:val>
            <c:numRef>
              <c:f>Sheet1!$F$3:$F$9</c:f>
              <c:numCache>
                <c:formatCode>General</c:formatCode>
                <c:ptCount val="7"/>
                <c:pt idx="1">
                  <c:v>2.5299999999999998</c:v>
                </c:pt>
                <c:pt idx="2">
                  <c:v>6.14</c:v>
                </c:pt>
                <c:pt idx="3">
                  <c:v>7.44</c:v>
                </c:pt>
                <c:pt idx="4">
                  <c:v>8.7899999999999991</c:v>
                </c:pt>
                <c:pt idx="5">
                  <c:v>7.78</c:v>
                </c:pt>
                <c:pt idx="6">
                  <c:v>5.37</c:v>
                </c:pt>
              </c:numCache>
            </c:numRef>
          </c:val>
          <c:smooth val="0"/>
          <c:extLst>
            <c:ext xmlns:c16="http://schemas.microsoft.com/office/drawing/2014/chart" uri="{C3380CC4-5D6E-409C-BE32-E72D297353CC}">
              <c16:uniqueId val="{00000004-1DED-47AC-A01E-164156FB97EC}"/>
            </c:ext>
          </c:extLst>
        </c:ser>
        <c:dLbls>
          <c:showLegendKey val="0"/>
          <c:showVal val="0"/>
          <c:showCatName val="0"/>
          <c:showSerName val="0"/>
          <c:showPercent val="0"/>
          <c:showBubbleSize val="0"/>
        </c:dLbls>
        <c:hiLowLines/>
        <c:smooth val="0"/>
        <c:axId val="335572560"/>
        <c:axId val="334468616"/>
      </c:lineChart>
      <c:catAx>
        <c:axId val="335572560"/>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b="1" i="0" baseline="0">
                    <a:effectLst/>
                    <a:latin typeface="Arial" panose="020B0604020202020204" pitchFamily="34" charset="0"/>
                    <a:cs typeface="Arial" panose="020B0604020202020204" pitchFamily="34" charset="0"/>
                  </a:rPr>
                  <a:t>NON Concentration</a:t>
                </a:r>
                <a:endParaRPr lang="en-US" sz="1000">
                  <a:effectLst/>
                  <a:latin typeface="Arial" panose="020B0604020202020204" pitchFamily="34" charset="0"/>
                  <a:cs typeface="Arial" panose="020B0604020202020204"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sz="1000">
                  <a:latin typeface="Arial" panose="020B0604020202020204" pitchFamily="34" charset="0"/>
                  <a:cs typeface="Arial" panose="020B0604020202020204" pitchFamily="34" charset="0"/>
                </a:endParaRPr>
              </a:p>
            </c:rich>
          </c:tx>
          <c:overlay val="0"/>
        </c:title>
        <c:numFmt formatCode="General" sourceLinked="0"/>
        <c:majorTickMark val="none"/>
        <c:minorTickMark val="none"/>
        <c:tickLblPos val="nextTo"/>
        <c:txPr>
          <a:bodyPr/>
          <a:lstStyle/>
          <a:p>
            <a:pPr>
              <a:defRPr sz="1000">
                <a:latin typeface="Arial" panose="020B0604020202020204" pitchFamily="34" charset="0"/>
                <a:cs typeface="Arial" panose="020B0604020202020204" pitchFamily="34" charset="0"/>
              </a:defRPr>
            </a:pPr>
            <a:endParaRPr lang="en-US"/>
          </a:p>
        </c:txPr>
        <c:crossAx val="334468616"/>
        <c:crosses val="autoZero"/>
        <c:auto val="1"/>
        <c:lblAlgn val="ctr"/>
        <c:lblOffset val="100"/>
        <c:noMultiLvlLbl val="0"/>
      </c:catAx>
      <c:valAx>
        <c:axId val="334468616"/>
        <c:scaling>
          <c:orientation val="minMax"/>
        </c:scaling>
        <c:delete val="0"/>
        <c:axPos val="l"/>
        <c:title>
          <c:tx>
            <c:rich>
              <a:bodyPr/>
              <a:lstStyle/>
              <a:p>
                <a:pPr>
                  <a:defRPr sz="1000">
                    <a:latin typeface="Arial" panose="020B0604020202020204" pitchFamily="34" charset="0"/>
                    <a:cs typeface="Arial" panose="020B0604020202020204" pitchFamily="34" charset="0"/>
                  </a:defRPr>
                </a:pPr>
                <a:r>
                  <a:rPr lang="en-US" sz="1000">
                    <a:latin typeface="Arial" panose="020B0604020202020204" pitchFamily="34" charset="0"/>
                    <a:cs typeface="Arial" panose="020B0604020202020204" pitchFamily="34" charset="0"/>
                  </a:rPr>
                  <a:t>Plumule Length (cm)</a:t>
                </a:r>
              </a:p>
            </c:rich>
          </c:tx>
          <c:overlay val="0"/>
        </c:title>
        <c:numFmt formatCode="General"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n-US"/>
          </a:p>
        </c:txPr>
        <c:crossAx val="335572560"/>
        <c:crosses val="autoZero"/>
        <c:crossBetween val="between"/>
      </c:valAx>
      <c:spPr>
        <a:noFill/>
        <a:ln w="25400">
          <a:noFill/>
        </a:ln>
      </c:spPr>
    </c:plotArea>
    <c:legend>
      <c:legendPos val="r"/>
      <c:overlay val="0"/>
      <c:txPr>
        <a:bodyPr/>
        <a:lstStyle/>
        <a:p>
          <a:pPr>
            <a:defRPr sz="1000">
              <a:latin typeface="Arial" panose="020B0604020202020204" pitchFamily="34" charset="0"/>
              <a:cs typeface="Arial" panose="020B0604020202020204" pitchFamily="34" charset="0"/>
            </a:defRPr>
          </a:pPr>
          <a:endParaRPr lang="en-US"/>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EE9FE-4A90-4A3A-9DA5-B86EA91ED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12</Pages>
  <Words>4118</Words>
  <Characters>23478</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Obed Okwoli</dc:creator>
  <cp:keywords/>
  <dc:description/>
  <cp:lastModifiedBy>SDI 1137</cp:lastModifiedBy>
  <cp:revision>25</cp:revision>
  <dcterms:created xsi:type="dcterms:W3CDTF">2025-07-10T14:48:00Z</dcterms:created>
  <dcterms:modified xsi:type="dcterms:W3CDTF">2025-08-14T07:37:00Z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93ca3d9d-f718-4713-b6a8-85f9a0b1ffe0</vt:lpwstr>
  </property>
</Properties>
</file>