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4C3F" w14:textId="77777777" w:rsidR="00754C9A" w:rsidRDefault="00754C9A" w:rsidP="00441B6F">
      <w:pPr>
        <w:pStyle w:val="Title"/>
        <w:spacing w:after="0"/>
        <w:jc w:val="both"/>
        <w:rPr>
          <w:rFonts w:ascii="Arial" w:hAnsi="Arial" w:cs="Arial"/>
        </w:rPr>
      </w:pPr>
    </w:p>
    <w:p w14:paraId="3A2BCEE6" w14:textId="4187B014" w:rsidR="00163BC4" w:rsidRPr="00163BC4" w:rsidRDefault="00A812EE" w:rsidP="00441B6F">
      <w:pPr>
        <w:pStyle w:val="Author"/>
        <w:spacing w:line="240" w:lineRule="auto"/>
        <w:rPr>
          <w:rFonts w:ascii="Arial" w:hAnsi="Arial" w:cs="Arial"/>
          <w:bCs/>
          <w:iCs/>
          <w:kern w:val="28"/>
          <w:sz w:val="36"/>
        </w:rPr>
      </w:pPr>
      <w:r>
        <w:rPr>
          <w:rFonts w:ascii="Arial" w:hAnsi="Arial" w:cs="Arial"/>
          <w:bCs/>
          <w:iCs/>
          <w:kern w:val="28"/>
          <w:sz w:val="36"/>
        </w:rPr>
        <w:t xml:space="preserve">MOLECULAR IDENTIFICATION OF SOME </w:t>
      </w:r>
      <w:r w:rsidRPr="00A812EE">
        <w:rPr>
          <w:rFonts w:ascii="Arial" w:hAnsi="Arial" w:cs="Arial"/>
          <w:bCs/>
          <w:iCs/>
          <w:kern w:val="28"/>
          <w:sz w:val="36"/>
        </w:rPr>
        <w:t xml:space="preserve">WOOD-DECAY FUNGI OF </w:t>
      </w:r>
      <w:r>
        <w:rPr>
          <w:rFonts w:ascii="Arial" w:hAnsi="Arial" w:cs="Arial"/>
          <w:bCs/>
          <w:iCs/>
          <w:kern w:val="28"/>
          <w:sz w:val="36"/>
        </w:rPr>
        <w:t xml:space="preserve">SOME </w:t>
      </w:r>
      <w:r w:rsidRPr="00A812EE">
        <w:rPr>
          <w:rFonts w:ascii="Arial" w:hAnsi="Arial" w:cs="Arial"/>
          <w:bCs/>
          <w:iCs/>
          <w:kern w:val="28"/>
          <w:sz w:val="36"/>
        </w:rPr>
        <w:t xml:space="preserve">SOFTWOOD TIMBER </w:t>
      </w:r>
      <w:r w:rsidR="00EE7775" w:rsidRPr="009A6205">
        <w:rPr>
          <w:rFonts w:ascii="Arial" w:hAnsi="Arial" w:cs="Arial"/>
          <w:bCs/>
          <w:iCs/>
          <w:kern w:val="28"/>
          <w:sz w:val="36"/>
          <w:highlight w:val="yellow"/>
        </w:rPr>
        <w:t>BY USING</w:t>
      </w:r>
      <w:r w:rsidR="0023594E" w:rsidRPr="009A6205">
        <w:rPr>
          <w:rFonts w:ascii="Arial" w:hAnsi="Arial" w:cs="Arial"/>
          <w:bCs/>
          <w:iCs/>
          <w:kern w:val="28"/>
          <w:sz w:val="36"/>
          <w:highlight w:val="yellow"/>
        </w:rPr>
        <w:t xml:space="preserve"> INTERNAL TRANSCRIBED SPACER</w:t>
      </w:r>
      <w:r w:rsidR="00EE7775" w:rsidRPr="009A6205">
        <w:rPr>
          <w:rFonts w:ascii="Arial" w:hAnsi="Arial" w:cs="Arial"/>
          <w:bCs/>
          <w:iCs/>
          <w:kern w:val="28"/>
          <w:sz w:val="36"/>
          <w:highlight w:val="yellow"/>
        </w:rPr>
        <w:t xml:space="preserve"> PRIMERS IN</w:t>
      </w:r>
      <w:r w:rsidR="00A941EA" w:rsidRPr="009A6205">
        <w:rPr>
          <w:rFonts w:ascii="Arial" w:hAnsi="Arial" w:cs="Arial"/>
          <w:bCs/>
          <w:iCs/>
          <w:kern w:val="28"/>
          <w:sz w:val="36"/>
          <w:highlight w:val="yellow"/>
        </w:rPr>
        <w:t xml:space="preserve"> </w:t>
      </w:r>
      <w:r w:rsidRPr="009A6205">
        <w:rPr>
          <w:rFonts w:ascii="Arial" w:hAnsi="Arial" w:cs="Arial"/>
          <w:bCs/>
          <w:iCs/>
          <w:kern w:val="28"/>
          <w:sz w:val="36"/>
          <w:highlight w:val="yellow"/>
        </w:rPr>
        <w:t>AKWA IBOM STATE</w:t>
      </w:r>
      <w:r w:rsidR="00380F6D">
        <w:rPr>
          <w:rFonts w:ascii="Arial" w:hAnsi="Arial" w:cs="Arial"/>
          <w:bCs/>
          <w:iCs/>
          <w:kern w:val="28"/>
          <w:sz w:val="36"/>
        </w:rPr>
        <w:t>,</w:t>
      </w:r>
      <w:r w:rsidR="00380F6D" w:rsidRPr="00380F6D">
        <w:t xml:space="preserve"> </w:t>
      </w:r>
      <w:r w:rsidR="00380F6D" w:rsidRPr="00380F6D">
        <w:rPr>
          <w:rFonts w:ascii="Arial" w:hAnsi="Arial" w:cs="Arial"/>
          <w:bCs/>
          <w:iCs/>
          <w:kern w:val="28"/>
          <w:sz w:val="36"/>
        </w:rPr>
        <w:t>NIGERIA</w:t>
      </w:r>
    </w:p>
    <w:p w14:paraId="3DAD285E" w14:textId="77777777" w:rsidR="00A258C3" w:rsidRPr="00790ADA" w:rsidRDefault="00A258C3" w:rsidP="00441B6F">
      <w:pPr>
        <w:pStyle w:val="Author"/>
        <w:spacing w:line="240" w:lineRule="auto"/>
        <w:jc w:val="both"/>
        <w:rPr>
          <w:rFonts w:ascii="Arial" w:hAnsi="Arial" w:cs="Arial"/>
          <w:sz w:val="36"/>
        </w:rPr>
      </w:pPr>
    </w:p>
    <w:p w14:paraId="274EEB2D" w14:textId="31D851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A0D7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29FDBD" w14:textId="77777777" w:rsidTr="001E44FE">
        <w:tc>
          <w:tcPr>
            <w:tcW w:w="9576" w:type="dxa"/>
            <w:shd w:val="clear" w:color="auto" w:fill="F2F2F2"/>
          </w:tcPr>
          <w:p w14:paraId="68748FCF" w14:textId="77777777" w:rsidR="007E7E98" w:rsidRDefault="00BA1B01" w:rsidP="00D6281D">
            <w:pPr>
              <w:pStyle w:val="Body"/>
              <w:spacing w:after="0"/>
              <w:rPr>
                <w:rFonts w:ascii="Arial" w:hAnsi="Arial" w:cs="Arial"/>
                <w:iCs/>
              </w:rPr>
            </w:pPr>
            <w:r w:rsidRPr="00BA1B01">
              <w:rPr>
                <w:rFonts w:ascii="Arial" w:eastAsia="Calibri" w:hAnsi="Arial" w:cs="Arial"/>
                <w:b/>
                <w:szCs w:val="22"/>
              </w:rPr>
              <w:t xml:space="preserve">Aims: </w:t>
            </w:r>
            <w:r w:rsidR="00642D8B" w:rsidRPr="00155F57">
              <w:rPr>
                <w:rFonts w:ascii="Arial" w:hAnsi="Arial" w:cs="Arial"/>
              </w:rPr>
              <w:t>This research focuses on</w:t>
            </w:r>
            <w:r w:rsidR="007E7E98">
              <w:rPr>
                <w:rFonts w:ascii="Arial" w:hAnsi="Arial" w:cs="Arial"/>
              </w:rPr>
              <w:t xml:space="preserve"> </w:t>
            </w:r>
            <w:r w:rsidR="007E7E98" w:rsidRPr="007E7E98">
              <w:rPr>
                <w:rFonts w:ascii="Arial" w:hAnsi="Arial" w:cs="Arial"/>
                <w:iCs/>
              </w:rPr>
              <w:t xml:space="preserve">molecular identification of some wood-decay fungi of some softwood timber in some parts of </w:t>
            </w:r>
            <w:r w:rsidR="007E7E98">
              <w:rPr>
                <w:rFonts w:ascii="Arial" w:hAnsi="Arial" w:cs="Arial"/>
                <w:iCs/>
              </w:rPr>
              <w:t>A</w:t>
            </w:r>
            <w:r w:rsidR="007E7E98" w:rsidRPr="007E7E98">
              <w:rPr>
                <w:rFonts w:ascii="Arial" w:hAnsi="Arial" w:cs="Arial"/>
                <w:iCs/>
              </w:rPr>
              <w:t xml:space="preserve">kwa </w:t>
            </w:r>
            <w:r w:rsidR="007E7E98">
              <w:rPr>
                <w:rFonts w:ascii="Arial" w:hAnsi="Arial" w:cs="Arial"/>
                <w:iCs/>
              </w:rPr>
              <w:t>I</w:t>
            </w:r>
            <w:r w:rsidR="007E7E98" w:rsidRPr="007E7E98">
              <w:rPr>
                <w:rFonts w:ascii="Arial" w:hAnsi="Arial" w:cs="Arial"/>
                <w:iCs/>
              </w:rPr>
              <w:t xml:space="preserve">bom </w:t>
            </w:r>
            <w:r w:rsidR="007E7E98">
              <w:rPr>
                <w:rFonts w:ascii="Arial" w:hAnsi="Arial" w:cs="Arial"/>
                <w:iCs/>
              </w:rPr>
              <w:t>S</w:t>
            </w:r>
            <w:r w:rsidR="007E7E98" w:rsidRPr="007E7E98">
              <w:rPr>
                <w:rFonts w:ascii="Arial" w:hAnsi="Arial" w:cs="Arial"/>
                <w:iCs/>
              </w:rPr>
              <w:t>tate</w:t>
            </w:r>
            <w:r w:rsidR="007E7E98">
              <w:rPr>
                <w:rFonts w:ascii="Arial" w:hAnsi="Arial" w:cs="Arial"/>
                <w:iCs/>
              </w:rPr>
              <w:t>.</w:t>
            </w:r>
          </w:p>
          <w:p w14:paraId="1BC2FEE6" w14:textId="0B41881E" w:rsidR="00924836" w:rsidRPr="00666564" w:rsidRDefault="00BA1B01" w:rsidP="00D6281D">
            <w:pPr>
              <w:pStyle w:val="Body"/>
              <w:spacing w:after="0"/>
              <w:rPr>
                <w:rFonts w:ascii="Arial" w:eastAsia="Calibri" w:hAnsi="Arial" w:cs="Arial"/>
                <w:szCs w:val="22"/>
              </w:rPr>
            </w:pPr>
            <w:r w:rsidRPr="00BA1B01">
              <w:rPr>
                <w:rFonts w:ascii="Arial" w:eastAsia="Calibri" w:hAnsi="Arial" w:cs="Arial"/>
                <w:b/>
                <w:szCs w:val="22"/>
              </w:rPr>
              <w:t>Study design:</w:t>
            </w:r>
            <w:r w:rsidR="007E7E98">
              <w:rPr>
                <w:rFonts w:ascii="Arial" w:eastAsia="Calibri" w:hAnsi="Arial" w:cs="Arial"/>
                <w:szCs w:val="22"/>
              </w:rPr>
              <w:t xml:space="preserve"> </w:t>
            </w:r>
            <w:r w:rsidR="00666564">
              <w:rPr>
                <w:rFonts w:ascii="Arial" w:eastAsia="Calibri" w:hAnsi="Arial" w:cs="Arial"/>
                <w:szCs w:val="22"/>
              </w:rPr>
              <w:t xml:space="preserve">The study was conducted in the laboratory </w:t>
            </w:r>
            <w:r w:rsidR="00666564" w:rsidRPr="00FD60A7">
              <w:rPr>
                <w:rFonts w:ascii="Arial" w:eastAsia="Calibri" w:hAnsi="Arial" w:cs="Arial"/>
                <w:szCs w:val="22"/>
                <w:highlight w:val="yellow"/>
              </w:rPr>
              <w:t>using culture</w:t>
            </w:r>
            <w:r w:rsidR="00B6781D" w:rsidRPr="00FD60A7">
              <w:rPr>
                <w:rFonts w:ascii="Arial" w:eastAsia="Calibri" w:hAnsi="Arial" w:cs="Arial"/>
                <w:szCs w:val="22"/>
                <w:highlight w:val="yellow"/>
              </w:rPr>
              <w:t xml:space="preserve"> vessels to maintain isolated</w:t>
            </w:r>
            <w:r w:rsidR="00666564" w:rsidRPr="00FD60A7">
              <w:rPr>
                <w:rFonts w:ascii="Arial" w:eastAsia="Calibri" w:hAnsi="Arial" w:cs="Arial"/>
                <w:szCs w:val="22"/>
                <w:highlight w:val="yellow"/>
              </w:rPr>
              <w:t xml:space="preserve"> fung</w:t>
            </w:r>
            <w:r w:rsidR="00B6781D" w:rsidRPr="00FD60A7">
              <w:rPr>
                <w:rFonts w:ascii="Arial" w:eastAsia="Calibri" w:hAnsi="Arial" w:cs="Arial"/>
                <w:szCs w:val="22"/>
                <w:highlight w:val="yellow"/>
              </w:rPr>
              <w:t>al culture from decaying</w:t>
            </w:r>
            <w:r w:rsidR="00666564" w:rsidRPr="00FD60A7">
              <w:rPr>
                <w:rFonts w:ascii="Arial" w:eastAsia="Calibri" w:hAnsi="Arial" w:cs="Arial"/>
                <w:szCs w:val="22"/>
                <w:highlight w:val="yellow"/>
              </w:rPr>
              <w:t xml:space="preserve"> wood sample</w:t>
            </w:r>
            <w:r w:rsidR="00B6781D" w:rsidRPr="00FD60A7">
              <w:rPr>
                <w:rFonts w:ascii="Arial" w:eastAsia="Calibri" w:hAnsi="Arial" w:cs="Arial"/>
                <w:szCs w:val="22"/>
                <w:highlight w:val="yellow"/>
              </w:rPr>
              <w:t>s</w:t>
            </w:r>
            <w:r w:rsidR="00666564" w:rsidRPr="00FD60A7">
              <w:rPr>
                <w:rFonts w:ascii="Arial" w:eastAsia="Calibri" w:hAnsi="Arial" w:cs="Arial"/>
                <w:szCs w:val="22"/>
                <w:highlight w:val="yellow"/>
              </w:rPr>
              <w:t>.</w:t>
            </w:r>
            <w:r w:rsidR="00666564">
              <w:rPr>
                <w:rFonts w:ascii="Arial" w:eastAsia="Calibri" w:hAnsi="Arial" w:cs="Arial"/>
                <w:szCs w:val="22"/>
              </w:rPr>
              <w:t xml:space="preserve">  </w:t>
            </w:r>
          </w:p>
          <w:p w14:paraId="42AA1F55" w14:textId="25CA6614" w:rsidR="00BA1B01" w:rsidRPr="00924836" w:rsidRDefault="00BA1B01" w:rsidP="00D6281D">
            <w:pPr>
              <w:pStyle w:val="Body"/>
              <w:spacing w:after="0"/>
              <w:rPr>
                <w:rFonts w:ascii="Arial" w:eastAsia="Calibri" w:hAnsi="Arial" w:cs="Arial"/>
                <w:szCs w:val="22"/>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CD10EC" w:rsidRPr="00FD60A7">
              <w:rPr>
                <w:rFonts w:ascii="Arial" w:eastAsia="Calibri" w:hAnsi="Arial" w:cs="Arial"/>
                <w:highlight w:val="yellow"/>
              </w:rPr>
              <w:t>Samples</w:t>
            </w:r>
            <w:r w:rsidR="00FD4800" w:rsidRPr="00FD60A7">
              <w:rPr>
                <w:rFonts w:ascii="Arial" w:eastAsia="Calibri" w:hAnsi="Arial" w:cs="Arial"/>
                <w:highlight w:val="yellow"/>
              </w:rPr>
              <w:t xml:space="preserve"> were obtained from</w:t>
            </w:r>
            <w:r w:rsidR="00CD10EC" w:rsidRPr="00FD60A7">
              <w:rPr>
                <w:rFonts w:ascii="Arial" w:eastAsia="Calibri" w:hAnsi="Arial" w:cs="Arial"/>
                <w:highlight w:val="yellow"/>
              </w:rPr>
              <w:t xml:space="preserve"> Idu timber market</w:t>
            </w:r>
            <w:r w:rsidR="00FD4800" w:rsidRPr="00FD60A7">
              <w:rPr>
                <w:rFonts w:ascii="Arial" w:eastAsia="Calibri" w:hAnsi="Arial" w:cs="Arial"/>
                <w:highlight w:val="yellow"/>
              </w:rPr>
              <w:t>,</w:t>
            </w:r>
            <w:r w:rsidR="00CD10EC" w:rsidRPr="00FD60A7">
              <w:rPr>
                <w:rFonts w:ascii="Arial" w:eastAsia="Calibri" w:hAnsi="Arial" w:cs="Arial"/>
                <w:highlight w:val="yellow"/>
              </w:rPr>
              <w:t xml:space="preserve"> Uruan, LGA, Akwa Ibom State</w:t>
            </w:r>
            <w:r w:rsidR="00FD4800" w:rsidRPr="00FD60A7">
              <w:rPr>
                <w:rFonts w:ascii="Arial" w:eastAsia="Calibri" w:hAnsi="Arial" w:cs="Arial"/>
                <w:highlight w:val="yellow"/>
              </w:rPr>
              <w:t xml:space="preserve"> which were then taken Botany and Microbiology laboratories at the University of Uyo for culturing. Molecular identification was done in</w:t>
            </w:r>
            <w:r w:rsidR="00FD4800" w:rsidRPr="00FD60A7">
              <w:rPr>
                <w:rFonts w:ascii="Times New Roman" w:eastAsia="Calibri" w:hAnsi="Times New Roman"/>
                <w:sz w:val="22"/>
                <w:szCs w:val="22"/>
                <w:highlight w:val="yellow"/>
              </w:rPr>
              <w:t xml:space="preserve"> </w:t>
            </w:r>
            <w:r w:rsidR="00406C64" w:rsidRPr="00FD60A7">
              <w:rPr>
                <w:rFonts w:ascii="Arial" w:eastAsia="Calibri" w:hAnsi="Arial" w:cs="Arial"/>
                <w:szCs w:val="22"/>
                <w:highlight w:val="yellow"/>
              </w:rPr>
              <w:t>Inqaba South Africa</w:t>
            </w:r>
            <w:r w:rsidR="00FD4800" w:rsidRPr="00FD60A7">
              <w:rPr>
                <w:rFonts w:ascii="Arial" w:eastAsia="Calibri" w:hAnsi="Arial" w:cs="Arial"/>
                <w:szCs w:val="22"/>
                <w:highlight w:val="yellow"/>
              </w:rPr>
              <w:t>.</w:t>
            </w:r>
            <w:r w:rsidR="00DB4748" w:rsidRPr="00FD60A7">
              <w:rPr>
                <w:rFonts w:ascii="Arial" w:eastAsia="Calibri" w:hAnsi="Arial" w:cs="Arial"/>
                <w:szCs w:val="22"/>
                <w:highlight w:val="yellow"/>
              </w:rPr>
              <w:t xml:space="preserve"> The entire </w:t>
            </w:r>
            <w:r w:rsidR="00532994" w:rsidRPr="00FD60A7">
              <w:rPr>
                <w:rFonts w:ascii="Arial" w:eastAsia="Calibri" w:hAnsi="Arial" w:cs="Arial"/>
                <w:szCs w:val="22"/>
                <w:highlight w:val="yellow"/>
              </w:rPr>
              <w:t>work was done in summer seasons of 2024.</w:t>
            </w:r>
          </w:p>
          <w:p w14:paraId="1380DD8B" w14:textId="371B13D6" w:rsidR="00BA1B01" w:rsidRPr="00BA1B01" w:rsidRDefault="00BA1B01" w:rsidP="00D6281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4800" w:rsidRPr="00FD4800">
              <w:rPr>
                <w:rFonts w:ascii="Arial" w:eastAsia="Calibri" w:hAnsi="Arial" w:cs="Arial"/>
                <w:szCs w:val="22"/>
              </w:rPr>
              <w:t>The isolates were inoculated on Sabouraud Dextrose Agar (SDA) plates. The plates were incubated at 27</w:t>
            </w:r>
            <w:r w:rsidR="00FD4800" w:rsidRPr="00FD4800">
              <w:rPr>
                <w:rFonts w:ascii="Arial" w:eastAsia="Calibri" w:hAnsi="Arial" w:cs="Arial"/>
                <w:szCs w:val="22"/>
                <w:vertAlign w:val="superscript"/>
              </w:rPr>
              <w:t>o</w:t>
            </w:r>
            <w:r w:rsidR="00FD4800" w:rsidRPr="00FD4800">
              <w:rPr>
                <w:rFonts w:ascii="Arial" w:eastAsia="Calibri" w:hAnsi="Arial" w:cs="Arial"/>
                <w:szCs w:val="22"/>
              </w:rPr>
              <w:t xml:space="preserve">C </w:t>
            </w:r>
            <w:r w:rsidR="00FD4800" w:rsidRPr="00FD60A7">
              <w:rPr>
                <w:rFonts w:ascii="Arial" w:eastAsia="Calibri" w:hAnsi="Arial" w:cs="Arial"/>
                <w:szCs w:val="22"/>
                <w:highlight w:val="yellow"/>
              </w:rPr>
              <w:t>for seven</w:t>
            </w:r>
            <w:r w:rsidR="00B6781D" w:rsidRPr="00FD60A7">
              <w:rPr>
                <w:rFonts w:ascii="Arial" w:eastAsia="Calibri" w:hAnsi="Arial" w:cs="Arial"/>
                <w:szCs w:val="22"/>
                <w:highlight w:val="yellow"/>
              </w:rPr>
              <w:t xml:space="preserve"> </w:t>
            </w:r>
            <w:r w:rsidR="00FD4800" w:rsidRPr="00FD60A7">
              <w:rPr>
                <w:rFonts w:ascii="Arial" w:eastAsia="Calibri" w:hAnsi="Arial" w:cs="Arial"/>
                <w:szCs w:val="22"/>
                <w:highlight w:val="yellow"/>
              </w:rPr>
              <w:t>days</w:t>
            </w:r>
            <w:r w:rsidR="00FD4800" w:rsidRPr="00FD4800">
              <w:rPr>
                <w:rFonts w:ascii="Arial" w:eastAsia="Calibri" w:hAnsi="Arial" w:cs="Arial"/>
                <w:szCs w:val="22"/>
              </w:rPr>
              <w:t xml:space="preserve">. Then molecular identification and sequencing were carried out. Extraction was done using a ZR fungal/bacterial DNA mini prep extraction kit. </w:t>
            </w:r>
            <w:r w:rsidR="00FD4800" w:rsidRPr="00FD4800">
              <w:rPr>
                <w:rFonts w:ascii="Arial" w:eastAsia="Calibri" w:hAnsi="Arial" w:cs="Arial"/>
                <w:bCs/>
                <w:szCs w:val="22"/>
                <w:lang w:val="en-GB"/>
              </w:rPr>
              <w:t xml:space="preserve">The extracted genomic DNA was quantified using the Nanodrop 1000 spectrophotometer. </w:t>
            </w:r>
            <w:r w:rsidR="00FD4800" w:rsidRPr="00FD60A7">
              <w:rPr>
                <w:rFonts w:ascii="Arial" w:eastAsia="Calibri" w:hAnsi="Arial" w:cs="Arial"/>
                <w:szCs w:val="22"/>
                <w:highlight w:val="yellow"/>
                <w:lang w:val="en-GB"/>
              </w:rPr>
              <w:t xml:space="preserve">The </w:t>
            </w:r>
            <w:r w:rsidR="00532994" w:rsidRPr="00FD60A7">
              <w:rPr>
                <w:rFonts w:ascii="Arial" w:eastAsia="Calibri" w:hAnsi="Arial" w:cs="Arial"/>
                <w:szCs w:val="22"/>
                <w:highlight w:val="yellow"/>
                <w:lang w:val="en-GB"/>
              </w:rPr>
              <w:t>Internal Transcribed Spacer 1(</w:t>
            </w:r>
            <w:r w:rsidR="00FD4800" w:rsidRPr="00FD60A7">
              <w:rPr>
                <w:rFonts w:ascii="Arial" w:eastAsia="Calibri" w:hAnsi="Arial" w:cs="Arial"/>
                <w:szCs w:val="22"/>
                <w:highlight w:val="yellow"/>
                <w:lang w:val="en-GB"/>
              </w:rPr>
              <w:t>ITS</w:t>
            </w:r>
            <w:r w:rsidR="00532994" w:rsidRPr="00FD60A7">
              <w:rPr>
                <w:rFonts w:ascii="Arial" w:eastAsia="Calibri" w:hAnsi="Arial" w:cs="Arial"/>
                <w:szCs w:val="22"/>
                <w:highlight w:val="yellow"/>
                <w:lang w:val="en-GB"/>
              </w:rPr>
              <w:t>) as forward and ITS 4 as reverse</w:t>
            </w:r>
            <w:r w:rsidR="00FD4800" w:rsidRPr="00FD60A7">
              <w:rPr>
                <w:rFonts w:ascii="Arial" w:eastAsia="Calibri" w:hAnsi="Arial" w:cs="Arial"/>
                <w:szCs w:val="22"/>
                <w:highlight w:val="yellow"/>
                <w:lang w:val="en-GB"/>
              </w:rPr>
              <w:t xml:space="preserve"> primers.</w:t>
            </w:r>
            <w:r w:rsidR="00FD4800" w:rsidRPr="00FD4800">
              <w:rPr>
                <w:rFonts w:ascii="Arial" w:eastAsia="Calibri" w:hAnsi="Arial" w:cs="Arial"/>
                <w:szCs w:val="22"/>
                <w:lang w:val="en-GB"/>
              </w:rPr>
              <w:t xml:space="preserve"> </w:t>
            </w:r>
            <w:r w:rsidR="00FD4800" w:rsidRPr="00FD4800">
              <w:rPr>
                <w:rFonts w:ascii="Arial" w:eastAsia="Calibri" w:hAnsi="Arial" w:cs="Arial"/>
                <w:szCs w:val="22"/>
              </w:rPr>
              <w:t xml:space="preserve">Sequencing was done using the BigDye Terminator kit on a 3510 ABI sequencer. Obtained sequences were </w:t>
            </w:r>
            <w:r w:rsidR="00532994">
              <w:rPr>
                <w:rFonts w:ascii="Arial" w:eastAsia="Calibri" w:hAnsi="Arial" w:cs="Arial"/>
                <w:szCs w:val="22"/>
              </w:rPr>
              <w:t xml:space="preserve">trimmed or filtered </w:t>
            </w:r>
            <w:r w:rsidR="00FD4800" w:rsidRPr="00FD4800">
              <w:rPr>
                <w:rFonts w:ascii="Arial" w:eastAsia="Calibri" w:hAnsi="Arial" w:cs="Arial"/>
                <w:szCs w:val="22"/>
              </w:rPr>
              <w:t>using</w:t>
            </w:r>
            <w:r w:rsidR="00532994">
              <w:rPr>
                <w:rFonts w:ascii="Arial" w:eastAsia="Calibri" w:hAnsi="Arial" w:cs="Arial"/>
                <w:szCs w:val="22"/>
              </w:rPr>
              <w:t xml:space="preserve"> </w:t>
            </w:r>
            <w:r w:rsidR="00FD4800" w:rsidRPr="00FD4800">
              <w:rPr>
                <w:rFonts w:ascii="Arial" w:eastAsia="Calibri" w:hAnsi="Arial" w:cs="Arial"/>
                <w:szCs w:val="22"/>
              </w:rPr>
              <w:t>bioinformatics algorithm</w:t>
            </w:r>
            <w:r w:rsidR="00A7062E">
              <w:rPr>
                <w:rFonts w:ascii="Arial" w:eastAsia="Calibri" w:hAnsi="Arial" w:cs="Arial"/>
                <w:szCs w:val="22"/>
              </w:rPr>
              <w:t>. S</w:t>
            </w:r>
            <w:r w:rsidR="00FD4800" w:rsidRPr="00FD4800">
              <w:rPr>
                <w:rFonts w:ascii="Arial" w:eastAsia="Calibri" w:hAnsi="Arial" w:cs="Arial"/>
                <w:szCs w:val="22"/>
              </w:rPr>
              <w:t xml:space="preserve">imilar sequences were downloaded from the National Center for Biotechnology Information (NCBI) </w:t>
            </w:r>
            <w:r w:rsidR="00A7062E" w:rsidRPr="008055F6">
              <w:rPr>
                <w:rFonts w:ascii="Arial" w:eastAsia="Calibri" w:hAnsi="Arial" w:cs="Arial"/>
                <w:szCs w:val="22"/>
                <w:highlight w:val="yellow"/>
              </w:rPr>
              <w:t>database</w:t>
            </w:r>
            <w:r w:rsidR="00FD4800" w:rsidRPr="00FD4800">
              <w:rPr>
                <w:rFonts w:ascii="Arial" w:eastAsia="Calibri" w:hAnsi="Arial" w:cs="Arial"/>
                <w:szCs w:val="22"/>
              </w:rPr>
              <w:t xml:space="preserve"> using BLASTN. The accession number of </w:t>
            </w:r>
            <w:r w:rsidR="00A7062E" w:rsidRPr="008055F6">
              <w:rPr>
                <w:rFonts w:ascii="Arial" w:eastAsia="Calibri" w:hAnsi="Arial" w:cs="Arial"/>
                <w:szCs w:val="22"/>
                <w:highlight w:val="yellow"/>
              </w:rPr>
              <w:t>a</w:t>
            </w:r>
            <w:r w:rsidR="00FD4800" w:rsidRPr="008055F6">
              <w:rPr>
                <w:rFonts w:ascii="Arial" w:eastAsia="Calibri" w:hAnsi="Arial" w:cs="Arial"/>
                <w:szCs w:val="22"/>
                <w:highlight w:val="yellow"/>
              </w:rPr>
              <w:t xml:space="preserve">mplified </w:t>
            </w:r>
            <w:r w:rsidR="00A7062E" w:rsidRPr="008055F6">
              <w:rPr>
                <w:rFonts w:ascii="Arial" w:eastAsia="Calibri" w:hAnsi="Arial" w:cs="Arial"/>
                <w:szCs w:val="22"/>
                <w:highlight w:val="yellow"/>
              </w:rPr>
              <w:t>n</w:t>
            </w:r>
            <w:r w:rsidR="00FD4800" w:rsidRPr="008055F6">
              <w:rPr>
                <w:rFonts w:ascii="Arial" w:eastAsia="Calibri" w:hAnsi="Arial" w:cs="Arial"/>
                <w:szCs w:val="22"/>
                <w:highlight w:val="yellow"/>
              </w:rPr>
              <w:t>ucleotides</w:t>
            </w:r>
            <w:r w:rsidR="00FD4800" w:rsidRPr="00FD4800">
              <w:rPr>
                <w:rFonts w:ascii="Arial" w:eastAsia="Calibri" w:hAnsi="Arial" w:cs="Arial"/>
                <w:szCs w:val="22"/>
              </w:rPr>
              <w:t xml:space="preserve"> sequences for fungal isolate and morphological characteristics were obtained</w:t>
            </w:r>
            <w:r w:rsidR="00DB4748">
              <w:rPr>
                <w:rFonts w:ascii="Arial" w:eastAsia="Calibri" w:hAnsi="Arial" w:cs="Arial"/>
                <w:szCs w:val="22"/>
              </w:rPr>
              <w:t>. Finally, percentage</w:t>
            </w:r>
            <w:r w:rsidR="00A7062E">
              <w:rPr>
                <w:rFonts w:ascii="Arial" w:eastAsia="Calibri" w:hAnsi="Arial" w:cs="Arial"/>
                <w:szCs w:val="22"/>
              </w:rPr>
              <w:t xml:space="preserve"> </w:t>
            </w:r>
            <w:r w:rsidR="00DB4748">
              <w:rPr>
                <w:rFonts w:ascii="Arial" w:eastAsia="Calibri" w:hAnsi="Arial" w:cs="Arial"/>
                <w:szCs w:val="22"/>
              </w:rPr>
              <w:t>distribution of fungi isolated were calculated.</w:t>
            </w:r>
            <w:r w:rsidR="00FD4800">
              <w:rPr>
                <w:rFonts w:ascii="Arial" w:eastAsia="Calibri" w:hAnsi="Arial" w:cs="Arial"/>
                <w:szCs w:val="22"/>
              </w:rPr>
              <w:t xml:space="preserve"> </w:t>
            </w:r>
          </w:p>
          <w:p w14:paraId="51BFD2EB" w14:textId="23D61D9E" w:rsidR="00BA1B01" w:rsidRPr="00BA1B01" w:rsidRDefault="00BA1B01" w:rsidP="00D6281D">
            <w:pPr>
              <w:pStyle w:val="Body"/>
              <w:spacing w:after="0"/>
              <w:rPr>
                <w:rFonts w:ascii="Arial" w:eastAsia="Calibri" w:hAnsi="Arial" w:cs="Arial"/>
                <w:b/>
                <w:bCs/>
                <w:szCs w:val="22"/>
              </w:rPr>
            </w:pPr>
            <w:r w:rsidRPr="00BA1B01">
              <w:rPr>
                <w:rFonts w:ascii="Arial" w:eastAsia="Calibri" w:hAnsi="Arial" w:cs="Arial"/>
                <w:b/>
                <w:bCs/>
                <w:szCs w:val="22"/>
              </w:rPr>
              <w:t>Results:</w:t>
            </w:r>
            <w:r w:rsidR="00F826CA">
              <w:rPr>
                <w:rFonts w:ascii="Arial" w:eastAsia="Calibri" w:hAnsi="Arial" w:cs="Arial"/>
                <w:b/>
                <w:bCs/>
                <w:szCs w:val="22"/>
              </w:rPr>
              <w:t xml:space="preserve"> </w:t>
            </w:r>
            <w:r w:rsidR="00F826CA">
              <w:rPr>
                <w:rFonts w:ascii="Arial" w:eastAsia="Calibri" w:hAnsi="Arial" w:cs="Arial"/>
                <w:szCs w:val="22"/>
              </w:rPr>
              <w:t xml:space="preserve">The DNA extractions reveal the following fungi that occur in the three wood samples: </w:t>
            </w:r>
            <w:r w:rsidR="00DB4748" w:rsidRPr="00DB4748">
              <w:rPr>
                <w:rFonts w:ascii="Arial" w:eastAsia="Calibri" w:hAnsi="Arial" w:cs="Arial"/>
                <w:i/>
                <w:iCs/>
                <w:szCs w:val="22"/>
              </w:rPr>
              <w:t>Candida parapislosis</w:t>
            </w:r>
            <w:r w:rsidR="00A7062E">
              <w:rPr>
                <w:rFonts w:ascii="Arial" w:eastAsia="Calibri" w:hAnsi="Arial" w:cs="Arial"/>
                <w:i/>
                <w:iCs/>
                <w:szCs w:val="22"/>
              </w:rPr>
              <w:t xml:space="preserve">, </w:t>
            </w:r>
            <w:r w:rsidR="00DB4748" w:rsidRPr="00DB4748">
              <w:rPr>
                <w:rFonts w:ascii="Arial" w:eastAsia="Calibri" w:hAnsi="Arial" w:cs="Arial"/>
                <w:i/>
                <w:iCs/>
                <w:szCs w:val="22"/>
              </w:rPr>
              <w:t>Aspergillus flavus</w:t>
            </w:r>
            <w:r w:rsidR="00A7062E">
              <w:rPr>
                <w:rFonts w:ascii="Arial" w:eastAsia="Calibri" w:hAnsi="Arial" w:cs="Arial"/>
                <w:i/>
                <w:iCs/>
                <w:szCs w:val="22"/>
              </w:rPr>
              <w:t>,</w:t>
            </w:r>
            <w:r w:rsidR="00DB4748" w:rsidRPr="00DB4748">
              <w:rPr>
                <w:rFonts w:ascii="Arial" w:eastAsia="Calibri" w:hAnsi="Arial" w:cs="Arial"/>
                <w:szCs w:val="22"/>
              </w:rPr>
              <w:t xml:space="preserve"> </w:t>
            </w:r>
            <w:r w:rsidR="00DB4748" w:rsidRPr="008055F6">
              <w:rPr>
                <w:rFonts w:ascii="Arial" w:eastAsia="Calibri" w:hAnsi="Arial" w:cs="Arial"/>
                <w:i/>
                <w:iCs/>
                <w:szCs w:val="22"/>
                <w:highlight w:val="yellow"/>
              </w:rPr>
              <w:t>A</w:t>
            </w:r>
            <w:r w:rsidR="00A7062E" w:rsidRPr="008055F6">
              <w:rPr>
                <w:rFonts w:ascii="Arial" w:eastAsia="Calibri" w:hAnsi="Arial" w:cs="Arial"/>
                <w:i/>
                <w:iCs/>
                <w:szCs w:val="22"/>
                <w:highlight w:val="yellow"/>
              </w:rPr>
              <w:t>.</w:t>
            </w:r>
            <w:r w:rsidR="00DB4748" w:rsidRPr="008055F6">
              <w:rPr>
                <w:rFonts w:ascii="Arial" w:eastAsia="Calibri" w:hAnsi="Arial" w:cs="Arial"/>
                <w:i/>
                <w:iCs/>
                <w:szCs w:val="22"/>
                <w:highlight w:val="yellow"/>
              </w:rPr>
              <w:t xml:space="preserve"> terreus</w:t>
            </w:r>
            <w:r w:rsidR="00A7062E" w:rsidRPr="008055F6">
              <w:rPr>
                <w:rFonts w:ascii="Arial" w:eastAsia="Calibri" w:hAnsi="Arial" w:cs="Arial"/>
                <w:i/>
                <w:iCs/>
                <w:szCs w:val="22"/>
                <w:highlight w:val="yellow"/>
              </w:rPr>
              <w:t>,</w:t>
            </w:r>
            <w:r w:rsidR="00DB4748" w:rsidRPr="008055F6">
              <w:rPr>
                <w:rFonts w:ascii="Arial" w:eastAsia="Calibri" w:hAnsi="Arial" w:cs="Arial"/>
                <w:szCs w:val="22"/>
                <w:highlight w:val="yellow"/>
              </w:rPr>
              <w:t xml:space="preserve"> </w:t>
            </w:r>
            <w:r w:rsidR="00DB4748" w:rsidRPr="008055F6">
              <w:rPr>
                <w:rFonts w:ascii="Arial" w:eastAsia="Calibri" w:hAnsi="Arial" w:cs="Arial"/>
                <w:i/>
                <w:iCs/>
                <w:szCs w:val="22"/>
                <w:highlight w:val="yellow"/>
              </w:rPr>
              <w:t>A</w:t>
            </w:r>
            <w:r w:rsidR="00A7062E" w:rsidRPr="008055F6">
              <w:rPr>
                <w:rFonts w:ascii="Arial" w:eastAsia="Calibri" w:hAnsi="Arial" w:cs="Arial"/>
                <w:i/>
                <w:iCs/>
                <w:szCs w:val="22"/>
                <w:highlight w:val="yellow"/>
              </w:rPr>
              <w:t>.</w:t>
            </w:r>
            <w:r w:rsidR="00DB4748" w:rsidRPr="008055F6">
              <w:rPr>
                <w:rFonts w:ascii="Arial" w:eastAsia="Calibri" w:hAnsi="Arial" w:cs="Arial"/>
                <w:i/>
                <w:iCs/>
                <w:szCs w:val="22"/>
                <w:highlight w:val="yellow"/>
              </w:rPr>
              <w:t xml:space="preserve"> niger</w:t>
            </w:r>
            <w:r w:rsidR="00A7062E">
              <w:rPr>
                <w:rFonts w:ascii="Arial" w:eastAsia="Calibri" w:hAnsi="Arial" w:cs="Arial"/>
                <w:i/>
                <w:iCs/>
                <w:szCs w:val="22"/>
              </w:rPr>
              <w:t xml:space="preserve"> and </w:t>
            </w:r>
            <w:r w:rsidR="00DB4748" w:rsidRPr="00DB4748">
              <w:rPr>
                <w:rFonts w:ascii="Arial" w:eastAsia="Calibri" w:hAnsi="Arial" w:cs="Arial"/>
                <w:i/>
                <w:iCs/>
                <w:szCs w:val="22"/>
              </w:rPr>
              <w:t>Cyberlindnera jadinii</w:t>
            </w:r>
            <w:r w:rsidR="00DB4748" w:rsidRPr="00DB4748">
              <w:rPr>
                <w:rFonts w:ascii="Arial" w:eastAsia="Calibri" w:hAnsi="Arial" w:cs="Arial"/>
                <w:szCs w:val="22"/>
              </w:rPr>
              <w:t xml:space="preserve">. The percentage distribution of fungi isolated in </w:t>
            </w:r>
            <w:r w:rsidR="00F826CA">
              <w:rPr>
                <w:rFonts w:ascii="Arial" w:eastAsia="Calibri" w:hAnsi="Arial" w:cs="Arial"/>
                <w:szCs w:val="22"/>
              </w:rPr>
              <w:t>wood sample</w:t>
            </w:r>
            <w:r w:rsidR="00DB4748" w:rsidRPr="00DB4748">
              <w:rPr>
                <w:rFonts w:ascii="Arial" w:eastAsia="Calibri" w:hAnsi="Arial" w:cs="Arial"/>
                <w:szCs w:val="22"/>
              </w:rPr>
              <w:t xml:space="preserve"> shows</w:t>
            </w:r>
            <w:r w:rsidR="008E36A6">
              <w:rPr>
                <w:rFonts w:ascii="Arial" w:eastAsia="Calibri" w:hAnsi="Arial" w:cs="Arial"/>
                <w:szCs w:val="22"/>
              </w:rPr>
              <w:t xml:space="preserve"> that</w:t>
            </w:r>
            <w:r w:rsidR="00F826CA">
              <w:rPr>
                <w:rFonts w:ascii="Arial" w:eastAsia="Calibri" w:hAnsi="Arial" w:cs="Arial"/>
                <w:szCs w:val="22"/>
              </w:rPr>
              <w:t xml:space="preserve"> </w:t>
            </w:r>
            <w:r w:rsidR="00DB4748" w:rsidRPr="00DB4748">
              <w:rPr>
                <w:rFonts w:ascii="Arial" w:eastAsia="Calibri" w:hAnsi="Arial" w:cs="Arial"/>
                <w:i/>
                <w:iCs/>
                <w:szCs w:val="22"/>
              </w:rPr>
              <w:t xml:space="preserve">Aspergillus genus </w:t>
            </w:r>
            <w:r w:rsidR="008E36A6">
              <w:rPr>
                <w:rFonts w:ascii="Arial" w:eastAsia="Calibri" w:hAnsi="Arial" w:cs="Arial"/>
                <w:szCs w:val="22"/>
              </w:rPr>
              <w:t>had</w:t>
            </w:r>
            <w:r w:rsidR="00DB4748" w:rsidRPr="00DB4748">
              <w:rPr>
                <w:rFonts w:ascii="Arial" w:eastAsia="Calibri" w:hAnsi="Arial" w:cs="Arial"/>
                <w:szCs w:val="22"/>
              </w:rPr>
              <w:t xml:space="preserve"> the highest percentage (60%)</w:t>
            </w:r>
            <w:r w:rsidR="008E36A6">
              <w:rPr>
                <w:rFonts w:ascii="Arial" w:eastAsia="Calibri" w:hAnsi="Arial" w:cs="Arial"/>
                <w:szCs w:val="22"/>
              </w:rPr>
              <w:t xml:space="preserve"> of occurrence</w:t>
            </w:r>
            <w:r w:rsidR="00DB4748" w:rsidRPr="00DB4748">
              <w:rPr>
                <w:rFonts w:ascii="Arial" w:eastAsia="Calibri" w:hAnsi="Arial" w:cs="Arial"/>
                <w:szCs w:val="22"/>
              </w:rPr>
              <w:t xml:space="preserve">, while </w:t>
            </w:r>
            <w:r w:rsidR="00DB4748" w:rsidRPr="00DB4748">
              <w:rPr>
                <w:rFonts w:ascii="Arial" w:eastAsia="Calibri" w:hAnsi="Arial" w:cs="Arial"/>
                <w:i/>
                <w:iCs/>
                <w:szCs w:val="22"/>
              </w:rPr>
              <w:t>C</w:t>
            </w:r>
            <w:r w:rsidR="00A7062E">
              <w:rPr>
                <w:rFonts w:ascii="Arial" w:eastAsia="Calibri" w:hAnsi="Arial" w:cs="Arial"/>
                <w:i/>
                <w:iCs/>
                <w:szCs w:val="22"/>
              </w:rPr>
              <w:t>.</w:t>
            </w:r>
            <w:r w:rsidR="00DB4748" w:rsidRPr="00DB4748">
              <w:rPr>
                <w:rFonts w:ascii="Arial" w:eastAsia="Calibri" w:hAnsi="Arial" w:cs="Arial"/>
                <w:i/>
                <w:iCs/>
                <w:szCs w:val="22"/>
              </w:rPr>
              <w:t xml:space="preserve"> jadinii</w:t>
            </w:r>
            <w:r w:rsidR="008E36A6">
              <w:rPr>
                <w:rFonts w:ascii="Arial" w:eastAsia="Calibri" w:hAnsi="Arial" w:cs="Arial"/>
                <w:szCs w:val="22"/>
              </w:rPr>
              <w:t xml:space="preserve"> and</w:t>
            </w:r>
            <w:r w:rsidR="00DB4748" w:rsidRPr="00DB4748">
              <w:rPr>
                <w:rFonts w:ascii="Arial" w:eastAsia="Calibri" w:hAnsi="Arial" w:cs="Arial"/>
                <w:i/>
                <w:iCs/>
                <w:szCs w:val="22"/>
              </w:rPr>
              <w:t xml:space="preserve"> C</w:t>
            </w:r>
            <w:r w:rsidR="00A7062E">
              <w:rPr>
                <w:rFonts w:ascii="Arial" w:eastAsia="Calibri" w:hAnsi="Arial" w:cs="Arial"/>
                <w:i/>
                <w:iCs/>
                <w:szCs w:val="22"/>
              </w:rPr>
              <w:t xml:space="preserve">. </w:t>
            </w:r>
            <w:r w:rsidR="00DB4748" w:rsidRPr="00DB4748">
              <w:rPr>
                <w:rFonts w:ascii="Arial" w:eastAsia="Calibri" w:hAnsi="Arial" w:cs="Arial"/>
                <w:i/>
                <w:iCs/>
                <w:szCs w:val="22"/>
              </w:rPr>
              <w:t xml:space="preserve">parapislosis </w:t>
            </w:r>
            <w:r w:rsidR="008E36A6">
              <w:rPr>
                <w:rFonts w:ascii="Arial" w:eastAsia="Calibri" w:hAnsi="Arial" w:cs="Arial"/>
                <w:iCs/>
                <w:szCs w:val="22"/>
              </w:rPr>
              <w:t>had</w:t>
            </w:r>
            <w:r w:rsidR="00DB4748" w:rsidRPr="00DB4748">
              <w:rPr>
                <w:rFonts w:ascii="Arial" w:eastAsia="Calibri" w:hAnsi="Arial" w:cs="Arial"/>
                <w:iCs/>
                <w:szCs w:val="22"/>
              </w:rPr>
              <w:t xml:space="preserve"> the lowest</w:t>
            </w:r>
            <w:r w:rsidR="008E36A6">
              <w:rPr>
                <w:rFonts w:ascii="Arial" w:eastAsia="Calibri" w:hAnsi="Arial" w:cs="Arial"/>
                <w:iCs/>
                <w:szCs w:val="22"/>
              </w:rPr>
              <w:t xml:space="preserve"> occurrence</w:t>
            </w:r>
            <w:r w:rsidR="00DB4748" w:rsidRPr="00DB4748">
              <w:rPr>
                <w:rFonts w:ascii="Arial" w:eastAsia="Calibri" w:hAnsi="Arial" w:cs="Arial"/>
                <w:iCs/>
                <w:szCs w:val="22"/>
              </w:rPr>
              <w:t xml:space="preserve"> with 20% each. </w:t>
            </w:r>
            <w:r w:rsidR="00DB4748" w:rsidRPr="00DB4748">
              <w:rPr>
                <w:rFonts w:ascii="Arial" w:eastAsia="Calibri" w:hAnsi="Arial" w:cs="Arial"/>
                <w:szCs w:val="22"/>
              </w:rPr>
              <w:t xml:space="preserve">Percentage distribution of fungi isolated from different timber samples showed that </w:t>
            </w:r>
            <w:r w:rsidR="00DB4748" w:rsidRPr="004E40AF">
              <w:rPr>
                <w:rFonts w:ascii="Arial" w:eastAsia="Calibri" w:hAnsi="Arial" w:cs="Arial"/>
                <w:szCs w:val="22"/>
              </w:rPr>
              <w:t>Atarabang species</w:t>
            </w:r>
            <w:r w:rsidR="00DB4748" w:rsidRPr="00DB4748">
              <w:rPr>
                <w:rFonts w:ascii="Arial" w:eastAsia="Calibri" w:hAnsi="Arial" w:cs="Arial"/>
                <w:szCs w:val="22"/>
              </w:rPr>
              <w:t xml:space="preserve"> </w:t>
            </w:r>
            <w:r w:rsidR="008E36A6">
              <w:rPr>
                <w:rFonts w:ascii="Arial" w:eastAsia="Calibri" w:hAnsi="Arial" w:cs="Arial"/>
                <w:szCs w:val="22"/>
              </w:rPr>
              <w:t xml:space="preserve">produced </w:t>
            </w:r>
            <w:r w:rsidR="00DB4748" w:rsidRPr="00DB4748">
              <w:rPr>
                <w:rFonts w:ascii="Arial" w:eastAsia="Calibri" w:hAnsi="Arial" w:cs="Arial"/>
                <w:szCs w:val="22"/>
              </w:rPr>
              <w:t>the highest percentage of fungi distribution of (60%) while Ntufiak and Ufu had the lowest percentage</w:t>
            </w:r>
            <w:r w:rsidR="008E36A6">
              <w:rPr>
                <w:rFonts w:ascii="Arial" w:eastAsia="Calibri" w:hAnsi="Arial" w:cs="Arial"/>
                <w:szCs w:val="22"/>
              </w:rPr>
              <w:t xml:space="preserve"> of distribution with</w:t>
            </w:r>
            <w:r w:rsidR="00DB4748" w:rsidRPr="00DB4748">
              <w:rPr>
                <w:rFonts w:ascii="Arial" w:eastAsia="Calibri" w:hAnsi="Arial" w:cs="Arial"/>
                <w:szCs w:val="22"/>
              </w:rPr>
              <w:t xml:space="preserve"> 20% each</w:t>
            </w:r>
          </w:p>
          <w:p w14:paraId="1CA5368A" w14:textId="587C3129" w:rsidR="00505F06" w:rsidRPr="00D6281D" w:rsidRDefault="00BA1B01" w:rsidP="00D6281D">
            <w:pPr>
              <w:pStyle w:val="Body"/>
              <w:rPr>
                <w:rFonts w:ascii="Arial" w:eastAsia="Calibri" w:hAnsi="Arial" w:cs="Arial"/>
                <w:b/>
                <w:bCs/>
                <w:szCs w:val="22"/>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924836" w:rsidRPr="00924836">
              <w:rPr>
                <w:rFonts w:ascii="Arial" w:eastAsia="Calibri" w:hAnsi="Arial" w:cs="Arial"/>
                <w:szCs w:val="22"/>
              </w:rPr>
              <w:t xml:space="preserve">The </w:t>
            </w:r>
            <w:r w:rsidR="00924836" w:rsidRPr="00FD60A7">
              <w:rPr>
                <w:rFonts w:ascii="Arial" w:eastAsia="Calibri" w:hAnsi="Arial" w:cs="Arial"/>
                <w:szCs w:val="22"/>
                <w:highlight w:val="yellow"/>
              </w:rPr>
              <w:t>result</w:t>
            </w:r>
            <w:r w:rsidR="00A7062E" w:rsidRPr="00FD60A7">
              <w:rPr>
                <w:rFonts w:ascii="Arial" w:eastAsia="Calibri" w:hAnsi="Arial" w:cs="Arial"/>
                <w:szCs w:val="22"/>
                <w:highlight w:val="yellow"/>
              </w:rPr>
              <w:t>s</w:t>
            </w:r>
            <w:r w:rsidR="00924836" w:rsidRPr="00924836">
              <w:rPr>
                <w:rFonts w:ascii="Arial" w:eastAsia="Calibri" w:hAnsi="Arial" w:cs="Arial"/>
                <w:szCs w:val="22"/>
              </w:rPr>
              <w:t xml:space="preserve"> of this work show that fungi </w:t>
            </w:r>
            <w:r w:rsidR="00FD60A7">
              <w:rPr>
                <w:rFonts w:ascii="Arial" w:eastAsia="Calibri" w:hAnsi="Arial" w:cs="Arial"/>
                <w:szCs w:val="22"/>
              </w:rPr>
              <w:t>are</w:t>
            </w:r>
            <w:r w:rsidR="00924836" w:rsidRPr="00924836">
              <w:rPr>
                <w:rFonts w:ascii="Arial" w:eastAsia="Calibri" w:hAnsi="Arial" w:cs="Arial"/>
                <w:szCs w:val="22"/>
              </w:rPr>
              <w:t xml:space="preserve"> present in all the sampled locations because of negligence in wood treatment and </w:t>
            </w:r>
            <w:r w:rsidR="00A7062E">
              <w:rPr>
                <w:rFonts w:ascii="Arial" w:eastAsia="Calibri" w:hAnsi="Arial" w:cs="Arial"/>
                <w:szCs w:val="22"/>
              </w:rPr>
              <w:t>favourable</w:t>
            </w:r>
            <w:r w:rsidR="00924836" w:rsidRPr="00924836">
              <w:rPr>
                <w:rFonts w:ascii="Arial" w:eastAsia="Calibri" w:hAnsi="Arial" w:cs="Arial"/>
                <w:szCs w:val="22"/>
              </w:rPr>
              <w:t xml:space="preserve"> environmental </w:t>
            </w:r>
            <w:r w:rsidR="005A789E">
              <w:rPr>
                <w:rFonts w:ascii="Arial" w:eastAsia="Calibri" w:hAnsi="Arial" w:cs="Arial"/>
                <w:szCs w:val="22"/>
              </w:rPr>
              <w:t>conditions</w:t>
            </w:r>
            <w:r w:rsidR="00A7062E">
              <w:rPr>
                <w:rFonts w:ascii="Arial" w:eastAsia="Calibri" w:hAnsi="Arial" w:cs="Arial"/>
                <w:szCs w:val="22"/>
              </w:rPr>
              <w:t>,</w:t>
            </w:r>
            <w:r w:rsidR="00924836" w:rsidRPr="00924836">
              <w:rPr>
                <w:rFonts w:ascii="Arial" w:eastAsia="Calibri" w:hAnsi="Arial" w:cs="Arial"/>
                <w:szCs w:val="22"/>
              </w:rPr>
              <w:t xml:space="preserve"> and as such, adequate procedures should be put in place by relevant authorities to establish strict regulations for timber treatment and the use of high-quality wood for construction</w:t>
            </w:r>
            <w:r w:rsidR="00924836" w:rsidRPr="00924836">
              <w:rPr>
                <w:rFonts w:ascii="Arial" w:eastAsia="Calibri" w:hAnsi="Arial" w:cs="Arial"/>
                <w:b/>
                <w:bCs/>
                <w:szCs w:val="22"/>
              </w:rPr>
              <w:t xml:space="preserve">. </w:t>
            </w:r>
          </w:p>
        </w:tc>
      </w:tr>
    </w:tbl>
    <w:p w14:paraId="2AF7F894" w14:textId="77777777" w:rsidR="00636EB2" w:rsidRDefault="00636EB2" w:rsidP="00441B6F">
      <w:pPr>
        <w:pStyle w:val="Body"/>
        <w:spacing w:after="0"/>
        <w:rPr>
          <w:rFonts w:ascii="Arial" w:hAnsi="Arial" w:cs="Arial"/>
          <w:i/>
        </w:rPr>
      </w:pPr>
    </w:p>
    <w:p w14:paraId="47A6BA5C" w14:textId="6F5D99EB" w:rsidR="00B52896" w:rsidRPr="006E0644" w:rsidRDefault="00A24E7E" w:rsidP="006E0644">
      <w:pPr>
        <w:pStyle w:val="Body"/>
        <w:spacing w:after="0"/>
        <w:rPr>
          <w:rFonts w:ascii="Arial" w:hAnsi="Arial" w:cs="Arial"/>
          <w:i/>
        </w:rPr>
      </w:pPr>
      <w:r>
        <w:rPr>
          <w:rFonts w:ascii="Arial" w:hAnsi="Arial" w:cs="Arial"/>
          <w:i/>
        </w:rPr>
        <w:t>Keywords: [</w:t>
      </w:r>
      <w:r w:rsidR="006E0644" w:rsidRPr="00FD60A7">
        <w:rPr>
          <w:rFonts w:ascii="Arial" w:hAnsi="Arial" w:cs="Arial"/>
          <w:i/>
          <w:highlight w:val="yellow"/>
        </w:rPr>
        <w:t>Molecular</w:t>
      </w:r>
      <w:r w:rsidR="00A7062E" w:rsidRPr="00FD60A7">
        <w:rPr>
          <w:rFonts w:ascii="Arial" w:hAnsi="Arial" w:cs="Arial"/>
          <w:i/>
          <w:highlight w:val="yellow"/>
        </w:rPr>
        <w:t xml:space="preserve"> </w:t>
      </w:r>
      <w:r w:rsidR="006E0644" w:rsidRPr="00FD60A7">
        <w:rPr>
          <w:rFonts w:ascii="Arial" w:hAnsi="Arial" w:cs="Arial"/>
          <w:i/>
          <w:highlight w:val="yellow"/>
        </w:rPr>
        <w:t xml:space="preserve">identification, </w:t>
      </w:r>
      <w:r w:rsidR="00A7062E" w:rsidRPr="00FD60A7">
        <w:rPr>
          <w:rFonts w:ascii="Arial" w:hAnsi="Arial" w:cs="Arial"/>
          <w:i/>
          <w:highlight w:val="yellow"/>
        </w:rPr>
        <w:t>S</w:t>
      </w:r>
      <w:r w:rsidR="006E0644" w:rsidRPr="00FD60A7">
        <w:rPr>
          <w:rFonts w:ascii="Arial" w:hAnsi="Arial" w:cs="Arial"/>
          <w:i/>
          <w:highlight w:val="yellow"/>
        </w:rPr>
        <w:t xml:space="preserve">oftwood, fungi, </w:t>
      </w:r>
      <w:r w:rsidR="00A7062E" w:rsidRPr="00FD60A7">
        <w:rPr>
          <w:rFonts w:ascii="Arial" w:hAnsi="Arial" w:cs="Arial"/>
          <w:i/>
          <w:highlight w:val="yellow"/>
        </w:rPr>
        <w:t xml:space="preserve">DNA </w:t>
      </w:r>
      <w:r w:rsidR="006E0644" w:rsidRPr="00FD60A7">
        <w:rPr>
          <w:rFonts w:ascii="Arial" w:hAnsi="Arial" w:cs="Arial"/>
          <w:i/>
          <w:highlight w:val="yellow"/>
        </w:rPr>
        <w:t>extraction</w:t>
      </w:r>
      <w:r w:rsidR="00A7062E" w:rsidRPr="00FD60A7">
        <w:rPr>
          <w:rFonts w:ascii="Arial" w:hAnsi="Arial" w:cs="Arial"/>
          <w:i/>
          <w:highlight w:val="yellow"/>
        </w:rPr>
        <w:t xml:space="preserve"> and ITS region</w:t>
      </w:r>
      <w:r>
        <w:rPr>
          <w:rFonts w:ascii="Arial" w:hAnsi="Arial" w:cs="Arial"/>
          <w:i/>
        </w:rPr>
        <w:t>}</w:t>
      </w:r>
    </w:p>
    <w:p w14:paraId="62483A0E" w14:textId="77777777" w:rsidR="0024282C" w:rsidRDefault="0024282C" w:rsidP="00441B6F">
      <w:pPr>
        <w:pStyle w:val="Body"/>
        <w:spacing w:after="0"/>
        <w:rPr>
          <w:rFonts w:ascii="Arial" w:hAnsi="Arial" w:cs="Arial"/>
          <w:i/>
          <w:sz w:val="18"/>
        </w:rPr>
      </w:pPr>
    </w:p>
    <w:p w14:paraId="07E814BD" w14:textId="77777777" w:rsidR="00505F06" w:rsidRPr="00A24E7E" w:rsidRDefault="00505F06" w:rsidP="00441B6F">
      <w:pPr>
        <w:pStyle w:val="Body"/>
        <w:spacing w:after="0"/>
        <w:rPr>
          <w:rFonts w:ascii="Arial" w:hAnsi="Arial" w:cs="Arial"/>
          <w:i/>
        </w:rPr>
      </w:pPr>
    </w:p>
    <w:p w14:paraId="6D704E7B" w14:textId="6709E43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1F5E11F" w14:textId="1127A660" w:rsidR="00AF77DD" w:rsidRPr="00AF77DD" w:rsidRDefault="00703083" w:rsidP="00AF77DD">
      <w:pPr>
        <w:pStyle w:val="Body"/>
        <w:spacing w:after="0"/>
        <w:rPr>
          <w:rFonts w:ascii="Arial" w:eastAsia="Calibri" w:hAnsi="Arial" w:cs="Arial"/>
          <w:szCs w:val="22"/>
        </w:rPr>
      </w:pPr>
      <w:r>
        <w:rPr>
          <w:rFonts w:ascii="Arial" w:eastAsia="Calibri" w:hAnsi="Arial" w:cs="Arial"/>
          <w:bCs/>
          <w:szCs w:val="22"/>
        </w:rPr>
        <w:t>“</w:t>
      </w:r>
      <w:r w:rsidR="00AF77DD" w:rsidRPr="00AF77DD">
        <w:rPr>
          <w:rFonts w:ascii="Arial" w:eastAsia="Calibri" w:hAnsi="Arial" w:cs="Arial"/>
          <w:bCs/>
          <w:szCs w:val="22"/>
        </w:rPr>
        <w:t>Fungi represent the greatest eukaryotic diversity on earth and they are among the primary decomposers in ecosystems. It is conservatively estimated that 1.5 million species of fungi exist</w:t>
      </w:r>
      <w:r>
        <w:rPr>
          <w:rFonts w:ascii="Arial" w:eastAsia="Calibri" w:hAnsi="Arial" w:cs="Arial"/>
          <w:bCs/>
          <w:szCs w:val="22"/>
        </w:rPr>
        <w:t>”</w:t>
      </w:r>
      <w:r w:rsidR="00AF77DD" w:rsidRPr="00AF77DD">
        <w:rPr>
          <w:rFonts w:ascii="Arial" w:eastAsia="Calibri" w:hAnsi="Arial" w:cs="Arial"/>
          <w:bCs/>
          <w:szCs w:val="22"/>
        </w:rPr>
        <w:t xml:space="preserve"> (Hawksworth, </w:t>
      </w:r>
      <w:r w:rsidR="00D6281D">
        <w:t>2001</w:t>
      </w:r>
      <w:r w:rsidR="00AF77DD" w:rsidRPr="00AF77DD">
        <w:rPr>
          <w:rFonts w:ascii="Arial" w:eastAsia="Calibri" w:hAnsi="Arial" w:cs="Arial"/>
          <w:bCs/>
          <w:szCs w:val="22"/>
        </w:rPr>
        <w:t xml:space="preserve">). </w:t>
      </w:r>
      <w:r>
        <w:rPr>
          <w:rFonts w:ascii="Arial" w:eastAsia="Calibri" w:hAnsi="Arial" w:cs="Arial"/>
          <w:bCs/>
          <w:szCs w:val="22"/>
        </w:rPr>
        <w:t>“</w:t>
      </w:r>
      <w:r w:rsidR="00AF77DD" w:rsidRPr="00AF77DD">
        <w:rPr>
          <w:rFonts w:ascii="Arial" w:eastAsia="Calibri" w:hAnsi="Arial" w:cs="Arial"/>
          <w:szCs w:val="22"/>
        </w:rPr>
        <w:t xml:space="preserve">Wood is mainly composed of </w:t>
      </w:r>
      <w:r w:rsidR="005A789E" w:rsidRPr="00FD60A7">
        <w:rPr>
          <w:rFonts w:ascii="Arial" w:eastAsia="Calibri" w:hAnsi="Arial" w:cs="Arial"/>
          <w:szCs w:val="22"/>
          <w:highlight w:val="yellow"/>
        </w:rPr>
        <w:t>hemi</w:t>
      </w:r>
      <w:r w:rsidR="00AF77DD" w:rsidRPr="00FD60A7">
        <w:rPr>
          <w:rFonts w:ascii="Arial" w:eastAsia="Calibri" w:hAnsi="Arial" w:cs="Arial"/>
          <w:szCs w:val="22"/>
          <w:highlight w:val="yellow"/>
        </w:rPr>
        <w:t>cellulose</w:t>
      </w:r>
      <w:r w:rsidR="00AF77DD" w:rsidRPr="00AF77DD">
        <w:rPr>
          <w:rFonts w:ascii="Arial" w:eastAsia="Calibri" w:hAnsi="Arial" w:cs="Arial"/>
          <w:szCs w:val="22"/>
        </w:rPr>
        <w:t xml:space="preserve"> and lignin. These polymers are the two most abundant organic substances in the terrestrial environment and provide a huge reservoir </w:t>
      </w:r>
      <w:r w:rsidR="00AF77DD" w:rsidRPr="00FD60A7">
        <w:rPr>
          <w:rFonts w:ascii="Arial" w:eastAsia="Calibri" w:hAnsi="Arial" w:cs="Arial"/>
          <w:szCs w:val="22"/>
          <w:highlight w:val="yellow"/>
        </w:rPr>
        <w:t>of carbon</w:t>
      </w:r>
      <w:r w:rsidR="005A789E">
        <w:rPr>
          <w:rFonts w:ascii="Arial" w:eastAsia="Calibri" w:hAnsi="Arial" w:cs="Arial"/>
          <w:szCs w:val="22"/>
        </w:rPr>
        <w:t xml:space="preserve"> </w:t>
      </w:r>
      <w:r w:rsidR="00AF77DD" w:rsidRPr="00AF77DD">
        <w:rPr>
          <w:rFonts w:ascii="Arial" w:eastAsia="Calibri" w:hAnsi="Arial" w:cs="Arial"/>
          <w:szCs w:val="22"/>
        </w:rPr>
        <w:t>and nitrogen-containing compounds for living organisms</w:t>
      </w:r>
      <w:r>
        <w:rPr>
          <w:rFonts w:ascii="Arial" w:eastAsia="Calibri" w:hAnsi="Arial" w:cs="Arial"/>
          <w:szCs w:val="22"/>
        </w:rPr>
        <w:t>”</w:t>
      </w:r>
      <w:r w:rsidR="00AF77DD" w:rsidRPr="00AF77DD">
        <w:rPr>
          <w:rFonts w:ascii="Arial" w:eastAsia="Calibri" w:hAnsi="Arial" w:cs="Arial"/>
          <w:szCs w:val="22"/>
        </w:rPr>
        <w:t xml:space="preserve"> (Kalusche, 1996, Aro </w:t>
      </w:r>
      <w:r w:rsidR="00AF77DD" w:rsidRPr="00AF77DD">
        <w:rPr>
          <w:rFonts w:ascii="Arial" w:eastAsia="Calibri" w:hAnsi="Arial" w:cs="Arial"/>
          <w:i/>
          <w:szCs w:val="22"/>
        </w:rPr>
        <w:t>et</w:t>
      </w:r>
      <w:r w:rsidR="005A789E">
        <w:rPr>
          <w:rFonts w:ascii="Arial" w:eastAsia="Calibri" w:hAnsi="Arial" w:cs="Arial"/>
          <w:i/>
          <w:szCs w:val="22"/>
        </w:rPr>
        <w:t xml:space="preserve"> </w:t>
      </w:r>
      <w:r w:rsidR="00AF77DD" w:rsidRPr="00AF77DD">
        <w:rPr>
          <w:rFonts w:ascii="Arial" w:eastAsia="Calibri" w:hAnsi="Arial" w:cs="Arial"/>
          <w:i/>
          <w:szCs w:val="22"/>
        </w:rPr>
        <w:t>al</w:t>
      </w:r>
      <w:r w:rsidR="00AF77DD" w:rsidRPr="00AF77DD">
        <w:rPr>
          <w:rFonts w:ascii="Arial" w:eastAsia="Calibri" w:hAnsi="Arial" w:cs="Arial"/>
          <w:szCs w:val="22"/>
        </w:rPr>
        <w:t xml:space="preserve">., 2005). </w:t>
      </w:r>
      <w:r>
        <w:rPr>
          <w:rFonts w:ascii="Arial" w:eastAsia="Calibri" w:hAnsi="Arial" w:cs="Arial"/>
          <w:szCs w:val="22"/>
        </w:rPr>
        <w:t>“</w:t>
      </w:r>
      <w:r w:rsidR="00AF77DD" w:rsidRPr="00AF77DD">
        <w:rPr>
          <w:rFonts w:ascii="Arial" w:eastAsia="Calibri" w:hAnsi="Arial" w:cs="Arial"/>
          <w:szCs w:val="22"/>
        </w:rPr>
        <w:t>However, in order to access this reservoir, an organism needs to be capable of breaking down the polymers. The primary decomposers of wood are wood-decaying fungi, mainly white and brown rot fungi</w:t>
      </w:r>
      <w:r>
        <w:rPr>
          <w:rFonts w:ascii="Arial" w:eastAsia="Calibri" w:hAnsi="Arial" w:cs="Arial"/>
          <w:szCs w:val="22"/>
        </w:rPr>
        <w:t>”</w:t>
      </w:r>
      <w:r w:rsidR="00AF77DD" w:rsidRPr="00AF77DD">
        <w:rPr>
          <w:rFonts w:ascii="Arial" w:eastAsia="Calibri" w:hAnsi="Arial" w:cs="Arial"/>
          <w:szCs w:val="22"/>
        </w:rPr>
        <w:t xml:space="preserve"> (Hibbett and Donoghue, 2001). </w:t>
      </w:r>
      <w:r>
        <w:rPr>
          <w:rFonts w:ascii="Arial" w:eastAsia="Calibri" w:hAnsi="Arial" w:cs="Arial"/>
          <w:szCs w:val="22"/>
        </w:rPr>
        <w:t>“</w:t>
      </w:r>
      <w:r w:rsidR="00AF77DD" w:rsidRPr="00AF77DD">
        <w:rPr>
          <w:rFonts w:ascii="Arial" w:eastAsia="Calibri" w:hAnsi="Arial" w:cs="Arial"/>
          <w:bCs/>
          <w:szCs w:val="22"/>
        </w:rPr>
        <w:t>Wood</w:t>
      </w:r>
      <w:r w:rsidR="00D6281D">
        <w:rPr>
          <w:rFonts w:ascii="Arial" w:eastAsia="Calibri" w:hAnsi="Arial" w:cs="Arial"/>
          <w:bCs/>
          <w:szCs w:val="22"/>
        </w:rPr>
        <w:t>s</w:t>
      </w:r>
      <w:r w:rsidR="00AF77DD" w:rsidRPr="00AF77DD">
        <w:rPr>
          <w:rFonts w:ascii="Arial" w:eastAsia="Calibri" w:hAnsi="Arial" w:cs="Arial"/>
          <w:bCs/>
          <w:szCs w:val="22"/>
        </w:rPr>
        <w:t xml:space="preserve"> are</w:t>
      </w:r>
      <w:r w:rsidR="00D6281D">
        <w:rPr>
          <w:rFonts w:ascii="Arial" w:eastAsia="Calibri" w:hAnsi="Arial" w:cs="Arial"/>
          <w:bCs/>
          <w:szCs w:val="22"/>
        </w:rPr>
        <w:t xml:space="preserve"> </w:t>
      </w:r>
      <w:r w:rsidR="00AF77DD" w:rsidRPr="00AF77DD">
        <w:rPr>
          <w:rFonts w:ascii="Arial" w:eastAsia="Calibri" w:hAnsi="Arial" w:cs="Arial"/>
          <w:bCs/>
          <w:szCs w:val="22"/>
        </w:rPr>
        <w:t>in the forefront of world raw materials. It is one of the most abundant renewable raw materials in the forest. It is a natural organic material whose use is widely spread</w:t>
      </w:r>
      <w:r>
        <w:rPr>
          <w:rFonts w:ascii="Arial" w:eastAsia="Calibri" w:hAnsi="Arial" w:cs="Arial"/>
          <w:bCs/>
          <w:szCs w:val="22"/>
        </w:rPr>
        <w:t>”</w:t>
      </w:r>
      <w:r w:rsidR="00AF77DD" w:rsidRPr="00AF77DD">
        <w:rPr>
          <w:rFonts w:ascii="Arial" w:eastAsia="Calibri" w:hAnsi="Arial" w:cs="Arial"/>
          <w:bCs/>
          <w:szCs w:val="22"/>
        </w:rPr>
        <w:t xml:space="preserve"> (FAO, 2006). </w:t>
      </w:r>
      <w:r>
        <w:rPr>
          <w:rFonts w:ascii="Arial" w:eastAsia="Calibri" w:hAnsi="Arial" w:cs="Arial"/>
          <w:bCs/>
          <w:szCs w:val="22"/>
        </w:rPr>
        <w:t>“</w:t>
      </w:r>
      <w:r w:rsidR="00AF77DD" w:rsidRPr="00AF77DD">
        <w:rPr>
          <w:rFonts w:ascii="Arial" w:eastAsia="Calibri" w:hAnsi="Arial" w:cs="Arial"/>
          <w:bCs/>
          <w:szCs w:val="22"/>
        </w:rPr>
        <w:t>In most places and phases of use, there is possibility of deterioration from any of biological, physical and chemical agents</w:t>
      </w:r>
      <w:r>
        <w:rPr>
          <w:rFonts w:ascii="Arial" w:eastAsia="Calibri" w:hAnsi="Arial" w:cs="Arial"/>
          <w:bCs/>
          <w:szCs w:val="22"/>
        </w:rPr>
        <w:t>”</w:t>
      </w:r>
      <w:r w:rsidR="00AF77DD" w:rsidRPr="00AF77DD">
        <w:rPr>
          <w:rFonts w:ascii="Arial" w:eastAsia="Calibri" w:hAnsi="Arial" w:cs="Arial"/>
          <w:bCs/>
          <w:szCs w:val="22"/>
        </w:rPr>
        <w:t xml:space="preserve"> (Wong </w:t>
      </w:r>
      <w:r w:rsidR="00AF77DD" w:rsidRPr="00AF77DD">
        <w:rPr>
          <w:rFonts w:ascii="Arial" w:eastAsia="Calibri" w:hAnsi="Arial" w:cs="Arial"/>
          <w:bCs/>
          <w:i/>
          <w:iCs/>
          <w:szCs w:val="22"/>
        </w:rPr>
        <w:t xml:space="preserve">et al., </w:t>
      </w:r>
      <w:r w:rsidR="00AF77DD" w:rsidRPr="00AF77DD">
        <w:rPr>
          <w:rFonts w:ascii="Arial" w:eastAsia="Calibri" w:hAnsi="Arial" w:cs="Arial"/>
          <w:bCs/>
          <w:szCs w:val="22"/>
        </w:rPr>
        <w:t>20</w:t>
      </w:r>
      <w:r w:rsidR="004D04A7">
        <w:rPr>
          <w:rFonts w:ascii="Arial" w:eastAsia="Calibri" w:hAnsi="Arial" w:cs="Arial"/>
          <w:bCs/>
          <w:szCs w:val="22"/>
        </w:rPr>
        <w:t>10</w:t>
      </w:r>
      <w:r w:rsidR="00AF77DD" w:rsidRPr="00AF77DD">
        <w:rPr>
          <w:rFonts w:ascii="Arial" w:eastAsia="Calibri" w:hAnsi="Arial" w:cs="Arial"/>
          <w:bCs/>
          <w:szCs w:val="22"/>
        </w:rPr>
        <w:t>). The most important of these agents is the fungi which cause tremendous havoc whenever the right conditions are available. Fungi have been playing a</w:t>
      </w:r>
      <w:r w:rsidR="005A789E">
        <w:rPr>
          <w:rFonts w:ascii="Arial" w:eastAsia="Calibri" w:hAnsi="Arial" w:cs="Arial"/>
          <w:bCs/>
          <w:szCs w:val="22"/>
        </w:rPr>
        <w:t>n</w:t>
      </w:r>
      <w:r w:rsidR="00AF77DD" w:rsidRPr="00AF77DD">
        <w:rPr>
          <w:rFonts w:ascii="Arial" w:eastAsia="Calibri" w:hAnsi="Arial" w:cs="Arial"/>
          <w:bCs/>
          <w:szCs w:val="22"/>
        </w:rPr>
        <w:t xml:space="preserve"> </w:t>
      </w:r>
      <w:r w:rsidR="005A789E">
        <w:rPr>
          <w:rFonts w:ascii="Arial" w:eastAsia="Calibri" w:hAnsi="Arial" w:cs="Arial"/>
          <w:bCs/>
          <w:szCs w:val="22"/>
        </w:rPr>
        <w:t>important</w:t>
      </w:r>
      <w:r w:rsidR="00AF77DD" w:rsidRPr="00AF77DD">
        <w:rPr>
          <w:rFonts w:ascii="Arial" w:eastAsia="Calibri" w:hAnsi="Arial" w:cs="Arial"/>
          <w:bCs/>
          <w:szCs w:val="22"/>
        </w:rPr>
        <w:t xml:space="preserve"> role </w:t>
      </w:r>
      <w:r w:rsidR="005A789E">
        <w:rPr>
          <w:rFonts w:ascii="Arial" w:eastAsia="Calibri" w:hAnsi="Arial" w:cs="Arial"/>
          <w:bCs/>
          <w:szCs w:val="22"/>
        </w:rPr>
        <w:t>in the</w:t>
      </w:r>
      <w:r w:rsidR="00AF77DD" w:rsidRPr="00AF77DD">
        <w:rPr>
          <w:rFonts w:ascii="Arial" w:eastAsia="Calibri" w:hAnsi="Arial" w:cs="Arial"/>
          <w:bCs/>
          <w:szCs w:val="22"/>
        </w:rPr>
        <w:t xml:space="preserve"> ecosystem e.g. wood decay and recycling of organic matter in the environment. Fungal attack in buildings starts with the spores of the fungi landing on timber surfaces. </w:t>
      </w:r>
      <w:r w:rsidR="005A789E" w:rsidRPr="005A789E">
        <w:rPr>
          <w:rFonts w:ascii="Arial" w:eastAsia="Calibri" w:hAnsi="Arial" w:cs="Arial"/>
          <w:bCs/>
          <w:szCs w:val="22"/>
          <w:highlight w:val="yellow"/>
        </w:rPr>
        <w:t>When</w:t>
      </w:r>
      <w:r w:rsidR="00AF77DD" w:rsidRPr="005A789E">
        <w:rPr>
          <w:rFonts w:ascii="Arial" w:eastAsia="Calibri" w:hAnsi="Arial" w:cs="Arial"/>
          <w:bCs/>
          <w:szCs w:val="22"/>
          <w:highlight w:val="yellow"/>
        </w:rPr>
        <w:t xml:space="preserve"> the moisture content </w:t>
      </w:r>
      <w:r w:rsidR="005A789E" w:rsidRPr="005A789E">
        <w:rPr>
          <w:rFonts w:ascii="Arial" w:eastAsia="Calibri" w:hAnsi="Arial" w:cs="Arial"/>
          <w:bCs/>
          <w:szCs w:val="22"/>
          <w:highlight w:val="yellow"/>
        </w:rPr>
        <w:t>in</w:t>
      </w:r>
      <w:r w:rsidR="00AF77DD" w:rsidRPr="005A789E">
        <w:rPr>
          <w:rFonts w:ascii="Arial" w:eastAsia="Calibri" w:hAnsi="Arial" w:cs="Arial"/>
          <w:bCs/>
          <w:szCs w:val="22"/>
          <w:highlight w:val="yellow"/>
        </w:rPr>
        <w:t xml:space="preserve"> the </w:t>
      </w:r>
      <w:r w:rsidR="005A789E" w:rsidRPr="005A789E">
        <w:rPr>
          <w:rFonts w:ascii="Arial" w:eastAsia="Calibri" w:hAnsi="Arial" w:cs="Arial"/>
          <w:bCs/>
          <w:szCs w:val="22"/>
          <w:highlight w:val="yellow"/>
        </w:rPr>
        <w:t>wood</w:t>
      </w:r>
      <w:r w:rsidR="00AF77DD" w:rsidRPr="005A789E">
        <w:rPr>
          <w:rFonts w:ascii="Arial" w:eastAsia="Calibri" w:hAnsi="Arial" w:cs="Arial"/>
          <w:bCs/>
          <w:szCs w:val="22"/>
          <w:highlight w:val="yellow"/>
        </w:rPr>
        <w:t xml:space="preserve"> is </w:t>
      </w:r>
      <w:r w:rsidR="005A789E" w:rsidRPr="005A789E">
        <w:rPr>
          <w:rFonts w:ascii="Arial" w:eastAsia="Calibri" w:hAnsi="Arial" w:cs="Arial"/>
          <w:bCs/>
          <w:szCs w:val="22"/>
          <w:highlight w:val="yellow"/>
        </w:rPr>
        <w:t>sufficient</w:t>
      </w:r>
      <w:r w:rsidR="00AF77DD" w:rsidRPr="005A789E">
        <w:rPr>
          <w:rFonts w:ascii="Arial" w:eastAsia="Calibri" w:hAnsi="Arial" w:cs="Arial"/>
          <w:bCs/>
          <w:szCs w:val="22"/>
          <w:highlight w:val="yellow"/>
        </w:rPr>
        <w:t xml:space="preserve">, </w:t>
      </w:r>
      <w:r w:rsidR="00AF77DD" w:rsidRPr="005A789E">
        <w:rPr>
          <w:rFonts w:ascii="Arial" w:eastAsia="Calibri" w:hAnsi="Arial" w:cs="Arial"/>
          <w:bCs/>
          <w:szCs w:val="22"/>
          <w:highlight w:val="yellow"/>
        </w:rPr>
        <w:lastRenderedPageBreak/>
        <w:t>the spores germinate and the de</w:t>
      </w:r>
      <w:r w:rsidR="005A789E" w:rsidRPr="005A789E">
        <w:rPr>
          <w:rFonts w:ascii="Arial" w:eastAsia="Calibri" w:hAnsi="Arial" w:cs="Arial"/>
          <w:bCs/>
          <w:szCs w:val="22"/>
          <w:highlight w:val="yellow"/>
        </w:rPr>
        <w:t>composition</w:t>
      </w:r>
      <w:r w:rsidR="00AF77DD" w:rsidRPr="005A789E">
        <w:rPr>
          <w:rFonts w:ascii="Arial" w:eastAsia="Calibri" w:hAnsi="Arial" w:cs="Arial"/>
          <w:bCs/>
          <w:szCs w:val="22"/>
          <w:highlight w:val="yellow"/>
        </w:rPr>
        <w:t xml:space="preserve"> process is established.</w:t>
      </w:r>
      <w:r w:rsidR="00AF77DD" w:rsidRPr="00AF77DD">
        <w:rPr>
          <w:rFonts w:ascii="Arial" w:eastAsia="Calibri" w:hAnsi="Arial" w:cs="Arial"/>
          <w:bCs/>
          <w:szCs w:val="22"/>
        </w:rPr>
        <w:t xml:space="preserve"> Dickinson and Levy (1992) identified </w:t>
      </w:r>
      <w:r>
        <w:rPr>
          <w:rFonts w:ascii="Arial" w:eastAsia="Calibri" w:hAnsi="Arial" w:cs="Arial"/>
          <w:bCs/>
          <w:szCs w:val="22"/>
        </w:rPr>
        <w:t>“</w:t>
      </w:r>
      <w:r w:rsidR="00AF77DD" w:rsidRPr="00AF77DD">
        <w:rPr>
          <w:rFonts w:ascii="Arial" w:eastAsia="Calibri" w:hAnsi="Arial" w:cs="Arial"/>
          <w:bCs/>
          <w:szCs w:val="22"/>
        </w:rPr>
        <w:t>the different stages of the successional colonization of timber: Molds and sap stain fungi, that penetrate wood through open pits and cell lamina and use sugars and carbon compounds simpler than cellulose; Wood-rotting fungi, from three main groups, one that produces the type of decay known as soft rot and two groups of Basidiomycetes, which produce the types of decay known as white rot and brown rot; Secondary molds, that uses the breakdown products as a source of nutrients. Wood decaying fungi can be divided into brown rot, white rot and soft rot. Up to now, 120 different wood-destroying fungi in buildings have been identified in some parts of the world</w:t>
      </w:r>
      <w:r>
        <w:rPr>
          <w:rFonts w:ascii="Arial" w:eastAsia="Calibri" w:hAnsi="Arial" w:cs="Arial"/>
          <w:bCs/>
          <w:szCs w:val="22"/>
        </w:rPr>
        <w:t>”</w:t>
      </w:r>
      <w:r w:rsidR="00AF77DD" w:rsidRPr="00AF77DD">
        <w:rPr>
          <w:rFonts w:ascii="Arial" w:eastAsia="Calibri" w:hAnsi="Arial" w:cs="Arial"/>
          <w:bCs/>
          <w:szCs w:val="22"/>
        </w:rPr>
        <w:t xml:space="preserve"> (Huckfeldt and Schmidt, 2015).</w:t>
      </w:r>
    </w:p>
    <w:p w14:paraId="52B773FB" w14:textId="7EA839F8" w:rsidR="00790ADA" w:rsidRPr="00ED09B9" w:rsidRDefault="00703083" w:rsidP="00703083">
      <w:pPr>
        <w:pStyle w:val="Body"/>
        <w:spacing w:after="0"/>
        <w:rPr>
          <w:rFonts w:ascii="Arial" w:eastAsia="Calibri" w:hAnsi="Arial" w:cs="Arial"/>
          <w:szCs w:val="22"/>
        </w:rPr>
      </w:pPr>
      <w:r>
        <w:rPr>
          <w:rFonts w:ascii="Arial" w:eastAsia="Calibri" w:hAnsi="Arial" w:cs="Arial"/>
          <w:szCs w:val="22"/>
        </w:rPr>
        <w:t>“</w:t>
      </w:r>
      <w:r w:rsidR="00AF77DD" w:rsidRPr="00AF77DD">
        <w:rPr>
          <w:rFonts w:ascii="Arial" w:eastAsia="Calibri" w:hAnsi="Arial" w:cs="Arial"/>
          <w:szCs w:val="22"/>
        </w:rPr>
        <w:t>Wood usually forms the stem of a tree though it is not all plants that possess woody stems. It is also not all woody stems that produce timber suitable for use as industrial material.According to current estimates, the earth contains about one trillion tonnes of wood, which grows at a rate of 10 billion tonnes per year</w:t>
      </w:r>
      <w:r>
        <w:rPr>
          <w:rFonts w:ascii="Arial" w:eastAsia="Calibri" w:hAnsi="Arial" w:cs="Arial"/>
          <w:szCs w:val="22"/>
        </w:rPr>
        <w:t>”</w:t>
      </w:r>
      <w:r w:rsidR="00AF77DD" w:rsidRPr="00AF77DD">
        <w:rPr>
          <w:rFonts w:ascii="Arial" w:eastAsia="Calibri" w:hAnsi="Arial" w:cs="Arial"/>
          <w:szCs w:val="22"/>
        </w:rPr>
        <w:t xml:space="preserve"> (Olorunnisola, 2013</w:t>
      </w:r>
      <w:r w:rsidR="00AF77DD" w:rsidRPr="00A2508C">
        <w:rPr>
          <w:rFonts w:ascii="Arial" w:eastAsia="Calibri" w:hAnsi="Arial" w:cs="Arial"/>
          <w:szCs w:val="22"/>
          <w:highlight w:val="yellow"/>
        </w:rPr>
        <w:t xml:space="preserve">). </w:t>
      </w:r>
      <w:r>
        <w:rPr>
          <w:rFonts w:ascii="Arial" w:eastAsia="Calibri" w:hAnsi="Arial" w:cs="Arial"/>
          <w:szCs w:val="22"/>
          <w:highlight w:val="yellow"/>
        </w:rPr>
        <w:t>“</w:t>
      </w:r>
      <w:r w:rsidR="00AF77DD" w:rsidRPr="00A2508C">
        <w:rPr>
          <w:rFonts w:ascii="Arial" w:eastAsia="Calibri" w:hAnsi="Arial" w:cs="Arial"/>
          <w:szCs w:val="22"/>
          <w:highlight w:val="yellow"/>
        </w:rPr>
        <w:t>Woody plants that produce merchantable timber are divided into two broad groups, i.e. softwoods and hardwoods. Softwoods (also known as conifers or gymnosperms) are cone-bearing trees which tend to have needle-like or scale-like evergreen leaves</w:t>
      </w:r>
      <w:r w:rsidR="00AF77DD" w:rsidRPr="00AF77DD">
        <w:rPr>
          <w:rFonts w:ascii="Arial" w:eastAsia="Calibri" w:hAnsi="Arial" w:cs="Arial"/>
          <w:szCs w:val="22"/>
        </w:rPr>
        <w:t>.The fungal kingdom includes a vast number of species, being estimated to about 1.5 million</w:t>
      </w:r>
      <w:r>
        <w:rPr>
          <w:rFonts w:ascii="Arial" w:eastAsia="Calibri" w:hAnsi="Arial" w:cs="Arial"/>
          <w:szCs w:val="22"/>
        </w:rPr>
        <w:t>”</w:t>
      </w:r>
      <w:r w:rsidR="00AF77DD" w:rsidRPr="00AF77DD">
        <w:rPr>
          <w:rFonts w:ascii="Arial" w:eastAsia="Calibri" w:hAnsi="Arial" w:cs="Arial"/>
          <w:szCs w:val="22"/>
        </w:rPr>
        <w:t xml:space="preserve"> (Kirk </w:t>
      </w:r>
      <w:r w:rsidR="00AF77DD" w:rsidRPr="00AF77DD">
        <w:rPr>
          <w:rFonts w:ascii="Arial" w:eastAsia="Calibri" w:hAnsi="Arial" w:cs="Arial"/>
          <w:i/>
          <w:szCs w:val="22"/>
        </w:rPr>
        <w:t xml:space="preserve">et al., </w:t>
      </w:r>
      <w:r w:rsidR="00AF77DD" w:rsidRPr="00AF77DD">
        <w:rPr>
          <w:rFonts w:ascii="Arial" w:eastAsia="Calibri" w:hAnsi="Arial" w:cs="Arial"/>
          <w:szCs w:val="22"/>
        </w:rPr>
        <w:t xml:space="preserve">2008), </w:t>
      </w:r>
      <w:r>
        <w:rPr>
          <w:rFonts w:ascii="Arial" w:eastAsia="Calibri" w:hAnsi="Arial" w:cs="Arial"/>
          <w:szCs w:val="22"/>
        </w:rPr>
        <w:t>“</w:t>
      </w:r>
      <w:r w:rsidR="00AF77DD" w:rsidRPr="00AF77DD">
        <w:rPr>
          <w:rFonts w:ascii="Arial" w:eastAsia="Calibri" w:hAnsi="Arial" w:cs="Arial"/>
          <w:szCs w:val="22"/>
        </w:rPr>
        <w:t>yet new species are described virtually every year. Many different ecological strategies have evolved back and forth within the fungal kingdom, including biotrophic parasitism, symbiosis and saprotrophism</w:t>
      </w:r>
      <w:r>
        <w:rPr>
          <w:rFonts w:ascii="Arial" w:eastAsia="Calibri" w:hAnsi="Arial" w:cs="Arial"/>
          <w:szCs w:val="22"/>
        </w:rPr>
        <w:t>”</w:t>
      </w:r>
      <w:r w:rsidR="00AF77DD" w:rsidRPr="00AF77DD">
        <w:rPr>
          <w:rFonts w:ascii="Arial" w:eastAsia="Calibri" w:hAnsi="Arial" w:cs="Arial"/>
          <w:szCs w:val="22"/>
        </w:rPr>
        <w:t xml:space="preserve"> (James </w:t>
      </w:r>
      <w:r w:rsidR="00AF77DD" w:rsidRPr="00AF77DD">
        <w:rPr>
          <w:rFonts w:ascii="Arial" w:eastAsia="Calibri" w:hAnsi="Arial" w:cs="Arial"/>
          <w:i/>
          <w:szCs w:val="22"/>
        </w:rPr>
        <w:t xml:space="preserve">et al., </w:t>
      </w:r>
      <w:r w:rsidR="00AF77DD" w:rsidRPr="00AF77DD">
        <w:rPr>
          <w:rFonts w:ascii="Arial" w:eastAsia="Calibri" w:hAnsi="Arial" w:cs="Arial"/>
          <w:szCs w:val="22"/>
        </w:rPr>
        <w:t xml:space="preserve">2006). </w:t>
      </w:r>
      <w:r>
        <w:rPr>
          <w:rFonts w:ascii="Arial" w:eastAsia="Calibri" w:hAnsi="Arial" w:cs="Arial"/>
          <w:szCs w:val="22"/>
        </w:rPr>
        <w:t>“</w:t>
      </w:r>
      <w:r w:rsidR="00AF77DD" w:rsidRPr="00AF77DD">
        <w:rPr>
          <w:rFonts w:ascii="Arial" w:eastAsia="Calibri" w:hAnsi="Arial" w:cs="Arial"/>
          <w:szCs w:val="22"/>
        </w:rPr>
        <w:t>Saprotrophic fungi degrade different types of organic compounds and are found interspersed throughout the entire fungal kingdom. Wood has played a very important role in the life of man for centuries as a building material. It is known that the earliest humans used wood to make shelters, cook food, and construct tools for thousands of years. Wood is exceptionally durable when used in properly designed, constructed and maintained structures. However, it is prone to degradation by a variety of organisms when these practices are not followed. Typically, fungi are the most important agents of structural deterioration (Mankowski and Morrell, 2000). Plant-based building materials, especially timber, are increasingly used as an eco-friendly alternative to concrete, but like any plant-derived product microorganisms can degrade the carbon rich molecular building blocks</w:t>
      </w:r>
      <w:r>
        <w:rPr>
          <w:rFonts w:ascii="Arial" w:eastAsia="Calibri" w:hAnsi="Arial" w:cs="Arial"/>
          <w:szCs w:val="22"/>
        </w:rPr>
        <w:t>”</w:t>
      </w:r>
      <w:r w:rsidR="00AF77DD" w:rsidRPr="00AF77DD">
        <w:rPr>
          <w:rFonts w:ascii="Arial" w:eastAsia="Calibri" w:hAnsi="Arial" w:cs="Arial"/>
          <w:szCs w:val="22"/>
        </w:rPr>
        <w:t xml:space="preserve"> </w:t>
      </w:r>
      <w:r w:rsidR="00AF77DD" w:rsidRPr="00FD60A7">
        <w:rPr>
          <w:rFonts w:ascii="Arial" w:eastAsia="Calibri" w:hAnsi="Arial" w:cs="Arial"/>
          <w:szCs w:val="22"/>
          <w:highlight w:val="yellow"/>
        </w:rPr>
        <w:t>(</w:t>
      </w:r>
      <w:r w:rsidR="00D6281D" w:rsidRPr="00FD60A7">
        <w:rPr>
          <w:rFonts w:ascii="Arial" w:eastAsia="Calibri" w:hAnsi="Arial" w:cs="Arial"/>
          <w:szCs w:val="22"/>
          <w:highlight w:val="yellow"/>
        </w:rPr>
        <w:t xml:space="preserve">Van Niekerk </w:t>
      </w:r>
      <w:r w:rsidR="00D6281D" w:rsidRPr="00FD60A7">
        <w:rPr>
          <w:rFonts w:ascii="Arial" w:eastAsia="Calibri" w:hAnsi="Arial" w:cs="Arial"/>
          <w:i/>
          <w:iCs/>
          <w:szCs w:val="22"/>
          <w:highlight w:val="yellow"/>
        </w:rPr>
        <w:t>et al.</w:t>
      </w:r>
      <w:r w:rsidR="00D6281D" w:rsidRPr="00FD60A7">
        <w:rPr>
          <w:rFonts w:ascii="Arial" w:eastAsia="Calibri" w:hAnsi="Arial" w:cs="Arial"/>
          <w:szCs w:val="22"/>
          <w:highlight w:val="yellow"/>
        </w:rPr>
        <w:t>, 2021</w:t>
      </w:r>
      <w:r w:rsidR="00AF77DD" w:rsidRPr="00FD60A7">
        <w:rPr>
          <w:rFonts w:ascii="Arial" w:eastAsia="Calibri" w:hAnsi="Arial" w:cs="Arial"/>
          <w:szCs w:val="22"/>
          <w:highlight w:val="yellow"/>
        </w:rPr>
        <w:t xml:space="preserve">). </w:t>
      </w:r>
      <w:r>
        <w:rPr>
          <w:rFonts w:ascii="Arial" w:eastAsia="Calibri" w:hAnsi="Arial" w:cs="Arial"/>
          <w:szCs w:val="22"/>
          <w:highlight w:val="yellow"/>
        </w:rPr>
        <w:t>“</w:t>
      </w:r>
      <w:r w:rsidR="00AF77DD" w:rsidRPr="00FD60A7">
        <w:rPr>
          <w:rFonts w:ascii="Arial" w:eastAsia="Calibri" w:hAnsi="Arial" w:cs="Arial"/>
          <w:szCs w:val="22"/>
          <w:highlight w:val="yellow"/>
        </w:rPr>
        <w:t>Microbial biodeterioration is still an underestimated problem when houses are planned and built, and with increasing use of biological building materials it is expected to get more attention in the upcoming years. Indoor microbial growth can cause superficial damage (e.g. moldy window seals), but can also result in profound structural damage (e.g. wood decaying fungi). Wood used in the built environment is very different from dead wood that is found in natural environments. Wood is dried before being used as construction timber, and buildings are designed in a way that structural wood components remain dry and structurally stable for decades.</w:t>
      </w:r>
      <w:r w:rsidR="00880A76" w:rsidRPr="00FD60A7">
        <w:rPr>
          <w:rFonts w:ascii="Arial" w:eastAsia="Calibri" w:hAnsi="Arial" w:cs="Arial"/>
          <w:szCs w:val="22"/>
          <w:highlight w:val="yellow"/>
        </w:rPr>
        <w:t xml:space="preserve"> </w:t>
      </w:r>
      <w:r w:rsidR="00AF77DD" w:rsidRPr="00FD60A7">
        <w:rPr>
          <w:rFonts w:ascii="Arial" w:eastAsia="Calibri" w:hAnsi="Arial" w:cs="Arial"/>
          <w:szCs w:val="22"/>
          <w:highlight w:val="yellow"/>
        </w:rPr>
        <w:t xml:space="preserve">Therefore, timber decay and rot </w:t>
      </w:r>
      <w:r w:rsidR="00D6281D" w:rsidRPr="00FD60A7">
        <w:rPr>
          <w:rFonts w:ascii="Arial" w:eastAsia="Calibri" w:hAnsi="Arial" w:cs="Arial"/>
          <w:szCs w:val="22"/>
          <w:highlight w:val="yellow"/>
        </w:rPr>
        <w:t>are</w:t>
      </w:r>
      <w:r w:rsidR="00AF77DD" w:rsidRPr="00FD60A7">
        <w:rPr>
          <w:rFonts w:ascii="Arial" w:eastAsia="Calibri" w:hAnsi="Arial" w:cs="Arial"/>
          <w:szCs w:val="22"/>
          <w:highlight w:val="yellow"/>
        </w:rPr>
        <w:t xml:space="preserve"> usually the consequence</w:t>
      </w:r>
      <w:r w:rsidR="00D6281D" w:rsidRPr="00FD60A7">
        <w:rPr>
          <w:rFonts w:ascii="Arial" w:eastAsia="Calibri" w:hAnsi="Arial" w:cs="Arial"/>
          <w:szCs w:val="22"/>
          <w:highlight w:val="yellow"/>
        </w:rPr>
        <w:t>s</w:t>
      </w:r>
      <w:r w:rsidR="00AF77DD" w:rsidRPr="00FD60A7">
        <w:rPr>
          <w:rFonts w:ascii="Arial" w:eastAsia="Calibri" w:hAnsi="Arial" w:cs="Arial"/>
          <w:szCs w:val="22"/>
          <w:highlight w:val="yellow"/>
        </w:rPr>
        <w:t xml:space="preserve"> of water damage by condensation or leakage, providing fungi and bacteria the moisture needed for growth.</w:t>
      </w:r>
      <w:r w:rsidR="00B3490B" w:rsidRPr="00FD60A7">
        <w:rPr>
          <w:rFonts w:ascii="Arial" w:eastAsia="Calibri" w:hAnsi="Arial" w:cs="Arial"/>
          <w:szCs w:val="22"/>
          <w:highlight w:val="yellow"/>
        </w:rPr>
        <w:t xml:space="preserve"> </w:t>
      </w:r>
      <w:r w:rsidR="00AF77DD" w:rsidRPr="00FD60A7">
        <w:rPr>
          <w:rFonts w:ascii="Arial" w:eastAsia="Calibri" w:hAnsi="Arial" w:cs="Arial"/>
          <w:szCs w:val="22"/>
          <w:highlight w:val="yellow"/>
        </w:rPr>
        <w:t>The succession of fungal and bacterial communities during wood decay in unusual, and quite extreme environment has not been studied as extensively as wood decay in natural environments</w:t>
      </w:r>
      <w:r>
        <w:rPr>
          <w:rFonts w:ascii="Arial" w:eastAsia="Calibri" w:hAnsi="Arial" w:cs="Arial"/>
          <w:szCs w:val="22"/>
          <w:highlight w:val="yellow"/>
        </w:rPr>
        <w:t>”</w:t>
      </w:r>
      <w:r w:rsidR="00AF77DD" w:rsidRPr="00FD60A7">
        <w:rPr>
          <w:rFonts w:ascii="Arial" w:eastAsia="Calibri" w:hAnsi="Arial" w:cs="Arial"/>
          <w:szCs w:val="22"/>
          <w:highlight w:val="yellow"/>
        </w:rPr>
        <w:t xml:space="preserve"> (</w:t>
      </w:r>
      <w:r w:rsidR="00D6281D" w:rsidRPr="00FD60A7">
        <w:rPr>
          <w:rFonts w:ascii="Arial" w:eastAsia="Calibri" w:hAnsi="Arial" w:cs="Arial"/>
          <w:szCs w:val="22"/>
          <w:highlight w:val="yellow"/>
        </w:rPr>
        <w:t xml:space="preserve">Johnston </w:t>
      </w:r>
      <w:r w:rsidR="00D6281D" w:rsidRPr="00FD60A7">
        <w:rPr>
          <w:rFonts w:ascii="Arial" w:eastAsia="Calibri" w:hAnsi="Arial" w:cs="Arial"/>
          <w:i/>
          <w:iCs/>
          <w:szCs w:val="22"/>
          <w:highlight w:val="yellow"/>
        </w:rPr>
        <w:t>et al</w:t>
      </w:r>
      <w:r w:rsidR="00D6281D" w:rsidRPr="00FD60A7">
        <w:rPr>
          <w:rFonts w:ascii="Arial" w:eastAsia="Calibri" w:hAnsi="Arial" w:cs="Arial"/>
          <w:szCs w:val="22"/>
          <w:highlight w:val="yellow"/>
        </w:rPr>
        <w:t xml:space="preserve">., 2016; Kahl et al., 2017; Bani </w:t>
      </w:r>
      <w:r w:rsidR="00D6281D" w:rsidRPr="00FD60A7">
        <w:rPr>
          <w:rFonts w:ascii="Arial" w:eastAsia="Calibri" w:hAnsi="Arial" w:cs="Arial"/>
          <w:i/>
          <w:iCs/>
          <w:szCs w:val="22"/>
          <w:highlight w:val="yellow"/>
        </w:rPr>
        <w:t>et al</w:t>
      </w:r>
      <w:r w:rsidR="00D6281D" w:rsidRPr="00FD60A7">
        <w:rPr>
          <w:rFonts w:ascii="Arial" w:eastAsia="Calibri" w:hAnsi="Arial" w:cs="Arial"/>
          <w:szCs w:val="22"/>
          <w:highlight w:val="yellow"/>
        </w:rPr>
        <w:t xml:space="preserve">., 2018; Krah </w:t>
      </w:r>
      <w:r w:rsidR="00D6281D" w:rsidRPr="00FD60A7">
        <w:rPr>
          <w:rFonts w:ascii="Arial" w:eastAsia="Calibri" w:hAnsi="Arial" w:cs="Arial"/>
          <w:i/>
          <w:iCs/>
          <w:szCs w:val="22"/>
          <w:highlight w:val="yellow"/>
        </w:rPr>
        <w:t>et al</w:t>
      </w:r>
      <w:r w:rsidR="00D6281D" w:rsidRPr="00FD60A7">
        <w:rPr>
          <w:rFonts w:ascii="Arial" w:eastAsia="Calibri" w:hAnsi="Arial" w:cs="Arial"/>
          <w:szCs w:val="22"/>
          <w:highlight w:val="yellow"/>
        </w:rPr>
        <w:t>., 2018;</w:t>
      </w:r>
      <w:r w:rsidR="00341D8E">
        <w:rPr>
          <w:rFonts w:ascii="Arial" w:eastAsia="Calibri" w:hAnsi="Arial" w:cs="Arial"/>
          <w:szCs w:val="22"/>
          <w:highlight w:val="yellow"/>
        </w:rPr>
        <w:t xml:space="preserve"> Goodell </w:t>
      </w:r>
      <w:r w:rsidR="00341D8E" w:rsidRPr="00341D8E">
        <w:rPr>
          <w:rFonts w:ascii="Arial" w:eastAsia="Calibri" w:hAnsi="Arial" w:cs="Arial"/>
          <w:i/>
          <w:iCs/>
          <w:szCs w:val="22"/>
          <w:highlight w:val="yellow"/>
        </w:rPr>
        <w:t>et al.,</w:t>
      </w:r>
      <w:r w:rsidR="00341D8E">
        <w:rPr>
          <w:rFonts w:ascii="Arial" w:eastAsia="Calibri" w:hAnsi="Arial" w:cs="Arial"/>
          <w:szCs w:val="22"/>
          <w:highlight w:val="yellow"/>
        </w:rPr>
        <w:t xml:space="preserve"> 1997</w:t>
      </w:r>
      <w:r w:rsidR="00D6281D" w:rsidRPr="00FD60A7">
        <w:rPr>
          <w:rFonts w:ascii="Arial" w:eastAsia="Calibri" w:hAnsi="Arial" w:cs="Arial"/>
          <w:szCs w:val="22"/>
          <w:highlight w:val="yellow"/>
        </w:rPr>
        <w:t xml:space="preserve"> Goodell </w:t>
      </w:r>
      <w:r w:rsidR="00D6281D" w:rsidRPr="00FD60A7">
        <w:rPr>
          <w:rFonts w:ascii="Arial" w:eastAsia="Calibri" w:hAnsi="Arial" w:cs="Arial"/>
          <w:i/>
          <w:iCs/>
          <w:szCs w:val="22"/>
          <w:highlight w:val="yellow"/>
        </w:rPr>
        <w:t>et a</w:t>
      </w:r>
      <w:r w:rsidR="00D6281D" w:rsidRPr="00FD60A7">
        <w:rPr>
          <w:rFonts w:ascii="Arial" w:eastAsia="Calibri" w:hAnsi="Arial" w:cs="Arial"/>
          <w:szCs w:val="22"/>
          <w:highlight w:val="yellow"/>
        </w:rPr>
        <w:t>l., 2020; Fukasawa, 2021</w:t>
      </w:r>
      <w:r w:rsidR="00AF77DD" w:rsidRPr="00FD60A7">
        <w:rPr>
          <w:rFonts w:ascii="Arial" w:eastAsia="Calibri" w:hAnsi="Arial" w:cs="Arial"/>
          <w:szCs w:val="22"/>
          <w:highlight w:val="yellow"/>
        </w:rPr>
        <w:t xml:space="preserve">). </w:t>
      </w:r>
      <w:r>
        <w:rPr>
          <w:rFonts w:ascii="Arial" w:eastAsia="Calibri" w:hAnsi="Arial" w:cs="Arial"/>
          <w:szCs w:val="22"/>
          <w:highlight w:val="yellow"/>
        </w:rPr>
        <w:t>“</w:t>
      </w:r>
      <w:r w:rsidR="00B3490B" w:rsidRPr="00FD60A7">
        <w:rPr>
          <w:rFonts w:ascii="Arial" w:eastAsia="Calibri" w:hAnsi="Arial" w:cs="Arial"/>
          <w:bCs/>
          <w:szCs w:val="22"/>
          <w:highlight w:val="yellow"/>
        </w:rPr>
        <w:t>Up to now, 120 different wood-destroying fungi in buildings have been identified in some parts of the world</w:t>
      </w:r>
      <w:r>
        <w:rPr>
          <w:rFonts w:ascii="Arial" w:eastAsia="Calibri" w:hAnsi="Arial" w:cs="Arial"/>
          <w:bCs/>
          <w:szCs w:val="22"/>
          <w:highlight w:val="yellow"/>
        </w:rPr>
        <w:t>”</w:t>
      </w:r>
      <w:r w:rsidR="00B3490B" w:rsidRPr="00FD60A7">
        <w:rPr>
          <w:rFonts w:ascii="Arial" w:eastAsia="Calibri" w:hAnsi="Arial" w:cs="Arial"/>
          <w:bCs/>
          <w:szCs w:val="22"/>
          <w:highlight w:val="yellow"/>
        </w:rPr>
        <w:t xml:space="preserve"> (Huckfeldt and Schmidt, 2015). </w:t>
      </w:r>
      <w:r w:rsidR="00AF77DD" w:rsidRPr="00FD60A7">
        <w:rPr>
          <w:rFonts w:ascii="Arial" w:eastAsia="Calibri" w:hAnsi="Arial" w:cs="Arial"/>
          <w:szCs w:val="22"/>
          <w:highlight w:val="yellow"/>
        </w:rPr>
        <w:t>Fungal decay poses a significant threat to timber structures, resulting in structural damage, decreased durability, and increased maintenance costs. Understanding the specific mycological pathogens prevalent in the region is crucial for effective prevention and control measures</w:t>
      </w:r>
      <w:r w:rsidR="00AF77DD" w:rsidRPr="00AF77DD">
        <w:rPr>
          <w:rFonts w:ascii="Arial" w:eastAsia="Calibri" w:hAnsi="Arial" w:cs="Arial"/>
          <w:szCs w:val="22"/>
        </w:rPr>
        <w:t>.</w:t>
      </w:r>
    </w:p>
    <w:p w14:paraId="29143CD2" w14:textId="689D6B5C"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436BA1C" w14:textId="77777777" w:rsidR="00AF77DD" w:rsidRPr="00AF77DD" w:rsidRDefault="00AF77DD" w:rsidP="00625443">
      <w:pPr>
        <w:pStyle w:val="Body"/>
        <w:spacing w:after="0"/>
        <w:rPr>
          <w:rFonts w:ascii="Arial" w:hAnsi="Arial" w:cs="Arial"/>
          <w:b/>
          <w:sz w:val="22"/>
          <w:szCs w:val="22"/>
        </w:rPr>
      </w:pPr>
      <w:r w:rsidRPr="00AF77DD">
        <w:rPr>
          <w:rFonts w:ascii="Arial" w:hAnsi="Arial" w:cs="Arial"/>
          <w:b/>
          <w:sz w:val="22"/>
          <w:szCs w:val="22"/>
        </w:rPr>
        <w:t>Description of the Study Area</w:t>
      </w:r>
    </w:p>
    <w:p w14:paraId="6BAE2E36" w14:textId="760C94CB" w:rsidR="00AF77DD" w:rsidRPr="00AF77DD" w:rsidRDefault="00AF77DD" w:rsidP="00625443">
      <w:pPr>
        <w:pStyle w:val="Body"/>
        <w:spacing w:after="0"/>
        <w:rPr>
          <w:rFonts w:ascii="Arial" w:hAnsi="Arial" w:cs="Arial"/>
        </w:rPr>
      </w:pPr>
      <w:r w:rsidRPr="00AF77DD">
        <w:rPr>
          <w:rFonts w:ascii="Arial" w:hAnsi="Arial" w:cs="Arial"/>
        </w:rPr>
        <w:t>The study area is located in Akwa Ibom State, Nigeria. Specifically, the timber samples were collected from Uruan (Idu timber market). The state is situated in the South</w:t>
      </w:r>
      <w:r w:rsidR="00625443">
        <w:rPr>
          <w:rFonts w:ascii="Arial" w:hAnsi="Arial" w:cs="Arial"/>
        </w:rPr>
        <w:t>ern</w:t>
      </w:r>
      <w:r w:rsidRPr="00AF77DD">
        <w:rPr>
          <w:rFonts w:ascii="Arial" w:hAnsi="Arial" w:cs="Arial"/>
        </w:rPr>
        <w:t xml:space="preserve"> part of Nigeria, within the Niger Delta region.</w:t>
      </w:r>
      <w:r w:rsidR="00625443">
        <w:rPr>
          <w:rFonts w:ascii="Arial" w:hAnsi="Arial" w:cs="Arial"/>
        </w:rPr>
        <w:t xml:space="preserve"> </w:t>
      </w:r>
      <w:r w:rsidRPr="00AF77DD">
        <w:rPr>
          <w:rFonts w:ascii="Arial" w:hAnsi="Arial" w:cs="Arial"/>
        </w:rPr>
        <w:t>Uruan LGA is situated in the central part of the state.</w:t>
      </w:r>
    </w:p>
    <w:p w14:paraId="06A4BDBC" w14:textId="2FE6C349" w:rsidR="00AF77DD" w:rsidRPr="00AF77DD" w:rsidRDefault="00AF77DD" w:rsidP="00625443">
      <w:pPr>
        <w:pStyle w:val="Body"/>
        <w:spacing w:after="0"/>
        <w:rPr>
          <w:rFonts w:ascii="Arial" w:hAnsi="Arial" w:cs="Arial"/>
          <w:b/>
          <w:bCs/>
          <w:sz w:val="22"/>
          <w:szCs w:val="22"/>
        </w:rPr>
      </w:pPr>
      <w:r w:rsidRPr="00AF77DD">
        <w:rPr>
          <w:rFonts w:ascii="Arial" w:hAnsi="Arial" w:cs="Arial"/>
          <w:b/>
          <w:bCs/>
          <w:sz w:val="22"/>
          <w:szCs w:val="22"/>
        </w:rPr>
        <w:t>Collection of Samples</w:t>
      </w:r>
    </w:p>
    <w:p w14:paraId="654976BA" w14:textId="05A2C539" w:rsidR="00AF77DD" w:rsidRPr="00AF77DD" w:rsidRDefault="00AF77DD" w:rsidP="00625443">
      <w:pPr>
        <w:pStyle w:val="Body"/>
        <w:spacing w:after="0"/>
        <w:rPr>
          <w:rFonts w:ascii="Arial" w:hAnsi="Arial" w:cs="Arial"/>
          <w:b/>
          <w:bCs/>
        </w:rPr>
      </w:pPr>
      <w:r w:rsidRPr="00AF77DD">
        <w:rPr>
          <w:rFonts w:ascii="Arial" w:hAnsi="Arial" w:cs="Arial"/>
        </w:rPr>
        <w:t>Pieces of timber (Atarabang, Ntufiak and Ufu) were collected as samples from</w:t>
      </w:r>
      <w:r w:rsidR="00625443">
        <w:rPr>
          <w:rFonts w:ascii="Arial" w:hAnsi="Arial" w:cs="Arial"/>
        </w:rPr>
        <w:t xml:space="preserve"> Idu </w:t>
      </w:r>
      <w:r w:rsidRPr="00AF77DD">
        <w:rPr>
          <w:rFonts w:ascii="Arial" w:hAnsi="Arial" w:cs="Arial"/>
        </w:rPr>
        <w:t>timber markets in U</w:t>
      </w:r>
      <w:r w:rsidR="00625443">
        <w:rPr>
          <w:rFonts w:ascii="Arial" w:hAnsi="Arial" w:cs="Arial"/>
        </w:rPr>
        <w:t>ruan</w:t>
      </w:r>
      <w:r w:rsidRPr="00AF77DD">
        <w:rPr>
          <w:rFonts w:ascii="Arial" w:hAnsi="Arial" w:cs="Arial"/>
        </w:rPr>
        <w:t xml:space="preserve"> Local Government Area of Akwa Ibom State, Nigeria. These samples were painstakingly collected in separate Ziploc bags and labeled to avoid contamination. They were taken to Botany and Ecological Studies Laboratory, University of Uyo, for onward use.</w:t>
      </w:r>
    </w:p>
    <w:p w14:paraId="4E5CAFD6" w14:textId="77777777" w:rsidR="00AF77DD" w:rsidRPr="00AF77DD" w:rsidRDefault="00AF77DD" w:rsidP="00625443">
      <w:pPr>
        <w:pStyle w:val="Body"/>
        <w:spacing w:after="0"/>
        <w:rPr>
          <w:rFonts w:ascii="Arial" w:hAnsi="Arial" w:cs="Arial"/>
          <w:b/>
          <w:bCs/>
          <w:sz w:val="22"/>
          <w:szCs w:val="22"/>
        </w:rPr>
      </w:pPr>
      <w:r w:rsidRPr="00AF77DD">
        <w:rPr>
          <w:rFonts w:ascii="Arial" w:hAnsi="Arial" w:cs="Arial"/>
          <w:b/>
          <w:bCs/>
          <w:sz w:val="22"/>
          <w:szCs w:val="22"/>
        </w:rPr>
        <w:t>Preparation of Culture Media and Inoculation</w:t>
      </w:r>
    </w:p>
    <w:p w14:paraId="54D27EA8" w14:textId="336906B9" w:rsidR="00AF77DD" w:rsidRPr="00AF77DD" w:rsidRDefault="00AF77DD" w:rsidP="00625443">
      <w:pPr>
        <w:pStyle w:val="Body"/>
        <w:spacing w:after="0"/>
        <w:rPr>
          <w:rFonts w:ascii="Arial" w:hAnsi="Arial" w:cs="Arial"/>
        </w:rPr>
      </w:pPr>
      <w:r w:rsidRPr="00AF77DD">
        <w:rPr>
          <w:rFonts w:ascii="Arial" w:hAnsi="Arial" w:cs="Arial"/>
        </w:rPr>
        <w:t xml:space="preserve">The working bench was sterilized with 70% Sodium Hypo Chloride to get rid of contaminant present on the bench. Distilled water was poured inside a 250ml conical flask and corked air tight. It was sterilized in an autoclave for 15-25 minutes at 121°C </w:t>
      </w:r>
      <w:r w:rsidR="00625443">
        <w:rPr>
          <w:rFonts w:ascii="Arial" w:hAnsi="Arial" w:cs="Arial"/>
        </w:rPr>
        <w:t xml:space="preserve">which </w:t>
      </w:r>
      <w:r w:rsidRPr="00AF77DD">
        <w:rPr>
          <w:rFonts w:ascii="Arial" w:hAnsi="Arial" w:cs="Arial"/>
        </w:rPr>
        <w:t>was</w:t>
      </w:r>
      <w:r w:rsidR="00625443">
        <w:rPr>
          <w:rFonts w:ascii="Arial" w:hAnsi="Arial" w:cs="Arial"/>
        </w:rPr>
        <w:t xml:space="preserve"> then</w:t>
      </w:r>
      <w:r w:rsidRPr="00AF77DD">
        <w:rPr>
          <w:rFonts w:ascii="Arial" w:hAnsi="Arial" w:cs="Arial"/>
        </w:rPr>
        <w:t xml:space="preserve"> depressurized and allowed to cool before removal for filtration. An electronic weighing balance was used to measure 10</w:t>
      </w:r>
      <w:r w:rsidR="00625443">
        <w:rPr>
          <w:rFonts w:ascii="Arial" w:hAnsi="Arial" w:cs="Arial"/>
        </w:rPr>
        <w:t xml:space="preserve"> </w:t>
      </w:r>
      <w:r w:rsidRPr="00AF77DD">
        <w:rPr>
          <w:rFonts w:ascii="Arial" w:hAnsi="Arial" w:cs="Arial"/>
        </w:rPr>
        <w:t>g of the Sabouraud Dextrose Agar (SDA). The measured SDA was poured into a 250</w:t>
      </w:r>
      <w:r w:rsidR="00625443">
        <w:rPr>
          <w:rFonts w:ascii="Arial" w:hAnsi="Arial" w:cs="Arial"/>
        </w:rPr>
        <w:t xml:space="preserve"> </w:t>
      </w:r>
      <w:r w:rsidRPr="00AF77DD">
        <w:rPr>
          <w:rFonts w:ascii="Arial" w:hAnsi="Arial" w:cs="Arial"/>
        </w:rPr>
        <w:t>ml sterilized water inside a conical flask and mixed properly with a stirring rod, corked air tight. The conical flask containing the nutrients solution and other glass wares for the practical were placed into the Autoclave for sterilization at 121°C.</w:t>
      </w:r>
      <w:r w:rsidR="00884F6F">
        <w:rPr>
          <w:rFonts w:ascii="Arial" w:hAnsi="Arial" w:cs="Arial"/>
        </w:rPr>
        <w:t xml:space="preserve"> Then, </w:t>
      </w:r>
      <w:r w:rsidRPr="00AF77DD">
        <w:rPr>
          <w:rFonts w:ascii="Arial" w:hAnsi="Arial" w:cs="Arial"/>
        </w:rPr>
        <w:t>20</w:t>
      </w:r>
      <w:r w:rsidR="00884F6F">
        <w:rPr>
          <w:rFonts w:ascii="Arial" w:hAnsi="Arial" w:cs="Arial"/>
        </w:rPr>
        <w:t xml:space="preserve"> </w:t>
      </w:r>
      <w:r w:rsidRPr="00AF77DD">
        <w:rPr>
          <w:rFonts w:ascii="Arial" w:hAnsi="Arial" w:cs="Arial"/>
        </w:rPr>
        <w:t>ml of Streptomycin was measured using a syringe and was introduced into the nutrients broth to inhibit bacteria growth and promote fungi growth. A sterile knife was used to scrape pieces of the collected samples and w</w:t>
      </w:r>
      <w:r w:rsidR="00884F6F">
        <w:rPr>
          <w:rFonts w:ascii="Arial" w:hAnsi="Arial" w:cs="Arial"/>
        </w:rPr>
        <w:t>ere</w:t>
      </w:r>
      <w:r w:rsidRPr="00AF77DD">
        <w:rPr>
          <w:rFonts w:ascii="Arial" w:hAnsi="Arial" w:cs="Arial"/>
        </w:rPr>
        <w:t xml:space="preserve"> inoculated into prepared media in </w:t>
      </w:r>
      <w:r w:rsidRPr="00227759">
        <w:rPr>
          <w:rFonts w:ascii="Arial" w:hAnsi="Arial" w:cs="Arial"/>
          <w:highlight w:val="yellow"/>
        </w:rPr>
        <w:t xml:space="preserve">Petri </w:t>
      </w:r>
      <w:r w:rsidRPr="003B2285">
        <w:rPr>
          <w:rFonts w:ascii="Arial" w:hAnsi="Arial" w:cs="Arial"/>
          <w:highlight w:val="yellow"/>
        </w:rPr>
        <w:t xml:space="preserve">dishes. </w:t>
      </w:r>
      <w:r w:rsidR="003B2285" w:rsidRPr="003B2285">
        <w:rPr>
          <w:rFonts w:ascii="Arial" w:hAnsi="Arial" w:cs="Arial"/>
          <w:highlight w:val="yellow"/>
        </w:rPr>
        <w:t xml:space="preserve">Furthermore, </w:t>
      </w:r>
      <w:r w:rsidRPr="003B2285">
        <w:rPr>
          <w:rFonts w:ascii="Arial" w:hAnsi="Arial" w:cs="Arial"/>
          <w:highlight w:val="yellow"/>
        </w:rPr>
        <w:t>5</w:t>
      </w:r>
      <w:r w:rsidR="006E0644" w:rsidRPr="003B2285">
        <w:rPr>
          <w:rFonts w:ascii="Arial" w:hAnsi="Arial" w:cs="Arial"/>
          <w:highlight w:val="yellow"/>
        </w:rPr>
        <w:t xml:space="preserve"> </w:t>
      </w:r>
      <w:r w:rsidRPr="003B2285">
        <w:rPr>
          <w:rFonts w:ascii="Arial" w:hAnsi="Arial" w:cs="Arial"/>
          <w:highlight w:val="yellow"/>
        </w:rPr>
        <w:t>ml of SDA</w:t>
      </w:r>
      <w:r w:rsidRPr="00AF77DD">
        <w:rPr>
          <w:rFonts w:ascii="Arial" w:hAnsi="Arial" w:cs="Arial"/>
        </w:rPr>
        <w:t xml:space="preserve"> w</w:t>
      </w:r>
      <w:r w:rsidR="006E0644">
        <w:rPr>
          <w:rFonts w:ascii="Arial" w:hAnsi="Arial" w:cs="Arial"/>
        </w:rPr>
        <w:t>ere</w:t>
      </w:r>
      <w:r w:rsidRPr="00AF77DD">
        <w:rPr>
          <w:rFonts w:ascii="Arial" w:hAnsi="Arial" w:cs="Arial"/>
        </w:rPr>
        <w:t xml:space="preserve"> poured into each plates containing the fungi samples and swirled gently for even distribution. The inoculated Petri dishes were labe</w:t>
      </w:r>
      <w:r w:rsidR="00FD60A7">
        <w:rPr>
          <w:rFonts w:ascii="Arial" w:hAnsi="Arial" w:cs="Arial"/>
        </w:rPr>
        <w:t>l</w:t>
      </w:r>
      <w:r w:rsidRPr="00AF77DD">
        <w:rPr>
          <w:rFonts w:ascii="Arial" w:hAnsi="Arial" w:cs="Arial"/>
        </w:rPr>
        <w:t>led for easy identification and kept in an incubator at 27°C for seven (7) days.</w:t>
      </w:r>
    </w:p>
    <w:p w14:paraId="2A51CBAC" w14:textId="77777777" w:rsidR="00AF77DD" w:rsidRPr="00AF77DD" w:rsidRDefault="00AF77DD" w:rsidP="00884F6F">
      <w:pPr>
        <w:pStyle w:val="Body"/>
        <w:spacing w:after="0"/>
        <w:rPr>
          <w:rFonts w:ascii="Arial" w:hAnsi="Arial" w:cs="Arial"/>
          <w:b/>
          <w:bCs/>
          <w:sz w:val="22"/>
          <w:szCs w:val="22"/>
        </w:rPr>
      </w:pPr>
      <w:r w:rsidRPr="00AF77DD">
        <w:rPr>
          <w:rFonts w:ascii="Arial" w:hAnsi="Arial" w:cs="Arial"/>
          <w:b/>
          <w:bCs/>
        </w:rPr>
        <w:t xml:space="preserve"> </w:t>
      </w:r>
      <w:r w:rsidRPr="00AF77DD">
        <w:rPr>
          <w:rFonts w:ascii="Arial" w:hAnsi="Arial" w:cs="Arial"/>
          <w:b/>
          <w:bCs/>
          <w:sz w:val="22"/>
          <w:szCs w:val="22"/>
        </w:rPr>
        <w:t xml:space="preserve">Sub Culture </w:t>
      </w:r>
    </w:p>
    <w:p w14:paraId="1EFF5AC1" w14:textId="2D1ADE48" w:rsidR="00AF77DD" w:rsidRPr="00AF77DD" w:rsidRDefault="00AF77DD" w:rsidP="00884F6F">
      <w:pPr>
        <w:pStyle w:val="Body"/>
        <w:spacing w:after="0"/>
        <w:rPr>
          <w:rFonts w:ascii="Arial" w:hAnsi="Arial" w:cs="Arial"/>
        </w:rPr>
      </w:pPr>
      <w:r w:rsidRPr="00AF77DD">
        <w:rPr>
          <w:rFonts w:ascii="Arial" w:hAnsi="Arial" w:cs="Arial"/>
        </w:rPr>
        <w:t xml:space="preserve">After </w:t>
      </w:r>
      <w:r w:rsidRPr="003B2285">
        <w:rPr>
          <w:rFonts w:ascii="Arial" w:hAnsi="Arial" w:cs="Arial"/>
          <w:highlight w:val="yellow"/>
        </w:rPr>
        <w:t>seven days</w:t>
      </w:r>
      <w:r w:rsidRPr="00AF77DD">
        <w:rPr>
          <w:rFonts w:ascii="Arial" w:hAnsi="Arial" w:cs="Arial"/>
        </w:rPr>
        <w:t xml:space="preserve"> of incubation, fungal growth was seen in the Petri dishes</w:t>
      </w:r>
      <w:r w:rsidRPr="002B2716">
        <w:rPr>
          <w:rFonts w:ascii="Arial" w:hAnsi="Arial" w:cs="Arial"/>
          <w:highlight w:val="yellow"/>
        </w:rPr>
        <w:t>. SDA solution</w:t>
      </w:r>
      <w:r w:rsidRPr="00AF77DD">
        <w:rPr>
          <w:rFonts w:ascii="Arial" w:hAnsi="Arial" w:cs="Arial"/>
        </w:rPr>
        <w:t xml:space="preserve"> was prepared as earlier reported. An inoculation loop was sterilized over the spirit lamp and used to pick up different inoculums of cultured fungi formed on </w:t>
      </w:r>
      <w:r w:rsidRPr="00AF77DD">
        <w:rPr>
          <w:rFonts w:ascii="Arial" w:hAnsi="Arial" w:cs="Arial"/>
        </w:rPr>
        <w:lastRenderedPageBreak/>
        <w:t>the Petri dish and transferred into the already prepared plates</w:t>
      </w:r>
      <w:r w:rsidRPr="00AF77DD">
        <w:rPr>
          <w:rFonts w:ascii="Arial" w:hAnsi="Arial" w:cs="Arial"/>
          <w:b/>
          <w:bCs/>
        </w:rPr>
        <w:t xml:space="preserve">.  </w:t>
      </w:r>
      <w:r w:rsidRPr="00AF77DD">
        <w:rPr>
          <w:rFonts w:ascii="Arial" w:hAnsi="Arial" w:cs="Arial"/>
        </w:rPr>
        <w:t xml:space="preserve">The Petri dishes were well </w:t>
      </w:r>
      <w:r w:rsidR="002B2716">
        <w:rPr>
          <w:rFonts w:ascii="Arial" w:hAnsi="Arial" w:cs="Arial"/>
        </w:rPr>
        <w:t>labelled</w:t>
      </w:r>
      <w:r w:rsidRPr="00AF77DD">
        <w:rPr>
          <w:rFonts w:ascii="Arial" w:hAnsi="Arial" w:cs="Arial"/>
        </w:rPr>
        <w:t xml:space="preserve"> for easy identification, and kept inside the incubator at room temperature of 27°C for 48</w:t>
      </w:r>
      <w:r w:rsidR="00884F6F">
        <w:rPr>
          <w:rFonts w:ascii="Arial" w:hAnsi="Arial" w:cs="Arial"/>
        </w:rPr>
        <w:t xml:space="preserve"> </w:t>
      </w:r>
      <w:r w:rsidRPr="00AF77DD">
        <w:rPr>
          <w:rFonts w:ascii="Arial" w:hAnsi="Arial" w:cs="Arial"/>
        </w:rPr>
        <w:t>hours. After 48</w:t>
      </w:r>
      <w:r w:rsidR="00884F6F">
        <w:rPr>
          <w:rFonts w:ascii="Arial" w:hAnsi="Arial" w:cs="Arial"/>
        </w:rPr>
        <w:t xml:space="preserve"> </w:t>
      </w:r>
      <w:r w:rsidRPr="00AF77DD">
        <w:rPr>
          <w:rFonts w:ascii="Arial" w:hAnsi="Arial" w:cs="Arial"/>
        </w:rPr>
        <w:t>h</w:t>
      </w:r>
      <w:r w:rsidR="00884F6F">
        <w:rPr>
          <w:rFonts w:ascii="Arial" w:hAnsi="Arial" w:cs="Arial"/>
        </w:rPr>
        <w:t>our</w:t>
      </w:r>
      <w:r w:rsidRPr="00AF77DD">
        <w:rPr>
          <w:rFonts w:ascii="Arial" w:hAnsi="Arial" w:cs="Arial"/>
        </w:rPr>
        <w:t>s</w:t>
      </w:r>
      <w:r w:rsidR="006E0644">
        <w:rPr>
          <w:rFonts w:ascii="Arial" w:hAnsi="Arial" w:cs="Arial"/>
        </w:rPr>
        <w:t>,</w:t>
      </w:r>
      <w:r w:rsidRPr="00AF77DD">
        <w:rPr>
          <w:rFonts w:ascii="Arial" w:hAnsi="Arial" w:cs="Arial"/>
        </w:rPr>
        <w:t xml:space="preserve"> pure</w:t>
      </w:r>
      <w:r w:rsidR="006E0644">
        <w:rPr>
          <w:rFonts w:ascii="Arial" w:hAnsi="Arial" w:cs="Arial"/>
        </w:rPr>
        <w:t xml:space="preserve"> </w:t>
      </w:r>
      <w:r w:rsidRPr="00AF77DD">
        <w:rPr>
          <w:rFonts w:ascii="Arial" w:hAnsi="Arial" w:cs="Arial"/>
        </w:rPr>
        <w:t>cultures were obtained, and transferred into fresh SDA slants in McCarthy bottles and kept in the refrigerator for further use.</w:t>
      </w:r>
    </w:p>
    <w:p w14:paraId="45496CB7" w14:textId="77777777" w:rsidR="00AF77DD" w:rsidRPr="00AF77DD" w:rsidRDefault="00AF77DD" w:rsidP="00884F6F">
      <w:pPr>
        <w:pStyle w:val="Body"/>
        <w:spacing w:after="0"/>
        <w:rPr>
          <w:rFonts w:ascii="Arial" w:hAnsi="Arial" w:cs="Arial"/>
          <w:b/>
          <w:sz w:val="22"/>
          <w:szCs w:val="22"/>
        </w:rPr>
      </w:pPr>
      <w:r w:rsidRPr="00AF77DD">
        <w:rPr>
          <w:rFonts w:ascii="Arial" w:hAnsi="Arial" w:cs="Arial"/>
          <w:b/>
          <w:sz w:val="22"/>
          <w:szCs w:val="22"/>
        </w:rPr>
        <w:t>Molecular Identification of Fungal Species</w:t>
      </w:r>
    </w:p>
    <w:p w14:paraId="2CDC70B6" w14:textId="77777777" w:rsidR="00AF77DD" w:rsidRPr="00AF77DD" w:rsidRDefault="00AF77DD" w:rsidP="00884F6F">
      <w:pPr>
        <w:pStyle w:val="Body"/>
        <w:spacing w:after="0"/>
        <w:rPr>
          <w:rFonts w:ascii="Arial" w:hAnsi="Arial" w:cs="Arial"/>
          <w:b/>
          <w:u w:val="single"/>
        </w:rPr>
      </w:pPr>
      <w:r w:rsidRPr="00AF77DD">
        <w:rPr>
          <w:rFonts w:ascii="Arial" w:hAnsi="Arial" w:cs="Arial"/>
          <w:b/>
          <w:u w:val="single"/>
        </w:rPr>
        <w:t>DNA Extraction</w:t>
      </w:r>
    </w:p>
    <w:p w14:paraId="1FDCD3DB" w14:textId="2F1163F1" w:rsidR="00AF77DD" w:rsidRPr="00AF77DD" w:rsidRDefault="00AF77DD" w:rsidP="00884F6F">
      <w:pPr>
        <w:pStyle w:val="Body"/>
        <w:spacing w:after="0"/>
        <w:rPr>
          <w:rFonts w:ascii="Arial" w:hAnsi="Arial" w:cs="Arial"/>
        </w:rPr>
      </w:pPr>
      <w:r w:rsidRPr="00AF77DD">
        <w:rPr>
          <w:rFonts w:ascii="Arial" w:hAnsi="Arial" w:cs="Arial"/>
        </w:rPr>
        <w:t xml:space="preserve">Extraction was done using </w:t>
      </w:r>
      <w:r w:rsidRPr="002B2716">
        <w:rPr>
          <w:rFonts w:ascii="Arial" w:hAnsi="Arial" w:cs="Arial"/>
          <w:highlight w:val="yellow"/>
        </w:rPr>
        <w:t>a</w:t>
      </w:r>
      <w:r w:rsidR="003B2285">
        <w:rPr>
          <w:rFonts w:ascii="Arial" w:hAnsi="Arial" w:cs="Arial"/>
          <w:highlight w:val="yellow"/>
        </w:rPr>
        <w:t xml:space="preserve"> </w:t>
      </w:r>
      <w:r w:rsidRPr="002B2716">
        <w:rPr>
          <w:rFonts w:ascii="Arial" w:hAnsi="Arial" w:cs="Arial"/>
          <w:highlight w:val="yellow"/>
        </w:rPr>
        <w:t>kit</w:t>
      </w:r>
      <w:r w:rsidRPr="00AF77DD">
        <w:rPr>
          <w:rFonts w:ascii="Arial" w:hAnsi="Arial" w:cs="Arial"/>
        </w:rPr>
        <w:t xml:space="preserve"> supplied by Inqaba</w:t>
      </w:r>
      <w:r w:rsidR="00884F6F">
        <w:rPr>
          <w:rFonts w:ascii="Arial" w:hAnsi="Arial" w:cs="Arial"/>
        </w:rPr>
        <w:t xml:space="preserve"> Biotech,</w:t>
      </w:r>
      <w:r w:rsidRPr="00AF77DD">
        <w:rPr>
          <w:rFonts w:ascii="Arial" w:hAnsi="Arial" w:cs="Arial"/>
        </w:rPr>
        <w:t xml:space="preserve"> South Africa. A heavy growth of the pure culture of the suspected isolates was suspended in 200 microliters of isotonic buffer into a ZR Bashing Bead Lysis tubes, 750 </w:t>
      </w:r>
      <w:r w:rsidR="00A92C86" w:rsidRPr="00AF77DD">
        <w:rPr>
          <w:rFonts w:ascii="Arial" w:hAnsi="Arial" w:cs="Arial"/>
        </w:rPr>
        <w:t>microliters</w:t>
      </w:r>
      <w:r w:rsidRPr="00AF77DD">
        <w:rPr>
          <w:rFonts w:ascii="Arial" w:hAnsi="Arial" w:cs="Arial"/>
        </w:rPr>
        <w:t xml:space="preserve"> of lysis solution was added to the tube. The tubes were secured in a bead beater fitted with a </w:t>
      </w:r>
      <w:r w:rsidRPr="00EC7EFB">
        <w:rPr>
          <w:rFonts w:ascii="Arial" w:hAnsi="Arial" w:cs="Arial"/>
          <w:highlight w:val="yellow"/>
        </w:rPr>
        <w:t>2</w:t>
      </w:r>
      <w:r w:rsidR="00EC7EFB" w:rsidRPr="00EC7EFB">
        <w:rPr>
          <w:rFonts w:ascii="Arial" w:hAnsi="Arial" w:cs="Arial"/>
          <w:highlight w:val="yellow"/>
        </w:rPr>
        <w:t>000</w:t>
      </w:r>
      <w:r w:rsidR="00DB14D2" w:rsidRPr="00EC7EFB">
        <w:rPr>
          <w:rFonts w:ascii="Arial" w:hAnsi="Arial" w:cs="Arial"/>
          <w:highlight w:val="yellow"/>
        </w:rPr>
        <w:t xml:space="preserve"> </w:t>
      </w:r>
      <w:r w:rsidRPr="00EC7EFB">
        <w:rPr>
          <w:rFonts w:ascii="Arial" w:hAnsi="Arial" w:cs="Arial"/>
          <w:highlight w:val="yellow"/>
        </w:rPr>
        <w:t>m</w:t>
      </w:r>
      <w:r w:rsidR="00EC7EFB" w:rsidRPr="00EC7EFB">
        <w:rPr>
          <w:rFonts w:ascii="Arial" w:hAnsi="Arial" w:cs="Arial"/>
          <w:highlight w:val="yellow"/>
        </w:rPr>
        <w:t>icroliters</w:t>
      </w:r>
      <w:r w:rsidRPr="00AF77DD">
        <w:rPr>
          <w:rFonts w:ascii="Arial" w:hAnsi="Arial" w:cs="Arial"/>
        </w:rPr>
        <w:t xml:space="preserve"> tube holder assembly and processed at maximum speed for 5 minutes. The ZR bashing bead lysis tube was centrifuged at 10,000x</w:t>
      </w:r>
      <w:r w:rsidRPr="00AF77DD">
        <w:rPr>
          <w:rFonts w:ascii="Arial" w:hAnsi="Arial" w:cs="Arial"/>
          <w:i/>
          <w:iCs/>
        </w:rPr>
        <w:t>g</w:t>
      </w:r>
      <w:r w:rsidRPr="00AF77DD">
        <w:rPr>
          <w:rFonts w:ascii="Arial" w:hAnsi="Arial" w:cs="Arial"/>
        </w:rPr>
        <w:t xml:space="preserve"> for 1 minute.</w:t>
      </w:r>
    </w:p>
    <w:p w14:paraId="75B834F3" w14:textId="685C9AC3" w:rsidR="00AF77DD" w:rsidRPr="00AF77DD" w:rsidRDefault="00E118AF" w:rsidP="00AF77DD">
      <w:pPr>
        <w:pStyle w:val="Body"/>
        <w:spacing w:after="0"/>
        <w:rPr>
          <w:rFonts w:ascii="Arial" w:hAnsi="Arial" w:cs="Arial"/>
        </w:rPr>
      </w:pPr>
      <w:r>
        <w:rPr>
          <w:rFonts w:ascii="Arial" w:hAnsi="Arial" w:cs="Arial"/>
        </w:rPr>
        <w:t>Also</w:t>
      </w:r>
      <w:r w:rsidR="003B2285">
        <w:rPr>
          <w:rFonts w:ascii="Arial" w:hAnsi="Arial" w:cs="Arial"/>
        </w:rPr>
        <w:t>,</w:t>
      </w:r>
      <w:r>
        <w:rPr>
          <w:rFonts w:ascii="Arial" w:hAnsi="Arial" w:cs="Arial"/>
        </w:rPr>
        <w:t xml:space="preserve"> </w:t>
      </w:r>
      <w:r w:rsidR="00AF77DD" w:rsidRPr="003B2285">
        <w:rPr>
          <w:rFonts w:ascii="Arial" w:hAnsi="Arial" w:cs="Arial"/>
          <w:highlight w:val="yellow"/>
        </w:rPr>
        <w:t>400 microliters</w:t>
      </w:r>
      <w:r w:rsidR="00AF77DD" w:rsidRPr="00AF77DD">
        <w:rPr>
          <w:rFonts w:ascii="Arial" w:hAnsi="Arial" w:cs="Arial"/>
        </w:rPr>
        <w:t xml:space="preserve"> of supernatant were transferred to a Zymo-Spin IV spin Filter (orange top) in a collection tube and centrifuged </w:t>
      </w:r>
      <w:r w:rsidR="00AF77DD" w:rsidRPr="00EC7EFB">
        <w:rPr>
          <w:rFonts w:ascii="Arial" w:hAnsi="Arial" w:cs="Arial"/>
          <w:highlight w:val="yellow"/>
        </w:rPr>
        <w:t>at 7000x</w:t>
      </w:r>
      <w:r w:rsidR="00AF77DD" w:rsidRPr="00EC7EFB">
        <w:rPr>
          <w:rFonts w:ascii="Arial" w:hAnsi="Arial" w:cs="Arial"/>
          <w:i/>
          <w:iCs/>
          <w:highlight w:val="yellow"/>
        </w:rPr>
        <w:t>g</w:t>
      </w:r>
      <w:r w:rsidR="00AF77DD" w:rsidRPr="00AF77DD">
        <w:rPr>
          <w:rFonts w:ascii="Arial" w:hAnsi="Arial" w:cs="Arial"/>
        </w:rPr>
        <w:t xml:space="preserve"> for 1 minute. </w:t>
      </w:r>
      <w:r w:rsidR="00AF77DD" w:rsidRPr="00EC7EFB">
        <w:rPr>
          <w:rFonts w:ascii="Arial" w:hAnsi="Arial" w:cs="Arial"/>
          <w:highlight w:val="yellow"/>
        </w:rPr>
        <w:t>1200</w:t>
      </w:r>
      <w:r w:rsidR="00EC7EFB" w:rsidRPr="00EC7EFB">
        <w:rPr>
          <w:rFonts w:ascii="Arial" w:hAnsi="Arial" w:cs="Arial"/>
          <w:highlight w:val="yellow"/>
        </w:rPr>
        <w:t xml:space="preserve"> </w:t>
      </w:r>
      <w:r w:rsidR="00AF77DD" w:rsidRPr="00EC7EFB">
        <w:rPr>
          <w:rFonts w:ascii="Arial" w:hAnsi="Arial" w:cs="Arial"/>
          <w:highlight w:val="yellow"/>
        </w:rPr>
        <w:t>microliters</w:t>
      </w:r>
      <w:r w:rsidR="00AF77DD" w:rsidRPr="00AF77DD">
        <w:rPr>
          <w:rFonts w:ascii="Arial" w:hAnsi="Arial" w:cs="Arial"/>
        </w:rPr>
        <w:t xml:space="preserve"> of fungal/bacterial DNA binding buffer were added to the filtrate in the collection tubes bringing the final volume to 1600 microliter, 800 microliter was then transferred to a Zymo-Spin IIC column in a collection tube and centrifuged at 10,000x</w:t>
      </w:r>
      <w:r w:rsidR="00AF77DD" w:rsidRPr="00AF77DD">
        <w:rPr>
          <w:rFonts w:ascii="Arial" w:hAnsi="Arial" w:cs="Arial"/>
          <w:i/>
          <w:iCs/>
        </w:rPr>
        <w:t>g</w:t>
      </w:r>
      <w:r w:rsidR="00AF77DD" w:rsidRPr="00AF77DD">
        <w:rPr>
          <w:rFonts w:ascii="Arial" w:hAnsi="Arial" w:cs="Arial"/>
        </w:rPr>
        <w:t xml:space="preserve"> for 1 minute, the flow through was discarded from the collection tube. The remaining volume was transferred to the same Zymo-spin and spun</w:t>
      </w:r>
      <w:r w:rsidR="00AF77DD" w:rsidRPr="00EC7EFB">
        <w:rPr>
          <w:rFonts w:ascii="Arial" w:hAnsi="Arial" w:cs="Arial"/>
          <w:highlight w:val="yellow"/>
        </w:rPr>
        <w:t>. 200</w:t>
      </w:r>
      <w:r w:rsidR="00EC7EFB" w:rsidRPr="00EC7EFB">
        <w:rPr>
          <w:rFonts w:ascii="Arial" w:hAnsi="Arial" w:cs="Arial"/>
          <w:highlight w:val="yellow"/>
        </w:rPr>
        <w:t xml:space="preserve"> </w:t>
      </w:r>
      <w:r w:rsidR="00AF77DD" w:rsidRPr="00EC7EFB">
        <w:rPr>
          <w:rFonts w:ascii="Arial" w:hAnsi="Arial" w:cs="Arial"/>
          <w:highlight w:val="yellow"/>
        </w:rPr>
        <w:t>microliter</w:t>
      </w:r>
      <w:r w:rsidR="00AF77DD" w:rsidRPr="00AF77DD">
        <w:rPr>
          <w:rFonts w:ascii="Arial" w:hAnsi="Arial" w:cs="Arial"/>
        </w:rPr>
        <w:t xml:space="preserve"> of the DNA Pre-Was buffer was added to the Zymo-spin IIC in a new collection tube and spun at 10,000x</w:t>
      </w:r>
      <w:r w:rsidR="00AF77DD" w:rsidRPr="00AF77DD">
        <w:rPr>
          <w:rFonts w:ascii="Arial" w:hAnsi="Arial" w:cs="Arial"/>
          <w:i/>
          <w:iCs/>
        </w:rPr>
        <w:t>g</w:t>
      </w:r>
      <w:r w:rsidR="00AF77DD" w:rsidRPr="00AF77DD">
        <w:rPr>
          <w:rFonts w:ascii="Arial" w:hAnsi="Arial" w:cs="Arial"/>
        </w:rPr>
        <w:t xml:space="preserve"> for 1 minute followed by the addition of 500 microliter of fungal/bacterial DNA Wash Buffer and centrifuged at 10,000x</w:t>
      </w:r>
      <w:r w:rsidR="00AF77DD" w:rsidRPr="00AF77DD">
        <w:rPr>
          <w:rFonts w:ascii="Arial" w:hAnsi="Arial" w:cs="Arial"/>
          <w:i/>
          <w:iCs/>
        </w:rPr>
        <w:t>g</w:t>
      </w:r>
      <w:r w:rsidR="00AF77DD" w:rsidRPr="00AF77DD">
        <w:rPr>
          <w:rFonts w:ascii="Arial" w:hAnsi="Arial" w:cs="Arial"/>
        </w:rPr>
        <w:t xml:space="preserve"> for 1 minute.</w:t>
      </w:r>
    </w:p>
    <w:p w14:paraId="36D4378D" w14:textId="7E7C483D" w:rsidR="00AF77DD" w:rsidRPr="00AF77DD" w:rsidRDefault="00AF77DD" w:rsidP="00AF77DD">
      <w:pPr>
        <w:pStyle w:val="Body"/>
        <w:spacing w:after="0"/>
        <w:rPr>
          <w:rFonts w:ascii="Arial" w:hAnsi="Arial" w:cs="Arial"/>
        </w:rPr>
      </w:pPr>
      <w:r w:rsidRPr="00AF77DD">
        <w:rPr>
          <w:rFonts w:ascii="Arial" w:hAnsi="Arial" w:cs="Arial"/>
        </w:rPr>
        <w:t xml:space="preserve">The Zymo-spin IIC column was transferred to a clean </w:t>
      </w:r>
      <w:r w:rsidR="00B36CF8" w:rsidRPr="00EC7EFB">
        <w:rPr>
          <w:rFonts w:ascii="Arial" w:hAnsi="Arial" w:cs="Arial"/>
          <w:highlight w:val="yellow"/>
        </w:rPr>
        <w:t>1.5</w:t>
      </w:r>
      <w:r w:rsidR="00EC7EFB" w:rsidRPr="00EC7EFB">
        <w:rPr>
          <w:rFonts w:ascii="Arial" w:hAnsi="Arial" w:cs="Arial"/>
          <w:highlight w:val="yellow"/>
        </w:rPr>
        <w:t xml:space="preserve"> </w:t>
      </w:r>
      <w:r w:rsidR="00B36CF8" w:rsidRPr="00EC7EFB">
        <w:rPr>
          <w:rFonts w:ascii="Arial" w:hAnsi="Arial" w:cs="Arial"/>
          <w:highlight w:val="yellow"/>
        </w:rPr>
        <w:t>microliter</w:t>
      </w:r>
      <w:r w:rsidR="00B36CF8">
        <w:rPr>
          <w:rFonts w:ascii="Arial" w:hAnsi="Arial" w:cs="Arial"/>
        </w:rPr>
        <w:t xml:space="preserve"> centrifuge tube. 100 microliters of DNA elution buffer were added to the column matrix and centrifuged at 10,000xg microliter for 30 seconds to elude the DNA. The ultra-pure DNA was then stored at -20 degrees for other downstream reactions</w:t>
      </w:r>
      <w:r w:rsidRPr="00AF77DD">
        <w:rPr>
          <w:rFonts w:ascii="Arial" w:hAnsi="Arial" w:cs="Arial"/>
        </w:rPr>
        <w:t>.</w:t>
      </w:r>
      <w:bookmarkStart w:id="0" w:name="_Hlk139799008"/>
    </w:p>
    <w:p w14:paraId="0663FE02" w14:textId="77777777" w:rsidR="00AF77DD" w:rsidRPr="00AF77DD" w:rsidRDefault="00AF77DD" w:rsidP="00574276">
      <w:pPr>
        <w:pStyle w:val="Body"/>
        <w:spacing w:after="0"/>
        <w:rPr>
          <w:rFonts w:ascii="Arial" w:hAnsi="Arial" w:cs="Arial"/>
          <w:u w:val="single"/>
        </w:rPr>
      </w:pPr>
      <w:r w:rsidRPr="00AF77DD">
        <w:rPr>
          <w:rFonts w:ascii="Arial" w:hAnsi="Arial" w:cs="Arial"/>
          <w:b/>
          <w:bCs/>
          <w:u w:val="single"/>
        </w:rPr>
        <w:t>DNA</w:t>
      </w:r>
      <w:r w:rsidRPr="00AF77DD">
        <w:rPr>
          <w:rFonts w:ascii="Arial" w:hAnsi="Arial" w:cs="Arial"/>
          <w:b/>
          <w:u w:val="single"/>
        </w:rPr>
        <w:t xml:space="preserve"> Quantification</w:t>
      </w:r>
    </w:p>
    <w:p w14:paraId="451447C7" w14:textId="65C38199" w:rsidR="00AF77DD" w:rsidRPr="00AF77DD" w:rsidRDefault="00AF77DD" w:rsidP="00574276">
      <w:pPr>
        <w:pStyle w:val="Body"/>
        <w:spacing w:after="0"/>
        <w:rPr>
          <w:rFonts w:ascii="Arial" w:hAnsi="Arial" w:cs="Arial"/>
        </w:rPr>
      </w:pPr>
      <w:r w:rsidRPr="00A243A2">
        <w:rPr>
          <w:rFonts w:ascii="Arial" w:hAnsi="Arial" w:cs="Arial"/>
          <w:bCs/>
          <w:highlight w:val="yellow"/>
          <w:lang w:val="en-GB"/>
        </w:rPr>
        <w:t xml:space="preserve">The extracted genomic DNA was quantified </w:t>
      </w:r>
      <w:r w:rsidR="00A243A2" w:rsidRPr="00A243A2">
        <w:rPr>
          <w:rFonts w:ascii="Arial" w:hAnsi="Arial" w:cs="Arial"/>
          <w:bCs/>
          <w:highlight w:val="yellow"/>
          <w:lang w:val="en-GB"/>
        </w:rPr>
        <w:t xml:space="preserve">(measure) </w:t>
      </w:r>
      <w:r w:rsidRPr="00A243A2">
        <w:rPr>
          <w:rFonts w:ascii="Arial" w:hAnsi="Arial" w:cs="Arial"/>
          <w:bCs/>
          <w:highlight w:val="yellow"/>
          <w:lang w:val="en-GB"/>
        </w:rPr>
        <w:t>using the Nanodrop 1000 spectrophotometer</w:t>
      </w:r>
      <w:r w:rsidR="00A243A2" w:rsidRPr="00A243A2">
        <w:rPr>
          <w:rFonts w:ascii="Arial" w:hAnsi="Arial" w:cs="Arial"/>
          <w:bCs/>
          <w:highlight w:val="yellow"/>
          <w:lang w:val="en-GB"/>
        </w:rPr>
        <w:t xml:space="preserve"> as described by the operation manual</w:t>
      </w:r>
      <w:r w:rsidR="00A243A2">
        <w:rPr>
          <w:rFonts w:ascii="Arial" w:hAnsi="Arial" w:cs="Arial"/>
          <w:bCs/>
          <w:lang w:val="en-GB"/>
        </w:rPr>
        <w:t>.</w:t>
      </w:r>
    </w:p>
    <w:bookmarkEnd w:id="0"/>
    <w:p w14:paraId="361267D9" w14:textId="556B0CFA" w:rsidR="00AF77DD" w:rsidRPr="00AF77DD" w:rsidRDefault="00AF77DD" w:rsidP="00574276">
      <w:pPr>
        <w:pStyle w:val="Body"/>
        <w:spacing w:after="0"/>
        <w:rPr>
          <w:rFonts w:ascii="Arial" w:hAnsi="Arial" w:cs="Arial"/>
          <w:b/>
          <w:u w:val="single"/>
        </w:rPr>
      </w:pPr>
      <w:r w:rsidRPr="00A243A2">
        <w:rPr>
          <w:rFonts w:ascii="Arial" w:hAnsi="Arial" w:cs="Arial"/>
          <w:b/>
          <w:highlight w:val="yellow"/>
          <w:u w:val="single"/>
          <w:lang w:val="en-GB"/>
        </w:rPr>
        <w:t>ITS Amplification</w:t>
      </w:r>
    </w:p>
    <w:p w14:paraId="438798C1" w14:textId="0BAB1F4A" w:rsidR="00FC5F39" w:rsidRDefault="00AF77DD" w:rsidP="006054CA">
      <w:pPr>
        <w:pStyle w:val="Body"/>
        <w:spacing w:after="0"/>
        <w:rPr>
          <w:rFonts w:ascii="Arial" w:hAnsi="Arial" w:cs="Arial"/>
        </w:rPr>
      </w:pPr>
      <w:r w:rsidRPr="00AF77DD">
        <w:rPr>
          <w:rFonts w:ascii="Arial" w:hAnsi="Arial" w:cs="Arial"/>
          <w:lang w:val="en-GB"/>
        </w:rPr>
        <w:t>The ITS region of the isolates was amplified using the ITS1F: 5'-CTTGGTCATTTAGAGGAAGTAA-3' and ITS4: 5'- TCCTCCGCTTATTGATATGC-3,</w:t>
      </w:r>
      <w:r w:rsidR="0020064D">
        <w:rPr>
          <w:rFonts w:ascii="Arial" w:hAnsi="Arial" w:cs="Arial"/>
        </w:rPr>
        <w:t xml:space="preserve"> </w:t>
      </w:r>
      <w:r w:rsidRPr="00AF77DD">
        <w:rPr>
          <w:rFonts w:ascii="Arial" w:hAnsi="Arial" w:cs="Arial"/>
          <w:lang w:val="en-GB"/>
        </w:rPr>
        <w:t>primers on a</w:t>
      </w:r>
      <w:r w:rsidR="00574276">
        <w:rPr>
          <w:rFonts w:ascii="Arial" w:hAnsi="Arial" w:cs="Arial"/>
          <w:lang w:val="en-GB"/>
        </w:rPr>
        <w:t>n</w:t>
      </w:r>
      <w:r w:rsidRPr="00AF77DD">
        <w:rPr>
          <w:rFonts w:ascii="Arial" w:hAnsi="Arial" w:cs="Arial"/>
          <w:lang w:val="en-GB"/>
        </w:rPr>
        <w:t xml:space="preserve"> ABI 9700 Applied Biosystems thermal cycler at a final volume of 30 microlitres for 35 cycles. The PCR mix included: the X2 Dream Taq Master mix supplied by Inqaba</w:t>
      </w:r>
      <w:r w:rsidR="00574276">
        <w:rPr>
          <w:rFonts w:ascii="Arial" w:hAnsi="Arial" w:cs="Arial"/>
          <w:lang w:val="en-GB"/>
        </w:rPr>
        <w:t xml:space="preserve"> Biotech.</w:t>
      </w:r>
      <w:r w:rsidRPr="00AF77DD">
        <w:rPr>
          <w:rFonts w:ascii="Arial" w:hAnsi="Arial" w:cs="Arial"/>
          <w:lang w:val="en-GB"/>
        </w:rPr>
        <w:t>, South Africa (Taq polymerase, DNTPs, MgCl), the primers at a concentration of 0.4</w:t>
      </w:r>
      <w:r w:rsidR="006054CA">
        <w:rPr>
          <w:rFonts w:ascii="Arial" w:hAnsi="Arial" w:cs="Arial"/>
          <w:lang w:val="en-GB"/>
        </w:rPr>
        <w:t xml:space="preserve"> </w:t>
      </w:r>
      <w:r w:rsidRPr="00AF77DD">
        <w:rPr>
          <w:rFonts w:ascii="Arial" w:hAnsi="Arial" w:cs="Arial"/>
          <w:lang w:val="en-GB"/>
        </w:rPr>
        <w:t>M and the extracted DNA as template. The PCR conditions were as follows: Initial denaturation, 95ºC for 5 minutes; denaturation, 95ºC for 30 seconds; annealing, 53ºC for 30 seconds; extension, 72ºC for    30 seconds for 35 cycles and final extension, 72ºC for 5 minutes. The product was resolved on a 1% agarose gel at 120</w:t>
      </w:r>
      <w:r w:rsidR="006054CA">
        <w:rPr>
          <w:rFonts w:ascii="Arial" w:hAnsi="Arial" w:cs="Arial"/>
          <w:lang w:val="en-GB"/>
        </w:rPr>
        <w:t xml:space="preserve"> </w:t>
      </w:r>
      <w:r w:rsidRPr="00AF77DD">
        <w:rPr>
          <w:rFonts w:ascii="Arial" w:hAnsi="Arial" w:cs="Arial"/>
          <w:lang w:val="en-GB"/>
        </w:rPr>
        <w:t xml:space="preserve">V for 15 minutes and visualized on a blue light </w:t>
      </w:r>
      <w:r w:rsidRPr="0020064D">
        <w:rPr>
          <w:rFonts w:ascii="Arial" w:hAnsi="Arial" w:cs="Arial"/>
          <w:highlight w:val="yellow"/>
          <w:lang w:val="en-GB"/>
        </w:rPr>
        <w:t>transilluminator</w:t>
      </w:r>
      <w:r w:rsidR="0020064D" w:rsidRPr="0020064D">
        <w:rPr>
          <w:rFonts w:ascii="Arial" w:hAnsi="Arial" w:cs="Arial"/>
          <w:highlight w:val="yellow"/>
          <w:lang w:val="en-GB"/>
        </w:rPr>
        <w:t xml:space="preserve"> equipment</w:t>
      </w:r>
      <w:r w:rsidR="0020064D">
        <w:rPr>
          <w:rFonts w:ascii="Arial" w:hAnsi="Arial" w:cs="Arial"/>
          <w:lang w:val="en-GB"/>
        </w:rPr>
        <w:t>.</w:t>
      </w:r>
    </w:p>
    <w:p w14:paraId="6BF82B68" w14:textId="77777777" w:rsidR="00FC5F39" w:rsidRDefault="00AF77DD" w:rsidP="006054CA">
      <w:pPr>
        <w:pStyle w:val="Body"/>
        <w:spacing w:after="0"/>
        <w:rPr>
          <w:rFonts w:ascii="Arial" w:hAnsi="Arial" w:cs="Arial"/>
        </w:rPr>
      </w:pPr>
      <w:r w:rsidRPr="00AF77DD">
        <w:rPr>
          <w:rFonts w:ascii="Arial" w:hAnsi="Arial" w:cs="Arial"/>
          <w:b/>
          <w:u w:val="single"/>
        </w:rPr>
        <w:t>Sequencing</w:t>
      </w:r>
      <w:bookmarkStart w:id="1" w:name="_Hlk139801512"/>
    </w:p>
    <w:p w14:paraId="53D65075" w14:textId="2A9E3E32" w:rsidR="00AF77DD" w:rsidRDefault="00AF77DD" w:rsidP="006054CA">
      <w:pPr>
        <w:pStyle w:val="Body"/>
        <w:spacing w:after="0"/>
        <w:rPr>
          <w:rFonts w:ascii="Arial" w:hAnsi="Arial" w:cs="Arial"/>
        </w:rPr>
      </w:pPr>
      <w:r w:rsidRPr="00AF77DD">
        <w:rPr>
          <w:rFonts w:ascii="Arial" w:hAnsi="Arial" w:cs="Arial"/>
        </w:rPr>
        <w:t xml:space="preserve">Sequencing was done using </w:t>
      </w:r>
      <w:r w:rsidR="00A243A2">
        <w:rPr>
          <w:rFonts w:ascii="Arial" w:hAnsi="Arial" w:cs="Arial"/>
        </w:rPr>
        <w:t xml:space="preserve">a </w:t>
      </w:r>
      <w:r w:rsidRPr="00A243A2">
        <w:rPr>
          <w:rFonts w:ascii="Arial" w:hAnsi="Arial" w:cs="Arial"/>
          <w:highlight w:val="yellow"/>
        </w:rPr>
        <w:t>kit o</w:t>
      </w:r>
      <w:r w:rsidRPr="00AF77DD">
        <w:rPr>
          <w:rFonts w:ascii="Arial" w:hAnsi="Arial" w:cs="Arial"/>
        </w:rPr>
        <w:t>n a 3510 ABI sequencer by Inqaba Biotechnological, Pretoria</w:t>
      </w:r>
      <w:r w:rsidR="006054CA">
        <w:rPr>
          <w:rFonts w:ascii="Arial" w:hAnsi="Arial" w:cs="Arial"/>
        </w:rPr>
        <w:t>,</w:t>
      </w:r>
      <w:r w:rsidRPr="00AF77DD">
        <w:rPr>
          <w:rFonts w:ascii="Arial" w:hAnsi="Arial" w:cs="Arial"/>
        </w:rPr>
        <w:t xml:space="preserve"> South Africa. The sequencing was done at a final volume of 10</w:t>
      </w:r>
      <w:r w:rsidR="006054CA">
        <w:rPr>
          <w:rFonts w:ascii="Arial" w:hAnsi="Arial" w:cs="Arial"/>
        </w:rPr>
        <w:t xml:space="preserve"> </w:t>
      </w:r>
      <w:r w:rsidRPr="00AF77DD">
        <w:rPr>
          <w:rFonts w:ascii="Arial" w:hAnsi="Arial" w:cs="Arial"/>
        </w:rPr>
        <w:t>ul, the components included 0.25 ul BigDye® terminator v1.1/v3.1, 2.25ul of 5 x BigDye sequencing buffer, 10</w:t>
      </w:r>
      <w:r w:rsidR="006054CA">
        <w:rPr>
          <w:rFonts w:ascii="Arial" w:hAnsi="Arial" w:cs="Arial"/>
        </w:rPr>
        <w:t xml:space="preserve"> </w:t>
      </w:r>
      <w:r w:rsidRPr="00AF77DD">
        <w:rPr>
          <w:rFonts w:ascii="Arial" w:hAnsi="Arial" w:cs="Arial"/>
        </w:rPr>
        <w:t>uM Primer PCR primer, and 2-10</w:t>
      </w:r>
      <w:r w:rsidR="006054CA">
        <w:rPr>
          <w:rFonts w:ascii="Arial" w:hAnsi="Arial" w:cs="Arial"/>
        </w:rPr>
        <w:t xml:space="preserve"> </w:t>
      </w:r>
      <w:r w:rsidRPr="00AF77DD">
        <w:rPr>
          <w:rFonts w:ascii="Arial" w:hAnsi="Arial" w:cs="Arial"/>
        </w:rPr>
        <w:t>ng PCR template per 100</w:t>
      </w:r>
      <w:r w:rsidR="006054CA">
        <w:rPr>
          <w:rFonts w:ascii="Arial" w:hAnsi="Arial" w:cs="Arial"/>
        </w:rPr>
        <w:t xml:space="preserve"> </w:t>
      </w:r>
      <w:r w:rsidRPr="00AF77DD">
        <w:rPr>
          <w:rFonts w:ascii="Arial" w:hAnsi="Arial" w:cs="Arial"/>
        </w:rPr>
        <w:t>bp. The sequencing conditions were as follows: 32 cycles of 96°C for 10s, 55°C for 5s and 60°C for 4</w:t>
      </w:r>
      <w:r w:rsidR="006054CA">
        <w:rPr>
          <w:rFonts w:ascii="Arial" w:hAnsi="Arial" w:cs="Arial"/>
        </w:rPr>
        <w:t xml:space="preserve"> </w:t>
      </w:r>
      <w:r w:rsidRPr="00AF77DD">
        <w:rPr>
          <w:rFonts w:ascii="Arial" w:hAnsi="Arial" w:cs="Arial"/>
        </w:rPr>
        <w:t>min</w:t>
      </w:r>
      <w:r w:rsidR="006054CA">
        <w:rPr>
          <w:rFonts w:ascii="Arial" w:hAnsi="Arial" w:cs="Arial"/>
        </w:rPr>
        <w:t>utes.</w:t>
      </w:r>
    </w:p>
    <w:p w14:paraId="3F8E2F65" w14:textId="7CEB3C4D" w:rsidR="00A90A09" w:rsidRPr="00805534" w:rsidRDefault="00A90A09" w:rsidP="006054CA">
      <w:pPr>
        <w:pStyle w:val="Body"/>
        <w:spacing w:after="0"/>
        <w:rPr>
          <w:rFonts w:ascii="Arial" w:hAnsi="Arial" w:cs="Arial"/>
          <w:b/>
          <w:bCs/>
          <w:highlight w:val="yellow"/>
        </w:rPr>
      </w:pPr>
      <w:r w:rsidRPr="00805534">
        <w:rPr>
          <w:rFonts w:ascii="Arial" w:hAnsi="Arial" w:cs="Arial"/>
          <w:b/>
          <w:bCs/>
          <w:highlight w:val="yellow"/>
        </w:rPr>
        <w:t>Percentage Distribution (PD)</w:t>
      </w:r>
    </w:p>
    <w:p w14:paraId="4FAB5761" w14:textId="588A07E4" w:rsidR="00A90A09" w:rsidRPr="00805534" w:rsidRDefault="00A90A09" w:rsidP="006054CA">
      <w:pPr>
        <w:pStyle w:val="Body"/>
        <w:spacing w:after="0"/>
        <w:rPr>
          <w:rFonts w:ascii="Arial" w:hAnsi="Arial" w:cs="Arial"/>
          <w:highlight w:val="yellow"/>
        </w:rPr>
      </w:pPr>
      <w:r w:rsidRPr="00805534">
        <w:rPr>
          <w:rFonts w:ascii="Arial" w:hAnsi="Arial" w:cs="Arial"/>
          <w:highlight w:val="yellow"/>
        </w:rPr>
        <w:t xml:space="preserve">The PD of the fungi species found in the cultures was calculated using the following formula: </w:t>
      </w:r>
    </w:p>
    <w:p w14:paraId="183B81BB" w14:textId="063B1B38" w:rsidR="00A90A09" w:rsidRPr="00A90A09" w:rsidRDefault="00A90A09" w:rsidP="006054CA">
      <w:pPr>
        <w:pStyle w:val="Body"/>
        <w:spacing w:after="0"/>
        <w:rPr>
          <w:rFonts w:ascii="Arial" w:hAnsi="Arial" w:cs="Arial"/>
        </w:rPr>
      </w:pPr>
      <w:r w:rsidRPr="00805534">
        <w:rPr>
          <w:rFonts w:ascii="Arial" w:hAnsi="Arial" w:cs="Arial"/>
          <w:highlight w:val="yellow"/>
        </w:rPr>
        <w:t>PD= Number of fungi in each timber type</w:t>
      </w:r>
      <w:r w:rsidR="002F744B" w:rsidRPr="00805534">
        <w:rPr>
          <w:rFonts w:ascii="Arial" w:hAnsi="Arial" w:cs="Arial"/>
          <w:highlight w:val="yellow"/>
        </w:rPr>
        <w:t xml:space="preserve"> </w:t>
      </w:r>
      <w:r w:rsidRPr="00805534">
        <w:rPr>
          <w:rFonts w:ascii="Arial" w:hAnsi="Arial" w:cs="Arial"/>
          <w:highlight w:val="yellow"/>
        </w:rPr>
        <w:t>/ Total number of fungi X 100</w:t>
      </w:r>
    </w:p>
    <w:bookmarkEnd w:id="1"/>
    <w:p w14:paraId="22AEC6E1" w14:textId="3A8DF328" w:rsidR="00790ADA" w:rsidRPr="00FB3A86" w:rsidRDefault="00790ADA" w:rsidP="00441B6F">
      <w:pPr>
        <w:pStyle w:val="Body"/>
        <w:spacing w:after="0"/>
        <w:rPr>
          <w:rFonts w:ascii="Arial" w:hAnsi="Arial" w:cs="Arial"/>
        </w:rPr>
      </w:pPr>
    </w:p>
    <w:p w14:paraId="26107B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5469F0" w14:textId="77777777" w:rsidR="00790ADA" w:rsidRPr="00FB3A86" w:rsidRDefault="00790ADA" w:rsidP="00441B6F">
      <w:pPr>
        <w:pStyle w:val="Head1"/>
        <w:spacing w:after="0"/>
        <w:jc w:val="both"/>
        <w:rPr>
          <w:rFonts w:ascii="Arial" w:hAnsi="Arial" w:cs="Arial"/>
        </w:rPr>
      </w:pPr>
    </w:p>
    <w:p w14:paraId="7B11DE6A" w14:textId="77777777" w:rsidR="00257222" w:rsidRPr="00A92C86" w:rsidRDefault="00257222" w:rsidP="00257222">
      <w:pPr>
        <w:pStyle w:val="BodyText3"/>
        <w:tabs>
          <w:tab w:val="left" w:pos="1080"/>
        </w:tabs>
        <w:ind w:left="1080" w:hanging="1080"/>
        <w:rPr>
          <w:rFonts w:ascii="Arial" w:hAnsi="Arial"/>
          <w:b/>
          <w:bCs/>
          <w:sz w:val="20"/>
          <w:szCs w:val="20"/>
          <w:lang w:val="en-GB"/>
        </w:rPr>
      </w:pPr>
      <w:r w:rsidRPr="00A92C86">
        <w:rPr>
          <w:rFonts w:ascii="Arial" w:hAnsi="Arial"/>
          <w:b/>
          <w:bCs/>
          <w:sz w:val="20"/>
          <w:szCs w:val="20"/>
          <w:lang w:val="en-GB"/>
        </w:rPr>
        <w:t>Characterization and Identification of Isolates</w:t>
      </w:r>
    </w:p>
    <w:p w14:paraId="5ABD39F4" w14:textId="39AE7EFF" w:rsidR="00A92C86"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molecular identification of fungal isolates using </w:t>
      </w:r>
      <w:r w:rsidRPr="0020064D">
        <w:rPr>
          <w:rFonts w:ascii="Arial" w:hAnsi="Arial"/>
          <w:sz w:val="20"/>
          <w:szCs w:val="20"/>
          <w:highlight w:val="yellow"/>
        </w:rPr>
        <w:t>ITS</w:t>
      </w:r>
      <w:r w:rsidR="0020064D">
        <w:rPr>
          <w:rFonts w:ascii="Arial" w:hAnsi="Arial"/>
          <w:sz w:val="20"/>
          <w:szCs w:val="20"/>
        </w:rPr>
        <w:t xml:space="preserve"> </w:t>
      </w:r>
      <w:r w:rsidRPr="00090C8F">
        <w:rPr>
          <w:rFonts w:ascii="Arial" w:hAnsi="Arial"/>
          <w:sz w:val="20"/>
          <w:szCs w:val="20"/>
        </w:rPr>
        <w:t xml:space="preserve">sequencing confirmed the presence of five distinct fungal taxa associated with softwood timber from three timber markets. The ITS sequences aligned with 100% similarity to known species in the NCBI database, confirming the isolates as </w:t>
      </w:r>
      <w:r w:rsidRPr="0020064D">
        <w:rPr>
          <w:rFonts w:ascii="Arial" w:hAnsi="Arial"/>
          <w:i/>
          <w:iCs/>
          <w:sz w:val="20"/>
          <w:szCs w:val="20"/>
          <w:highlight w:val="yellow"/>
        </w:rPr>
        <w:t>C</w:t>
      </w:r>
      <w:r w:rsidR="0020064D" w:rsidRPr="0020064D">
        <w:rPr>
          <w:rFonts w:ascii="Arial" w:hAnsi="Arial"/>
          <w:i/>
          <w:iCs/>
          <w:sz w:val="20"/>
          <w:szCs w:val="20"/>
          <w:highlight w:val="yellow"/>
        </w:rPr>
        <w:t>.</w:t>
      </w:r>
      <w:r w:rsidRPr="0020064D">
        <w:rPr>
          <w:rFonts w:ascii="Arial" w:hAnsi="Arial"/>
          <w:i/>
          <w:iCs/>
          <w:sz w:val="20"/>
          <w:szCs w:val="20"/>
          <w:highlight w:val="yellow"/>
        </w:rPr>
        <w:t xml:space="preserve"> parapsilosis</w:t>
      </w:r>
      <w:r w:rsidRPr="0020064D">
        <w:rPr>
          <w:rFonts w:ascii="Arial" w:hAnsi="Arial"/>
          <w:sz w:val="20"/>
          <w:szCs w:val="20"/>
          <w:highlight w:val="yellow"/>
        </w:rPr>
        <w:t xml:space="preserve">, </w:t>
      </w:r>
      <w:r w:rsidRPr="0020064D">
        <w:rPr>
          <w:rFonts w:ascii="Arial" w:hAnsi="Arial"/>
          <w:i/>
          <w:iCs/>
          <w:sz w:val="20"/>
          <w:szCs w:val="20"/>
          <w:highlight w:val="yellow"/>
        </w:rPr>
        <w:t>A</w:t>
      </w:r>
      <w:r w:rsidR="0020064D" w:rsidRPr="0020064D">
        <w:rPr>
          <w:rFonts w:ascii="Arial" w:hAnsi="Arial"/>
          <w:i/>
          <w:iCs/>
          <w:sz w:val="20"/>
          <w:szCs w:val="20"/>
          <w:highlight w:val="yellow"/>
        </w:rPr>
        <w:t>.</w:t>
      </w:r>
      <w:r w:rsidRPr="0020064D">
        <w:rPr>
          <w:rFonts w:ascii="Arial" w:hAnsi="Arial"/>
          <w:i/>
          <w:iCs/>
          <w:sz w:val="20"/>
          <w:szCs w:val="20"/>
          <w:highlight w:val="yellow"/>
        </w:rPr>
        <w:t xml:space="preserve"> flavus</w:t>
      </w:r>
      <w:r w:rsidRPr="0020064D">
        <w:rPr>
          <w:rFonts w:ascii="Arial" w:hAnsi="Arial"/>
          <w:sz w:val="20"/>
          <w:szCs w:val="20"/>
          <w:highlight w:val="yellow"/>
        </w:rPr>
        <w:t xml:space="preserve">, </w:t>
      </w:r>
      <w:r w:rsidRPr="0020064D">
        <w:rPr>
          <w:rFonts w:ascii="Arial" w:hAnsi="Arial"/>
          <w:i/>
          <w:iCs/>
          <w:sz w:val="20"/>
          <w:szCs w:val="20"/>
          <w:highlight w:val="yellow"/>
        </w:rPr>
        <w:t>A</w:t>
      </w:r>
      <w:r w:rsidR="0020064D" w:rsidRPr="0020064D">
        <w:rPr>
          <w:rFonts w:ascii="Arial" w:hAnsi="Arial"/>
          <w:i/>
          <w:iCs/>
          <w:sz w:val="20"/>
          <w:szCs w:val="20"/>
          <w:highlight w:val="yellow"/>
        </w:rPr>
        <w:t>.</w:t>
      </w:r>
      <w:r w:rsidRPr="0020064D">
        <w:rPr>
          <w:rFonts w:ascii="Arial" w:hAnsi="Arial"/>
          <w:i/>
          <w:iCs/>
          <w:sz w:val="20"/>
          <w:szCs w:val="20"/>
          <w:highlight w:val="yellow"/>
        </w:rPr>
        <w:t xml:space="preserve"> niger</w:t>
      </w:r>
      <w:r w:rsidRPr="0020064D">
        <w:rPr>
          <w:rFonts w:ascii="Arial" w:hAnsi="Arial"/>
          <w:sz w:val="20"/>
          <w:szCs w:val="20"/>
          <w:highlight w:val="yellow"/>
        </w:rPr>
        <w:t xml:space="preserve">, </w:t>
      </w:r>
      <w:r w:rsidRPr="0020064D">
        <w:rPr>
          <w:rFonts w:ascii="Arial" w:hAnsi="Arial"/>
          <w:i/>
          <w:iCs/>
          <w:sz w:val="20"/>
          <w:szCs w:val="20"/>
          <w:highlight w:val="yellow"/>
        </w:rPr>
        <w:t>A</w:t>
      </w:r>
      <w:r w:rsidR="0020064D" w:rsidRPr="0020064D">
        <w:rPr>
          <w:rFonts w:ascii="Arial" w:hAnsi="Arial"/>
          <w:i/>
          <w:iCs/>
          <w:sz w:val="20"/>
          <w:szCs w:val="20"/>
          <w:highlight w:val="yellow"/>
        </w:rPr>
        <w:t>.</w:t>
      </w:r>
      <w:r w:rsidRPr="0020064D">
        <w:rPr>
          <w:rFonts w:ascii="Arial" w:hAnsi="Arial"/>
          <w:i/>
          <w:iCs/>
          <w:sz w:val="20"/>
          <w:szCs w:val="20"/>
          <w:highlight w:val="yellow"/>
        </w:rPr>
        <w:t xml:space="preserve"> terreus</w:t>
      </w:r>
      <w:r w:rsidRPr="0020064D">
        <w:rPr>
          <w:rFonts w:ascii="Arial" w:hAnsi="Arial"/>
          <w:sz w:val="20"/>
          <w:szCs w:val="20"/>
          <w:highlight w:val="yellow"/>
        </w:rPr>
        <w:t xml:space="preserve">, and </w:t>
      </w:r>
      <w:r w:rsidRPr="0020064D">
        <w:rPr>
          <w:rFonts w:ascii="Arial" w:hAnsi="Arial"/>
          <w:i/>
          <w:iCs/>
          <w:sz w:val="20"/>
          <w:szCs w:val="20"/>
          <w:highlight w:val="yellow"/>
        </w:rPr>
        <w:t>C</w:t>
      </w:r>
      <w:r w:rsidR="0020064D" w:rsidRPr="0020064D">
        <w:rPr>
          <w:rFonts w:ascii="Arial" w:hAnsi="Arial"/>
          <w:i/>
          <w:iCs/>
          <w:sz w:val="20"/>
          <w:szCs w:val="20"/>
          <w:highlight w:val="yellow"/>
        </w:rPr>
        <w:t>.</w:t>
      </w:r>
      <w:r w:rsidRPr="0020064D">
        <w:rPr>
          <w:rFonts w:ascii="Arial" w:hAnsi="Arial"/>
          <w:i/>
          <w:iCs/>
          <w:sz w:val="20"/>
          <w:szCs w:val="20"/>
          <w:highlight w:val="yellow"/>
        </w:rPr>
        <w:t xml:space="preserve"> jadinii</w:t>
      </w:r>
      <w:r w:rsidRPr="00090C8F">
        <w:rPr>
          <w:rFonts w:ascii="Arial" w:hAnsi="Arial"/>
          <w:sz w:val="20"/>
          <w:szCs w:val="20"/>
        </w:rPr>
        <w:t xml:space="preserve">. The Jukes-Cantor evolutionary distance estimates and phylogenetic analysis reinforced their placement within the genera </w:t>
      </w:r>
      <w:r w:rsidRPr="00090C8F">
        <w:rPr>
          <w:rFonts w:ascii="Arial" w:hAnsi="Arial"/>
          <w:i/>
          <w:iCs/>
          <w:sz w:val="20"/>
          <w:szCs w:val="20"/>
        </w:rPr>
        <w:t>Candida</w:t>
      </w:r>
      <w:r w:rsidRPr="00090C8F">
        <w:rPr>
          <w:rFonts w:ascii="Arial" w:hAnsi="Arial"/>
          <w:sz w:val="20"/>
          <w:szCs w:val="20"/>
        </w:rPr>
        <w:t xml:space="preserve">, </w:t>
      </w:r>
      <w:r w:rsidRPr="00090C8F">
        <w:rPr>
          <w:rFonts w:ascii="Arial" w:hAnsi="Arial"/>
          <w:i/>
          <w:iCs/>
          <w:sz w:val="20"/>
          <w:szCs w:val="20"/>
        </w:rPr>
        <w:t>Aspergillus</w:t>
      </w:r>
      <w:r w:rsidRPr="00090C8F">
        <w:rPr>
          <w:rFonts w:ascii="Arial" w:hAnsi="Arial"/>
          <w:sz w:val="20"/>
          <w:szCs w:val="20"/>
        </w:rPr>
        <w:t xml:space="preserve">, and </w:t>
      </w:r>
      <w:r w:rsidRPr="00090C8F">
        <w:rPr>
          <w:rFonts w:ascii="Arial" w:hAnsi="Arial"/>
          <w:i/>
          <w:iCs/>
          <w:sz w:val="20"/>
          <w:szCs w:val="20"/>
        </w:rPr>
        <w:t>Cyberlindnera</w:t>
      </w:r>
      <w:r w:rsidRPr="00090C8F">
        <w:rPr>
          <w:rFonts w:ascii="Arial" w:hAnsi="Arial"/>
          <w:sz w:val="20"/>
          <w:szCs w:val="20"/>
        </w:rPr>
        <w:t xml:space="preserve">. These findings </w:t>
      </w:r>
      <w:r w:rsidR="00A92C86" w:rsidRPr="00090C8F">
        <w:rPr>
          <w:rFonts w:ascii="Arial" w:hAnsi="Arial"/>
          <w:sz w:val="20"/>
          <w:szCs w:val="20"/>
        </w:rPr>
        <w:t xml:space="preserve">underscore the efficacy of ITS sequencing as a gold standard for fungal identification (Schoch </w:t>
      </w:r>
      <w:r w:rsidR="00A92C86" w:rsidRPr="003E64BE">
        <w:rPr>
          <w:rFonts w:ascii="Arial" w:hAnsi="Arial"/>
          <w:i/>
          <w:iCs/>
          <w:sz w:val="20"/>
          <w:szCs w:val="20"/>
        </w:rPr>
        <w:t>et al</w:t>
      </w:r>
      <w:r w:rsidR="00A92C86" w:rsidRPr="00090C8F">
        <w:rPr>
          <w:rFonts w:ascii="Arial" w:hAnsi="Arial"/>
          <w:sz w:val="20"/>
          <w:szCs w:val="20"/>
        </w:rPr>
        <w:t>., 2012).</w:t>
      </w:r>
    </w:p>
    <w:p w14:paraId="23603F8E" w14:textId="37370F69" w:rsidR="00A92C86" w:rsidRPr="00A92C86" w:rsidRDefault="00A92C86" w:rsidP="00A92C86">
      <w:pPr>
        <w:pStyle w:val="BodyText3"/>
        <w:tabs>
          <w:tab w:val="left" w:pos="1080"/>
        </w:tabs>
        <w:spacing w:after="0"/>
        <w:ind w:left="1080" w:hanging="1080"/>
        <w:rPr>
          <w:rFonts w:ascii="Arial" w:hAnsi="Arial"/>
          <w:b/>
          <w:bCs/>
          <w:sz w:val="20"/>
          <w:szCs w:val="20"/>
        </w:rPr>
      </w:pPr>
      <w:r w:rsidRPr="00A92C86">
        <w:rPr>
          <w:rFonts w:ascii="Arial" w:hAnsi="Arial"/>
          <w:b/>
          <w:bCs/>
          <w:iCs/>
          <w:sz w:val="20"/>
          <w:szCs w:val="20"/>
        </w:rPr>
        <w:t>Table 1: Accession Number of Amplified Nucleotide Sequences for Fungal Isolate</w:t>
      </w:r>
    </w:p>
    <w:p w14:paraId="527E56C7" w14:textId="028840DC" w:rsidR="00090C8F" w:rsidRDefault="00090C8F" w:rsidP="001264B5">
      <w:pPr>
        <w:pStyle w:val="BodyText3"/>
        <w:tabs>
          <w:tab w:val="left" w:pos="1080"/>
        </w:tabs>
        <w:jc w:val="both"/>
        <w:rPr>
          <w:rFonts w:ascii="Arial" w:hAnsi="Arial"/>
          <w:sz w:val="20"/>
          <w:szCs w:val="20"/>
        </w:rPr>
      </w:pPr>
    </w:p>
    <w:tbl>
      <w:tblPr>
        <w:tblpPr w:leftFromText="180" w:rightFromText="180" w:vertAnchor="text" w:tblpX="176" w:tblpY="-267"/>
        <w:tblW w:w="10063" w:type="dxa"/>
        <w:tblBorders>
          <w:top w:val="single" w:sz="4" w:space="0" w:color="auto"/>
          <w:bottom w:val="single" w:sz="4" w:space="0" w:color="auto"/>
        </w:tblBorders>
        <w:tblLook w:val="0000" w:firstRow="0" w:lastRow="0" w:firstColumn="0" w:lastColumn="0" w:noHBand="0" w:noVBand="0"/>
      </w:tblPr>
      <w:tblGrid>
        <w:gridCol w:w="2662"/>
        <w:gridCol w:w="1540"/>
        <w:gridCol w:w="2344"/>
        <w:gridCol w:w="3517"/>
      </w:tblGrid>
      <w:tr w:rsidR="00A92C86" w:rsidRPr="00257222" w14:paraId="50A8724C" w14:textId="77777777" w:rsidTr="003E5D65">
        <w:trPr>
          <w:trHeight w:val="132"/>
        </w:trPr>
        <w:tc>
          <w:tcPr>
            <w:tcW w:w="2662" w:type="dxa"/>
            <w:vMerge w:val="restart"/>
            <w:tcBorders>
              <w:top w:val="single" w:sz="4" w:space="0" w:color="auto"/>
              <w:bottom w:val="nil"/>
            </w:tcBorders>
          </w:tcPr>
          <w:p w14:paraId="39BF8B1E" w14:textId="77777777" w:rsidR="00A92C86" w:rsidRPr="003E5D65" w:rsidRDefault="00A92C86" w:rsidP="009505EE">
            <w:pPr>
              <w:pStyle w:val="BodyText3"/>
              <w:tabs>
                <w:tab w:val="left" w:pos="1080"/>
              </w:tabs>
              <w:spacing w:after="0"/>
              <w:ind w:left="1080" w:hanging="1080"/>
              <w:jc w:val="both"/>
              <w:rPr>
                <w:rFonts w:ascii="Arial" w:hAnsi="Arial"/>
                <w:b/>
                <w:bCs/>
                <w:iCs/>
                <w:sz w:val="20"/>
                <w:szCs w:val="20"/>
              </w:rPr>
            </w:pPr>
            <w:r w:rsidRPr="003E5D65">
              <w:rPr>
                <w:rFonts w:ascii="Arial" w:hAnsi="Arial"/>
                <w:b/>
                <w:bCs/>
                <w:iCs/>
                <w:sz w:val="20"/>
                <w:szCs w:val="20"/>
              </w:rPr>
              <w:lastRenderedPageBreak/>
              <w:t xml:space="preserve">Fungi </w:t>
            </w:r>
          </w:p>
        </w:tc>
        <w:tc>
          <w:tcPr>
            <w:tcW w:w="1540" w:type="dxa"/>
            <w:vMerge w:val="restart"/>
            <w:tcBorders>
              <w:top w:val="single" w:sz="4" w:space="0" w:color="auto"/>
              <w:bottom w:val="nil"/>
            </w:tcBorders>
          </w:tcPr>
          <w:p w14:paraId="0448D44B"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r w:rsidRPr="003E5D65">
              <w:rPr>
                <w:rFonts w:ascii="Arial" w:hAnsi="Arial"/>
                <w:b/>
                <w:bCs/>
                <w:iCs/>
                <w:sz w:val="20"/>
                <w:szCs w:val="20"/>
              </w:rPr>
              <w:t>Isolate</w:t>
            </w:r>
            <w:r w:rsidRPr="00257222">
              <w:rPr>
                <w:rFonts w:ascii="Arial" w:hAnsi="Arial"/>
                <w:iCs/>
                <w:sz w:val="20"/>
                <w:szCs w:val="20"/>
              </w:rPr>
              <w:t xml:space="preserve"> </w:t>
            </w:r>
          </w:p>
        </w:tc>
        <w:tc>
          <w:tcPr>
            <w:tcW w:w="5861" w:type="dxa"/>
            <w:gridSpan w:val="2"/>
            <w:tcBorders>
              <w:top w:val="single" w:sz="4" w:space="0" w:color="auto"/>
              <w:bottom w:val="nil"/>
            </w:tcBorders>
          </w:tcPr>
          <w:p w14:paraId="79050547" w14:textId="6B13EB41" w:rsidR="00A92C86" w:rsidRPr="003E5D65" w:rsidRDefault="003E5D65" w:rsidP="009505EE">
            <w:pPr>
              <w:pStyle w:val="BodyText3"/>
              <w:tabs>
                <w:tab w:val="left" w:pos="1080"/>
              </w:tabs>
              <w:spacing w:after="0"/>
              <w:ind w:left="1080" w:hanging="1080"/>
              <w:jc w:val="both"/>
              <w:rPr>
                <w:rFonts w:ascii="Arial" w:hAnsi="Arial"/>
                <w:b/>
                <w:bCs/>
                <w:iCs/>
                <w:sz w:val="20"/>
                <w:szCs w:val="20"/>
              </w:rPr>
            </w:pPr>
            <w:r w:rsidRPr="003E5D65">
              <w:rPr>
                <w:rFonts w:ascii="Arial" w:hAnsi="Arial"/>
                <w:b/>
                <w:bCs/>
                <w:iCs/>
                <w:sz w:val="20"/>
                <w:szCs w:val="20"/>
              </w:rPr>
              <w:t>Identity (%</w:t>
            </w:r>
            <w:r w:rsidRPr="00257222">
              <w:rPr>
                <w:rFonts w:ascii="Arial" w:hAnsi="Arial"/>
                <w:iCs/>
                <w:sz w:val="20"/>
                <w:szCs w:val="20"/>
              </w:rPr>
              <w:t>)</w:t>
            </w:r>
            <w:r w:rsidR="00A92C86" w:rsidRPr="003E5D65">
              <w:rPr>
                <w:rFonts w:ascii="Arial" w:hAnsi="Arial"/>
                <w:b/>
                <w:bCs/>
                <w:iCs/>
                <w:sz w:val="20"/>
                <w:szCs w:val="20"/>
              </w:rPr>
              <w:t xml:space="preserve">                 ITS</w:t>
            </w:r>
            <w:r w:rsidRPr="003E5D65">
              <w:rPr>
                <w:rFonts w:ascii="Arial" w:hAnsi="Arial"/>
                <w:b/>
                <w:bCs/>
                <w:iCs/>
                <w:sz w:val="20"/>
                <w:szCs w:val="20"/>
              </w:rPr>
              <w:t xml:space="preserve"> Accession number</w:t>
            </w:r>
          </w:p>
        </w:tc>
      </w:tr>
      <w:tr w:rsidR="00A92C86" w:rsidRPr="00257222" w14:paraId="5BCCF7D1" w14:textId="77777777" w:rsidTr="003E5D65">
        <w:trPr>
          <w:trHeight w:val="182"/>
        </w:trPr>
        <w:tc>
          <w:tcPr>
            <w:tcW w:w="2662" w:type="dxa"/>
            <w:vMerge/>
            <w:tcBorders>
              <w:top w:val="nil"/>
              <w:bottom w:val="single" w:sz="4" w:space="0" w:color="auto"/>
            </w:tcBorders>
          </w:tcPr>
          <w:p w14:paraId="6935B109"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1540" w:type="dxa"/>
            <w:vMerge/>
            <w:tcBorders>
              <w:top w:val="nil"/>
              <w:bottom w:val="single" w:sz="4" w:space="0" w:color="auto"/>
            </w:tcBorders>
          </w:tcPr>
          <w:p w14:paraId="4BD5A7E5"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2344" w:type="dxa"/>
            <w:tcBorders>
              <w:top w:val="nil"/>
              <w:bottom w:val="single" w:sz="4" w:space="0" w:color="auto"/>
            </w:tcBorders>
          </w:tcPr>
          <w:p w14:paraId="5E96DF2C" w14:textId="79B36982"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3517" w:type="dxa"/>
            <w:tcBorders>
              <w:top w:val="nil"/>
              <w:bottom w:val="single" w:sz="4" w:space="0" w:color="auto"/>
            </w:tcBorders>
          </w:tcPr>
          <w:p w14:paraId="5CFC72CD" w14:textId="59970C2E" w:rsidR="00A92C86" w:rsidRPr="003E5D65" w:rsidRDefault="00A92C86" w:rsidP="003E5D65">
            <w:pPr>
              <w:pStyle w:val="BodyText3"/>
              <w:tabs>
                <w:tab w:val="left" w:pos="1080"/>
              </w:tabs>
              <w:spacing w:after="0"/>
              <w:jc w:val="both"/>
              <w:rPr>
                <w:rFonts w:ascii="Arial" w:hAnsi="Arial"/>
                <w:b/>
                <w:bCs/>
                <w:iCs/>
                <w:sz w:val="20"/>
                <w:szCs w:val="20"/>
              </w:rPr>
            </w:pPr>
          </w:p>
        </w:tc>
      </w:tr>
      <w:tr w:rsidR="00A92C86" w:rsidRPr="00257222" w14:paraId="39D49CAE" w14:textId="77777777" w:rsidTr="009505EE">
        <w:trPr>
          <w:trHeight w:val="636"/>
        </w:trPr>
        <w:tc>
          <w:tcPr>
            <w:tcW w:w="2662" w:type="dxa"/>
            <w:tcBorders>
              <w:top w:val="single" w:sz="4" w:space="0" w:color="auto"/>
            </w:tcBorders>
          </w:tcPr>
          <w:p w14:paraId="614BE27E" w14:textId="2CAB9625" w:rsidR="00A92C86" w:rsidRPr="0017083D" w:rsidRDefault="00A92C86" w:rsidP="009505EE">
            <w:pPr>
              <w:pStyle w:val="BodyText3"/>
              <w:tabs>
                <w:tab w:val="left" w:pos="1080"/>
              </w:tabs>
              <w:spacing w:after="0"/>
              <w:ind w:left="1080" w:hanging="1080"/>
              <w:rPr>
                <w:rFonts w:ascii="Arial" w:hAnsi="Arial"/>
                <w:i/>
                <w:iCs/>
                <w:sz w:val="20"/>
                <w:szCs w:val="20"/>
                <w:highlight w:val="yellow"/>
              </w:rPr>
            </w:pPr>
            <w:r w:rsidRPr="0017083D">
              <w:rPr>
                <w:rFonts w:ascii="Arial" w:hAnsi="Arial"/>
                <w:i/>
                <w:iCs/>
                <w:sz w:val="20"/>
                <w:szCs w:val="20"/>
                <w:highlight w:val="yellow"/>
              </w:rPr>
              <w:t>C</w:t>
            </w:r>
            <w:r w:rsidR="0020064D" w:rsidRPr="0017083D">
              <w:rPr>
                <w:rFonts w:ascii="Arial" w:hAnsi="Arial"/>
                <w:i/>
                <w:iCs/>
                <w:sz w:val="20"/>
                <w:szCs w:val="20"/>
                <w:highlight w:val="yellow"/>
              </w:rPr>
              <w:t>.</w:t>
            </w:r>
            <w:r w:rsidRPr="0017083D">
              <w:rPr>
                <w:rFonts w:ascii="Arial" w:hAnsi="Arial"/>
                <w:i/>
                <w:iCs/>
                <w:sz w:val="20"/>
                <w:szCs w:val="20"/>
                <w:highlight w:val="yellow"/>
              </w:rPr>
              <w:t xml:space="preserve"> parapsilosis</w:t>
            </w:r>
          </w:p>
        </w:tc>
        <w:tc>
          <w:tcPr>
            <w:tcW w:w="1540" w:type="dxa"/>
            <w:tcBorders>
              <w:top w:val="single" w:sz="4" w:space="0" w:color="auto"/>
            </w:tcBorders>
          </w:tcPr>
          <w:p w14:paraId="373CE63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S1</w:t>
            </w:r>
          </w:p>
        </w:tc>
        <w:tc>
          <w:tcPr>
            <w:tcW w:w="2344" w:type="dxa"/>
            <w:tcBorders>
              <w:top w:val="single" w:sz="4" w:space="0" w:color="auto"/>
            </w:tcBorders>
          </w:tcPr>
          <w:p w14:paraId="3659DCF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Borders>
              <w:top w:val="single" w:sz="4" w:space="0" w:color="auto"/>
            </w:tcBorders>
          </w:tcPr>
          <w:p w14:paraId="308001D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OK090870</w:t>
            </w:r>
          </w:p>
        </w:tc>
      </w:tr>
      <w:tr w:rsidR="00A92C86" w:rsidRPr="00257222" w14:paraId="66ADDB47" w14:textId="77777777" w:rsidTr="009505EE">
        <w:trPr>
          <w:trHeight w:val="737"/>
        </w:trPr>
        <w:tc>
          <w:tcPr>
            <w:tcW w:w="2662" w:type="dxa"/>
          </w:tcPr>
          <w:p w14:paraId="2C8BA2CB" w14:textId="7B0C5CC8" w:rsidR="00A92C86" w:rsidRPr="0017083D" w:rsidRDefault="00A92C86" w:rsidP="009505EE">
            <w:pPr>
              <w:pStyle w:val="BodyText3"/>
              <w:tabs>
                <w:tab w:val="left" w:pos="1080"/>
              </w:tabs>
              <w:spacing w:after="0"/>
              <w:ind w:left="1080" w:hanging="1080"/>
              <w:rPr>
                <w:rFonts w:ascii="Arial" w:hAnsi="Arial"/>
                <w:i/>
                <w:iCs/>
                <w:sz w:val="20"/>
                <w:szCs w:val="20"/>
                <w:highlight w:val="yellow"/>
              </w:rPr>
            </w:pPr>
            <w:r w:rsidRPr="0017083D">
              <w:rPr>
                <w:rFonts w:ascii="Arial" w:hAnsi="Arial"/>
                <w:i/>
                <w:iCs/>
                <w:sz w:val="20"/>
                <w:szCs w:val="20"/>
                <w:highlight w:val="yellow"/>
              </w:rPr>
              <w:t>A</w:t>
            </w:r>
            <w:r w:rsidR="0020064D" w:rsidRPr="0017083D">
              <w:rPr>
                <w:rFonts w:ascii="Arial" w:hAnsi="Arial"/>
                <w:i/>
                <w:iCs/>
                <w:sz w:val="20"/>
                <w:szCs w:val="20"/>
                <w:highlight w:val="yellow"/>
              </w:rPr>
              <w:t>.</w:t>
            </w:r>
            <w:r w:rsidRPr="0017083D">
              <w:rPr>
                <w:rFonts w:ascii="Arial" w:hAnsi="Arial"/>
                <w:i/>
                <w:iCs/>
                <w:sz w:val="20"/>
                <w:szCs w:val="20"/>
                <w:highlight w:val="yellow"/>
              </w:rPr>
              <w:t xml:space="preserve"> flavus</w:t>
            </w:r>
          </w:p>
        </w:tc>
        <w:tc>
          <w:tcPr>
            <w:tcW w:w="1540" w:type="dxa"/>
          </w:tcPr>
          <w:p w14:paraId="03F10896"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S2</w:t>
            </w:r>
          </w:p>
        </w:tc>
        <w:tc>
          <w:tcPr>
            <w:tcW w:w="2344" w:type="dxa"/>
          </w:tcPr>
          <w:p w14:paraId="50E316DE"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93</w:t>
            </w:r>
          </w:p>
        </w:tc>
        <w:tc>
          <w:tcPr>
            <w:tcW w:w="3517" w:type="dxa"/>
          </w:tcPr>
          <w:p w14:paraId="32F11B37"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MH179066</w:t>
            </w:r>
          </w:p>
        </w:tc>
      </w:tr>
      <w:tr w:rsidR="00A92C86" w:rsidRPr="00257222" w14:paraId="49149DD4" w14:textId="77777777" w:rsidTr="009505EE">
        <w:trPr>
          <w:trHeight w:val="669"/>
        </w:trPr>
        <w:tc>
          <w:tcPr>
            <w:tcW w:w="2662" w:type="dxa"/>
          </w:tcPr>
          <w:p w14:paraId="36C22BE1" w14:textId="19373608" w:rsidR="00A92C86" w:rsidRPr="0017083D" w:rsidRDefault="00A92C86" w:rsidP="009505EE">
            <w:pPr>
              <w:pStyle w:val="BodyText3"/>
              <w:tabs>
                <w:tab w:val="left" w:pos="1080"/>
              </w:tabs>
              <w:spacing w:after="0"/>
              <w:ind w:left="1080" w:hanging="1080"/>
              <w:rPr>
                <w:rFonts w:ascii="Arial" w:hAnsi="Arial"/>
                <w:i/>
                <w:iCs/>
                <w:sz w:val="20"/>
                <w:szCs w:val="20"/>
                <w:highlight w:val="yellow"/>
              </w:rPr>
            </w:pPr>
            <w:r w:rsidRPr="0017083D">
              <w:rPr>
                <w:rFonts w:ascii="Arial" w:hAnsi="Arial"/>
                <w:i/>
                <w:iCs/>
                <w:sz w:val="20"/>
                <w:szCs w:val="20"/>
                <w:highlight w:val="yellow"/>
              </w:rPr>
              <w:t>A</w:t>
            </w:r>
            <w:r w:rsidR="0020064D" w:rsidRPr="0017083D">
              <w:rPr>
                <w:rFonts w:ascii="Arial" w:hAnsi="Arial"/>
                <w:i/>
                <w:iCs/>
                <w:sz w:val="20"/>
                <w:szCs w:val="20"/>
                <w:highlight w:val="yellow"/>
              </w:rPr>
              <w:t>.</w:t>
            </w:r>
            <w:r w:rsidRPr="0017083D">
              <w:rPr>
                <w:rFonts w:ascii="Arial" w:hAnsi="Arial"/>
                <w:i/>
                <w:iCs/>
                <w:sz w:val="20"/>
                <w:szCs w:val="20"/>
                <w:highlight w:val="yellow"/>
              </w:rPr>
              <w:t xml:space="preserve"> terreus</w:t>
            </w:r>
          </w:p>
        </w:tc>
        <w:tc>
          <w:tcPr>
            <w:tcW w:w="1540" w:type="dxa"/>
          </w:tcPr>
          <w:p w14:paraId="521A1E98"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S3</w:t>
            </w:r>
          </w:p>
        </w:tc>
        <w:tc>
          <w:tcPr>
            <w:tcW w:w="2344" w:type="dxa"/>
          </w:tcPr>
          <w:p w14:paraId="4F148E7A"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83</w:t>
            </w:r>
          </w:p>
        </w:tc>
        <w:tc>
          <w:tcPr>
            <w:tcW w:w="3517" w:type="dxa"/>
          </w:tcPr>
          <w:p w14:paraId="62AAAF5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MZ571560</w:t>
            </w:r>
          </w:p>
        </w:tc>
      </w:tr>
      <w:tr w:rsidR="00A92C86" w:rsidRPr="00257222" w14:paraId="21DCC207" w14:textId="77777777" w:rsidTr="009505EE">
        <w:trPr>
          <w:trHeight w:val="670"/>
        </w:trPr>
        <w:tc>
          <w:tcPr>
            <w:tcW w:w="2662" w:type="dxa"/>
          </w:tcPr>
          <w:p w14:paraId="36F79AF8" w14:textId="69BF049A" w:rsidR="00A92C86" w:rsidRPr="0017083D" w:rsidRDefault="00A92C86" w:rsidP="009505EE">
            <w:pPr>
              <w:pStyle w:val="BodyText3"/>
              <w:tabs>
                <w:tab w:val="left" w:pos="1080"/>
              </w:tabs>
              <w:spacing w:after="0"/>
              <w:ind w:left="1080" w:hanging="1080"/>
              <w:rPr>
                <w:rFonts w:ascii="Arial" w:hAnsi="Arial"/>
                <w:i/>
                <w:iCs/>
                <w:sz w:val="20"/>
                <w:szCs w:val="20"/>
                <w:highlight w:val="yellow"/>
              </w:rPr>
            </w:pPr>
            <w:r w:rsidRPr="0017083D">
              <w:rPr>
                <w:rFonts w:ascii="Arial" w:hAnsi="Arial"/>
                <w:i/>
                <w:iCs/>
                <w:sz w:val="20"/>
                <w:szCs w:val="20"/>
                <w:highlight w:val="yellow"/>
              </w:rPr>
              <w:t>A</w:t>
            </w:r>
            <w:r w:rsidR="0020064D" w:rsidRPr="0017083D">
              <w:rPr>
                <w:rFonts w:ascii="Arial" w:hAnsi="Arial"/>
                <w:i/>
                <w:iCs/>
                <w:sz w:val="20"/>
                <w:szCs w:val="20"/>
                <w:highlight w:val="yellow"/>
              </w:rPr>
              <w:t>.</w:t>
            </w:r>
            <w:r w:rsidRPr="0017083D">
              <w:rPr>
                <w:rFonts w:ascii="Arial" w:hAnsi="Arial"/>
                <w:i/>
                <w:iCs/>
                <w:sz w:val="20"/>
                <w:szCs w:val="20"/>
                <w:highlight w:val="yellow"/>
              </w:rPr>
              <w:t xml:space="preserve"> niger</w:t>
            </w:r>
          </w:p>
        </w:tc>
        <w:tc>
          <w:tcPr>
            <w:tcW w:w="1540" w:type="dxa"/>
          </w:tcPr>
          <w:p w14:paraId="5400E479"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S4</w:t>
            </w:r>
          </w:p>
        </w:tc>
        <w:tc>
          <w:tcPr>
            <w:tcW w:w="2344" w:type="dxa"/>
          </w:tcPr>
          <w:p w14:paraId="4149E1A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Pr>
          <w:p w14:paraId="4A61B800"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OR388829</w:t>
            </w:r>
          </w:p>
        </w:tc>
      </w:tr>
      <w:tr w:rsidR="00A92C86" w:rsidRPr="00257222" w14:paraId="56B0F0D6" w14:textId="77777777" w:rsidTr="009505EE">
        <w:trPr>
          <w:trHeight w:val="275"/>
        </w:trPr>
        <w:tc>
          <w:tcPr>
            <w:tcW w:w="2662" w:type="dxa"/>
          </w:tcPr>
          <w:p w14:paraId="2D0C3AD8" w14:textId="0E309701" w:rsidR="00A92C86" w:rsidRPr="0017083D" w:rsidRDefault="00A92C86" w:rsidP="009505EE">
            <w:pPr>
              <w:pStyle w:val="BodyText3"/>
              <w:tabs>
                <w:tab w:val="left" w:pos="1080"/>
              </w:tabs>
              <w:spacing w:after="0"/>
              <w:ind w:left="1080" w:hanging="1080"/>
              <w:rPr>
                <w:rFonts w:ascii="Arial" w:hAnsi="Arial"/>
                <w:i/>
                <w:iCs/>
                <w:sz w:val="20"/>
                <w:szCs w:val="20"/>
                <w:highlight w:val="yellow"/>
              </w:rPr>
            </w:pPr>
            <w:r w:rsidRPr="0017083D">
              <w:rPr>
                <w:rFonts w:ascii="Arial" w:hAnsi="Arial"/>
                <w:i/>
                <w:iCs/>
                <w:sz w:val="20"/>
                <w:szCs w:val="20"/>
                <w:highlight w:val="yellow"/>
              </w:rPr>
              <w:t>C</w:t>
            </w:r>
            <w:r w:rsidR="0020064D" w:rsidRPr="0017083D">
              <w:rPr>
                <w:rFonts w:ascii="Arial" w:hAnsi="Arial"/>
                <w:i/>
                <w:iCs/>
                <w:sz w:val="20"/>
                <w:szCs w:val="20"/>
                <w:highlight w:val="yellow"/>
              </w:rPr>
              <w:t xml:space="preserve">. </w:t>
            </w:r>
            <w:r w:rsidRPr="0017083D">
              <w:rPr>
                <w:rFonts w:ascii="Arial" w:hAnsi="Arial"/>
                <w:i/>
                <w:iCs/>
                <w:sz w:val="20"/>
                <w:szCs w:val="20"/>
                <w:highlight w:val="yellow"/>
              </w:rPr>
              <w:t xml:space="preserve"> jadinii</w:t>
            </w:r>
          </w:p>
        </w:tc>
        <w:tc>
          <w:tcPr>
            <w:tcW w:w="1540" w:type="dxa"/>
          </w:tcPr>
          <w:p w14:paraId="493A421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S5</w:t>
            </w:r>
          </w:p>
        </w:tc>
        <w:tc>
          <w:tcPr>
            <w:tcW w:w="2344" w:type="dxa"/>
          </w:tcPr>
          <w:p w14:paraId="5B055898"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Pr>
          <w:p w14:paraId="7724B7ED"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MH179066</w:t>
            </w:r>
          </w:p>
        </w:tc>
      </w:tr>
    </w:tbl>
    <w:p w14:paraId="12303A1D" w14:textId="77777777" w:rsidR="00A92C86" w:rsidRPr="00090C8F" w:rsidRDefault="00A92C86" w:rsidP="001264B5">
      <w:pPr>
        <w:pStyle w:val="BodyText3"/>
        <w:tabs>
          <w:tab w:val="left" w:pos="1080"/>
        </w:tabs>
        <w:jc w:val="both"/>
        <w:rPr>
          <w:rFonts w:ascii="Arial" w:hAnsi="Arial"/>
          <w:sz w:val="20"/>
          <w:szCs w:val="20"/>
        </w:rPr>
      </w:pPr>
    </w:p>
    <w:p w14:paraId="61310558" w14:textId="77777777" w:rsidR="00A92C86" w:rsidRDefault="00A92C86" w:rsidP="001264B5">
      <w:pPr>
        <w:pStyle w:val="BodyText3"/>
        <w:tabs>
          <w:tab w:val="left" w:pos="1080"/>
        </w:tabs>
        <w:jc w:val="both"/>
        <w:rPr>
          <w:rFonts w:ascii="Arial" w:hAnsi="Arial"/>
          <w:sz w:val="20"/>
          <w:szCs w:val="20"/>
        </w:rPr>
      </w:pPr>
    </w:p>
    <w:p w14:paraId="37DBD6C9" w14:textId="77777777" w:rsidR="00A92C86" w:rsidRDefault="00A92C86" w:rsidP="001264B5">
      <w:pPr>
        <w:pStyle w:val="BodyText3"/>
        <w:tabs>
          <w:tab w:val="left" w:pos="1080"/>
        </w:tabs>
        <w:jc w:val="both"/>
        <w:rPr>
          <w:rFonts w:ascii="Arial" w:hAnsi="Arial"/>
          <w:sz w:val="20"/>
          <w:szCs w:val="20"/>
        </w:rPr>
      </w:pPr>
    </w:p>
    <w:p w14:paraId="48FBD8E9" w14:textId="77777777" w:rsidR="00A92C86" w:rsidRDefault="00A92C86" w:rsidP="001264B5">
      <w:pPr>
        <w:pStyle w:val="BodyText3"/>
        <w:tabs>
          <w:tab w:val="left" w:pos="1080"/>
        </w:tabs>
        <w:jc w:val="both"/>
        <w:rPr>
          <w:rFonts w:ascii="Arial" w:hAnsi="Arial"/>
          <w:sz w:val="20"/>
          <w:szCs w:val="20"/>
        </w:rPr>
      </w:pPr>
    </w:p>
    <w:p w14:paraId="40C12C2C" w14:textId="77777777" w:rsidR="00A92C86" w:rsidRDefault="00A92C86" w:rsidP="001264B5">
      <w:pPr>
        <w:pStyle w:val="BodyText3"/>
        <w:tabs>
          <w:tab w:val="left" w:pos="1080"/>
        </w:tabs>
        <w:jc w:val="both"/>
        <w:rPr>
          <w:rFonts w:ascii="Arial" w:hAnsi="Arial"/>
          <w:sz w:val="20"/>
          <w:szCs w:val="20"/>
        </w:rPr>
      </w:pPr>
    </w:p>
    <w:p w14:paraId="5FB7C593" w14:textId="77777777" w:rsidR="00A92C86" w:rsidRDefault="00A92C86" w:rsidP="001264B5">
      <w:pPr>
        <w:pStyle w:val="BodyText3"/>
        <w:tabs>
          <w:tab w:val="left" w:pos="1080"/>
        </w:tabs>
        <w:jc w:val="both"/>
        <w:rPr>
          <w:rFonts w:ascii="Arial" w:hAnsi="Arial"/>
          <w:sz w:val="20"/>
          <w:szCs w:val="20"/>
        </w:rPr>
      </w:pPr>
    </w:p>
    <w:p w14:paraId="207393D6" w14:textId="77777777" w:rsidR="00A92C86" w:rsidRDefault="00A92C86" w:rsidP="001264B5">
      <w:pPr>
        <w:pStyle w:val="BodyText3"/>
        <w:tabs>
          <w:tab w:val="left" w:pos="1080"/>
        </w:tabs>
        <w:jc w:val="both"/>
        <w:rPr>
          <w:rFonts w:ascii="Arial" w:hAnsi="Arial"/>
          <w:sz w:val="20"/>
          <w:szCs w:val="20"/>
        </w:rPr>
      </w:pPr>
    </w:p>
    <w:p w14:paraId="36B91596" w14:textId="77777777" w:rsidR="00A92C86" w:rsidRDefault="00A92C86" w:rsidP="001264B5">
      <w:pPr>
        <w:pStyle w:val="BodyText3"/>
        <w:tabs>
          <w:tab w:val="left" w:pos="1080"/>
        </w:tabs>
        <w:jc w:val="both"/>
        <w:rPr>
          <w:rFonts w:ascii="Arial" w:hAnsi="Arial"/>
          <w:sz w:val="20"/>
          <w:szCs w:val="20"/>
        </w:rPr>
      </w:pPr>
    </w:p>
    <w:p w14:paraId="387A9E84" w14:textId="77777777" w:rsidR="00A92C86" w:rsidRDefault="00A92C86" w:rsidP="001264B5">
      <w:pPr>
        <w:pStyle w:val="BodyText3"/>
        <w:tabs>
          <w:tab w:val="left" w:pos="1080"/>
        </w:tabs>
        <w:jc w:val="both"/>
        <w:rPr>
          <w:rFonts w:ascii="Arial" w:hAnsi="Arial"/>
          <w:sz w:val="20"/>
          <w:szCs w:val="20"/>
        </w:rPr>
      </w:pPr>
    </w:p>
    <w:p w14:paraId="5EFD252A" w14:textId="77777777" w:rsidR="00A92C86" w:rsidRDefault="00A92C86" w:rsidP="001264B5">
      <w:pPr>
        <w:pStyle w:val="BodyText3"/>
        <w:tabs>
          <w:tab w:val="left" w:pos="1080"/>
        </w:tabs>
        <w:jc w:val="both"/>
        <w:rPr>
          <w:rFonts w:ascii="Arial" w:hAnsi="Arial"/>
          <w:sz w:val="20"/>
          <w:szCs w:val="20"/>
        </w:rPr>
      </w:pPr>
    </w:p>
    <w:p w14:paraId="734012BB" w14:textId="77777777" w:rsidR="00F33ECE" w:rsidRDefault="00F33ECE" w:rsidP="00F33ECE">
      <w:pPr>
        <w:pStyle w:val="BodyText3"/>
        <w:keepNext/>
        <w:tabs>
          <w:tab w:val="left" w:pos="1080"/>
        </w:tabs>
        <w:jc w:val="both"/>
      </w:pPr>
      <w:r>
        <w:rPr>
          <w:noProof/>
        </w:rPr>
        <w:drawing>
          <wp:inline distT="0" distB="0" distL="0" distR="0" wp14:anchorId="71A712A1" wp14:editId="6D710B58">
            <wp:extent cx="6116320" cy="6103620"/>
            <wp:effectExtent l="57150" t="38100" r="55880" b="495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116320" cy="6103620"/>
                    </a:xfrm>
                    <a:prstGeom prst="rect">
                      <a:avLst/>
                    </a:prstGeom>
                    <a:noFill/>
                    <a:ln>
                      <a:noFill/>
                    </a:ln>
                    <a:scene3d>
                      <a:camera prst="orthographicFront"/>
                      <a:lightRig rig="twoPt" dir="t">
                        <a:rot lat="0" lon="0" rev="4800000"/>
                      </a:lightRig>
                    </a:scene3d>
                    <a:sp3d>
                      <a:bevelT w="0"/>
                    </a:sp3d>
                  </pic:spPr>
                </pic:pic>
              </a:graphicData>
            </a:graphic>
          </wp:inline>
        </w:drawing>
      </w:r>
    </w:p>
    <w:p w14:paraId="73A26624" w14:textId="00A79F39" w:rsidR="00F33ECE" w:rsidRPr="00F33ECE" w:rsidRDefault="00F33ECE" w:rsidP="00F33ECE">
      <w:pPr>
        <w:pStyle w:val="Caption"/>
        <w:ind w:left="720" w:firstLine="720"/>
        <w:jc w:val="both"/>
        <w:rPr>
          <w:rFonts w:ascii="Arial" w:hAnsi="Arial" w:cs="Arial"/>
          <w:sz w:val="20"/>
          <w:szCs w:val="20"/>
        </w:rPr>
      </w:pPr>
      <w:r w:rsidRPr="00F33ECE">
        <w:rPr>
          <w:rFonts w:ascii="Arial" w:hAnsi="Arial" w:cs="Arial"/>
          <w:sz w:val="20"/>
          <w:szCs w:val="20"/>
        </w:rPr>
        <w:t xml:space="preserve">Figure </w:t>
      </w:r>
      <w:r w:rsidRPr="00F33ECE">
        <w:rPr>
          <w:rFonts w:ascii="Arial" w:hAnsi="Arial" w:cs="Arial"/>
          <w:sz w:val="20"/>
          <w:szCs w:val="20"/>
        </w:rPr>
        <w:fldChar w:fldCharType="begin"/>
      </w:r>
      <w:r w:rsidRPr="00F33ECE">
        <w:rPr>
          <w:rFonts w:ascii="Arial" w:hAnsi="Arial" w:cs="Arial"/>
          <w:sz w:val="20"/>
          <w:szCs w:val="20"/>
        </w:rPr>
        <w:instrText xml:space="preserve"> SEQ Figure \* ARABIC </w:instrText>
      </w:r>
      <w:r w:rsidRPr="00F33ECE">
        <w:rPr>
          <w:rFonts w:ascii="Arial" w:hAnsi="Arial" w:cs="Arial"/>
          <w:sz w:val="20"/>
          <w:szCs w:val="20"/>
        </w:rPr>
        <w:fldChar w:fldCharType="separate"/>
      </w:r>
      <w:r w:rsidRPr="00F33ECE">
        <w:rPr>
          <w:rFonts w:ascii="Arial" w:hAnsi="Arial" w:cs="Arial"/>
          <w:noProof/>
          <w:sz w:val="20"/>
          <w:szCs w:val="20"/>
        </w:rPr>
        <w:t>1</w:t>
      </w:r>
      <w:r w:rsidRPr="00F33ECE">
        <w:rPr>
          <w:rFonts w:ascii="Arial" w:hAnsi="Arial" w:cs="Arial"/>
          <w:sz w:val="20"/>
          <w:szCs w:val="20"/>
        </w:rPr>
        <w:fldChar w:fldCharType="end"/>
      </w:r>
      <w:r>
        <w:rPr>
          <w:rFonts w:ascii="Arial" w:hAnsi="Arial" w:cs="Arial"/>
          <w:sz w:val="20"/>
          <w:szCs w:val="20"/>
        </w:rPr>
        <w:t xml:space="preserve">: </w:t>
      </w:r>
      <w:r w:rsidRPr="00F33ECE">
        <w:rPr>
          <w:rFonts w:ascii="Arial" w:hAnsi="Arial" w:cs="Arial"/>
          <w:sz w:val="20"/>
          <w:szCs w:val="20"/>
        </w:rPr>
        <w:t>Phylogenetic tree showing the evolutionary distance between the fungal isolates</w:t>
      </w:r>
    </w:p>
    <w:p w14:paraId="53D3E543" w14:textId="27B9CD44"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lastRenderedPageBreak/>
        <w:t xml:space="preserve">The presence of </w:t>
      </w:r>
      <w:r w:rsidRPr="00E118AF">
        <w:rPr>
          <w:rFonts w:ascii="Arial" w:hAnsi="Arial"/>
          <w:i/>
          <w:iCs/>
          <w:sz w:val="20"/>
          <w:szCs w:val="20"/>
          <w:highlight w:val="yellow"/>
        </w:rPr>
        <w:t>C</w:t>
      </w:r>
      <w:r w:rsidR="0017083D" w:rsidRPr="00E118AF">
        <w:rPr>
          <w:rFonts w:ascii="Arial" w:hAnsi="Arial"/>
          <w:i/>
          <w:iCs/>
          <w:sz w:val="20"/>
          <w:szCs w:val="20"/>
          <w:highlight w:val="yellow"/>
        </w:rPr>
        <w:t>.</w:t>
      </w:r>
      <w:r w:rsidRPr="00E118AF">
        <w:rPr>
          <w:rFonts w:ascii="Arial" w:hAnsi="Arial"/>
          <w:i/>
          <w:iCs/>
          <w:sz w:val="20"/>
          <w:szCs w:val="20"/>
          <w:highlight w:val="yellow"/>
        </w:rPr>
        <w:t xml:space="preserve"> parapsilosis</w:t>
      </w:r>
      <w:r w:rsidRPr="00090C8F">
        <w:rPr>
          <w:rFonts w:ascii="Arial" w:hAnsi="Arial"/>
          <w:sz w:val="20"/>
          <w:szCs w:val="20"/>
        </w:rPr>
        <w:t xml:space="preserve"> (S1) is notable, as this species is typically associated with moist environments and decaying plant matter, including timber and pulpwood substrates (Pierce </w:t>
      </w:r>
      <w:r w:rsidRPr="003E5D65">
        <w:rPr>
          <w:rFonts w:ascii="Arial" w:hAnsi="Arial"/>
          <w:i/>
          <w:iCs/>
          <w:sz w:val="20"/>
          <w:szCs w:val="20"/>
        </w:rPr>
        <w:t>et al</w:t>
      </w:r>
      <w:r w:rsidRPr="00090C8F">
        <w:rPr>
          <w:rFonts w:ascii="Arial" w:hAnsi="Arial"/>
          <w:sz w:val="20"/>
          <w:szCs w:val="20"/>
        </w:rPr>
        <w:t xml:space="preserve">., 2010). Its cream-colored, wrinkled colony morphology aligns with known phenotypic descriptions of yeast-like fungi isolated from cellulose-rich habitats (Rodríguez-Pupo </w:t>
      </w:r>
      <w:r w:rsidRPr="003E5D65">
        <w:rPr>
          <w:rFonts w:ascii="Arial" w:hAnsi="Arial"/>
          <w:i/>
          <w:iCs/>
          <w:sz w:val="20"/>
          <w:szCs w:val="20"/>
        </w:rPr>
        <w:t>et al</w:t>
      </w:r>
      <w:r w:rsidRPr="00090C8F">
        <w:rPr>
          <w:rFonts w:ascii="Arial" w:hAnsi="Arial"/>
          <w:sz w:val="20"/>
          <w:szCs w:val="20"/>
        </w:rPr>
        <w:t>., 2021).</w:t>
      </w:r>
    </w:p>
    <w:p w14:paraId="030F146F" w14:textId="50EE3E9A"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Three </w:t>
      </w:r>
      <w:r w:rsidRPr="00090C8F">
        <w:rPr>
          <w:rFonts w:ascii="Arial" w:hAnsi="Arial"/>
          <w:i/>
          <w:iCs/>
          <w:sz w:val="20"/>
          <w:szCs w:val="20"/>
        </w:rPr>
        <w:t>Aspergillus</w:t>
      </w:r>
      <w:r w:rsidRPr="00090C8F">
        <w:rPr>
          <w:rFonts w:ascii="Arial" w:hAnsi="Arial"/>
          <w:sz w:val="20"/>
          <w:szCs w:val="20"/>
        </w:rPr>
        <w:t xml:space="preserve"> species—</w:t>
      </w:r>
      <w:r w:rsidRPr="00090C8F">
        <w:rPr>
          <w:rFonts w:ascii="Arial" w:hAnsi="Arial"/>
          <w:i/>
          <w:iCs/>
          <w:sz w:val="20"/>
          <w:szCs w:val="20"/>
        </w:rPr>
        <w:t>A. flavus</w:t>
      </w:r>
      <w:r w:rsidRPr="00090C8F">
        <w:rPr>
          <w:rFonts w:ascii="Arial" w:hAnsi="Arial"/>
          <w:sz w:val="20"/>
          <w:szCs w:val="20"/>
        </w:rPr>
        <w:t xml:space="preserve"> (S2), </w:t>
      </w:r>
      <w:r w:rsidRPr="00090C8F">
        <w:rPr>
          <w:rFonts w:ascii="Arial" w:hAnsi="Arial"/>
          <w:i/>
          <w:iCs/>
          <w:sz w:val="20"/>
          <w:szCs w:val="20"/>
        </w:rPr>
        <w:t>A. terreus</w:t>
      </w:r>
      <w:r w:rsidRPr="00090C8F">
        <w:rPr>
          <w:rFonts w:ascii="Arial" w:hAnsi="Arial"/>
          <w:sz w:val="20"/>
          <w:szCs w:val="20"/>
        </w:rPr>
        <w:t xml:space="preserve"> (S3), and </w:t>
      </w:r>
      <w:r w:rsidRPr="00090C8F">
        <w:rPr>
          <w:rFonts w:ascii="Arial" w:hAnsi="Arial"/>
          <w:i/>
          <w:iCs/>
          <w:sz w:val="20"/>
          <w:szCs w:val="20"/>
        </w:rPr>
        <w:t>A. niger</w:t>
      </w:r>
      <w:r w:rsidRPr="00090C8F">
        <w:rPr>
          <w:rFonts w:ascii="Arial" w:hAnsi="Arial"/>
          <w:sz w:val="20"/>
          <w:szCs w:val="20"/>
        </w:rPr>
        <w:t xml:space="preserve"> (S4)—were identified, consistent with reports that these species are common colonizers of stored timber and structural wood (Schmidt, 2006; Zalar </w:t>
      </w:r>
      <w:r w:rsidRPr="003E5D65">
        <w:rPr>
          <w:rFonts w:ascii="Arial" w:hAnsi="Arial"/>
          <w:i/>
          <w:iCs/>
          <w:sz w:val="20"/>
          <w:szCs w:val="20"/>
        </w:rPr>
        <w:t>et al</w:t>
      </w:r>
      <w:r w:rsidRPr="00090C8F">
        <w:rPr>
          <w:rFonts w:ascii="Arial" w:hAnsi="Arial"/>
          <w:sz w:val="20"/>
          <w:szCs w:val="20"/>
        </w:rPr>
        <w:t xml:space="preserve">., 2011). </w:t>
      </w:r>
      <w:r w:rsidRPr="00090C8F">
        <w:rPr>
          <w:rFonts w:ascii="Arial" w:hAnsi="Arial"/>
          <w:i/>
          <w:iCs/>
          <w:sz w:val="20"/>
          <w:szCs w:val="20"/>
        </w:rPr>
        <w:t>A. flavus</w:t>
      </w:r>
      <w:r w:rsidRPr="00090C8F">
        <w:rPr>
          <w:rFonts w:ascii="Arial" w:hAnsi="Arial"/>
          <w:sz w:val="20"/>
          <w:szCs w:val="20"/>
        </w:rPr>
        <w:t xml:space="preserve">, characterized by its mint-green, powdery appearance, is known for producing aflatoxins and colonizing lignocellulosic materials under humid conditions (Amaike </w:t>
      </w:r>
      <w:r w:rsidR="0054285A">
        <w:rPr>
          <w:rFonts w:ascii="Arial" w:hAnsi="Arial"/>
          <w:sz w:val="20"/>
          <w:szCs w:val="20"/>
        </w:rPr>
        <w:t>and</w:t>
      </w:r>
      <w:r w:rsidRPr="00090C8F">
        <w:rPr>
          <w:rFonts w:ascii="Arial" w:hAnsi="Arial"/>
          <w:sz w:val="20"/>
          <w:szCs w:val="20"/>
        </w:rPr>
        <w:t xml:space="preserve"> Keller, 2011). </w:t>
      </w:r>
      <w:r w:rsidRPr="00090C8F">
        <w:rPr>
          <w:rFonts w:ascii="Arial" w:hAnsi="Arial"/>
          <w:i/>
          <w:iCs/>
          <w:sz w:val="20"/>
          <w:szCs w:val="20"/>
        </w:rPr>
        <w:t>A. terreus</w:t>
      </w:r>
      <w:r w:rsidRPr="00090C8F">
        <w:rPr>
          <w:rFonts w:ascii="Arial" w:hAnsi="Arial"/>
          <w:sz w:val="20"/>
          <w:szCs w:val="20"/>
        </w:rPr>
        <w:t xml:space="preserve"> and </w:t>
      </w:r>
      <w:r w:rsidRPr="00090C8F">
        <w:rPr>
          <w:rFonts w:ascii="Arial" w:hAnsi="Arial"/>
          <w:i/>
          <w:iCs/>
          <w:sz w:val="20"/>
          <w:szCs w:val="20"/>
        </w:rPr>
        <w:t>A. niger</w:t>
      </w:r>
      <w:r w:rsidRPr="00090C8F">
        <w:rPr>
          <w:rFonts w:ascii="Arial" w:hAnsi="Arial"/>
          <w:sz w:val="20"/>
          <w:szCs w:val="20"/>
        </w:rPr>
        <w:t xml:space="preserve">, both granular in texture and darkly pigmented, are well-documented agents of wood discoloration and decay, with the latter especially prevalent in construction wood due to its xerophilic nature (Boddy &amp; Watkinson, 1995; Anderson </w:t>
      </w:r>
      <w:r w:rsidRPr="007F3B7C">
        <w:rPr>
          <w:rFonts w:ascii="Arial" w:hAnsi="Arial"/>
          <w:i/>
          <w:iCs/>
          <w:sz w:val="20"/>
          <w:szCs w:val="20"/>
        </w:rPr>
        <w:t>et al</w:t>
      </w:r>
      <w:r w:rsidRPr="00090C8F">
        <w:rPr>
          <w:rFonts w:ascii="Arial" w:hAnsi="Arial"/>
          <w:sz w:val="20"/>
          <w:szCs w:val="20"/>
        </w:rPr>
        <w:t>., 2020).</w:t>
      </w:r>
    </w:p>
    <w:p w14:paraId="748F98AC" w14:textId="77777777" w:rsid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identification of </w:t>
      </w:r>
      <w:r w:rsidRPr="00090C8F">
        <w:rPr>
          <w:rFonts w:ascii="Arial" w:hAnsi="Arial"/>
          <w:i/>
          <w:iCs/>
          <w:sz w:val="20"/>
          <w:szCs w:val="20"/>
        </w:rPr>
        <w:t>Cyberlindnera jadinii</w:t>
      </w:r>
      <w:r w:rsidRPr="00090C8F">
        <w:rPr>
          <w:rFonts w:ascii="Arial" w:hAnsi="Arial"/>
          <w:sz w:val="20"/>
          <w:szCs w:val="20"/>
        </w:rPr>
        <w:t xml:space="preserve"> (S5), a white yeast with smooth colony edges, adds to growing evidence of yeast diversity in wood environments. Although traditionally associated with fermentation and food systems, recent studies have reported its occurrence in decaying timber and sawdust, where it may act as a secondary colonizer or participate in wood softening (Kurtzman </w:t>
      </w:r>
      <w:r w:rsidRPr="007F3B7C">
        <w:rPr>
          <w:rFonts w:ascii="Arial" w:hAnsi="Arial"/>
          <w:i/>
          <w:iCs/>
          <w:sz w:val="20"/>
          <w:szCs w:val="20"/>
        </w:rPr>
        <w:t>et al</w:t>
      </w:r>
      <w:r w:rsidRPr="00090C8F">
        <w:rPr>
          <w:rFonts w:ascii="Arial" w:hAnsi="Arial"/>
          <w:sz w:val="20"/>
          <w:szCs w:val="20"/>
        </w:rPr>
        <w:t xml:space="preserve">., 2011; Fotedar </w:t>
      </w:r>
      <w:r w:rsidRPr="007F3B7C">
        <w:rPr>
          <w:rFonts w:ascii="Arial" w:hAnsi="Arial"/>
          <w:i/>
          <w:iCs/>
          <w:sz w:val="20"/>
          <w:szCs w:val="20"/>
        </w:rPr>
        <w:t>et al</w:t>
      </w:r>
      <w:r w:rsidRPr="00090C8F">
        <w:rPr>
          <w:rFonts w:ascii="Arial" w:hAnsi="Arial"/>
          <w:sz w:val="20"/>
          <w:szCs w:val="20"/>
        </w:rPr>
        <w:t>., 2023).</w:t>
      </w:r>
    </w:p>
    <w:p w14:paraId="43503799" w14:textId="77777777" w:rsidR="00F33ECE" w:rsidRDefault="00F33ECE" w:rsidP="00A92C86">
      <w:pPr>
        <w:pStyle w:val="BodyText3"/>
        <w:tabs>
          <w:tab w:val="left" w:pos="1080"/>
        </w:tabs>
        <w:spacing w:after="0"/>
        <w:ind w:left="1080" w:hanging="1080"/>
        <w:rPr>
          <w:rFonts w:ascii="Arial" w:hAnsi="Arial"/>
          <w:b/>
          <w:bCs/>
          <w:sz w:val="20"/>
          <w:szCs w:val="20"/>
        </w:rPr>
      </w:pPr>
    </w:p>
    <w:p w14:paraId="0A8B2234" w14:textId="53857E6F" w:rsidR="00A92C86" w:rsidRPr="00A92C86" w:rsidRDefault="00A92C86" w:rsidP="00A92C86">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Table 2: Physical Characteristics of Fungal Isolates from Softwood Timber</w:t>
      </w:r>
    </w:p>
    <w:tbl>
      <w:tblPr>
        <w:tblW w:w="9252" w:type="dxa"/>
        <w:tblInd w:w="-72" w:type="dxa"/>
        <w:tblBorders>
          <w:top w:val="single" w:sz="4" w:space="0" w:color="auto"/>
          <w:bottom w:val="single" w:sz="4" w:space="0" w:color="auto"/>
        </w:tblBorders>
        <w:tblLook w:val="0000" w:firstRow="0" w:lastRow="0" w:firstColumn="0" w:lastColumn="0" w:noHBand="0" w:noVBand="0"/>
      </w:tblPr>
      <w:tblGrid>
        <w:gridCol w:w="1763"/>
        <w:gridCol w:w="1808"/>
        <w:gridCol w:w="2630"/>
        <w:gridCol w:w="1785"/>
        <w:gridCol w:w="2041"/>
      </w:tblGrid>
      <w:tr w:rsidR="00A92C86" w:rsidRPr="00257222" w14:paraId="2195630D" w14:textId="77777777" w:rsidTr="000D6710">
        <w:trPr>
          <w:trHeight w:val="342"/>
        </w:trPr>
        <w:tc>
          <w:tcPr>
            <w:tcW w:w="1160" w:type="dxa"/>
            <w:tcBorders>
              <w:top w:val="single" w:sz="4" w:space="0" w:color="auto"/>
              <w:bottom w:val="single" w:sz="4" w:space="0" w:color="auto"/>
            </w:tcBorders>
          </w:tcPr>
          <w:p w14:paraId="16ABDF90"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Isolate code</w:t>
            </w:r>
          </w:p>
        </w:tc>
        <w:tc>
          <w:tcPr>
            <w:tcW w:w="1005" w:type="dxa"/>
            <w:tcBorders>
              <w:top w:val="single" w:sz="4" w:space="0" w:color="auto"/>
              <w:bottom w:val="single" w:sz="4" w:space="0" w:color="auto"/>
            </w:tcBorders>
          </w:tcPr>
          <w:p w14:paraId="5AAC5367"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 xml:space="preserve">Color </w:t>
            </w:r>
          </w:p>
        </w:tc>
        <w:tc>
          <w:tcPr>
            <w:tcW w:w="2410" w:type="dxa"/>
            <w:tcBorders>
              <w:top w:val="single" w:sz="4" w:space="0" w:color="auto"/>
              <w:bottom w:val="single" w:sz="4" w:space="0" w:color="auto"/>
            </w:tcBorders>
          </w:tcPr>
          <w:p w14:paraId="20088A2F"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Surface Characteristic</w:t>
            </w:r>
          </w:p>
        </w:tc>
        <w:tc>
          <w:tcPr>
            <w:tcW w:w="1275" w:type="dxa"/>
            <w:tcBorders>
              <w:top w:val="single" w:sz="4" w:space="0" w:color="auto"/>
              <w:bottom w:val="single" w:sz="4" w:space="0" w:color="auto"/>
            </w:tcBorders>
          </w:tcPr>
          <w:p w14:paraId="02A9F8E8"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257222">
              <w:rPr>
                <w:rFonts w:ascii="Arial" w:hAnsi="Arial"/>
                <w:sz w:val="20"/>
                <w:szCs w:val="20"/>
              </w:rPr>
              <w:t xml:space="preserve"> </w:t>
            </w:r>
            <w:r w:rsidRPr="00A92C86">
              <w:rPr>
                <w:rFonts w:ascii="Arial" w:hAnsi="Arial"/>
                <w:b/>
                <w:bCs/>
                <w:sz w:val="20"/>
                <w:szCs w:val="20"/>
              </w:rPr>
              <w:t xml:space="preserve">Edge </w:t>
            </w:r>
          </w:p>
        </w:tc>
        <w:tc>
          <w:tcPr>
            <w:tcW w:w="3402" w:type="dxa"/>
            <w:tcBorders>
              <w:top w:val="single" w:sz="4" w:space="0" w:color="auto"/>
              <w:bottom w:val="single" w:sz="4" w:space="0" w:color="auto"/>
            </w:tcBorders>
          </w:tcPr>
          <w:p w14:paraId="4DBE88DD" w14:textId="77777777" w:rsidR="00A92C86" w:rsidRPr="00A92C86" w:rsidRDefault="00A92C86" w:rsidP="00392C13">
            <w:pPr>
              <w:pStyle w:val="BodyText3"/>
              <w:tabs>
                <w:tab w:val="left" w:pos="1080"/>
              </w:tabs>
              <w:spacing w:after="0"/>
              <w:ind w:left="1080" w:hanging="1080"/>
              <w:jc w:val="both"/>
              <w:rPr>
                <w:rFonts w:ascii="Arial" w:hAnsi="Arial"/>
                <w:b/>
                <w:bCs/>
                <w:sz w:val="20"/>
                <w:szCs w:val="20"/>
              </w:rPr>
            </w:pPr>
            <w:r w:rsidRPr="00A92C86">
              <w:rPr>
                <w:rFonts w:ascii="Arial" w:hAnsi="Arial"/>
                <w:b/>
                <w:bCs/>
                <w:sz w:val="20"/>
                <w:szCs w:val="20"/>
              </w:rPr>
              <w:t>Identity of isolates</w:t>
            </w:r>
          </w:p>
        </w:tc>
      </w:tr>
      <w:tr w:rsidR="00A92C86" w:rsidRPr="00257222" w14:paraId="583B3DE0" w14:textId="77777777" w:rsidTr="002C611F">
        <w:trPr>
          <w:trHeight w:val="587"/>
        </w:trPr>
        <w:tc>
          <w:tcPr>
            <w:tcW w:w="1160" w:type="dxa"/>
            <w:tcBorders>
              <w:top w:val="single" w:sz="4" w:space="0" w:color="auto"/>
            </w:tcBorders>
          </w:tcPr>
          <w:p w14:paraId="7B05AF4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S1</w:t>
            </w:r>
          </w:p>
        </w:tc>
        <w:tc>
          <w:tcPr>
            <w:tcW w:w="1005" w:type="dxa"/>
            <w:tcBorders>
              <w:top w:val="single" w:sz="4" w:space="0" w:color="auto"/>
            </w:tcBorders>
          </w:tcPr>
          <w:p w14:paraId="24214009"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Cream </w:t>
            </w:r>
          </w:p>
        </w:tc>
        <w:tc>
          <w:tcPr>
            <w:tcW w:w="2410" w:type="dxa"/>
            <w:tcBorders>
              <w:top w:val="single" w:sz="4" w:space="0" w:color="auto"/>
            </w:tcBorders>
          </w:tcPr>
          <w:p w14:paraId="2AA250A5"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Wrinkled </w:t>
            </w:r>
          </w:p>
        </w:tc>
        <w:tc>
          <w:tcPr>
            <w:tcW w:w="1275" w:type="dxa"/>
            <w:tcBorders>
              <w:top w:val="single" w:sz="4" w:space="0" w:color="auto"/>
            </w:tcBorders>
          </w:tcPr>
          <w:p w14:paraId="2FFC865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Smooth </w:t>
            </w:r>
          </w:p>
        </w:tc>
        <w:tc>
          <w:tcPr>
            <w:tcW w:w="3402" w:type="dxa"/>
            <w:tcBorders>
              <w:top w:val="single" w:sz="4" w:space="0" w:color="auto"/>
            </w:tcBorders>
          </w:tcPr>
          <w:p w14:paraId="05BA5428" w14:textId="77777777" w:rsidR="00A92C86" w:rsidRPr="00257222" w:rsidRDefault="00A92C86"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Candida spp</w:t>
            </w:r>
          </w:p>
        </w:tc>
      </w:tr>
      <w:tr w:rsidR="00A92C86" w:rsidRPr="00257222" w14:paraId="0EA25F11" w14:textId="77777777" w:rsidTr="002C611F">
        <w:trPr>
          <w:trHeight w:val="495"/>
        </w:trPr>
        <w:tc>
          <w:tcPr>
            <w:tcW w:w="1160" w:type="dxa"/>
          </w:tcPr>
          <w:p w14:paraId="73C18ED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S2</w:t>
            </w:r>
          </w:p>
        </w:tc>
        <w:tc>
          <w:tcPr>
            <w:tcW w:w="1005" w:type="dxa"/>
          </w:tcPr>
          <w:p w14:paraId="6390DCF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Mint green</w:t>
            </w:r>
          </w:p>
        </w:tc>
        <w:tc>
          <w:tcPr>
            <w:tcW w:w="2410" w:type="dxa"/>
          </w:tcPr>
          <w:p w14:paraId="4779BF14"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Powdery </w:t>
            </w:r>
          </w:p>
        </w:tc>
        <w:tc>
          <w:tcPr>
            <w:tcW w:w="1275" w:type="dxa"/>
          </w:tcPr>
          <w:p w14:paraId="24A449D2"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White </w:t>
            </w:r>
          </w:p>
        </w:tc>
        <w:tc>
          <w:tcPr>
            <w:tcW w:w="3402" w:type="dxa"/>
          </w:tcPr>
          <w:p w14:paraId="4DB0B1D0" w14:textId="3A5C5F85" w:rsidR="00A92C86" w:rsidRPr="00E118AF" w:rsidRDefault="00A92C86" w:rsidP="00392C13">
            <w:pPr>
              <w:pStyle w:val="BodyText3"/>
              <w:tabs>
                <w:tab w:val="left" w:pos="1080"/>
              </w:tabs>
              <w:spacing w:after="0"/>
              <w:ind w:left="1080" w:hanging="1080"/>
              <w:rPr>
                <w:rFonts w:ascii="Arial" w:hAnsi="Arial"/>
                <w:i/>
                <w:sz w:val="20"/>
                <w:szCs w:val="20"/>
                <w:highlight w:val="yellow"/>
              </w:rPr>
            </w:pPr>
            <w:r w:rsidRPr="00E118AF">
              <w:rPr>
                <w:rFonts w:ascii="Arial" w:hAnsi="Arial"/>
                <w:i/>
                <w:sz w:val="20"/>
                <w:szCs w:val="20"/>
                <w:highlight w:val="yellow"/>
              </w:rPr>
              <w:t>A</w:t>
            </w:r>
            <w:r w:rsidR="00E118AF" w:rsidRPr="00E118AF">
              <w:rPr>
                <w:rFonts w:ascii="Arial" w:hAnsi="Arial"/>
                <w:i/>
                <w:sz w:val="20"/>
                <w:szCs w:val="20"/>
                <w:highlight w:val="yellow"/>
              </w:rPr>
              <w:t>.</w:t>
            </w:r>
            <w:r w:rsidRPr="00E118AF">
              <w:rPr>
                <w:rFonts w:ascii="Arial" w:hAnsi="Arial"/>
                <w:i/>
                <w:sz w:val="20"/>
                <w:szCs w:val="20"/>
                <w:highlight w:val="yellow"/>
              </w:rPr>
              <w:t xml:space="preserve"> favus</w:t>
            </w:r>
          </w:p>
        </w:tc>
      </w:tr>
      <w:tr w:rsidR="00A92C86" w:rsidRPr="00257222" w14:paraId="0F1D084D" w14:textId="77777777" w:rsidTr="002C611F">
        <w:trPr>
          <w:trHeight w:val="598"/>
        </w:trPr>
        <w:tc>
          <w:tcPr>
            <w:tcW w:w="1160" w:type="dxa"/>
          </w:tcPr>
          <w:p w14:paraId="0625D53D"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S3</w:t>
            </w:r>
          </w:p>
        </w:tc>
        <w:tc>
          <w:tcPr>
            <w:tcW w:w="1005" w:type="dxa"/>
          </w:tcPr>
          <w:p w14:paraId="74723244"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Brown </w:t>
            </w:r>
          </w:p>
        </w:tc>
        <w:tc>
          <w:tcPr>
            <w:tcW w:w="2410" w:type="dxa"/>
          </w:tcPr>
          <w:p w14:paraId="5BFF41E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Granular </w:t>
            </w:r>
          </w:p>
        </w:tc>
        <w:tc>
          <w:tcPr>
            <w:tcW w:w="1275" w:type="dxa"/>
          </w:tcPr>
          <w:p w14:paraId="6A8F3338"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Irregular </w:t>
            </w:r>
          </w:p>
        </w:tc>
        <w:tc>
          <w:tcPr>
            <w:tcW w:w="3402" w:type="dxa"/>
          </w:tcPr>
          <w:p w14:paraId="12ACED6C" w14:textId="621EDC93" w:rsidR="00A92C86" w:rsidRPr="00E118AF" w:rsidRDefault="00A92C86" w:rsidP="00392C13">
            <w:pPr>
              <w:pStyle w:val="BodyText3"/>
              <w:tabs>
                <w:tab w:val="left" w:pos="1080"/>
              </w:tabs>
              <w:spacing w:after="0"/>
              <w:ind w:left="1080" w:hanging="1080"/>
              <w:rPr>
                <w:rFonts w:ascii="Arial" w:hAnsi="Arial"/>
                <w:i/>
                <w:sz w:val="20"/>
                <w:szCs w:val="20"/>
                <w:highlight w:val="yellow"/>
              </w:rPr>
            </w:pPr>
            <w:r w:rsidRPr="00E118AF">
              <w:rPr>
                <w:rFonts w:ascii="Arial" w:hAnsi="Arial"/>
                <w:i/>
                <w:sz w:val="20"/>
                <w:szCs w:val="20"/>
                <w:highlight w:val="yellow"/>
              </w:rPr>
              <w:t>A</w:t>
            </w:r>
            <w:r w:rsidR="00E118AF" w:rsidRPr="00E118AF">
              <w:rPr>
                <w:rFonts w:ascii="Arial" w:hAnsi="Arial"/>
                <w:i/>
                <w:sz w:val="20"/>
                <w:szCs w:val="20"/>
                <w:highlight w:val="yellow"/>
              </w:rPr>
              <w:t>.</w:t>
            </w:r>
            <w:r w:rsidRPr="00E118AF">
              <w:rPr>
                <w:rFonts w:ascii="Arial" w:hAnsi="Arial"/>
                <w:i/>
                <w:sz w:val="20"/>
                <w:szCs w:val="20"/>
                <w:highlight w:val="yellow"/>
              </w:rPr>
              <w:t xml:space="preserve"> terreus</w:t>
            </w:r>
          </w:p>
        </w:tc>
      </w:tr>
      <w:tr w:rsidR="00A92C86" w:rsidRPr="00257222" w14:paraId="455A76D7" w14:textId="77777777" w:rsidTr="002C611F">
        <w:trPr>
          <w:trHeight w:val="599"/>
        </w:trPr>
        <w:tc>
          <w:tcPr>
            <w:tcW w:w="1160" w:type="dxa"/>
          </w:tcPr>
          <w:p w14:paraId="67D4310F"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S4</w:t>
            </w:r>
          </w:p>
        </w:tc>
        <w:tc>
          <w:tcPr>
            <w:tcW w:w="1005" w:type="dxa"/>
          </w:tcPr>
          <w:p w14:paraId="526B0A67"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Black </w:t>
            </w:r>
          </w:p>
        </w:tc>
        <w:tc>
          <w:tcPr>
            <w:tcW w:w="2410" w:type="dxa"/>
          </w:tcPr>
          <w:p w14:paraId="6F7AF838"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Granular</w:t>
            </w:r>
          </w:p>
        </w:tc>
        <w:tc>
          <w:tcPr>
            <w:tcW w:w="1275" w:type="dxa"/>
          </w:tcPr>
          <w:p w14:paraId="5B915E4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Irregular </w:t>
            </w:r>
          </w:p>
        </w:tc>
        <w:tc>
          <w:tcPr>
            <w:tcW w:w="3402" w:type="dxa"/>
          </w:tcPr>
          <w:p w14:paraId="72DA8CDA" w14:textId="4E03B682" w:rsidR="00A92C86" w:rsidRPr="00E118AF" w:rsidRDefault="00A92C86" w:rsidP="00392C13">
            <w:pPr>
              <w:pStyle w:val="BodyText3"/>
              <w:tabs>
                <w:tab w:val="left" w:pos="1080"/>
              </w:tabs>
              <w:spacing w:after="0"/>
              <w:ind w:left="1080" w:hanging="1080"/>
              <w:rPr>
                <w:rFonts w:ascii="Arial" w:hAnsi="Arial"/>
                <w:i/>
                <w:sz w:val="20"/>
                <w:szCs w:val="20"/>
                <w:highlight w:val="yellow"/>
              </w:rPr>
            </w:pPr>
            <w:r w:rsidRPr="00E118AF">
              <w:rPr>
                <w:rFonts w:ascii="Arial" w:hAnsi="Arial"/>
                <w:i/>
                <w:sz w:val="20"/>
                <w:szCs w:val="20"/>
                <w:highlight w:val="yellow"/>
              </w:rPr>
              <w:t>A</w:t>
            </w:r>
            <w:r w:rsidR="00E118AF" w:rsidRPr="00E118AF">
              <w:rPr>
                <w:rFonts w:ascii="Arial" w:hAnsi="Arial"/>
                <w:i/>
                <w:sz w:val="20"/>
                <w:szCs w:val="20"/>
                <w:highlight w:val="yellow"/>
              </w:rPr>
              <w:t>.</w:t>
            </w:r>
            <w:r w:rsidRPr="00E118AF">
              <w:rPr>
                <w:rFonts w:ascii="Arial" w:hAnsi="Arial"/>
                <w:i/>
                <w:sz w:val="20"/>
                <w:szCs w:val="20"/>
                <w:highlight w:val="yellow"/>
              </w:rPr>
              <w:t xml:space="preserve"> niger</w:t>
            </w:r>
          </w:p>
        </w:tc>
      </w:tr>
      <w:tr w:rsidR="00A92C86" w:rsidRPr="00257222" w14:paraId="38AF866E" w14:textId="77777777" w:rsidTr="00392C13">
        <w:trPr>
          <w:trHeight w:val="418"/>
        </w:trPr>
        <w:tc>
          <w:tcPr>
            <w:tcW w:w="1160" w:type="dxa"/>
          </w:tcPr>
          <w:p w14:paraId="3A8DE275"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S5</w:t>
            </w:r>
          </w:p>
          <w:p w14:paraId="70357FDD"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1005" w:type="dxa"/>
          </w:tcPr>
          <w:p w14:paraId="4F772790" w14:textId="47908BA6" w:rsidR="00A92C86"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White</w:t>
            </w:r>
          </w:p>
          <w:p w14:paraId="293596E8" w14:textId="6938EAB2" w:rsidR="00A92C86" w:rsidRPr="00257222" w:rsidRDefault="00A92C86" w:rsidP="00392C13">
            <w:pPr>
              <w:pStyle w:val="BodyText3"/>
              <w:tabs>
                <w:tab w:val="left" w:pos="1080"/>
              </w:tabs>
              <w:spacing w:after="0"/>
              <w:ind w:left="1080" w:hanging="1080"/>
              <w:rPr>
                <w:rFonts w:ascii="Arial" w:hAnsi="Arial"/>
                <w:sz w:val="20"/>
                <w:szCs w:val="20"/>
              </w:rPr>
            </w:pPr>
          </w:p>
          <w:p w14:paraId="07EB02B9"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2410" w:type="dxa"/>
          </w:tcPr>
          <w:p w14:paraId="5DD42EC6" w14:textId="1FCBC79E" w:rsidR="00A92C86"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Smooth</w:t>
            </w:r>
          </w:p>
          <w:p w14:paraId="30134B48" w14:textId="38EE0F3F" w:rsidR="00A92C86" w:rsidRPr="00257222" w:rsidRDefault="00A92C86" w:rsidP="00392C13">
            <w:pPr>
              <w:pStyle w:val="BodyText3"/>
              <w:tabs>
                <w:tab w:val="left" w:pos="1080"/>
              </w:tabs>
              <w:spacing w:after="0"/>
              <w:ind w:left="1080" w:hanging="1080"/>
              <w:rPr>
                <w:rFonts w:ascii="Arial" w:hAnsi="Arial"/>
                <w:sz w:val="20"/>
                <w:szCs w:val="20"/>
              </w:rPr>
            </w:pPr>
          </w:p>
        </w:tc>
        <w:tc>
          <w:tcPr>
            <w:tcW w:w="1275" w:type="dxa"/>
          </w:tcPr>
          <w:p w14:paraId="0488E58F" w14:textId="77777777" w:rsidR="00392C13"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Smooth</w:t>
            </w:r>
          </w:p>
          <w:p w14:paraId="6F3BCB77" w14:textId="77777777" w:rsidR="00A92C86" w:rsidRPr="00257222" w:rsidRDefault="00A92C86" w:rsidP="00392C13">
            <w:pPr>
              <w:pStyle w:val="BodyText3"/>
              <w:tabs>
                <w:tab w:val="left" w:pos="1080"/>
              </w:tabs>
              <w:spacing w:after="0"/>
              <w:ind w:left="1080" w:hanging="1080"/>
              <w:rPr>
                <w:rFonts w:ascii="Arial" w:hAnsi="Arial"/>
                <w:sz w:val="20"/>
                <w:szCs w:val="20"/>
              </w:rPr>
            </w:pPr>
          </w:p>
          <w:p w14:paraId="7753286B"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3402" w:type="dxa"/>
          </w:tcPr>
          <w:p w14:paraId="4854C4B4" w14:textId="77777777" w:rsidR="00392C13" w:rsidRPr="00257222" w:rsidRDefault="00392C13"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Cyberlindnera spp</w:t>
            </w:r>
          </w:p>
          <w:p w14:paraId="4C4282E9" w14:textId="77777777" w:rsidR="00A92C86" w:rsidRPr="00257222" w:rsidRDefault="00A92C86" w:rsidP="00392C13">
            <w:pPr>
              <w:pStyle w:val="BodyText3"/>
              <w:tabs>
                <w:tab w:val="left" w:pos="1080"/>
              </w:tabs>
              <w:spacing w:after="0"/>
              <w:ind w:left="1080" w:hanging="1080"/>
              <w:rPr>
                <w:rFonts w:ascii="Arial" w:hAnsi="Arial"/>
                <w:i/>
                <w:sz w:val="20"/>
                <w:szCs w:val="20"/>
              </w:rPr>
            </w:pPr>
          </w:p>
          <w:p w14:paraId="0D6A0E34" w14:textId="77777777" w:rsidR="00A92C86" w:rsidRPr="00257222" w:rsidRDefault="00A92C86" w:rsidP="00392C13">
            <w:pPr>
              <w:pStyle w:val="BodyText3"/>
              <w:tabs>
                <w:tab w:val="left" w:pos="1080"/>
              </w:tabs>
              <w:spacing w:after="0"/>
              <w:ind w:left="1080" w:hanging="1080"/>
              <w:rPr>
                <w:rFonts w:ascii="Arial" w:hAnsi="Arial"/>
                <w:i/>
                <w:sz w:val="20"/>
                <w:szCs w:val="20"/>
              </w:rPr>
            </w:pPr>
          </w:p>
        </w:tc>
      </w:tr>
    </w:tbl>
    <w:p w14:paraId="3B1681E5" w14:textId="77777777" w:rsidR="00A92C86" w:rsidRPr="00090C8F" w:rsidRDefault="00A92C86" w:rsidP="001264B5">
      <w:pPr>
        <w:pStyle w:val="BodyText3"/>
        <w:tabs>
          <w:tab w:val="left" w:pos="1080"/>
        </w:tabs>
        <w:jc w:val="both"/>
        <w:rPr>
          <w:rFonts w:ascii="Arial" w:hAnsi="Arial"/>
          <w:sz w:val="20"/>
          <w:szCs w:val="20"/>
        </w:rPr>
      </w:pPr>
    </w:p>
    <w:p w14:paraId="43E10116" w14:textId="77777777" w:rsidR="00090C8F" w:rsidRPr="00A92C86" w:rsidRDefault="00090C8F" w:rsidP="001264B5">
      <w:pPr>
        <w:pStyle w:val="BodyText3"/>
        <w:tabs>
          <w:tab w:val="left" w:pos="1080"/>
        </w:tabs>
        <w:jc w:val="both"/>
        <w:rPr>
          <w:rFonts w:ascii="Arial" w:hAnsi="Arial"/>
          <w:b/>
          <w:bCs/>
          <w:sz w:val="20"/>
          <w:szCs w:val="20"/>
        </w:rPr>
      </w:pPr>
      <w:r w:rsidRPr="00A92C86">
        <w:rPr>
          <w:rFonts w:ascii="Arial" w:hAnsi="Arial"/>
          <w:b/>
          <w:bCs/>
          <w:sz w:val="20"/>
          <w:szCs w:val="20"/>
        </w:rPr>
        <w:t>Ecological Distribution and Substrate Specificity</w:t>
      </w:r>
    </w:p>
    <w:p w14:paraId="29F38A7A" w14:textId="2FA2607D"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The distribution of fungal isolates across the sampling location reve</w:t>
      </w:r>
      <w:r w:rsidR="000D6710">
        <w:rPr>
          <w:rFonts w:ascii="Arial" w:hAnsi="Arial"/>
          <w:sz w:val="20"/>
          <w:szCs w:val="20"/>
        </w:rPr>
        <w:t>aled that</w:t>
      </w:r>
      <w:r w:rsidRPr="00090C8F">
        <w:rPr>
          <w:rFonts w:ascii="Arial" w:hAnsi="Arial"/>
          <w:sz w:val="20"/>
          <w:szCs w:val="20"/>
        </w:rPr>
        <w:t xml:space="preserve"> Idu timber market </w:t>
      </w:r>
      <w:r w:rsidR="000D6710">
        <w:rPr>
          <w:rFonts w:ascii="Arial" w:hAnsi="Arial"/>
          <w:sz w:val="20"/>
          <w:szCs w:val="20"/>
        </w:rPr>
        <w:t>plays host to a lot of fungi species</w:t>
      </w:r>
      <w:r w:rsidRPr="00090C8F">
        <w:rPr>
          <w:rFonts w:ascii="Arial" w:hAnsi="Arial"/>
          <w:sz w:val="20"/>
          <w:szCs w:val="20"/>
        </w:rPr>
        <w:t>.</w:t>
      </w:r>
      <w:r w:rsidR="000D6710">
        <w:rPr>
          <w:rFonts w:ascii="Arial" w:hAnsi="Arial"/>
          <w:sz w:val="20"/>
          <w:szCs w:val="20"/>
        </w:rPr>
        <w:t xml:space="preserve"> </w:t>
      </w:r>
      <w:r w:rsidRPr="00090C8F">
        <w:rPr>
          <w:rFonts w:ascii="Arial" w:hAnsi="Arial"/>
          <w:sz w:val="20"/>
          <w:szCs w:val="20"/>
        </w:rPr>
        <w:t xml:space="preserve">This could be attributed to </w:t>
      </w:r>
      <w:r w:rsidR="000D6710">
        <w:rPr>
          <w:rFonts w:ascii="Arial" w:hAnsi="Arial"/>
          <w:sz w:val="20"/>
          <w:szCs w:val="20"/>
        </w:rPr>
        <w:t>the divergent means</w:t>
      </w:r>
      <w:r w:rsidRPr="00090C8F">
        <w:rPr>
          <w:rFonts w:ascii="Arial" w:hAnsi="Arial"/>
          <w:sz w:val="20"/>
          <w:szCs w:val="20"/>
        </w:rPr>
        <w:t xml:space="preserve"> in timber storage, moisture exposure, and airflow, which are key factors influencing fungal colonization (Singh, 2012; Krah </w:t>
      </w:r>
      <w:r w:rsidRPr="000D6710">
        <w:rPr>
          <w:rFonts w:ascii="Arial" w:hAnsi="Arial"/>
          <w:i/>
          <w:iCs/>
          <w:sz w:val="20"/>
          <w:szCs w:val="20"/>
        </w:rPr>
        <w:t>et a</w:t>
      </w:r>
      <w:r w:rsidRPr="00090C8F">
        <w:rPr>
          <w:rFonts w:ascii="Arial" w:hAnsi="Arial"/>
          <w:sz w:val="20"/>
          <w:szCs w:val="20"/>
        </w:rPr>
        <w:t xml:space="preserve">l., 2018). Timber at Idu may have had prolonged exposure to humid conditions or poor ventilation, </w:t>
      </w:r>
      <w:r w:rsidRPr="0017083D">
        <w:rPr>
          <w:rFonts w:ascii="Arial" w:hAnsi="Arial"/>
          <w:sz w:val="20"/>
          <w:szCs w:val="20"/>
          <w:highlight w:val="yellow"/>
        </w:rPr>
        <w:t xml:space="preserve">which promotes fungal </w:t>
      </w:r>
      <w:r w:rsidR="0017083D" w:rsidRPr="0017083D">
        <w:rPr>
          <w:rFonts w:ascii="Arial" w:hAnsi="Arial"/>
          <w:sz w:val="20"/>
          <w:szCs w:val="20"/>
          <w:highlight w:val="yellow"/>
        </w:rPr>
        <w:t xml:space="preserve">growth at </w:t>
      </w:r>
      <w:r w:rsidRPr="0017083D">
        <w:rPr>
          <w:rFonts w:ascii="Arial" w:hAnsi="Arial"/>
          <w:sz w:val="20"/>
          <w:szCs w:val="20"/>
          <w:highlight w:val="yellow"/>
        </w:rPr>
        <w:t xml:space="preserve">spore germination and hyphal </w:t>
      </w:r>
      <w:r w:rsidR="0017083D" w:rsidRPr="0017083D">
        <w:rPr>
          <w:rFonts w:ascii="Arial" w:hAnsi="Arial"/>
          <w:sz w:val="20"/>
          <w:szCs w:val="20"/>
          <w:highlight w:val="yellow"/>
        </w:rPr>
        <w:t>development</w:t>
      </w:r>
      <w:r w:rsidRPr="00090C8F">
        <w:rPr>
          <w:rFonts w:ascii="Arial" w:hAnsi="Arial"/>
          <w:sz w:val="20"/>
          <w:szCs w:val="20"/>
        </w:rPr>
        <w:t>.</w:t>
      </w:r>
    </w:p>
    <w:p w14:paraId="7F1429DB"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Furthermore, substrate specificity analysis showed that the timber species </w:t>
      </w:r>
      <w:r w:rsidRPr="00090C8F">
        <w:rPr>
          <w:rFonts w:ascii="Arial" w:hAnsi="Arial"/>
          <w:i/>
          <w:iCs/>
          <w:sz w:val="20"/>
          <w:szCs w:val="20"/>
        </w:rPr>
        <w:t>Atarabang</w:t>
      </w:r>
      <w:r w:rsidRPr="00090C8F">
        <w:rPr>
          <w:rFonts w:ascii="Arial" w:hAnsi="Arial"/>
          <w:sz w:val="20"/>
          <w:szCs w:val="20"/>
        </w:rPr>
        <w:t xml:space="preserve"> supported the highest fungal occurrence (60%), suggesting it may be more susceptible to fungal degradation, possibly due to higher moisture retention, porosity, or nutrient content. By contrast, </w:t>
      </w:r>
      <w:r w:rsidRPr="00090C8F">
        <w:rPr>
          <w:rFonts w:ascii="Arial" w:hAnsi="Arial"/>
          <w:i/>
          <w:iCs/>
          <w:sz w:val="20"/>
          <w:szCs w:val="20"/>
        </w:rPr>
        <w:t>Ntufiak</w:t>
      </w:r>
      <w:r w:rsidRPr="00090C8F">
        <w:rPr>
          <w:rFonts w:ascii="Arial" w:hAnsi="Arial"/>
          <w:sz w:val="20"/>
          <w:szCs w:val="20"/>
        </w:rPr>
        <w:t xml:space="preserve"> and </w:t>
      </w:r>
      <w:r w:rsidRPr="00090C8F">
        <w:rPr>
          <w:rFonts w:ascii="Arial" w:hAnsi="Arial"/>
          <w:i/>
          <w:iCs/>
          <w:sz w:val="20"/>
          <w:szCs w:val="20"/>
        </w:rPr>
        <w:t>Ufu</w:t>
      </w:r>
      <w:r w:rsidRPr="00090C8F">
        <w:rPr>
          <w:rFonts w:ascii="Arial" w:hAnsi="Arial"/>
          <w:sz w:val="20"/>
          <w:szCs w:val="20"/>
        </w:rPr>
        <w:t xml:space="preserve"> each supported only one isolate. This aligns with literature indicating that differences in wood density, extractives, and surface chemistry influence fungal colonization (Rayner &amp; Boddy, 1988; Reinprecht, 2016).</w:t>
      </w:r>
    </w:p>
    <w:p w14:paraId="6E3407D8" w14:textId="4CC1B498" w:rsidR="00B611B0" w:rsidRPr="00B611B0" w:rsidRDefault="00B611B0" w:rsidP="00B611B0">
      <w:pPr>
        <w:pStyle w:val="BodyText3"/>
        <w:tabs>
          <w:tab w:val="left" w:pos="1080"/>
        </w:tabs>
        <w:ind w:left="1080" w:hanging="1080"/>
        <w:rPr>
          <w:rFonts w:ascii="Arial" w:hAnsi="Arial"/>
          <w:b/>
          <w:bCs/>
          <w:iCs/>
          <w:sz w:val="20"/>
          <w:szCs w:val="20"/>
        </w:rPr>
      </w:pPr>
      <w:r w:rsidRPr="00B611B0">
        <w:rPr>
          <w:rFonts w:ascii="Arial" w:hAnsi="Arial"/>
          <w:b/>
          <w:bCs/>
          <w:iCs/>
          <w:sz w:val="20"/>
          <w:szCs w:val="20"/>
        </w:rPr>
        <w:t xml:space="preserve">Table </w:t>
      </w:r>
      <w:r w:rsidR="00392C13">
        <w:rPr>
          <w:rFonts w:ascii="Arial" w:hAnsi="Arial"/>
          <w:b/>
          <w:bCs/>
          <w:iCs/>
          <w:sz w:val="20"/>
          <w:szCs w:val="20"/>
        </w:rPr>
        <w:t>3</w:t>
      </w:r>
      <w:r w:rsidRPr="00B611B0">
        <w:rPr>
          <w:rFonts w:ascii="Arial" w:hAnsi="Arial"/>
          <w:b/>
          <w:bCs/>
          <w:iCs/>
          <w:sz w:val="20"/>
          <w:szCs w:val="20"/>
        </w:rPr>
        <w:t>: Percentage (%) Distribution of Fungi Isolated in the Three timber species</w:t>
      </w:r>
    </w:p>
    <w:tbl>
      <w:tblPr>
        <w:tblW w:w="0" w:type="auto"/>
        <w:tblInd w:w="242" w:type="dxa"/>
        <w:tblBorders>
          <w:top w:val="single" w:sz="4" w:space="0" w:color="auto"/>
          <w:bottom w:val="single" w:sz="4" w:space="0" w:color="auto"/>
        </w:tblBorders>
        <w:tblLook w:val="0000" w:firstRow="0" w:lastRow="0" w:firstColumn="0" w:lastColumn="0" w:noHBand="0" w:noVBand="0"/>
      </w:tblPr>
      <w:tblGrid>
        <w:gridCol w:w="3165"/>
        <w:gridCol w:w="2947"/>
        <w:gridCol w:w="3181"/>
      </w:tblGrid>
      <w:tr w:rsidR="00B611B0" w:rsidRPr="00257222" w14:paraId="78CBD5D8" w14:textId="77777777" w:rsidTr="00B611B0">
        <w:trPr>
          <w:trHeight w:val="729"/>
        </w:trPr>
        <w:tc>
          <w:tcPr>
            <w:tcW w:w="3165" w:type="dxa"/>
            <w:tcBorders>
              <w:top w:val="single" w:sz="4" w:space="0" w:color="auto"/>
              <w:bottom w:val="single" w:sz="4" w:space="0" w:color="auto"/>
            </w:tcBorders>
          </w:tcPr>
          <w:p w14:paraId="5D1DEB6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Timber Type</w:t>
            </w:r>
          </w:p>
          <w:p w14:paraId="5FDC5A54"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Borders>
              <w:top w:val="single" w:sz="4" w:space="0" w:color="auto"/>
              <w:bottom w:val="single" w:sz="4" w:space="0" w:color="auto"/>
            </w:tcBorders>
          </w:tcPr>
          <w:p w14:paraId="6562A6D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 xml:space="preserve">Number of Fungi  </w:t>
            </w:r>
          </w:p>
          <w:p w14:paraId="23824426"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79504202"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17014AD4"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3181" w:type="dxa"/>
            <w:tcBorders>
              <w:top w:val="single" w:sz="4" w:space="0" w:color="auto"/>
              <w:bottom w:val="single" w:sz="4" w:space="0" w:color="auto"/>
            </w:tcBorders>
          </w:tcPr>
          <w:p w14:paraId="56A2E4B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Percentage Distribution (%)</w:t>
            </w:r>
          </w:p>
          <w:p w14:paraId="27A0637C"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p>
          <w:p w14:paraId="008E42B0" w14:textId="77777777" w:rsidR="00B611B0" w:rsidRPr="00B611B0" w:rsidRDefault="00B611B0" w:rsidP="00B611B0">
            <w:pPr>
              <w:pStyle w:val="BodyText3"/>
              <w:tabs>
                <w:tab w:val="left" w:pos="1080"/>
              </w:tabs>
              <w:spacing w:after="0"/>
              <w:ind w:left="1080" w:hanging="1080"/>
              <w:jc w:val="center"/>
              <w:rPr>
                <w:rFonts w:ascii="Arial" w:hAnsi="Arial"/>
                <w:b/>
                <w:bCs/>
                <w:iCs/>
                <w:sz w:val="20"/>
                <w:szCs w:val="20"/>
              </w:rPr>
            </w:pPr>
          </w:p>
          <w:p w14:paraId="6CA10864"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p>
        </w:tc>
      </w:tr>
      <w:tr w:rsidR="00B611B0" w:rsidRPr="00257222" w14:paraId="7E6C845E" w14:textId="77777777" w:rsidTr="00B611B0">
        <w:trPr>
          <w:trHeight w:val="735"/>
        </w:trPr>
        <w:tc>
          <w:tcPr>
            <w:tcW w:w="3165" w:type="dxa"/>
            <w:tcBorders>
              <w:top w:val="single" w:sz="4" w:space="0" w:color="auto"/>
            </w:tcBorders>
          </w:tcPr>
          <w:p w14:paraId="3ED7AC0A"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 xml:space="preserve">Atarabang </w:t>
            </w:r>
          </w:p>
        </w:tc>
        <w:tc>
          <w:tcPr>
            <w:tcW w:w="2947" w:type="dxa"/>
            <w:tcBorders>
              <w:top w:val="single" w:sz="4" w:space="0" w:color="auto"/>
            </w:tcBorders>
          </w:tcPr>
          <w:p w14:paraId="72EFDD1D" w14:textId="1A57BB06"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3</w:t>
            </w:r>
          </w:p>
          <w:p w14:paraId="7702876F" w14:textId="287E8F99" w:rsidR="00B611B0" w:rsidRPr="00257222" w:rsidRDefault="00B611B0" w:rsidP="00B611B0">
            <w:pPr>
              <w:pStyle w:val="BodyText3"/>
              <w:tabs>
                <w:tab w:val="left" w:pos="1080"/>
              </w:tabs>
              <w:spacing w:after="0"/>
              <w:ind w:left="1080" w:hanging="1080"/>
              <w:rPr>
                <w:rFonts w:ascii="Arial" w:hAnsi="Arial"/>
                <w:iCs/>
                <w:sz w:val="20"/>
                <w:szCs w:val="20"/>
              </w:rPr>
            </w:pPr>
          </w:p>
        </w:tc>
        <w:tc>
          <w:tcPr>
            <w:tcW w:w="3181" w:type="dxa"/>
            <w:tcBorders>
              <w:top w:val="single" w:sz="4" w:space="0" w:color="auto"/>
            </w:tcBorders>
          </w:tcPr>
          <w:p w14:paraId="020A5A9B"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60%</w:t>
            </w:r>
          </w:p>
          <w:p w14:paraId="3712AEBA"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5CBDF4FD"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r>
      <w:tr w:rsidR="00B611B0" w:rsidRPr="00257222" w14:paraId="5100D817" w14:textId="77777777" w:rsidTr="002C611F">
        <w:trPr>
          <w:trHeight w:val="720"/>
        </w:trPr>
        <w:tc>
          <w:tcPr>
            <w:tcW w:w="3165" w:type="dxa"/>
          </w:tcPr>
          <w:p w14:paraId="241F1105"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Ntufiak</w:t>
            </w:r>
          </w:p>
          <w:p w14:paraId="56DCC4DB"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Pr>
          <w:p w14:paraId="6E78EFCE"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1</w:t>
            </w:r>
          </w:p>
        </w:tc>
        <w:tc>
          <w:tcPr>
            <w:tcW w:w="3181" w:type="dxa"/>
          </w:tcPr>
          <w:p w14:paraId="3094A168"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20%</w:t>
            </w:r>
          </w:p>
        </w:tc>
      </w:tr>
      <w:tr w:rsidR="00B611B0" w:rsidRPr="00257222" w14:paraId="3E9A2BD7" w14:textId="77777777" w:rsidTr="00B611B0">
        <w:trPr>
          <w:trHeight w:val="232"/>
        </w:trPr>
        <w:tc>
          <w:tcPr>
            <w:tcW w:w="3165" w:type="dxa"/>
          </w:tcPr>
          <w:p w14:paraId="286EC4DF"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Ufu</w:t>
            </w:r>
          </w:p>
          <w:p w14:paraId="3C8362AC"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Pr>
          <w:p w14:paraId="176D3B27"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1</w:t>
            </w:r>
          </w:p>
        </w:tc>
        <w:tc>
          <w:tcPr>
            <w:tcW w:w="3181" w:type="dxa"/>
          </w:tcPr>
          <w:p w14:paraId="5482F267"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20%</w:t>
            </w:r>
          </w:p>
        </w:tc>
      </w:tr>
    </w:tbl>
    <w:p w14:paraId="3B90A974" w14:textId="77777777" w:rsidR="00B611B0" w:rsidRDefault="00B611B0" w:rsidP="00B611B0">
      <w:pPr>
        <w:pStyle w:val="BodyText3"/>
        <w:tabs>
          <w:tab w:val="left" w:pos="1080"/>
        </w:tabs>
        <w:ind w:left="1080" w:hanging="1080"/>
        <w:rPr>
          <w:rFonts w:ascii="Arial" w:hAnsi="Arial"/>
          <w:iCs/>
          <w:sz w:val="20"/>
          <w:szCs w:val="20"/>
        </w:rPr>
      </w:pPr>
      <w:r w:rsidRPr="00257222">
        <w:rPr>
          <w:rFonts w:ascii="Arial" w:hAnsi="Arial"/>
          <w:iCs/>
          <w:sz w:val="20"/>
          <w:szCs w:val="20"/>
        </w:rPr>
        <w:t>Source: field data (2024)</w:t>
      </w:r>
    </w:p>
    <w:p w14:paraId="416291D7" w14:textId="77777777" w:rsidR="00B611B0" w:rsidRDefault="00B611B0" w:rsidP="001264B5">
      <w:pPr>
        <w:pStyle w:val="BodyText3"/>
        <w:tabs>
          <w:tab w:val="left" w:pos="1080"/>
        </w:tabs>
        <w:jc w:val="both"/>
        <w:rPr>
          <w:rFonts w:ascii="Arial" w:hAnsi="Arial"/>
          <w:b/>
          <w:bCs/>
          <w:sz w:val="20"/>
          <w:szCs w:val="20"/>
        </w:rPr>
      </w:pPr>
    </w:p>
    <w:p w14:paraId="4396B7F6" w14:textId="11E96208" w:rsidR="00090C8F" w:rsidRPr="00A92C86" w:rsidRDefault="00090C8F" w:rsidP="001264B5">
      <w:pPr>
        <w:pStyle w:val="BodyText3"/>
        <w:tabs>
          <w:tab w:val="left" w:pos="1080"/>
        </w:tabs>
        <w:jc w:val="both"/>
        <w:rPr>
          <w:rFonts w:ascii="Arial" w:hAnsi="Arial"/>
          <w:b/>
          <w:bCs/>
          <w:sz w:val="20"/>
          <w:szCs w:val="20"/>
        </w:rPr>
      </w:pPr>
      <w:r w:rsidRPr="00A92C86">
        <w:rPr>
          <w:rFonts w:ascii="Arial" w:hAnsi="Arial"/>
          <w:b/>
          <w:bCs/>
          <w:sz w:val="20"/>
          <w:szCs w:val="20"/>
        </w:rPr>
        <w:t>Implications for Timber Preservation</w:t>
      </w:r>
    </w:p>
    <w:p w14:paraId="081C2685" w14:textId="6AB32F89"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presence of potential wood-degrading fungi like </w:t>
      </w:r>
      <w:r w:rsidRPr="0017083D">
        <w:rPr>
          <w:rFonts w:ascii="Arial" w:hAnsi="Arial"/>
          <w:i/>
          <w:iCs/>
          <w:sz w:val="20"/>
          <w:szCs w:val="20"/>
          <w:highlight w:val="yellow"/>
        </w:rPr>
        <w:t>A</w:t>
      </w:r>
      <w:r w:rsidR="0017083D" w:rsidRPr="0017083D">
        <w:rPr>
          <w:rFonts w:ascii="Arial" w:hAnsi="Arial"/>
          <w:i/>
          <w:iCs/>
          <w:sz w:val="20"/>
          <w:szCs w:val="20"/>
          <w:highlight w:val="yellow"/>
        </w:rPr>
        <w:t>.</w:t>
      </w:r>
      <w:r w:rsidRPr="0017083D">
        <w:rPr>
          <w:rFonts w:ascii="Arial" w:hAnsi="Arial"/>
          <w:i/>
          <w:iCs/>
          <w:sz w:val="20"/>
          <w:szCs w:val="20"/>
          <w:highlight w:val="yellow"/>
        </w:rPr>
        <w:t xml:space="preserve"> niger</w:t>
      </w:r>
      <w:r w:rsidRPr="00090C8F">
        <w:rPr>
          <w:rFonts w:ascii="Arial" w:hAnsi="Arial"/>
          <w:sz w:val="20"/>
          <w:szCs w:val="20"/>
        </w:rPr>
        <w:t xml:space="preserve"> and </w:t>
      </w:r>
      <w:r w:rsidRPr="00090C8F">
        <w:rPr>
          <w:rFonts w:ascii="Arial" w:hAnsi="Arial"/>
          <w:i/>
          <w:iCs/>
          <w:sz w:val="20"/>
          <w:szCs w:val="20"/>
        </w:rPr>
        <w:t>A. flavus</w:t>
      </w:r>
      <w:r w:rsidRPr="00090C8F">
        <w:rPr>
          <w:rFonts w:ascii="Arial" w:hAnsi="Arial"/>
          <w:sz w:val="20"/>
          <w:szCs w:val="20"/>
        </w:rPr>
        <w:t xml:space="preserve"> poses significant concerns for timber durability. These fungi are capable of enzymatic breakdown of lignocellulosic components, leading to structural weakening over time (Schmidt, 2006</w:t>
      </w:r>
      <w:r w:rsidR="00341D8E">
        <w:rPr>
          <w:rFonts w:ascii="Arial" w:hAnsi="Arial"/>
          <w:sz w:val="20"/>
          <w:szCs w:val="20"/>
        </w:rPr>
        <w:t xml:space="preserve">; </w:t>
      </w:r>
      <w:r w:rsidR="00341D8E" w:rsidRPr="00A05F38">
        <w:rPr>
          <w:sz w:val="20"/>
          <w:szCs w:val="20"/>
          <w:highlight w:val="yellow"/>
          <w:lang w:val="en-IN"/>
        </w:rPr>
        <w:t xml:space="preserve">Schmidt </w:t>
      </w:r>
      <w:r w:rsidR="00341D8E" w:rsidRPr="00A05F38">
        <w:rPr>
          <w:i/>
          <w:iCs/>
          <w:sz w:val="20"/>
          <w:szCs w:val="20"/>
          <w:highlight w:val="yellow"/>
          <w:lang w:val="en-IN"/>
        </w:rPr>
        <w:t>et al</w:t>
      </w:r>
      <w:r w:rsidR="00341D8E" w:rsidRPr="00A05F38">
        <w:rPr>
          <w:sz w:val="20"/>
          <w:szCs w:val="20"/>
          <w:highlight w:val="yellow"/>
          <w:lang w:val="en-IN"/>
        </w:rPr>
        <w:t>., 2012</w:t>
      </w:r>
      <w:r w:rsidRPr="00090C8F">
        <w:rPr>
          <w:rFonts w:ascii="Arial" w:hAnsi="Arial"/>
          <w:sz w:val="20"/>
          <w:szCs w:val="20"/>
        </w:rPr>
        <w:t xml:space="preserve">). The occurrence of </w:t>
      </w:r>
      <w:r w:rsidRPr="00090C8F">
        <w:rPr>
          <w:rFonts w:ascii="Arial" w:hAnsi="Arial"/>
          <w:i/>
          <w:iCs/>
          <w:sz w:val="20"/>
          <w:szCs w:val="20"/>
        </w:rPr>
        <w:t>Candida</w:t>
      </w:r>
      <w:r w:rsidRPr="00090C8F">
        <w:rPr>
          <w:rFonts w:ascii="Arial" w:hAnsi="Arial"/>
          <w:sz w:val="20"/>
          <w:szCs w:val="20"/>
        </w:rPr>
        <w:t xml:space="preserve"> and </w:t>
      </w:r>
      <w:r w:rsidRPr="00090C8F">
        <w:rPr>
          <w:rFonts w:ascii="Arial" w:hAnsi="Arial"/>
          <w:i/>
          <w:iCs/>
          <w:sz w:val="20"/>
          <w:szCs w:val="20"/>
        </w:rPr>
        <w:t>Cyberlindnera</w:t>
      </w:r>
      <w:r w:rsidRPr="00090C8F">
        <w:rPr>
          <w:rFonts w:ascii="Arial" w:hAnsi="Arial"/>
          <w:sz w:val="20"/>
          <w:szCs w:val="20"/>
        </w:rPr>
        <w:t xml:space="preserve"> species suggests that even non-filamentous fungi can colonize timber under </w:t>
      </w:r>
      <w:r w:rsidR="0017083D">
        <w:rPr>
          <w:rFonts w:ascii="Arial" w:hAnsi="Arial"/>
          <w:sz w:val="20"/>
          <w:szCs w:val="20"/>
        </w:rPr>
        <w:t>favourable</w:t>
      </w:r>
      <w:r w:rsidRPr="00090C8F">
        <w:rPr>
          <w:rFonts w:ascii="Arial" w:hAnsi="Arial"/>
          <w:sz w:val="20"/>
          <w:szCs w:val="20"/>
        </w:rPr>
        <w:t xml:space="preserve"> conditions, emphasizing the need for comprehensive fungal monitoring in the timber industry.</w:t>
      </w:r>
    </w:p>
    <w:p w14:paraId="3AFE811A"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Regular inspection, improved storage practices, and fungicidal treatments are recommended to prevent fungal infestation, particularly in high-risk areas like Idu. Furthermore, molecular tools such as ITS sequencing should be integrated into timber quality assessments to detect early colonization and guide targeted interventions.</w:t>
      </w:r>
    </w:p>
    <w:p w14:paraId="2A40D826" w14:textId="77777777" w:rsidR="00790ADA" w:rsidRPr="00FB3A86" w:rsidRDefault="00790ADA" w:rsidP="00441B6F">
      <w:pPr>
        <w:pStyle w:val="Body"/>
        <w:spacing w:after="0"/>
        <w:rPr>
          <w:rFonts w:ascii="Arial" w:hAnsi="Arial" w:cs="Arial"/>
        </w:rPr>
      </w:pPr>
    </w:p>
    <w:p w14:paraId="6239ACE7" w14:textId="6D10AB5E"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D8094E8" w14:textId="12A99723" w:rsidR="00813A5A" w:rsidRDefault="00813A5A" w:rsidP="00813A5A">
      <w:pPr>
        <w:pStyle w:val="Body"/>
        <w:spacing w:after="0"/>
        <w:rPr>
          <w:rFonts w:ascii="Arial" w:hAnsi="Arial" w:cs="Arial"/>
        </w:rPr>
      </w:pPr>
      <w:r w:rsidRPr="00813A5A">
        <w:rPr>
          <w:rFonts w:ascii="Arial" w:hAnsi="Arial" w:cs="Arial"/>
          <w:bCs/>
        </w:rPr>
        <w:t>Understanding fungal diversity is crucial for timber industry sustainability</w:t>
      </w:r>
      <w:r w:rsidR="00F3672A">
        <w:rPr>
          <w:rFonts w:ascii="Arial" w:hAnsi="Arial" w:cs="Arial"/>
          <w:bCs/>
        </w:rPr>
        <w:t>.</w:t>
      </w:r>
      <w:r w:rsidRPr="00813A5A">
        <w:rPr>
          <w:rFonts w:ascii="Arial" w:hAnsi="Arial" w:cs="Arial"/>
          <w:bCs/>
        </w:rPr>
        <w:t xml:space="preserve"> Molecular techniques enhance accuracy in fungal identification.</w:t>
      </w:r>
      <w:r w:rsidRPr="00813A5A">
        <w:rPr>
          <w:rFonts w:ascii="Arial" w:hAnsi="Arial" w:cs="Arial"/>
        </w:rPr>
        <w:t xml:space="preserve"> The study does, in fact, conclude that when trying to extend the usable life of timber, comprehension of fungal decay is the key. Without proper action, they would eventually have to deal with the consequences with the timber preservation issue in the future. If industry specialists, policymakers, and scientists consider the results of this research, more practical approaches to wood preservation will be developed.</w:t>
      </w:r>
    </w:p>
    <w:p w14:paraId="0F17CDA5" w14:textId="1F38E1B3" w:rsidR="00A36B51" w:rsidRDefault="00A36B51" w:rsidP="00813A5A">
      <w:pPr>
        <w:pStyle w:val="Body"/>
        <w:spacing w:after="0"/>
        <w:rPr>
          <w:rFonts w:ascii="Arial" w:hAnsi="Arial" w:cs="Arial"/>
        </w:rPr>
      </w:pPr>
    </w:p>
    <w:p w14:paraId="391F66C6" w14:textId="77777777" w:rsidR="00A36B51" w:rsidRPr="00FE7640" w:rsidRDefault="00A36B51" w:rsidP="00A36B51">
      <w:pPr>
        <w:rPr>
          <w:rFonts w:ascii="Calibri" w:eastAsia="Calibri" w:hAnsi="Calibri"/>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kern w:val="2"/>
          <w:highlight w:val="yellow"/>
        </w:rPr>
        <w:t>Disclaimer (Artificial intelligence)</w:t>
      </w:r>
    </w:p>
    <w:bookmarkEnd w:id="2"/>
    <w:bookmarkEnd w:id="3"/>
    <w:bookmarkEnd w:id="4"/>
    <w:bookmarkEnd w:id="5"/>
    <w:bookmarkEnd w:id="6"/>
    <w:p w14:paraId="63589508" w14:textId="77777777" w:rsidR="00380F6D" w:rsidRPr="00380F6D" w:rsidRDefault="00380F6D" w:rsidP="00380F6D">
      <w:pPr>
        <w:spacing w:after="200" w:line="276" w:lineRule="auto"/>
        <w:rPr>
          <w:rFonts w:ascii="Calibri" w:eastAsia="Calibri" w:hAnsi="Calibri"/>
          <w:kern w:val="2"/>
          <w:sz w:val="22"/>
          <w:szCs w:val="22"/>
          <w14:ligatures w14:val="standardContextual"/>
        </w:rPr>
      </w:pPr>
      <w:r w:rsidRPr="00380F6D">
        <w:rPr>
          <w:rFonts w:ascii="Calibri" w:eastAsia="Calibri" w:hAnsi="Calibri"/>
          <w:kern w:val="2"/>
          <w:sz w:val="2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29D2DD3" w14:textId="77777777" w:rsidR="00392C13" w:rsidRDefault="00392C13" w:rsidP="00441B6F">
      <w:pPr>
        <w:pStyle w:val="AcknHead"/>
        <w:spacing w:after="0"/>
        <w:jc w:val="both"/>
        <w:rPr>
          <w:rFonts w:ascii="Arial" w:hAnsi="Arial" w:cs="Arial"/>
        </w:rPr>
      </w:pPr>
    </w:p>
    <w:p w14:paraId="07664C34" w14:textId="77777777" w:rsidR="002B685A" w:rsidRDefault="002B685A" w:rsidP="00441B6F">
      <w:pPr>
        <w:pStyle w:val="ReferHead"/>
        <w:spacing w:after="0"/>
        <w:jc w:val="both"/>
        <w:rPr>
          <w:rFonts w:ascii="Arial" w:hAnsi="Arial" w:cs="Arial"/>
          <w:b w:val="0"/>
          <w:caps w:val="0"/>
          <w:sz w:val="20"/>
        </w:rPr>
      </w:pPr>
    </w:p>
    <w:p w14:paraId="573B95D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F15884" w14:textId="77777777" w:rsidR="00790ADA" w:rsidRPr="00FB3A86" w:rsidRDefault="00790ADA" w:rsidP="00441B6F">
      <w:pPr>
        <w:pStyle w:val="ReferHead"/>
        <w:spacing w:after="0"/>
        <w:jc w:val="both"/>
        <w:rPr>
          <w:rFonts w:ascii="Arial" w:hAnsi="Arial" w:cs="Arial"/>
        </w:rPr>
      </w:pPr>
    </w:p>
    <w:p w14:paraId="6A01A85A" w14:textId="77777777" w:rsidR="00687103" w:rsidRPr="004E40AF" w:rsidRDefault="00687103" w:rsidP="004E40AF">
      <w:pPr>
        <w:pStyle w:val="Body"/>
      </w:pPr>
      <w:r w:rsidRPr="004E40AF">
        <w:t xml:space="preserve">Amaike, S., &amp; Keller, N. P. (2011). Aspergillus flavus. </w:t>
      </w:r>
      <w:r w:rsidRPr="004E40AF">
        <w:rPr>
          <w:i/>
          <w:iCs/>
        </w:rPr>
        <w:t>Annual Review of Phytopathology</w:t>
      </w:r>
      <w:r w:rsidRPr="004E40AF">
        <w:t xml:space="preserve">, 49, 107–133. </w:t>
      </w:r>
    </w:p>
    <w:p w14:paraId="5CA467C0" w14:textId="77777777" w:rsidR="00687103" w:rsidRPr="004E40AF" w:rsidRDefault="00687103" w:rsidP="004E40AF">
      <w:pPr>
        <w:pStyle w:val="Body"/>
      </w:pPr>
      <w:r w:rsidRPr="004E40AF">
        <w:t xml:space="preserve">Anderson, M. J., Warris, A., &amp; Denning, D. W. (2020). Medical mycology and fungal pathogenesis: Aspergillus in timber and indoor environments. </w:t>
      </w:r>
      <w:r w:rsidRPr="004E40AF">
        <w:rPr>
          <w:i/>
          <w:iCs/>
        </w:rPr>
        <w:t>Journal of Fungi</w:t>
      </w:r>
      <w:r w:rsidRPr="004E40AF">
        <w:t>, 6(4), 310.</w:t>
      </w:r>
    </w:p>
    <w:p w14:paraId="2A2D0F89" w14:textId="77777777" w:rsidR="00687103" w:rsidRDefault="00687103" w:rsidP="00AD3711">
      <w:pPr>
        <w:pStyle w:val="Body"/>
      </w:pPr>
      <w:r w:rsidRPr="00AD3711">
        <w:t>Aro, N., Pakula, T. &amp; Penttilä, M. (2005). Transcriptional regulation of plant cell wall degradation by</w:t>
      </w:r>
      <w:r w:rsidRPr="00AD3711">
        <w:br/>
        <w:t>filamentous fungi. FEMS Microbiology Reviews, 29, 719-739.</w:t>
      </w:r>
    </w:p>
    <w:p w14:paraId="1DB9CBFF" w14:textId="78B71E6C" w:rsidR="00687103" w:rsidRPr="00651AB7" w:rsidRDefault="00687103" w:rsidP="00651AB7">
      <w:pPr>
        <w:pStyle w:val="Body"/>
      </w:pPr>
      <w:r w:rsidRPr="00651AB7">
        <w:t>Bani, S., Pioli, M., Ventura, P., Panzacchi, L., Borruso, R., Tognetti, G., Tonon, L.</w:t>
      </w:r>
      <w:r>
        <w:t>&amp;</w:t>
      </w:r>
      <w:r w:rsidRPr="00651AB7">
        <w:t> Brusetti (</w:t>
      </w:r>
      <w:r>
        <w:t>2018</w:t>
      </w:r>
      <w:r w:rsidRPr="00651AB7">
        <w:t>)</w:t>
      </w:r>
      <w:r>
        <w:t>. T</w:t>
      </w:r>
      <w:r w:rsidRPr="00651AB7">
        <w:t>he role of microbial community in the decomposition of leaf litter and deadwood</w:t>
      </w:r>
      <w:r>
        <w:t xml:space="preserve">. </w:t>
      </w:r>
      <w:r w:rsidRPr="00651AB7">
        <w:rPr>
          <w:i/>
        </w:rPr>
        <w:t>Applied Soil Ecology</w:t>
      </w:r>
      <w:r w:rsidRPr="00651AB7">
        <w:t>, 126 (2018), 75-84</w:t>
      </w:r>
    </w:p>
    <w:p w14:paraId="7BD3A536" w14:textId="77777777" w:rsidR="00687103" w:rsidRPr="004E40AF" w:rsidRDefault="00687103" w:rsidP="004E40AF">
      <w:pPr>
        <w:pStyle w:val="Body"/>
      </w:pPr>
      <w:r w:rsidRPr="004E40AF">
        <w:t xml:space="preserve">Boddy, L., &amp; Watkinson, S. C. (1995). Wood decomposition, higher fungi, and their role in nutrient redistribution. </w:t>
      </w:r>
      <w:r w:rsidRPr="004E40AF">
        <w:rPr>
          <w:i/>
          <w:iCs/>
        </w:rPr>
        <w:t>Canadian Journal of Botany</w:t>
      </w:r>
      <w:r w:rsidRPr="004E40AF">
        <w:t>, 73(S1), 1377–1383.</w:t>
      </w:r>
    </w:p>
    <w:p w14:paraId="017615F0" w14:textId="77777777" w:rsidR="00687103" w:rsidRDefault="00687103" w:rsidP="00561153">
      <w:pPr>
        <w:pStyle w:val="Body"/>
      </w:pPr>
      <w:r w:rsidRPr="00561153">
        <w:t xml:space="preserve">Dickinson, D. J., &amp; Levy, J. F. (1992). Fungal colonization of timber in buildings. </w:t>
      </w:r>
      <w:r w:rsidRPr="00561153">
        <w:rPr>
          <w:i/>
          <w:iCs/>
        </w:rPr>
        <w:t>Biodeterioration Abstracts</w:t>
      </w:r>
      <w:r w:rsidRPr="00561153">
        <w:t>, 6(1), 1–14.</w:t>
      </w:r>
    </w:p>
    <w:p w14:paraId="2A343B7B" w14:textId="77777777" w:rsidR="00687103" w:rsidRPr="009F5974" w:rsidRDefault="00687103" w:rsidP="009F5974">
      <w:pPr>
        <w:pStyle w:val="Body"/>
      </w:pPr>
      <w:r w:rsidRPr="007A7012">
        <w:t xml:space="preserve">FAO. (2006). </w:t>
      </w:r>
      <w:r w:rsidRPr="007A7012">
        <w:rPr>
          <w:i/>
          <w:iCs/>
        </w:rPr>
        <w:t>Global Forest Resources Assessment 2005: Progress towards sustainable forest management.</w:t>
      </w:r>
      <w:r w:rsidRPr="007A7012">
        <w:t xml:space="preserve"> Food and Agriculture Organization of the United Nations</w:t>
      </w:r>
    </w:p>
    <w:p w14:paraId="30DAA65E" w14:textId="77777777" w:rsidR="00687103" w:rsidRPr="004E40AF" w:rsidRDefault="00687103" w:rsidP="004E40AF">
      <w:pPr>
        <w:pStyle w:val="Body"/>
      </w:pPr>
      <w:r w:rsidRPr="004E40AF">
        <w:t xml:space="preserve">Fotedar, R., Sharma, A., &amp; Shukla, R. (2023). Emerging environmental niches of </w:t>
      </w:r>
      <w:r w:rsidRPr="004E40AF">
        <w:rPr>
          <w:i/>
          <w:iCs/>
        </w:rPr>
        <w:t>Cyberlindnera species</w:t>
      </w:r>
      <w:r w:rsidRPr="004E40AF">
        <w:t xml:space="preserve">: From industrial use to wood biodeterioration. </w:t>
      </w:r>
      <w:r w:rsidRPr="004E40AF">
        <w:rPr>
          <w:i/>
          <w:iCs/>
        </w:rPr>
        <w:t>Mycology Journal</w:t>
      </w:r>
      <w:r w:rsidRPr="004E40AF">
        <w:t>, 14(1), 22–29.</w:t>
      </w:r>
    </w:p>
    <w:p w14:paraId="4F2D2A78" w14:textId="77777777" w:rsidR="00687103" w:rsidRPr="00AD3711" w:rsidRDefault="00687103" w:rsidP="00AD3711">
      <w:pPr>
        <w:pStyle w:val="Body"/>
      </w:pPr>
      <w:r w:rsidRPr="00AD3711">
        <w:t xml:space="preserve">Fukasawa, Y. (2021). Ecological impacts of fungal wood decay types: a review of current knowledge and future research directions. </w:t>
      </w:r>
      <w:r w:rsidRPr="00AD3711">
        <w:rPr>
          <w:i/>
        </w:rPr>
        <w:t>Ecological Research</w:t>
      </w:r>
      <w:r w:rsidRPr="00AD3711">
        <w:t>, 36 (6) 910-931</w:t>
      </w:r>
    </w:p>
    <w:p w14:paraId="613A40F6" w14:textId="77777777" w:rsidR="00687103" w:rsidRDefault="00687103" w:rsidP="00792719">
      <w:pPr>
        <w:pStyle w:val="Body"/>
      </w:pPr>
      <w:r w:rsidRPr="00792719">
        <w:t>Goodell, B., Winandy, J. E. and Morrell, J.J. (2020). Fungal degradation of wood: emerging data, new insights and changing perceptions Coatings, 10 (12), 1210</w:t>
      </w:r>
    </w:p>
    <w:p w14:paraId="66F68E45" w14:textId="77777777" w:rsidR="00341D8E" w:rsidRPr="00F864A3" w:rsidRDefault="00341D8E" w:rsidP="00341D8E">
      <w:pPr>
        <w:framePr w:hSpace="180" w:wrap="around" w:vAnchor="text" w:hAnchor="text" w:y="-19"/>
        <w:rPr>
          <w:lang w:val="en-IN"/>
        </w:rPr>
      </w:pPr>
      <w:r w:rsidRPr="00A05F38">
        <w:rPr>
          <w:highlight w:val="yellow"/>
          <w:lang w:val="en-IN"/>
        </w:rPr>
        <w:t>Goodell, B., Jellison, J., Liu, J., Daniel, G., Paszczynski, A., Fekete, F., ... &amp; Xu, G. (1997). Low molecular weight chelators and phenolic compounds isolated from wood decay fungi and their role in the fungal biodegradation of wood. </w:t>
      </w:r>
      <w:r w:rsidRPr="00A05F38">
        <w:rPr>
          <w:i/>
          <w:iCs/>
          <w:highlight w:val="yellow"/>
          <w:lang w:val="en-IN"/>
        </w:rPr>
        <w:t>Journal of Biotechnology</w:t>
      </w:r>
      <w:r w:rsidRPr="00A05F38">
        <w:rPr>
          <w:highlight w:val="yellow"/>
          <w:lang w:val="en-IN"/>
        </w:rPr>
        <w:t>, </w:t>
      </w:r>
      <w:r w:rsidRPr="00A05F38">
        <w:rPr>
          <w:i/>
          <w:iCs/>
          <w:highlight w:val="yellow"/>
          <w:lang w:val="en-IN"/>
        </w:rPr>
        <w:t>53</w:t>
      </w:r>
      <w:r w:rsidRPr="00A05F38">
        <w:rPr>
          <w:highlight w:val="yellow"/>
          <w:lang w:val="en-IN"/>
        </w:rPr>
        <w:t>(2-3), 133-162</w:t>
      </w:r>
      <w:r w:rsidRPr="00F864A3">
        <w:rPr>
          <w:lang w:val="en-IN"/>
        </w:rPr>
        <w:t>.</w:t>
      </w:r>
    </w:p>
    <w:p w14:paraId="2FC656A4" w14:textId="2EBE7A78" w:rsidR="00341D8E" w:rsidRPr="00792719" w:rsidRDefault="00341D8E" w:rsidP="00341D8E">
      <w:pPr>
        <w:pStyle w:val="Body"/>
      </w:pPr>
    </w:p>
    <w:p w14:paraId="788658AD" w14:textId="549D1659" w:rsidR="00687103" w:rsidRPr="00792719" w:rsidRDefault="00687103" w:rsidP="00792719">
      <w:pPr>
        <w:pStyle w:val="Body"/>
      </w:pPr>
      <w:r w:rsidRPr="00792719">
        <w:t>Hawksworth, D.L. (2001). The magnitude of fungal diversity: the 1.5 million species estimate revis</w:t>
      </w:r>
      <w:r>
        <w:t>i</w:t>
      </w:r>
      <w:r w:rsidRPr="00792719">
        <w:t>ted. </w:t>
      </w:r>
      <w:r w:rsidRPr="00792719">
        <w:rPr>
          <w:i/>
          <w:iCs/>
        </w:rPr>
        <w:t>Mycological Research</w:t>
      </w:r>
      <w:r w:rsidRPr="00792719">
        <w:t> 105: 1422–1432.</w:t>
      </w:r>
    </w:p>
    <w:p w14:paraId="5504E6FF" w14:textId="77777777" w:rsidR="00687103" w:rsidRPr="00792719" w:rsidRDefault="00687103" w:rsidP="00792719">
      <w:pPr>
        <w:pStyle w:val="Body"/>
      </w:pPr>
      <w:r w:rsidRPr="00792719">
        <w:t>Hibbett, D.S. &amp; Donoghue, M.J. (2001). Analysis of character correlations among wood decay mecha-</w:t>
      </w:r>
      <w:r w:rsidRPr="00792719">
        <w:br/>
        <w:t>nisms, mating systems, and substrate ranges in homobasidiomycetes. Systematic Biology, 50, 215-242</w:t>
      </w:r>
    </w:p>
    <w:p w14:paraId="7BF56C03" w14:textId="2CF6EE6B" w:rsidR="00687103" w:rsidRPr="00101A68" w:rsidRDefault="00687103" w:rsidP="00101A68">
      <w:pPr>
        <w:pStyle w:val="Body"/>
      </w:pPr>
      <w:r w:rsidRPr="003E64BE">
        <w:t xml:space="preserve">Huckfeldt, T., Schmidt, O. &amp; Quader, H. (2015). Ecological investigations on </w:t>
      </w:r>
      <w:r w:rsidRPr="003E64BE">
        <w:rPr>
          <w:i/>
          <w:iCs/>
        </w:rPr>
        <w:t>Serpula lacrymans</w:t>
      </w:r>
      <w:r w:rsidRPr="003E64BE">
        <w:t xml:space="preserve"> and other house rot fungi. Holz als Roh- und Werkstoff, 63, 209-219</w:t>
      </w:r>
    </w:p>
    <w:p w14:paraId="113DB91C" w14:textId="77777777" w:rsidR="00687103" w:rsidRPr="00101A68" w:rsidRDefault="00687103" w:rsidP="00101A68">
      <w:pPr>
        <w:pStyle w:val="Body"/>
      </w:pPr>
      <w:r w:rsidRPr="00101A68">
        <w:t xml:space="preserve">Johnston, S.R., Boddy, L. and Weightman A.J. (2016) Bacteria in decomposing wood and their interactions with wood-decay fungi </w:t>
      </w:r>
      <w:r w:rsidRPr="00101A68">
        <w:rPr>
          <w:i/>
        </w:rPr>
        <w:t>FEMS (Federal. Environmental. Microbiology. Society.) Microbiology.Ecology</w:t>
      </w:r>
      <w:r w:rsidRPr="00101A68">
        <w:t>, 92 (11).</w:t>
      </w:r>
    </w:p>
    <w:p w14:paraId="07F33121" w14:textId="77777777" w:rsidR="00687103" w:rsidRDefault="00687103" w:rsidP="00AD3711">
      <w:pPr>
        <w:pStyle w:val="Body"/>
      </w:pPr>
      <w:bookmarkStart w:id="7" w:name="_Hlk203850324"/>
      <w:r w:rsidRPr="00101A68">
        <w:t xml:space="preserve">Kahl, T., Arnstadt, K., Baber, C., Bässler, J., Bauhus, W., Borken, F., Buscot, A., Floren, C., Heibl, D. and Hessenmöller, O. (2017). Wood decay rates of 13 temperate tree species in relation to wood properties, enzyme activities and organic diversities Forest </w:t>
      </w:r>
      <w:r w:rsidRPr="00101A68">
        <w:rPr>
          <w:i/>
        </w:rPr>
        <w:t>Ecolological Management, </w:t>
      </w:r>
      <w:r w:rsidRPr="00101A68">
        <w:t>391 (2017), 86-95</w:t>
      </w:r>
    </w:p>
    <w:p w14:paraId="17B07D2E" w14:textId="77777777" w:rsidR="00687103" w:rsidRDefault="00687103" w:rsidP="00E5784D">
      <w:pPr>
        <w:pStyle w:val="Body"/>
        <w:tabs>
          <w:tab w:val="left" w:pos="7423"/>
        </w:tabs>
      </w:pPr>
      <w:r w:rsidRPr="00101A68">
        <w:t>Kalusche, D. (1996). Ökologie in Zahlen. G. Fischer, Stuttgart, Germany</w:t>
      </w:r>
      <w:r>
        <w:tab/>
      </w:r>
    </w:p>
    <w:p w14:paraId="68BF1E68" w14:textId="77777777" w:rsidR="00687103" w:rsidRPr="009F5974" w:rsidRDefault="00687103" w:rsidP="009F5974">
      <w:pPr>
        <w:pStyle w:val="Body"/>
      </w:pPr>
      <w:r w:rsidRPr="009F5974">
        <w:t xml:space="preserve">Kämper, Jörg, Kahmann, Regine, Bölker, Michael, Ma, Long, Brefort, Thomas, Saville, Barry J., Banuett, Florence, Kronstad, James W., Gold, Scott E., Müller, Oliver, Perlin, Michael H., Wösten, H. A. B., de Vries, Ronald, Ruiz-Herrera, José, Reynaga-Peña, Carlos G., Snetselaar, Karen M., McCann, Michael, Pérez-Martín, José, Feldbrügge, Michael, Basse, Christoph W., Steinberg, Gero, Ibeas, José I., Holloman, William, Guzmán, Plinio, Farman, Mark, Stajich, Jason E., Sentandreu, Rafael, González-Prieto, José M., Kennell, John C., Molina, Laura, Schirawski, Jan, Mendoza-Mendoza, Adriana, Greilinger, Daniel, Münch, Katja, Rössel, Nadine, Scherer, Michael, Vranes, Maja, Ladendorf, Olaf, Vincon, Vincent, Fuchs, Uwe, Sandrock, Barbara, Meng, Sheng, Ho, Elizabeth C. H., Cahill, M. Joan, Boyce, Kylie J., Klose, Julian, Klosterman, Steven J., Deelstra, Hein J., Ortiz-Castellanos, Luzelena, Li, Wei, Sanchez-Alonso, Pedro, Schreier, Peter H., Häuser-Hahn, Irmgard, Vaupel, Michael, Koopmann, Ekkehard, Friedrich, Gerhard, Voss, Hartmut, Schlüter, Thomas, Margolis, Joel, Platt, David, Swimmer, Christine, Gnirke, Andreas, Chen, Fei, Vysotskaia, Vera, Mannhaupt, Gabi, Güldener, Ulrich, Münsterkötter, Martin, Haase, Detlev, Oesterheld, Miriam, Mewes, Hans-Werner, Mauceli, Evan, DeCaprio, Dave, Wade, Cathleen M., Butler, Jonathan, Young, Sarah, Jaffe, David B., Calvo, Sarah, Nusbaum, Chad, Galagan, James E., &amp; Birren, Bruce W. (2006). Insights from the genome of the biotrophic fungal plant pathogen </w:t>
      </w:r>
      <w:r w:rsidRPr="009F5974">
        <w:rPr>
          <w:i/>
          <w:iCs/>
        </w:rPr>
        <w:t>Ustilago maydis</w:t>
      </w:r>
      <w:r w:rsidRPr="009F5974">
        <w:t xml:space="preserve">. </w:t>
      </w:r>
      <w:r w:rsidRPr="009F5974">
        <w:rPr>
          <w:i/>
          <w:iCs/>
        </w:rPr>
        <w:t>Nature</w:t>
      </w:r>
      <w:r w:rsidRPr="009F5974">
        <w:t>, 444(7115), 97–101.</w:t>
      </w:r>
    </w:p>
    <w:bookmarkEnd w:id="7"/>
    <w:p w14:paraId="06FE6DAD" w14:textId="77777777" w:rsidR="00687103" w:rsidRPr="00AF6902" w:rsidRDefault="00687103" w:rsidP="00AF6902">
      <w:pPr>
        <w:pStyle w:val="Body"/>
      </w:pPr>
      <w:r w:rsidRPr="00AF6902">
        <w:br/>
      </w:r>
      <w:r w:rsidRPr="0058044A">
        <w:t xml:space="preserve">Kirk, P. M., Cannon, P. F., Minter, D. W., &amp; Stalpers, J. A. (2008). </w:t>
      </w:r>
      <w:r w:rsidRPr="0058044A">
        <w:rPr>
          <w:i/>
          <w:iCs/>
        </w:rPr>
        <w:t>Dictionary of the Fungi</w:t>
      </w:r>
      <w:r w:rsidRPr="0058044A">
        <w:t xml:space="preserve"> (10th ed.). CAB International.</w:t>
      </w:r>
    </w:p>
    <w:p w14:paraId="69C23CEB" w14:textId="77777777" w:rsidR="00687103" w:rsidRPr="00AF6902" w:rsidRDefault="00687103" w:rsidP="00AF6902">
      <w:pPr>
        <w:pStyle w:val="Body"/>
      </w:pPr>
      <w:r w:rsidRPr="00AF6902">
        <w:t>Krah</w:t>
      </w:r>
      <w:r>
        <w:t>,</w:t>
      </w:r>
      <w:r w:rsidRPr="00AF6902">
        <w:t xml:space="preserve"> F.S., S. Seibold, R. Brandl, P. Baldrian, J. Müller, C. Bässler (2018). Independent effects of host and environment on the diversity of wood-inhabiting fungi </w:t>
      </w:r>
      <w:r w:rsidRPr="00AF6902">
        <w:rPr>
          <w:i/>
          <w:iCs/>
        </w:rPr>
        <w:t>Journal of Ecology</w:t>
      </w:r>
      <w:r w:rsidRPr="00AF6902">
        <w:t>.106 (4) pp. 1428-1442</w:t>
      </w:r>
    </w:p>
    <w:p w14:paraId="5BA7F09D" w14:textId="77777777" w:rsidR="00687103" w:rsidRDefault="00687103" w:rsidP="004E40AF">
      <w:pPr>
        <w:pStyle w:val="Body"/>
      </w:pPr>
      <w:r w:rsidRPr="004E40AF">
        <w:t xml:space="preserve">Kurtzman, C. P., Fell, J. W., &amp; Boekhout, T. (2011). </w:t>
      </w:r>
      <w:r w:rsidRPr="004E40AF">
        <w:rPr>
          <w:i/>
          <w:iCs/>
        </w:rPr>
        <w:t>The Yeasts: A Taxonomic Study</w:t>
      </w:r>
      <w:r w:rsidRPr="004E40AF">
        <w:t xml:space="preserve"> (5th ed.). Elsevier.</w:t>
      </w:r>
    </w:p>
    <w:p w14:paraId="65793BF4" w14:textId="6A2D67DD" w:rsidR="00687103" w:rsidRPr="00101A68" w:rsidRDefault="00687103" w:rsidP="00101A68">
      <w:pPr>
        <w:pStyle w:val="Body"/>
      </w:pPr>
      <w:r w:rsidRPr="009F5974">
        <w:t xml:space="preserve">Mankowski, M. and Morrell, J. J. (2000). Incidence of wood destroying organisms in Oregon residential structures. </w:t>
      </w:r>
      <w:r w:rsidRPr="009F5974">
        <w:rPr>
          <w:i/>
        </w:rPr>
        <w:t>Journal of Forest Production</w:t>
      </w:r>
      <w:r w:rsidRPr="009F5974">
        <w:t>, 50(1):49-52</w:t>
      </w:r>
      <w:r w:rsidRPr="00101A68">
        <w:t> </w:t>
      </w:r>
    </w:p>
    <w:p w14:paraId="76FDE22B" w14:textId="77777777" w:rsidR="00687103" w:rsidRPr="00101A68" w:rsidRDefault="00687103" w:rsidP="00101A68">
      <w:pPr>
        <w:pStyle w:val="Body"/>
      </w:pPr>
      <w:r w:rsidRPr="00101A68">
        <w:t xml:space="preserve">Olorunnisola, A.O (2013). Harnessing the forester’s Harvest for Sustainable Development.   Ibadan, Nigeria: </w:t>
      </w:r>
      <w:r w:rsidRPr="00101A68">
        <w:rPr>
          <w:i/>
          <w:iCs/>
        </w:rPr>
        <w:t>University of Ibadan Publishing House</w:t>
      </w:r>
      <w:r w:rsidRPr="00101A68">
        <w:t>; 102</w:t>
      </w:r>
    </w:p>
    <w:p w14:paraId="04DA865C" w14:textId="77777777" w:rsidR="00687103" w:rsidRPr="00101A68" w:rsidRDefault="00687103" w:rsidP="00101A68">
      <w:pPr>
        <w:pStyle w:val="Body"/>
      </w:pPr>
      <w:r w:rsidRPr="00101A68">
        <w:t xml:space="preserve">P.B. van Niekerk, C. Brischke, J. Niklewski (2021). Estimating the service life of timber structures concerning risk and influence of fungal decay—a review of existing theory and modelling approaches. </w:t>
      </w:r>
      <w:r w:rsidRPr="00101A68">
        <w:rPr>
          <w:i/>
          <w:iCs/>
        </w:rPr>
        <w:t>Forests</w:t>
      </w:r>
      <w:r w:rsidRPr="00101A68">
        <w:t>, 12 (5) p. 588</w:t>
      </w:r>
    </w:p>
    <w:p w14:paraId="4E6118EA" w14:textId="77777777" w:rsidR="00687103" w:rsidRPr="004E40AF" w:rsidRDefault="00687103" w:rsidP="004E40AF">
      <w:pPr>
        <w:pStyle w:val="Body"/>
      </w:pPr>
      <w:r w:rsidRPr="004E40AF">
        <w:t xml:space="preserve">Pierce, C. G., Uppuluri, P., Tummala, S., &amp; Lopez-Ribot, J. L. (2010). A 96-well microtiter plate-based method for monitoring formation and antifungal susceptibility testing of Candida biofilms. </w:t>
      </w:r>
      <w:r w:rsidRPr="004E40AF">
        <w:rPr>
          <w:i/>
          <w:iCs/>
        </w:rPr>
        <w:t>Journal of Visualized Experiments</w:t>
      </w:r>
      <w:r w:rsidRPr="004E40AF">
        <w:t>, (44), e2287.</w:t>
      </w:r>
    </w:p>
    <w:p w14:paraId="3A61C3B4" w14:textId="77777777" w:rsidR="00687103" w:rsidRPr="004E40AF" w:rsidRDefault="00687103" w:rsidP="004E40AF">
      <w:pPr>
        <w:pStyle w:val="Body"/>
      </w:pPr>
      <w:r w:rsidRPr="004E40AF">
        <w:t xml:space="preserve">Rayner, A. D. M., &amp; Boddy, L. (1988). </w:t>
      </w:r>
      <w:r w:rsidRPr="004E40AF">
        <w:rPr>
          <w:i/>
          <w:iCs/>
        </w:rPr>
        <w:t>Fungal Decomposition of Wood: Its Biology and Ecology</w:t>
      </w:r>
      <w:r w:rsidRPr="004E40AF">
        <w:t>. Wiley-Interscience.</w:t>
      </w:r>
    </w:p>
    <w:p w14:paraId="539D9181" w14:textId="77777777" w:rsidR="00687103" w:rsidRPr="004E40AF" w:rsidRDefault="00687103" w:rsidP="004E40AF">
      <w:pPr>
        <w:pStyle w:val="Body"/>
      </w:pPr>
      <w:r w:rsidRPr="004E40AF">
        <w:t xml:space="preserve">Reinprecht, L. (2016). </w:t>
      </w:r>
      <w:r w:rsidRPr="004E40AF">
        <w:rPr>
          <w:i/>
          <w:iCs/>
        </w:rPr>
        <w:t>Wood Deterioration, Protection and Maintenance</w:t>
      </w:r>
      <w:r w:rsidRPr="004E40AF">
        <w:t>. John Wiley &amp; Sons.</w:t>
      </w:r>
    </w:p>
    <w:p w14:paraId="5EE3D5C8" w14:textId="77777777" w:rsidR="00687103" w:rsidRPr="004E40AF" w:rsidRDefault="00687103" w:rsidP="004E40AF">
      <w:pPr>
        <w:pStyle w:val="Body"/>
      </w:pPr>
      <w:r w:rsidRPr="004E40AF">
        <w:lastRenderedPageBreak/>
        <w:t xml:space="preserve">Rodríguez-Pupo, E. A., Vera, M., Blanco, J. A., &amp; Casadevall, A. (2021). </w:t>
      </w:r>
      <w:r w:rsidRPr="004E40AF">
        <w:rPr>
          <w:i/>
          <w:iCs/>
        </w:rPr>
        <w:t>Candida parapsilosis</w:t>
      </w:r>
      <w:r w:rsidRPr="004E40AF">
        <w:t xml:space="preserve"> and wood: New understanding of a yeast’s environmental reservoir. </w:t>
      </w:r>
      <w:r w:rsidRPr="004E40AF">
        <w:rPr>
          <w:i/>
          <w:iCs/>
        </w:rPr>
        <w:t>Environmental Microbiology Reports</w:t>
      </w:r>
      <w:r w:rsidRPr="004E40AF">
        <w:t>, 13(5), 783–793.</w:t>
      </w:r>
    </w:p>
    <w:p w14:paraId="658D4447" w14:textId="77777777" w:rsidR="00687103" w:rsidRDefault="00687103" w:rsidP="004E40AF">
      <w:pPr>
        <w:pStyle w:val="Body"/>
      </w:pPr>
      <w:r w:rsidRPr="004E40AF">
        <w:t xml:space="preserve">Schmidt, O. (2006). </w:t>
      </w:r>
      <w:r w:rsidRPr="004E40AF">
        <w:rPr>
          <w:i/>
          <w:iCs/>
        </w:rPr>
        <w:t>Wood and Tree Fungi: Biology, Damage, Protection, and Use</w:t>
      </w:r>
      <w:r w:rsidRPr="004E40AF">
        <w:t>. Springer.</w:t>
      </w:r>
    </w:p>
    <w:p w14:paraId="09FE93A1" w14:textId="199E9A7F" w:rsidR="00341D8E" w:rsidRPr="00341D8E" w:rsidRDefault="00341D8E" w:rsidP="00341D8E">
      <w:pPr>
        <w:rPr>
          <w:lang w:val="en-IN"/>
        </w:rPr>
      </w:pPr>
      <w:r w:rsidRPr="00A05F38">
        <w:rPr>
          <w:highlight w:val="yellow"/>
          <w:lang w:val="en-IN"/>
        </w:rPr>
        <w:t>Schmidt, O., Gaiser, O., &amp; Dujesiefken, D. (2012). Molecular identification of decay fungi in the wood of urban trees. </w:t>
      </w:r>
      <w:r w:rsidRPr="00A05F38">
        <w:rPr>
          <w:i/>
          <w:iCs/>
          <w:highlight w:val="yellow"/>
          <w:lang w:val="en-IN"/>
        </w:rPr>
        <w:t>European Journal of Forest Research</w:t>
      </w:r>
      <w:r w:rsidRPr="00A05F38">
        <w:rPr>
          <w:highlight w:val="yellow"/>
          <w:lang w:val="en-IN"/>
        </w:rPr>
        <w:t>, </w:t>
      </w:r>
      <w:r w:rsidRPr="00A05F38">
        <w:rPr>
          <w:i/>
          <w:iCs/>
          <w:highlight w:val="yellow"/>
          <w:lang w:val="en-IN"/>
        </w:rPr>
        <w:t>131</w:t>
      </w:r>
      <w:r w:rsidRPr="00A05F38">
        <w:rPr>
          <w:highlight w:val="yellow"/>
          <w:lang w:val="en-IN"/>
        </w:rPr>
        <w:t>(3), 885-891.</w:t>
      </w:r>
    </w:p>
    <w:p w14:paraId="6BC85068" w14:textId="77777777" w:rsidR="00341D8E" w:rsidRPr="00341D8E" w:rsidRDefault="00341D8E" w:rsidP="00341D8E">
      <w:pPr>
        <w:rPr>
          <w:lang w:val="en-GB"/>
        </w:rPr>
      </w:pPr>
    </w:p>
    <w:p w14:paraId="778143D6" w14:textId="77777777" w:rsidR="00687103" w:rsidRPr="004E40AF" w:rsidRDefault="00687103" w:rsidP="004E40AF">
      <w:pPr>
        <w:pStyle w:val="Body"/>
      </w:pPr>
      <w:r w:rsidRPr="004E40AF">
        <w:t xml:space="preserve">Schoch, C. L., Seifert, K. A., Huhndorf, S., Robert, V., Spouge, J. L., Levesque, C. A., &amp; Chen, W. (2012). Nuclear ribosomal internal transcribed spacer (ITS) region as a universal DNA barcode marker for Fungi. </w:t>
      </w:r>
      <w:r w:rsidRPr="004E40AF">
        <w:rPr>
          <w:i/>
          <w:iCs/>
        </w:rPr>
        <w:t>Proceedings of the National Academy of Sciences</w:t>
      </w:r>
      <w:r w:rsidRPr="004E40AF">
        <w:t>, 109(16), 6241–6246.</w:t>
      </w:r>
    </w:p>
    <w:p w14:paraId="35146619" w14:textId="77777777" w:rsidR="00687103" w:rsidRPr="004E40AF" w:rsidRDefault="00687103" w:rsidP="004E40AF">
      <w:pPr>
        <w:pStyle w:val="Body"/>
      </w:pPr>
      <w:r w:rsidRPr="004E40AF">
        <w:t xml:space="preserve">Singh, J. (2012). </w:t>
      </w:r>
      <w:r w:rsidRPr="004E40AF">
        <w:rPr>
          <w:i/>
          <w:iCs/>
        </w:rPr>
        <w:t>Building Mycology: Management of Decay and Health in Buildings</w:t>
      </w:r>
      <w:r w:rsidRPr="004E40AF">
        <w:t>. CRC Press.</w:t>
      </w:r>
    </w:p>
    <w:p w14:paraId="3C72C4E8" w14:textId="77777777" w:rsidR="00687103" w:rsidRPr="00AD3711" w:rsidRDefault="00687103" w:rsidP="00AD3711">
      <w:pPr>
        <w:pStyle w:val="Body"/>
      </w:pPr>
      <w:r w:rsidRPr="004D04A7">
        <w:t>Wong BCK, Lee N, Li Y, Chan PKS, Qiu H, Luo Z</w:t>
      </w:r>
      <w:r>
        <w:t xml:space="preserve"> (</w:t>
      </w:r>
      <w:r w:rsidRPr="004D04A7">
        <w:t>2010</w:t>
      </w:r>
      <w:r>
        <w:t>)</w:t>
      </w:r>
      <w:r w:rsidRPr="004D04A7">
        <w:t>. Possible role of aerosol transmission in a hospital outbreak of influenza. </w:t>
      </w:r>
      <w:r w:rsidRPr="00687103">
        <w:rPr>
          <w:i/>
          <w:iCs/>
        </w:rPr>
        <w:t>Clinical Infectious Diseases</w:t>
      </w:r>
      <w:r w:rsidRPr="004D04A7">
        <w:t>. ;51(10):1176–1183</w:t>
      </w:r>
    </w:p>
    <w:p w14:paraId="19F8DA84" w14:textId="77777777" w:rsidR="00687103" w:rsidRPr="007B562F" w:rsidRDefault="00687103" w:rsidP="007B562F">
      <w:pPr>
        <w:pStyle w:val="Body"/>
      </w:pPr>
      <w:r w:rsidRPr="004E40AF">
        <w:t xml:space="preserve">Zalar, P., Novak M., de Hoog, G. S., Gunde-Cimerman, N. (2011). Dishwashers—A man-made ecological niche accommodating human opportunistic fungal pathogens. </w:t>
      </w:r>
      <w:r w:rsidRPr="004E40AF">
        <w:rPr>
          <w:i/>
          <w:iCs/>
        </w:rPr>
        <w:t>Fungal Biology</w:t>
      </w:r>
      <w:r w:rsidRPr="004E40AF">
        <w:t>, 115(10), 997–1007.</w:t>
      </w:r>
    </w:p>
    <w:sectPr w:rsidR="00687103" w:rsidRPr="007B562F" w:rsidSect="00C23E10">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2B67" w14:textId="77777777" w:rsidR="004402B0" w:rsidRDefault="004402B0" w:rsidP="00C37E61">
      <w:r>
        <w:separator/>
      </w:r>
    </w:p>
  </w:endnote>
  <w:endnote w:type="continuationSeparator" w:id="0">
    <w:p w14:paraId="7FC3A8E2" w14:textId="77777777" w:rsidR="004402B0" w:rsidRDefault="004402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1040" w14:textId="77777777" w:rsidR="008754E6" w:rsidRDefault="00875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9EC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7C5E" w14:textId="77777777" w:rsidR="008754E6" w:rsidRDefault="0087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734D" w14:textId="77777777" w:rsidR="004402B0" w:rsidRDefault="004402B0" w:rsidP="00C37E61">
      <w:r>
        <w:separator/>
      </w:r>
    </w:p>
  </w:footnote>
  <w:footnote w:type="continuationSeparator" w:id="0">
    <w:p w14:paraId="71D4180C" w14:textId="77777777" w:rsidR="004402B0" w:rsidRDefault="004402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F89A" w14:textId="01D9F7EA" w:rsidR="008754E6" w:rsidRDefault="00000000">
    <w:pPr>
      <w:pStyle w:val="Header"/>
    </w:pPr>
    <w:r>
      <w:rPr>
        <w:noProof/>
      </w:rPr>
      <w:pict w14:anchorId="21382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8AB1" w14:textId="27FF15EE" w:rsidR="008754E6" w:rsidRDefault="00000000">
    <w:pPr>
      <w:pStyle w:val="Header"/>
    </w:pPr>
    <w:r>
      <w:rPr>
        <w:noProof/>
      </w:rPr>
      <w:pict w14:anchorId="68D0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DEF5" w14:textId="72B0DDF0" w:rsidR="008754E6" w:rsidRDefault="00000000">
    <w:pPr>
      <w:pStyle w:val="Header"/>
    </w:pPr>
    <w:r>
      <w:rPr>
        <w:noProof/>
      </w:rPr>
      <w:pict w14:anchorId="57C66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5"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A6105B"/>
    <w:multiLevelType w:val="multilevel"/>
    <w:tmpl w:val="38AEC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D91932"/>
    <w:multiLevelType w:val="multilevel"/>
    <w:tmpl w:val="CF4409AC"/>
    <w:lvl w:ilvl="0">
      <w:start w:val="1"/>
      <w:numFmt w:val="bullet"/>
      <w:lvlText w:val=" "/>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14260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6872012">
    <w:abstractNumId w:val="16"/>
  </w:num>
  <w:num w:numId="3" w16cid:durableId="1697463105">
    <w:abstractNumId w:val="24"/>
  </w:num>
  <w:num w:numId="4" w16cid:durableId="16232659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69996615">
    <w:abstractNumId w:val="7"/>
  </w:num>
  <w:num w:numId="6" w16cid:durableId="199629100">
    <w:abstractNumId w:val="6"/>
  </w:num>
  <w:num w:numId="7" w16cid:durableId="679703788">
    <w:abstractNumId w:val="1"/>
  </w:num>
  <w:num w:numId="8" w16cid:durableId="115999077">
    <w:abstractNumId w:val="12"/>
  </w:num>
  <w:num w:numId="9" w16cid:durableId="2123374665">
    <w:abstractNumId w:val="26"/>
  </w:num>
  <w:num w:numId="10" w16cid:durableId="898827599">
    <w:abstractNumId w:val="2"/>
  </w:num>
  <w:num w:numId="11" w16cid:durableId="1204906900">
    <w:abstractNumId w:val="19"/>
  </w:num>
  <w:num w:numId="12" w16cid:durableId="294869446">
    <w:abstractNumId w:val="3"/>
  </w:num>
  <w:num w:numId="13" w16cid:durableId="1208227704">
    <w:abstractNumId w:val="18"/>
  </w:num>
  <w:num w:numId="14" w16cid:durableId="89930778">
    <w:abstractNumId w:val="8"/>
  </w:num>
  <w:num w:numId="15" w16cid:durableId="1470587946">
    <w:abstractNumId w:val="22"/>
  </w:num>
  <w:num w:numId="16" w16cid:durableId="1454906718">
    <w:abstractNumId w:val="5"/>
  </w:num>
  <w:num w:numId="17" w16cid:durableId="1696880532">
    <w:abstractNumId w:val="23"/>
  </w:num>
  <w:num w:numId="18" w16cid:durableId="1059672552">
    <w:abstractNumId w:val="14"/>
  </w:num>
  <w:num w:numId="19" w16cid:durableId="1595243648">
    <w:abstractNumId w:val="30"/>
  </w:num>
  <w:num w:numId="20" w16cid:durableId="1910727070">
    <w:abstractNumId w:val="11"/>
  </w:num>
  <w:num w:numId="21" w16cid:durableId="1768580741">
    <w:abstractNumId w:val="9"/>
  </w:num>
  <w:num w:numId="22" w16cid:durableId="1760172128">
    <w:abstractNumId w:val="13"/>
  </w:num>
  <w:num w:numId="23" w16cid:durableId="1331103465">
    <w:abstractNumId w:val="20"/>
  </w:num>
  <w:num w:numId="24" w16cid:durableId="492838225">
    <w:abstractNumId w:val="28"/>
  </w:num>
  <w:num w:numId="25" w16cid:durableId="916134895">
    <w:abstractNumId w:val="4"/>
  </w:num>
  <w:num w:numId="26" w16cid:durableId="1342968093">
    <w:abstractNumId w:val="17"/>
  </w:num>
  <w:num w:numId="27" w16cid:durableId="1161853916">
    <w:abstractNumId w:val="21"/>
  </w:num>
  <w:num w:numId="28" w16cid:durableId="879440738">
    <w:abstractNumId w:val="29"/>
  </w:num>
  <w:num w:numId="29" w16cid:durableId="1067606276">
    <w:abstractNumId w:val="25"/>
  </w:num>
  <w:num w:numId="30" w16cid:durableId="145628572">
    <w:abstractNumId w:val="10"/>
  </w:num>
  <w:num w:numId="31" w16cid:durableId="4452014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486946">
    <w:abstractNumId w:val="15"/>
  </w:num>
  <w:num w:numId="33" w16cid:durableId="15213595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F93"/>
    <w:rsid w:val="0004579C"/>
    <w:rsid w:val="00063A28"/>
    <w:rsid w:val="00090C8F"/>
    <w:rsid w:val="000A47FA"/>
    <w:rsid w:val="000A65D3"/>
    <w:rsid w:val="000B1E33"/>
    <w:rsid w:val="000C72B2"/>
    <w:rsid w:val="000D6710"/>
    <w:rsid w:val="000D689F"/>
    <w:rsid w:val="000E7B7B"/>
    <w:rsid w:val="000E7D62"/>
    <w:rsid w:val="000F0B4C"/>
    <w:rsid w:val="0010150A"/>
    <w:rsid w:val="00101A68"/>
    <w:rsid w:val="00103357"/>
    <w:rsid w:val="00123C9F"/>
    <w:rsid w:val="00126190"/>
    <w:rsid w:val="001264B5"/>
    <w:rsid w:val="00130F17"/>
    <w:rsid w:val="001320BF"/>
    <w:rsid w:val="00147FDA"/>
    <w:rsid w:val="00163BC4"/>
    <w:rsid w:val="0017083D"/>
    <w:rsid w:val="00191062"/>
    <w:rsid w:val="00192054"/>
    <w:rsid w:val="00192B72"/>
    <w:rsid w:val="001A29D8"/>
    <w:rsid w:val="001A5CAA"/>
    <w:rsid w:val="001B0427"/>
    <w:rsid w:val="001D3A51"/>
    <w:rsid w:val="001E10D2"/>
    <w:rsid w:val="001E25B4"/>
    <w:rsid w:val="001E44FE"/>
    <w:rsid w:val="001E6DF9"/>
    <w:rsid w:val="001F7412"/>
    <w:rsid w:val="00200595"/>
    <w:rsid w:val="0020064D"/>
    <w:rsid w:val="00204835"/>
    <w:rsid w:val="00227759"/>
    <w:rsid w:val="00231920"/>
    <w:rsid w:val="0023195C"/>
    <w:rsid w:val="00232E85"/>
    <w:rsid w:val="0023594E"/>
    <w:rsid w:val="0024282C"/>
    <w:rsid w:val="002460DC"/>
    <w:rsid w:val="00250985"/>
    <w:rsid w:val="002556F6"/>
    <w:rsid w:val="00257222"/>
    <w:rsid w:val="00266604"/>
    <w:rsid w:val="00283105"/>
    <w:rsid w:val="00284C4C"/>
    <w:rsid w:val="00287E68"/>
    <w:rsid w:val="00296529"/>
    <w:rsid w:val="002A2B38"/>
    <w:rsid w:val="002B2716"/>
    <w:rsid w:val="002B27FB"/>
    <w:rsid w:val="002B685A"/>
    <w:rsid w:val="002C57D2"/>
    <w:rsid w:val="002E0D56"/>
    <w:rsid w:val="002F744B"/>
    <w:rsid w:val="00315186"/>
    <w:rsid w:val="0033343E"/>
    <w:rsid w:val="00341D8E"/>
    <w:rsid w:val="003512C2"/>
    <w:rsid w:val="00371FB6"/>
    <w:rsid w:val="003763C1"/>
    <w:rsid w:val="00376BBE"/>
    <w:rsid w:val="00380F6D"/>
    <w:rsid w:val="00383ED3"/>
    <w:rsid w:val="0039224F"/>
    <w:rsid w:val="00392C13"/>
    <w:rsid w:val="003A43A4"/>
    <w:rsid w:val="003A7E18"/>
    <w:rsid w:val="003B2285"/>
    <w:rsid w:val="003C14F9"/>
    <w:rsid w:val="003C4C86"/>
    <w:rsid w:val="003C6258"/>
    <w:rsid w:val="003E2904"/>
    <w:rsid w:val="003E5D65"/>
    <w:rsid w:val="003E64BE"/>
    <w:rsid w:val="003F0403"/>
    <w:rsid w:val="00401927"/>
    <w:rsid w:val="00406C64"/>
    <w:rsid w:val="0041027F"/>
    <w:rsid w:val="00412475"/>
    <w:rsid w:val="00423789"/>
    <w:rsid w:val="004402B0"/>
    <w:rsid w:val="00440F43"/>
    <w:rsid w:val="00441B6F"/>
    <w:rsid w:val="00446221"/>
    <w:rsid w:val="00450E62"/>
    <w:rsid w:val="004539DB"/>
    <w:rsid w:val="00471A80"/>
    <w:rsid w:val="004D04A7"/>
    <w:rsid w:val="004D305E"/>
    <w:rsid w:val="004D4277"/>
    <w:rsid w:val="004E40AF"/>
    <w:rsid w:val="004E7CA8"/>
    <w:rsid w:val="00502516"/>
    <w:rsid w:val="00505F06"/>
    <w:rsid w:val="00506828"/>
    <w:rsid w:val="0053056E"/>
    <w:rsid w:val="00532994"/>
    <w:rsid w:val="005339F5"/>
    <w:rsid w:val="0054285A"/>
    <w:rsid w:val="00554FDA"/>
    <w:rsid w:val="00561153"/>
    <w:rsid w:val="00561C86"/>
    <w:rsid w:val="00574276"/>
    <w:rsid w:val="0058044A"/>
    <w:rsid w:val="00593E7E"/>
    <w:rsid w:val="005A789E"/>
    <w:rsid w:val="005C784C"/>
    <w:rsid w:val="005D17F6"/>
    <w:rsid w:val="005E5539"/>
    <w:rsid w:val="00602BF5"/>
    <w:rsid w:val="006054CA"/>
    <w:rsid w:val="00612435"/>
    <w:rsid w:val="00617FDD"/>
    <w:rsid w:val="00623890"/>
    <w:rsid w:val="00625443"/>
    <w:rsid w:val="00633614"/>
    <w:rsid w:val="00633F68"/>
    <w:rsid w:val="00636EB2"/>
    <w:rsid w:val="006375B8"/>
    <w:rsid w:val="00642D8B"/>
    <w:rsid w:val="00651AB7"/>
    <w:rsid w:val="0066510A"/>
    <w:rsid w:val="00666564"/>
    <w:rsid w:val="00673F9F"/>
    <w:rsid w:val="006746A1"/>
    <w:rsid w:val="00686953"/>
    <w:rsid w:val="00687103"/>
    <w:rsid w:val="00687DEA"/>
    <w:rsid w:val="00687E67"/>
    <w:rsid w:val="006967F7"/>
    <w:rsid w:val="006A250C"/>
    <w:rsid w:val="006B21D3"/>
    <w:rsid w:val="006B57D0"/>
    <w:rsid w:val="006C79E0"/>
    <w:rsid w:val="006D30FF"/>
    <w:rsid w:val="006D6940"/>
    <w:rsid w:val="006E0644"/>
    <w:rsid w:val="006F11EC"/>
    <w:rsid w:val="0070082C"/>
    <w:rsid w:val="00703083"/>
    <w:rsid w:val="00706FBB"/>
    <w:rsid w:val="007369E6"/>
    <w:rsid w:val="00746E59"/>
    <w:rsid w:val="00754C9A"/>
    <w:rsid w:val="0075599A"/>
    <w:rsid w:val="00756CDE"/>
    <w:rsid w:val="00761D52"/>
    <w:rsid w:val="0077749E"/>
    <w:rsid w:val="00790ADA"/>
    <w:rsid w:val="00792719"/>
    <w:rsid w:val="007A7012"/>
    <w:rsid w:val="007B562F"/>
    <w:rsid w:val="007C1D4B"/>
    <w:rsid w:val="007D2288"/>
    <w:rsid w:val="007D2806"/>
    <w:rsid w:val="007E088F"/>
    <w:rsid w:val="007E7E98"/>
    <w:rsid w:val="007F3B7C"/>
    <w:rsid w:val="007F7B32"/>
    <w:rsid w:val="00804BC2"/>
    <w:rsid w:val="00805534"/>
    <w:rsid w:val="008055F6"/>
    <w:rsid w:val="00813A5A"/>
    <w:rsid w:val="0081431A"/>
    <w:rsid w:val="0083216F"/>
    <w:rsid w:val="00843D35"/>
    <w:rsid w:val="0084498A"/>
    <w:rsid w:val="00846CAD"/>
    <w:rsid w:val="00860000"/>
    <w:rsid w:val="00863BD3"/>
    <w:rsid w:val="008641ED"/>
    <w:rsid w:val="00866D66"/>
    <w:rsid w:val="008671C6"/>
    <w:rsid w:val="008754E6"/>
    <w:rsid w:val="008755FE"/>
    <w:rsid w:val="00875803"/>
    <w:rsid w:val="00880A76"/>
    <w:rsid w:val="00881448"/>
    <w:rsid w:val="00884F6F"/>
    <w:rsid w:val="008B459E"/>
    <w:rsid w:val="008E13AE"/>
    <w:rsid w:val="008E1506"/>
    <w:rsid w:val="008E36A6"/>
    <w:rsid w:val="008E6B50"/>
    <w:rsid w:val="008E710C"/>
    <w:rsid w:val="008F69D6"/>
    <w:rsid w:val="00902823"/>
    <w:rsid w:val="00914B53"/>
    <w:rsid w:val="00915CA6"/>
    <w:rsid w:val="00924836"/>
    <w:rsid w:val="00927834"/>
    <w:rsid w:val="009500A6"/>
    <w:rsid w:val="00957C18"/>
    <w:rsid w:val="009659BA"/>
    <w:rsid w:val="00983040"/>
    <w:rsid w:val="009A4211"/>
    <w:rsid w:val="009A54AC"/>
    <w:rsid w:val="009A6205"/>
    <w:rsid w:val="009B3FB9"/>
    <w:rsid w:val="009C2465"/>
    <w:rsid w:val="009D35A0"/>
    <w:rsid w:val="009D7EB7"/>
    <w:rsid w:val="009E048A"/>
    <w:rsid w:val="009E08E9"/>
    <w:rsid w:val="009E2A01"/>
    <w:rsid w:val="009E3DB9"/>
    <w:rsid w:val="009E6E35"/>
    <w:rsid w:val="009F0EDA"/>
    <w:rsid w:val="009F5974"/>
    <w:rsid w:val="00A03B96"/>
    <w:rsid w:val="00A05B19"/>
    <w:rsid w:val="00A05F38"/>
    <w:rsid w:val="00A1134E"/>
    <w:rsid w:val="00A23A80"/>
    <w:rsid w:val="00A243A2"/>
    <w:rsid w:val="00A24E7E"/>
    <w:rsid w:val="00A2508C"/>
    <w:rsid w:val="00A258C3"/>
    <w:rsid w:val="00A30728"/>
    <w:rsid w:val="00A347C0"/>
    <w:rsid w:val="00A36B51"/>
    <w:rsid w:val="00A51431"/>
    <w:rsid w:val="00A539AD"/>
    <w:rsid w:val="00A57DA2"/>
    <w:rsid w:val="00A7062E"/>
    <w:rsid w:val="00A812EE"/>
    <w:rsid w:val="00A90A09"/>
    <w:rsid w:val="00A92C86"/>
    <w:rsid w:val="00A94063"/>
    <w:rsid w:val="00A941EA"/>
    <w:rsid w:val="00AA6219"/>
    <w:rsid w:val="00AA74E0"/>
    <w:rsid w:val="00AB703F"/>
    <w:rsid w:val="00AC6BB8"/>
    <w:rsid w:val="00AD3711"/>
    <w:rsid w:val="00AE008F"/>
    <w:rsid w:val="00AF6902"/>
    <w:rsid w:val="00AF77DD"/>
    <w:rsid w:val="00B003FA"/>
    <w:rsid w:val="00B01FCD"/>
    <w:rsid w:val="00B1776C"/>
    <w:rsid w:val="00B3490B"/>
    <w:rsid w:val="00B36CF8"/>
    <w:rsid w:val="00B52583"/>
    <w:rsid w:val="00B52896"/>
    <w:rsid w:val="00B606B2"/>
    <w:rsid w:val="00B611B0"/>
    <w:rsid w:val="00B6781D"/>
    <w:rsid w:val="00B95236"/>
    <w:rsid w:val="00B96BD9"/>
    <w:rsid w:val="00BA1B01"/>
    <w:rsid w:val="00BA2641"/>
    <w:rsid w:val="00BB37AA"/>
    <w:rsid w:val="00BC53A0"/>
    <w:rsid w:val="00BE62AD"/>
    <w:rsid w:val="00BF121F"/>
    <w:rsid w:val="00BF1F80"/>
    <w:rsid w:val="00C117FA"/>
    <w:rsid w:val="00C166EF"/>
    <w:rsid w:val="00C17EB0"/>
    <w:rsid w:val="00C23E10"/>
    <w:rsid w:val="00C27F5F"/>
    <w:rsid w:val="00C30A0F"/>
    <w:rsid w:val="00C37E61"/>
    <w:rsid w:val="00C70F1B"/>
    <w:rsid w:val="00C71A47"/>
    <w:rsid w:val="00C7464C"/>
    <w:rsid w:val="00C85588"/>
    <w:rsid w:val="00C91835"/>
    <w:rsid w:val="00CA01E0"/>
    <w:rsid w:val="00CA677D"/>
    <w:rsid w:val="00CD10EC"/>
    <w:rsid w:val="00CD6755"/>
    <w:rsid w:val="00CD6856"/>
    <w:rsid w:val="00CE0089"/>
    <w:rsid w:val="00CE793C"/>
    <w:rsid w:val="00CF193C"/>
    <w:rsid w:val="00D04443"/>
    <w:rsid w:val="00D173F1"/>
    <w:rsid w:val="00D226D8"/>
    <w:rsid w:val="00D46974"/>
    <w:rsid w:val="00D6281D"/>
    <w:rsid w:val="00D64046"/>
    <w:rsid w:val="00D70C2C"/>
    <w:rsid w:val="00D74CB0"/>
    <w:rsid w:val="00D757F2"/>
    <w:rsid w:val="00D8295D"/>
    <w:rsid w:val="00D8688C"/>
    <w:rsid w:val="00DB14D2"/>
    <w:rsid w:val="00DB4748"/>
    <w:rsid w:val="00DC2A65"/>
    <w:rsid w:val="00DE15F0"/>
    <w:rsid w:val="00DE5663"/>
    <w:rsid w:val="00DE78AA"/>
    <w:rsid w:val="00E053D0"/>
    <w:rsid w:val="00E118AF"/>
    <w:rsid w:val="00E144E6"/>
    <w:rsid w:val="00E15994"/>
    <w:rsid w:val="00E21A90"/>
    <w:rsid w:val="00E3114E"/>
    <w:rsid w:val="00E31A70"/>
    <w:rsid w:val="00E35B02"/>
    <w:rsid w:val="00E5784D"/>
    <w:rsid w:val="00E66496"/>
    <w:rsid w:val="00E66B35"/>
    <w:rsid w:val="00E66E10"/>
    <w:rsid w:val="00E769F6"/>
    <w:rsid w:val="00E8407C"/>
    <w:rsid w:val="00E84F3C"/>
    <w:rsid w:val="00EA012C"/>
    <w:rsid w:val="00EC545E"/>
    <w:rsid w:val="00EC6A55"/>
    <w:rsid w:val="00EC7EFB"/>
    <w:rsid w:val="00ED0288"/>
    <w:rsid w:val="00ED09B9"/>
    <w:rsid w:val="00EE52CB"/>
    <w:rsid w:val="00EE7775"/>
    <w:rsid w:val="00EF581D"/>
    <w:rsid w:val="00EF7FD8"/>
    <w:rsid w:val="00F06F59"/>
    <w:rsid w:val="00F11F0E"/>
    <w:rsid w:val="00F17988"/>
    <w:rsid w:val="00F33ECE"/>
    <w:rsid w:val="00F3672A"/>
    <w:rsid w:val="00F469F0"/>
    <w:rsid w:val="00F53273"/>
    <w:rsid w:val="00F755E4"/>
    <w:rsid w:val="00F77D02"/>
    <w:rsid w:val="00F826CA"/>
    <w:rsid w:val="00FA3009"/>
    <w:rsid w:val="00FB3A86"/>
    <w:rsid w:val="00FC5F39"/>
    <w:rsid w:val="00FD36C8"/>
    <w:rsid w:val="00FD4800"/>
    <w:rsid w:val="00FD60A7"/>
    <w:rsid w:val="00FD68A4"/>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2A2C"/>
  <w15:docId w15:val="{54FA6757-53ED-4401-AF87-B9E5B7B1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33ECE"/>
    <w:pPr>
      <w:spacing w:after="200"/>
    </w:pPr>
    <w:rPr>
      <w:i/>
      <w:iCs/>
      <w:color w:val="1F497D" w:themeColor="text2"/>
      <w:sz w:val="18"/>
      <w:szCs w:val="18"/>
    </w:rPr>
  </w:style>
  <w:style w:type="paragraph" w:styleId="NormalWeb">
    <w:name w:val="Normal (Web)"/>
    <w:basedOn w:val="Normal"/>
    <w:rsid w:val="00341D8E"/>
    <w:pP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A90A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3355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659872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506903">
      <w:bodyDiv w:val="1"/>
      <w:marLeft w:val="0"/>
      <w:marRight w:val="0"/>
      <w:marTop w:val="0"/>
      <w:marBottom w:val="0"/>
      <w:divBdr>
        <w:top w:val="none" w:sz="0" w:space="0" w:color="auto"/>
        <w:left w:val="none" w:sz="0" w:space="0" w:color="auto"/>
        <w:bottom w:val="none" w:sz="0" w:space="0" w:color="auto"/>
        <w:right w:val="none" w:sz="0" w:space="0" w:color="auto"/>
      </w:divBdr>
    </w:div>
    <w:div w:id="308633400">
      <w:bodyDiv w:val="1"/>
      <w:marLeft w:val="0"/>
      <w:marRight w:val="0"/>
      <w:marTop w:val="0"/>
      <w:marBottom w:val="0"/>
      <w:divBdr>
        <w:top w:val="none" w:sz="0" w:space="0" w:color="auto"/>
        <w:left w:val="none" w:sz="0" w:space="0" w:color="auto"/>
        <w:bottom w:val="none" w:sz="0" w:space="0" w:color="auto"/>
        <w:right w:val="none" w:sz="0" w:space="0" w:color="auto"/>
      </w:divBdr>
    </w:div>
    <w:div w:id="360135815">
      <w:bodyDiv w:val="1"/>
      <w:marLeft w:val="0"/>
      <w:marRight w:val="0"/>
      <w:marTop w:val="0"/>
      <w:marBottom w:val="0"/>
      <w:divBdr>
        <w:top w:val="none" w:sz="0" w:space="0" w:color="auto"/>
        <w:left w:val="none" w:sz="0" w:space="0" w:color="auto"/>
        <w:bottom w:val="none" w:sz="0" w:space="0" w:color="auto"/>
        <w:right w:val="none" w:sz="0" w:space="0" w:color="auto"/>
      </w:divBdr>
    </w:div>
    <w:div w:id="394550123">
      <w:bodyDiv w:val="1"/>
      <w:marLeft w:val="0"/>
      <w:marRight w:val="0"/>
      <w:marTop w:val="0"/>
      <w:marBottom w:val="0"/>
      <w:divBdr>
        <w:top w:val="none" w:sz="0" w:space="0" w:color="auto"/>
        <w:left w:val="none" w:sz="0" w:space="0" w:color="auto"/>
        <w:bottom w:val="none" w:sz="0" w:space="0" w:color="auto"/>
        <w:right w:val="none" w:sz="0" w:space="0" w:color="auto"/>
      </w:divBdr>
    </w:div>
    <w:div w:id="516509131">
      <w:bodyDiv w:val="1"/>
      <w:marLeft w:val="0"/>
      <w:marRight w:val="0"/>
      <w:marTop w:val="0"/>
      <w:marBottom w:val="0"/>
      <w:divBdr>
        <w:top w:val="none" w:sz="0" w:space="0" w:color="auto"/>
        <w:left w:val="none" w:sz="0" w:space="0" w:color="auto"/>
        <w:bottom w:val="none" w:sz="0" w:space="0" w:color="auto"/>
        <w:right w:val="none" w:sz="0" w:space="0" w:color="auto"/>
      </w:divBdr>
    </w:div>
    <w:div w:id="5720809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8311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996078">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32851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91580">
      <w:bodyDiv w:val="1"/>
      <w:marLeft w:val="0"/>
      <w:marRight w:val="0"/>
      <w:marTop w:val="0"/>
      <w:marBottom w:val="0"/>
      <w:divBdr>
        <w:top w:val="none" w:sz="0" w:space="0" w:color="auto"/>
        <w:left w:val="none" w:sz="0" w:space="0" w:color="auto"/>
        <w:bottom w:val="none" w:sz="0" w:space="0" w:color="auto"/>
        <w:right w:val="none" w:sz="0" w:space="0" w:color="auto"/>
      </w:divBdr>
    </w:div>
    <w:div w:id="1264218089">
      <w:bodyDiv w:val="1"/>
      <w:marLeft w:val="0"/>
      <w:marRight w:val="0"/>
      <w:marTop w:val="0"/>
      <w:marBottom w:val="0"/>
      <w:divBdr>
        <w:top w:val="none" w:sz="0" w:space="0" w:color="auto"/>
        <w:left w:val="none" w:sz="0" w:space="0" w:color="auto"/>
        <w:bottom w:val="none" w:sz="0" w:space="0" w:color="auto"/>
        <w:right w:val="none" w:sz="0" w:space="0" w:color="auto"/>
      </w:divBdr>
    </w:div>
    <w:div w:id="1367021328">
      <w:bodyDiv w:val="1"/>
      <w:marLeft w:val="0"/>
      <w:marRight w:val="0"/>
      <w:marTop w:val="0"/>
      <w:marBottom w:val="0"/>
      <w:divBdr>
        <w:top w:val="none" w:sz="0" w:space="0" w:color="auto"/>
        <w:left w:val="none" w:sz="0" w:space="0" w:color="auto"/>
        <w:bottom w:val="none" w:sz="0" w:space="0" w:color="auto"/>
        <w:right w:val="none" w:sz="0" w:space="0" w:color="auto"/>
      </w:divBdr>
    </w:div>
    <w:div w:id="1380520406">
      <w:bodyDiv w:val="1"/>
      <w:marLeft w:val="0"/>
      <w:marRight w:val="0"/>
      <w:marTop w:val="0"/>
      <w:marBottom w:val="0"/>
      <w:divBdr>
        <w:top w:val="none" w:sz="0" w:space="0" w:color="auto"/>
        <w:left w:val="none" w:sz="0" w:space="0" w:color="auto"/>
        <w:bottom w:val="none" w:sz="0" w:space="0" w:color="auto"/>
        <w:right w:val="none" w:sz="0" w:space="0" w:color="auto"/>
      </w:divBdr>
    </w:div>
    <w:div w:id="1381173847">
      <w:bodyDiv w:val="1"/>
      <w:marLeft w:val="0"/>
      <w:marRight w:val="0"/>
      <w:marTop w:val="0"/>
      <w:marBottom w:val="0"/>
      <w:divBdr>
        <w:top w:val="none" w:sz="0" w:space="0" w:color="auto"/>
        <w:left w:val="none" w:sz="0" w:space="0" w:color="auto"/>
        <w:bottom w:val="none" w:sz="0" w:space="0" w:color="auto"/>
        <w:right w:val="none" w:sz="0" w:space="0" w:color="auto"/>
      </w:divBdr>
    </w:div>
    <w:div w:id="1446391048">
      <w:bodyDiv w:val="1"/>
      <w:marLeft w:val="0"/>
      <w:marRight w:val="0"/>
      <w:marTop w:val="0"/>
      <w:marBottom w:val="0"/>
      <w:divBdr>
        <w:top w:val="none" w:sz="0" w:space="0" w:color="auto"/>
        <w:left w:val="none" w:sz="0" w:space="0" w:color="auto"/>
        <w:bottom w:val="none" w:sz="0" w:space="0" w:color="auto"/>
        <w:right w:val="none" w:sz="0" w:space="0" w:color="auto"/>
      </w:divBdr>
      <w:divsChild>
        <w:div w:id="81993372">
          <w:marLeft w:val="0"/>
          <w:marRight w:val="0"/>
          <w:marTop w:val="0"/>
          <w:marBottom w:val="0"/>
          <w:divBdr>
            <w:top w:val="none" w:sz="0" w:space="0" w:color="auto"/>
            <w:left w:val="none" w:sz="0" w:space="0" w:color="auto"/>
            <w:bottom w:val="none" w:sz="0" w:space="0" w:color="auto"/>
            <w:right w:val="none" w:sz="0" w:space="0" w:color="auto"/>
          </w:divBdr>
        </w:div>
        <w:div w:id="1601141364">
          <w:marLeft w:val="0"/>
          <w:marRight w:val="0"/>
          <w:marTop w:val="0"/>
          <w:marBottom w:val="0"/>
          <w:divBdr>
            <w:top w:val="none" w:sz="0" w:space="0" w:color="auto"/>
            <w:left w:val="none" w:sz="0" w:space="0" w:color="auto"/>
            <w:bottom w:val="none" w:sz="0" w:space="0" w:color="auto"/>
            <w:right w:val="none" w:sz="0" w:space="0" w:color="auto"/>
          </w:divBdr>
        </w:div>
      </w:divsChild>
    </w:div>
    <w:div w:id="1473600635">
      <w:bodyDiv w:val="1"/>
      <w:marLeft w:val="0"/>
      <w:marRight w:val="0"/>
      <w:marTop w:val="0"/>
      <w:marBottom w:val="0"/>
      <w:divBdr>
        <w:top w:val="none" w:sz="0" w:space="0" w:color="auto"/>
        <w:left w:val="none" w:sz="0" w:space="0" w:color="auto"/>
        <w:bottom w:val="none" w:sz="0" w:space="0" w:color="auto"/>
        <w:right w:val="none" w:sz="0" w:space="0" w:color="auto"/>
      </w:divBdr>
    </w:div>
    <w:div w:id="1561012135">
      <w:bodyDiv w:val="1"/>
      <w:marLeft w:val="0"/>
      <w:marRight w:val="0"/>
      <w:marTop w:val="0"/>
      <w:marBottom w:val="0"/>
      <w:divBdr>
        <w:top w:val="none" w:sz="0" w:space="0" w:color="auto"/>
        <w:left w:val="none" w:sz="0" w:space="0" w:color="auto"/>
        <w:bottom w:val="none" w:sz="0" w:space="0" w:color="auto"/>
        <w:right w:val="none" w:sz="0" w:space="0" w:color="auto"/>
      </w:divBdr>
    </w:div>
    <w:div w:id="1595161837">
      <w:bodyDiv w:val="1"/>
      <w:marLeft w:val="0"/>
      <w:marRight w:val="0"/>
      <w:marTop w:val="0"/>
      <w:marBottom w:val="0"/>
      <w:divBdr>
        <w:top w:val="none" w:sz="0" w:space="0" w:color="auto"/>
        <w:left w:val="none" w:sz="0" w:space="0" w:color="auto"/>
        <w:bottom w:val="none" w:sz="0" w:space="0" w:color="auto"/>
        <w:right w:val="none" w:sz="0" w:space="0" w:color="auto"/>
      </w:divBdr>
      <w:divsChild>
        <w:div w:id="1690712787">
          <w:marLeft w:val="0"/>
          <w:marRight w:val="0"/>
          <w:marTop w:val="0"/>
          <w:marBottom w:val="0"/>
          <w:divBdr>
            <w:top w:val="none" w:sz="0" w:space="0" w:color="auto"/>
            <w:left w:val="none" w:sz="0" w:space="0" w:color="auto"/>
            <w:bottom w:val="none" w:sz="0" w:space="0" w:color="auto"/>
            <w:right w:val="none" w:sz="0" w:space="0" w:color="auto"/>
          </w:divBdr>
        </w:div>
        <w:div w:id="990407166">
          <w:marLeft w:val="0"/>
          <w:marRight w:val="0"/>
          <w:marTop w:val="0"/>
          <w:marBottom w:val="0"/>
          <w:divBdr>
            <w:top w:val="none" w:sz="0" w:space="0" w:color="auto"/>
            <w:left w:val="none" w:sz="0" w:space="0" w:color="auto"/>
            <w:bottom w:val="none" w:sz="0" w:space="0" w:color="auto"/>
            <w:right w:val="none" w:sz="0" w:space="0" w:color="auto"/>
          </w:divBdr>
        </w:div>
      </w:divsChild>
    </w:div>
    <w:div w:id="16785761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4515163">
      <w:bodyDiv w:val="1"/>
      <w:marLeft w:val="0"/>
      <w:marRight w:val="0"/>
      <w:marTop w:val="0"/>
      <w:marBottom w:val="0"/>
      <w:divBdr>
        <w:top w:val="none" w:sz="0" w:space="0" w:color="auto"/>
        <w:left w:val="none" w:sz="0" w:space="0" w:color="auto"/>
        <w:bottom w:val="none" w:sz="0" w:space="0" w:color="auto"/>
        <w:right w:val="none" w:sz="0" w:space="0" w:color="auto"/>
      </w:divBdr>
    </w:div>
    <w:div w:id="1874225938">
      <w:bodyDiv w:val="1"/>
      <w:marLeft w:val="0"/>
      <w:marRight w:val="0"/>
      <w:marTop w:val="0"/>
      <w:marBottom w:val="0"/>
      <w:divBdr>
        <w:top w:val="none" w:sz="0" w:space="0" w:color="auto"/>
        <w:left w:val="none" w:sz="0" w:space="0" w:color="auto"/>
        <w:bottom w:val="none" w:sz="0" w:space="0" w:color="auto"/>
        <w:right w:val="none" w:sz="0" w:space="0" w:color="auto"/>
      </w:divBdr>
    </w:div>
    <w:div w:id="1877349884">
      <w:bodyDiv w:val="1"/>
      <w:marLeft w:val="0"/>
      <w:marRight w:val="0"/>
      <w:marTop w:val="0"/>
      <w:marBottom w:val="0"/>
      <w:divBdr>
        <w:top w:val="none" w:sz="0" w:space="0" w:color="auto"/>
        <w:left w:val="none" w:sz="0" w:space="0" w:color="auto"/>
        <w:bottom w:val="none" w:sz="0" w:space="0" w:color="auto"/>
        <w:right w:val="none" w:sz="0" w:space="0" w:color="auto"/>
      </w:divBdr>
    </w:div>
    <w:div w:id="189172748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9025-3DC0-4946-8184-9A6D5760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7142</TotalTime>
  <Pages>8</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GP 005</cp:lastModifiedBy>
  <cp:revision>38</cp:revision>
  <cp:lastPrinted>1999-07-06T11:00:00Z</cp:lastPrinted>
  <dcterms:created xsi:type="dcterms:W3CDTF">2014-10-25T14:34:00Z</dcterms:created>
  <dcterms:modified xsi:type="dcterms:W3CDTF">2025-08-07T07:53:00Z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