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A7F0CC" w14:textId="28458436" w:rsidR="00156583" w:rsidRDefault="009B0FDA" w:rsidP="009B0FDA">
      <w:pPr>
        <w:pStyle w:val="BodyText"/>
        <w:ind w:left="720" w:firstLine="720"/>
        <w:rPr>
          <w:b/>
          <w:sz w:val="28"/>
        </w:rPr>
      </w:pPr>
      <w:r w:rsidRPr="00194E5A">
        <w:rPr>
          <w:b/>
          <w:sz w:val="28"/>
        </w:rPr>
        <w:t>Ertapenem-Induced Encephalopathy: A Case Report Highlighting Carbapenem-Associated Neurotoxicity</w:t>
      </w:r>
    </w:p>
    <w:p w14:paraId="589CF3BB" w14:textId="77777777" w:rsidR="00726849" w:rsidRDefault="00726849" w:rsidP="009B0FDA">
      <w:pPr>
        <w:pStyle w:val="BodyText"/>
        <w:ind w:left="720" w:firstLine="720"/>
        <w:rPr>
          <w:b/>
          <w:sz w:val="28"/>
        </w:rPr>
      </w:pPr>
    </w:p>
    <w:p w14:paraId="47CFC9B9" w14:textId="770FEC91" w:rsidR="00726849" w:rsidRDefault="00726849" w:rsidP="000426C8">
      <w:pPr>
        <w:pStyle w:val="BodyText"/>
        <w:rPr>
          <w:b/>
          <w:sz w:val="28"/>
        </w:rPr>
      </w:pPr>
    </w:p>
    <w:p w14:paraId="7BAE7057" w14:textId="6FE8397C" w:rsidR="00726849" w:rsidRDefault="00726849" w:rsidP="000426C8">
      <w:pPr>
        <w:pStyle w:val="BodyText"/>
        <w:ind w:firstLine="720"/>
        <w:rPr>
          <w:b/>
          <w:lang w:val="en-CA"/>
        </w:rPr>
      </w:pPr>
      <w:r w:rsidRPr="000426C8">
        <w:rPr>
          <w:b/>
          <w:lang w:val="en-CA"/>
        </w:rPr>
        <w:t>Abstract</w:t>
      </w:r>
    </w:p>
    <w:p w14:paraId="3AF231D3" w14:textId="77777777" w:rsidR="000426C8" w:rsidRPr="000426C8" w:rsidRDefault="000426C8" w:rsidP="000426C8">
      <w:pPr>
        <w:pStyle w:val="BodyText"/>
        <w:ind w:firstLine="720"/>
        <w:rPr>
          <w:b/>
          <w:lang w:val="en-CA"/>
        </w:rPr>
      </w:pPr>
    </w:p>
    <w:p w14:paraId="4FE2DD22" w14:textId="7ACB0EA9" w:rsidR="000426C8" w:rsidRDefault="000426C8" w:rsidP="000426C8">
      <w:pPr>
        <w:pStyle w:val="BodyText"/>
        <w:spacing w:before="100" w:line="360" w:lineRule="auto"/>
        <w:ind w:left="720" w:right="1022"/>
      </w:pPr>
      <w:r w:rsidRPr="000426C8">
        <w:rPr>
          <w:u w:val="single"/>
        </w:rPr>
        <w:t>Background:</w:t>
      </w:r>
      <w:r>
        <w:t xml:space="preserve"> Ertapenem is a once-daily carbapenem antibiotic commonly used in the treatment of complicated infections. Although traditionally associated with a lower risk of central nervous system (CNS) toxicity compared to imipenem, emerging reports highlight the potential for ertapenem-induced neurotoxicity, especially in patients with renal impairment and hypoalbuminemia. Early recognition is crucial, as symptoms are often reversible with drug discontinuation</w:t>
      </w:r>
    </w:p>
    <w:p w14:paraId="59E80063" w14:textId="77777777" w:rsidR="000426C8" w:rsidRDefault="000426C8" w:rsidP="000426C8">
      <w:pPr>
        <w:pStyle w:val="BodyText"/>
        <w:spacing w:before="100" w:line="360" w:lineRule="auto"/>
        <w:ind w:left="720" w:right="1022"/>
      </w:pPr>
    </w:p>
    <w:p w14:paraId="4D4A4B4D" w14:textId="77777777" w:rsidR="000426C8" w:rsidRDefault="000426C8" w:rsidP="000426C8">
      <w:pPr>
        <w:pStyle w:val="BodyText"/>
        <w:spacing w:before="100" w:line="360" w:lineRule="auto"/>
        <w:ind w:left="720" w:right="1022"/>
      </w:pPr>
      <w:r w:rsidRPr="000426C8">
        <w:rPr>
          <w:u w:val="single"/>
        </w:rPr>
        <w:t>Case Presentations</w:t>
      </w:r>
      <w:r>
        <w:t>: We report a case of a 46-year-old woman with type 2 diabetes, advanced chronic kidney disease, developmental delay, and hypoalbuminemia who developed acute encephalopathy with visual hallucinations approximately three weeks into outpatient ertapenem therapy for suspected diabetic foot osteomyelitis. Despite stable vitals and supportive care for acute kidney injury, she exhibited a sudden decline in mental status. Extensive investigations excluded metabolic, structural, and infectious causes. Ertapenem was discontinued, and the patient was treated with intravenous albumin and supportive measures, resulting in rapid and complete neurologic recovery within 48 hours. A Naranjo score of 7 supported a probable adverse drug reaction.</w:t>
      </w:r>
    </w:p>
    <w:p w14:paraId="36379CAB" w14:textId="77777777" w:rsidR="000426C8" w:rsidRDefault="000426C8" w:rsidP="000426C8">
      <w:pPr>
        <w:pStyle w:val="BodyText"/>
        <w:spacing w:before="100" w:line="360" w:lineRule="auto"/>
        <w:ind w:left="720" w:right="1022"/>
      </w:pPr>
    </w:p>
    <w:p w14:paraId="0E8221D8" w14:textId="577B1614" w:rsidR="000426C8" w:rsidRDefault="000426C8" w:rsidP="000426C8">
      <w:pPr>
        <w:pStyle w:val="BodyText"/>
        <w:spacing w:before="100" w:line="360" w:lineRule="auto"/>
        <w:ind w:left="720" w:right="1022"/>
      </w:pPr>
      <w:r w:rsidRPr="000426C8">
        <w:rPr>
          <w:u w:val="single"/>
        </w:rPr>
        <w:t>Conclusions:</w:t>
      </w:r>
      <w:r>
        <w:t xml:space="preserve"> This case highlights ertapenem-induced encephalopathy as a reversible yet </w:t>
      </w:r>
      <w:r w:rsidR="00626F71">
        <w:t>under recognized</w:t>
      </w:r>
      <w:r>
        <w:t xml:space="preserve"> complication in vulnerable populations. Risk factors such as renal dysfunction and hypoalbuminemia should prompt close monitoring and dose adjustment. Albumin infusion may represent a promising adjunctive therapy in select cases.</w:t>
      </w:r>
    </w:p>
    <w:p w14:paraId="31590727" w14:textId="77777777" w:rsidR="000426C8" w:rsidRDefault="000426C8" w:rsidP="000426C8">
      <w:pPr>
        <w:pStyle w:val="BodyText"/>
        <w:spacing w:before="100" w:line="360" w:lineRule="auto"/>
        <w:ind w:left="720" w:right="1022"/>
      </w:pPr>
    </w:p>
    <w:p w14:paraId="3F743909" w14:textId="77777777" w:rsidR="000426C8" w:rsidRDefault="000426C8" w:rsidP="000426C8">
      <w:pPr>
        <w:pStyle w:val="BodyText"/>
        <w:spacing w:before="100" w:line="360" w:lineRule="auto"/>
        <w:ind w:left="720" w:right="1022"/>
      </w:pPr>
      <w:r w:rsidRPr="000426C8">
        <w:rPr>
          <w:u w:val="single"/>
        </w:rPr>
        <w:t>Keywords:</w:t>
      </w:r>
      <w:r>
        <w:t xml:space="preserve"> Ertapenem, neurotoxicity, encephalopathy, carbapenem, hypoalbuminemia, chronic kidney disease, adverse drug reaction.</w:t>
      </w:r>
    </w:p>
    <w:p w14:paraId="422193C3" w14:textId="77777777" w:rsidR="00726849" w:rsidRPr="00194E5A" w:rsidRDefault="00726849" w:rsidP="009B0FDA">
      <w:pPr>
        <w:pStyle w:val="BodyText"/>
        <w:ind w:left="720" w:firstLine="720"/>
        <w:rPr>
          <w:b/>
          <w:sz w:val="28"/>
        </w:rPr>
      </w:pPr>
    </w:p>
    <w:p w14:paraId="7A159058" w14:textId="77777777" w:rsidR="009B0FDA" w:rsidRPr="000A6DB9" w:rsidRDefault="009B0FDA" w:rsidP="009B0FDA">
      <w:pPr>
        <w:pStyle w:val="BodyText"/>
        <w:ind w:left="720" w:firstLine="720"/>
        <w:rPr>
          <w:sz w:val="36"/>
        </w:rPr>
      </w:pPr>
    </w:p>
    <w:p w14:paraId="422A60D9" w14:textId="7546CD97" w:rsidR="00647D12" w:rsidRPr="00E45972" w:rsidRDefault="00C03803" w:rsidP="00E45972">
      <w:pPr>
        <w:pStyle w:val="BodyText"/>
        <w:spacing w:before="9"/>
        <w:rPr>
          <w:sz w:val="19"/>
          <w:u w:val="single"/>
        </w:rPr>
      </w:pPr>
      <w:r w:rsidRPr="000A6DB9">
        <w:lastRenderedPageBreak/>
        <w:tab/>
      </w:r>
      <w:r w:rsidR="00341D0B" w:rsidRPr="000A6DB9">
        <w:rPr>
          <w:u w:val="single"/>
        </w:rPr>
        <w:t>Introduction:</w:t>
      </w:r>
    </w:p>
    <w:p w14:paraId="2FA891AD" w14:textId="186F69E2" w:rsidR="000426C8" w:rsidRDefault="00D326F5" w:rsidP="000426C8">
      <w:pPr>
        <w:pStyle w:val="BodyText"/>
        <w:spacing w:before="100" w:line="360" w:lineRule="auto"/>
        <w:ind w:left="720" w:right="1022"/>
      </w:pPr>
      <w:r>
        <w:tab/>
      </w:r>
      <w:r w:rsidR="004F1556" w:rsidRPr="004F1556">
        <w:t>Ertapenem is a broad-spectrum, once-daily parenteral carbapenem antibiotic commonly used in the treatment of complicate</w:t>
      </w:r>
      <w:r w:rsidR="008A16CC">
        <w:t xml:space="preserve">d intra-abdominal infections, </w:t>
      </w:r>
      <w:r w:rsidR="004F1556" w:rsidRPr="004F1556">
        <w:t>urinary tract infections, diabetic foot infections, and osteomyelitis.</w:t>
      </w:r>
      <w:r w:rsidR="008A16CC">
        <w:t xml:space="preserve"> </w:t>
      </w:r>
      <w:r w:rsidR="004F1556" w:rsidRPr="004F1556">
        <w:t>¹ Ertapenem exhibits time-dependent bactericidal activity and a wide spectrum against Gram-negative, Gram-po</w:t>
      </w:r>
      <w:r w:rsidR="00626F71">
        <w:t>sitive, and anaerobic organisms</w:t>
      </w:r>
      <w:r w:rsidR="004F1556">
        <w:t>.</w:t>
      </w:r>
      <w:r w:rsidR="004F1556" w:rsidRPr="004F1556">
        <w:t xml:space="preserve"> ¹</w:t>
      </w:r>
      <w:r w:rsidR="004F1556">
        <w:t xml:space="preserve"> </w:t>
      </w:r>
      <w:r w:rsidR="004F1556" w:rsidRPr="004F1556">
        <w:t>Its extended half-life, attributed to high protein binding and slow renal elimination, makes it particularly attractive for outpatient parenteral antibiotic therapy (OPAT</w:t>
      </w:r>
      <w:proofErr w:type="gramStart"/>
      <w:r w:rsidR="004F1556" w:rsidRPr="004F1556">
        <w:t>).²</w:t>
      </w:r>
      <w:proofErr w:type="gramEnd"/>
    </w:p>
    <w:p w14:paraId="743CEF4B" w14:textId="77FA05ED" w:rsidR="000426C8" w:rsidRDefault="000426C8" w:rsidP="000426C8">
      <w:pPr>
        <w:pStyle w:val="BodyText"/>
        <w:spacing w:before="100" w:line="360" w:lineRule="auto"/>
        <w:ind w:left="720" w:right="1022"/>
      </w:pPr>
      <w:r>
        <w:tab/>
      </w:r>
      <w:r w:rsidRPr="000426C8">
        <w:t>Pharmacokinetically, ertapenem has a terminal half-life of approximately 4 hours in healthy adults, which can be prolonged in patients with renal impairment.</w:t>
      </w:r>
      <w:r w:rsidR="008A16CC">
        <w:t xml:space="preserve"> </w:t>
      </w:r>
      <w:r w:rsidRPr="000426C8">
        <w:t>⁴ It is highly protein-bound (~85–95%), primarily to albumin, and eliminated mainly via renal excretion. In contrast, imipenem and meropenem have shorter half-lives and lower protein binding, with meropenem showing a wider therapeutic window and lower neurotoxic potential.</w:t>
      </w:r>
      <w:r w:rsidR="008A16CC">
        <w:t xml:space="preserve"> </w:t>
      </w:r>
      <w:r w:rsidRPr="000426C8">
        <w:t xml:space="preserve">⁵ Importantly, imipenem is co-administered with </w:t>
      </w:r>
      <w:proofErr w:type="spellStart"/>
      <w:r w:rsidRPr="000426C8">
        <w:t>cilastatin</w:t>
      </w:r>
      <w:proofErr w:type="spellEnd"/>
      <w:r w:rsidRPr="000426C8">
        <w:t xml:space="preserve"> to inhibit renal metabolism, a feature not required with ertapenem. These pharmacologic distinctions influence their CNS penetration and side effect profiles.</w:t>
      </w:r>
    </w:p>
    <w:p w14:paraId="205BC823" w14:textId="165F20DB" w:rsidR="00D326F5" w:rsidRDefault="00D326F5" w:rsidP="00D326F5">
      <w:pPr>
        <w:pStyle w:val="BodyText"/>
        <w:spacing w:before="100" w:line="360" w:lineRule="auto"/>
        <w:ind w:left="720" w:right="1022" w:firstLine="720"/>
      </w:pPr>
      <w:r>
        <w:t>Carbapenem-induced neurotoxicity is believed to be mediated through antagonism of gamma-aminobutyric acid type A (GABA-A) receptors.</w:t>
      </w:r>
      <w:r w:rsidR="00927099">
        <w:t xml:space="preserve"> </w:t>
      </w:r>
      <w:r w:rsidR="00927099" w:rsidRPr="00927099">
        <w:t>¹</w:t>
      </w:r>
      <w:r>
        <w:t xml:space="preserve"> This effect disrupts inhibitory neurotransmission in the CNS, leading to a spectrum of neurologic manifestations that include altered mental status, delirium, agitation, hallucinations, myoclonus, seizures, and encephalopathy. </w:t>
      </w:r>
      <w:r w:rsidR="005E00E3" w:rsidRPr="00927099">
        <w:t>³</w:t>
      </w:r>
      <w:r w:rsidR="00927099">
        <w:t xml:space="preserve"> </w:t>
      </w:r>
      <w:proofErr w:type="gramStart"/>
      <w:r>
        <w:t>In</w:t>
      </w:r>
      <w:proofErr w:type="gramEnd"/>
      <w:r>
        <w:t xml:space="preserve"> patients with renal impairment, the risk is significantly heightened due to reduced clearance and consequent drug accumulation. Additionally, hypoalbuminemia, which results in increased free (unbound) drug levels, furth</w:t>
      </w:r>
      <w:r w:rsidR="008A16CC">
        <w:t xml:space="preserve">er exacerbates neurotoxic risk. </w:t>
      </w:r>
      <w:r w:rsidR="005E00E3" w:rsidRPr="00927099">
        <w:t>³</w:t>
      </w:r>
      <w:r w:rsidR="00927099">
        <w:t xml:space="preserve"> </w:t>
      </w:r>
      <w:r w:rsidR="005E00E3" w:rsidRPr="00927099">
        <w:t>⁴</w:t>
      </w:r>
      <w:r w:rsidR="00927099">
        <w:t xml:space="preserve"> </w:t>
      </w:r>
      <w:proofErr w:type="gramStart"/>
      <w:r>
        <w:t>The</w:t>
      </w:r>
      <w:proofErr w:type="gramEnd"/>
      <w:r>
        <w:t xml:space="preserve"> lipophilic nature of ertapenem enhances its CNS penetration, and its relatively long half-life may sustain neurotoxic concentrations even after drug discontinuation</w:t>
      </w:r>
      <w:r w:rsidR="00130BDE">
        <w:t xml:space="preserve"> (</w:t>
      </w:r>
      <w:r w:rsidR="00F7568D">
        <w:rPr>
          <w:i/>
        </w:rPr>
        <w:t>Fig-1</w:t>
      </w:r>
      <w:r w:rsidR="00130BDE" w:rsidRPr="00130BDE">
        <w:rPr>
          <w:i/>
        </w:rPr>
        <w:t>)</w:t>
      </w:r>
      <w:r>
        <w:t>.</w:t>
      </w:r>
      <w:r w:rsidR="008A16CC">
        <w:t xml:space="preserve"> </w:t>
      </w:r>
      <w:r w:rsidR="005E00E3" w:rsidRPr="00B20CAE">
        <w:t>⁵</w:t>
      </w:r>
    </w:p>
    <w:p w14:paraId="13A02D03" w14:textId="0918F89E" w:rsidR="00D326F5" w:rsidRDefault="00D326F5" w:rsidP="00B20CAE">
      <w:pPr>
        <w:pStyle w:val="BodyText"/>
        <w:spacing w:before="100" w:line="360" w:lineRule="auto"/>
        <w:ind w:left="720" w:right="1022" w:firstLine="720"/>
      </w:pPr>
      <w:r>
        <w:t>Although imipenem has historically been associated with a higher incidence of CNS toxicity, case reports over the past decade have drawn attention to similar effects with ertapenem, particularly in those with compromised renal function.</w:t>
      </w:r>
      <w:r w:rsidR="00B20CAE" w:rsidRPr="00B20CAE">
        <w:t xml:space="preserve"> ⁵</w:t>
      </w:r>
      <w:r>
        <w:t xml:space="preserve"> Despite the growing recognition of this phenomenon, ertapenem-induced encephalopathy remains underdiagnosed, in part due to the nonspecific nature of symptoms and a lack of awareness among clinicians. The diagnosis is often one of exclusion, made after ruling out </w:t>
      </w:r>
      <w:r>
        <w:lastRenderedPageBreak/>
        <w:t>structural, metabolic, or infectious causes of encephalopathy. Timely identification is crucial, as discontinuation of the offending agent typically results in rapid and complete resolution of symptoms. Supportive measures, including hydration, optimization of renal function, and in some cases administration of albumin or antipsychotics, may accelerate recovery.</w:t>
      </w:r>
      <w:r w:rsidR="00B20CAE">
        <w:t xml:space="preserve"> </w:t>
      </w:r>
      <w:r w:rsidR="005E00E3" w:rsidRPr="005E00E3">
        <w:t>⁶</w:t>
      </w:r>
    </w:p>
    <w:p w14:paraId="157DBE0B" w14:textId="4DA3649C" w:rsidR="00C654B7" w:rsidRDefault="00D326F5" w:rsidP="00D326F5">
      <w:pPr>
        <w:pStyle w:val="BodyText"/>
        <w:spacing w:before="100" w:line="360" w:lineRule="auto"/>
        <w:ind w:left="720" w:right="1022" w:firstLine="720"/>
      </w:pPr>
      <w:r>
        <w:t xml:space="preserve">In this report, we present the case of a 46-year-old woman with multiple risk factors—including advanced chronic kidney disease, developmental delay, and hypoalbuminemia—who developed a profound encephalopathy with hallucinations within </w:t>
      </w:r>
      <w:r w:rsidR="00C4087D">
        <w:t>3 weeks</w:t>
      </w:r>
      <w:r>
        <w:t xml:space="preserve"> of starting ertapenem for suspected diabetic foot osteomyelitis. Her case illustrates the need for vigilance when prescribing carbapenems in vulnerable populations, and the importance of early recognition and intervention to reverse a potentially serious adverse drug event.</w:t>
      </w:r>
    </w:p>
    <w:p w14:paraId="1542C9A5" w14:textId="77777777" w:rsidR="00D326F5" w:rsidRPr="000A6DB9" w:rsidRDefault="00D326F5" w:rsidP="00D326F5">
      <w:pPr>
        <w:pStyle w:val="BodyText"/>
        <w:spacing w:before="100" w:line="360" w:lineRule="auto"/>
        <w:ind w:left="720" w:right="1022" w:firstLine="720"/>
      </w:pPr>
    </w:p>
    <w:p w14:paraId="6ED24915" w14:textId="77777777" w:rsidR="00341D0B" w:rsidRPr="000A6DB9" w:rsidRDefault="00341D0B" w:rsidP="00341D0B">
      <w:pPr>
        <w:pStyle w:val="BodyText"/>
        <w:rPr>
          <w:u w:val="single"/>
        </w:rPr>
      </w:pPr>
      <w:r w:rsidRPr="000A6DB9">
        <w:rPr>
          <w:sz w:val="36"/>
        </w:rPr>
        <w:tab/>
      </w:r>
      <w:r w:rsidRPr="000A6DB9">
        <w:rPr>
          <w:u w:val="single"/>
        </w:rPr>
        <w:t>Case Presentation:</w:t>
      </w:r>
    </w:p>
    <w:p w14:paraId="4DD3E912" w14:textId="696E1BD5" w:rsidR="004F1556" w:rsidRDefault="004F1556" w:rsidP="00927CF2">
      <w:pPr>
        <w:pStyle w:val="BodyText"/>
        <w:spacing w:before="100" w:line="360" w:lineRule="auto"/>
        <w:ind w:left="720" w:right="1022" w:firstLine="720"/>
      </w:pPr>
      <w:r w:rsidRPr="004F1556">
        <w:t xml:space="preserve">46-year-old woman presented to the emergency department with a 3-day history of generalized weakness, dizziness, nausea, vomiting, and non-bloody diarrhea. Her past medical history was notable for type 2 diabetes mellitus (on insulin </w:t>
      </w:r>
      <w:proofErr w:type="spellStart"/>
      <w:r w:rsidRPr="004F1556">
        <w:t>degludec</w:t>
      </w:r>
      <w:proofErr w:type="spellEnd"/>
      <w:r w:rsidRPr="004F1556">
        <w:t xml:space="preserve">, insulin </w:t>
      </w:r>
      <w:proofErr w:type="spellStart"/>
      <w:r w:rsidRPr="004F1556">
        <w:t>aspart</w:t>
      </w:r>
      <w:proofErr w:type="spellEnd"/>
      <w:r w:rsidRPr="004F1556">
        <w:t xml:space="preserve">, and </w:t>
      </w:r>
      <w:proofErr w:type="spellStart"/>
      <w:r w:rsidRPr="004F1556">
        <w:t>semaglutide</w:t>
      </w:r>
      <w:proofErr w:type="spellEnd"/>
      <w:r w:rsidRPr="004F1556">
        <w:t>), chronic kidney di</w:t>
      </w:r>
      <w:r w:rsidR="008A16CC">
        <w:t>sease stage 4 with an eGFR of 25</w:t>
      </w:r>
      <w:r w:rsidRPr="004F1556">
        <w:t xml:space="preserve"> mL/min (managed with atorvastatin, vitamin C, and a multivitamin with iron), developmental delay, hypertension (treated with amlodipine and bisoprolol), asthma </w:t>
      </w:r>
      <w:r w:rsidR="004B4C0E">
        <w:t xml:space="preserve">with </w:t>
      </w:r>
      <w:r w:rsidRPr="004F1556">
        <w:t>allergic rhinitis (on salbutamol, fluticasone, and budesonide nasal spray, as well as cetirizine), and dyslipidemia</w:t>
      </w:r>
      <w:r w:rsidR="004B4C0E">
        <w:t xml:space="preserve"> (on atorvastatin)</w:t>
      </w:r>
      <w:r w:rsidRPr="004F1556">
        <w:t xml:space="preserve">. She also used acetylsalicylic acid for cardiovascular protection and was taking acetaminophen and oxycodone-acetaminophen as needed for pain. </w:t>
      </w:r>
      <w:r w:rsidR="004B4C0E">
        <w:t xml:space="preserve">She does not have a history of alcohol use disorder or recent alcohol consumption. </w:t>
      </w:r>
      <w:r w:rsidRPr="004F1556">
        <w:t xml:space="preserve">She resided at home and had been treated for a diabetic foot infection of the left great toe. </w:t>
      </w:r>
      <w:r w:rsidR="00005D0D" w:rsidRPr="00005D0D">
        <w:t>Two weeks prior to admission, she had been prescribed ertapenem 1 g</w:t>
      </w:r>
      <w:r w:rsidR="008A16CC">
        <w:t>ram</w:t>
      </w:r>
      <w:r w:rsidR="00005D0D" w:rsidRPr="00005D0D">
        <w:t xml:space="preserve"> IV </w:t>
      </w:r>
      <w:r w:rsidR="00626F71">
        <w:t xml:space="preserve">once </w:t>
      </w:r>
      <w:r w:rsidR="00005D0D" w:rsidRPr="00005D0D">
        <w:t xml:space="preserve">daily following an outpatient infectious diseases consultation for suspected osteomyelitis of the left great toe, based on clinical findings and a wound swab culture that grew </w:t>
      </w:r>
      <w:r w:rsidR="00005D0D" w:rsidRPr="00626F71">
        <w:rPr>
          <w:i/>
        </w:rPr>
        <w:t>Bacillus cereus</w:t>
      </w:r>
      <w:r w:rsidR="00005D0D" w:rsidRPr="00005D0D">
        <w:t xml:space="preserve"> and </w:t>
      </w:r>
      <w:r w:rsidR="00005D0D" w:rsidRPr="00626F71">
        <w:rPr>
          <w:i/>
        </w:rPr>
        <w:t>Enterococcus faecalis</w:t>
      </w:r>
      <w:r w:rsidR="00005D0D" w:rsidRPr="00005D0D">
        <w:t>. Although ertapenem has limited activity against these organisms, it was initiated empirically due to concern for a polymicrobial infection that had failed to respond to prior treatment with other β-lactam therapies.</w:t>
      </w:r>
    </w:p>
    <w:p w14:paraId="05986E6D" w14:textId="5A7C2AF4" w:rsidR="00927CF2" w:rsidRDefault="007C5FE7" w:rsidP="00927CF2">
      <w:pPr>
        <w:pStyle w:val="BodyText"/>
        <w:spacing w:before="100" w:line="360" w:lineRule="auto"/>
        <w:ind w:left="720" w:right="1022" w:firstLine="720"/>
      </w:pPr>
      <w:r>
        <w:lastRenderedPageBreak/>
        <w:t>At presentation</w:t>
      </w:r>
      <w:r w:rsidR="00783920">
        <w:t xml:space="preserve"> in the emergency department</w:t>
      </w:r>
      <w:r>
        <w:t>, she appeared</w:t>
      </w:r>
      <w:r w:rsidR="00927CF2">
        <w:t xml:space="preserve"> volume depleted with dry mucous membranes and poor oral intake. Laboratory investigations revealed an acute-on-chronic kidney injury with a serum creatinine of 303 µmol/L (baseline ~160 µmol/L), a non-anion gap metabolic acidosis with a pH of 7</w:t>
      </w:r>
      <w:r w:rsidR="008A16CC">
        <w:t>.29 and serum bicarbonate of 16</w:t>
      </w:r>
      <w:r w:rsidR="00927CF2">
        <w:t xml:space="preserve"> mmol/L, </w:t>
      </w:r>
      <w:r w:rsidR="00904EF9">
        <w:t xml:space="preserve">hypoalbuminemia with an albumin of 22 g/L (36-47 g/L) </w:t>
      </w:r>
      <w:r w:rsidR="00927CF2">
        <w:t>and evidence of mild electrolyte imbalances</w:t>
      </w:r>
      <w:r w:rsidR="00647BB6">
        <w:t xml:space="preserve"> </w:t>
      </w:r>
      <w:r w:rsidR="00647BB6" w:rsidRPr="00647BB6">
        <w:rPr>
          <w:i/>
        </w:rPr>
        <w:t>(</w:t>
      </w:r>
      <w:bookmarkStart w:id="0" w:name="_GoBack"/>
      <w:bookmarkEnd w:id="0"/>
      <w:r w:rsidR="00647BB6" w:rsidRPr="00647BB6">
        <w:rPr>
          <w:i/>
        </w:rPr>
        <w:t>Table 1)</w:t>
      </w:r>
      <w:r w:rsidR="00927CF2" w:rsidRPr="00647BB6">
        <w:rPr>
          <w:i/>
        </w:rPr>
        <w:t>.</w:t>
      </w:r>
      <w:r w:rsidR="00927CF2">
        <w:t xml:space="preserve"> </w:t>
      </w:r>
      <w:bookmarkStart w:id="1" w:name="_Hlk202097243"/>
      <w:r w:rsidR="00927CF2">
        <w:t xml:space="preserve">Imaging with CT abdomen and pelvis demonstrated non-obstructive nephrolithiasis and bilateral hydroureteronephrosis, but no evidence of bowel obstruction, mass, or fluid collections. Stool and nasopharyngeal </w:t>
      </w:r>
      <w:r w:rsidR="004B4C0E">
        <w:t>antigen tests</w:t>
      </w:r>
      <w:r w:rsidR="00927CF2">
        <w:t xml:space="preserve"> were negative for </w:t>
      </w:r>
      <w:proofErr w:type="spellStart"/>
      <w:r w:rsidR="00927CF2">
        <w:t>Clostridioides</w:t>
      </w:r>
      <w:proofErr w:type="spellEnd"/>
      <w:r w:rsidR="00927CF2">
        <w:t xml:space="preserve"> difficile, influenza, RSV, and SARS-CoV-2. Cardiology was</w:t>
      </w:r>
      <w:r>
        <w:t xml:space="preserve"> initially</w:t>
      </w:r>
      <w:r w:rsidR="00927CF2">
        <w:t xml:space="preserve"> consulted for concerning ST elevations noted on ECG; however, these were deemed non-ischemic and consistent with demand ischemia in the setting of uremia and systemic illness.</w:t>
      </w:r>
      <w:bookmarkEnd w:id="1"/>
      <w:r>
        <w:t xml:space="preserve"> </w:t>
      </w:r>
      <w:r w:rsidR="008A16CC" w:rsidRPr="008A16CC">
        <w:t xml:space="preserve">Over the first 11 days of admission, she remained hemodynamically stable but required an intravenous sodium bicarbonate infusion to manage metabolic acidosis. Ertapenem therapy was continued during this period, as per the infectious </w:t>
      </w:r>
      <w:r w:rsidR="008A16CC">
        <w:t>diseases team's recommendations</w:t>
      </w:r>
      <w:r>
        <w:t xml:space="preserve">. </w:t>
      </w:r>
      <w:r w:rsidRPr="007C5FE7">
        <w:t xml:space="preserve">She also received three doses of IV iron </w:t>
      </w:r>
      <w:r>
        <w:t>replacement therapy for her ongoing anemia.</w:t>
      </w:r>
    </w:p>
    <w:p w14:paraId="2F3DE46E" w14:textId="1B1154F3" w:rsidR="00373854" w:rsidRDefault="00373854" w:rsidP="00373854">
      <w:pPr>
        <w:pStyle w:val="BodyText"/>
        <w:spacing w:before="100" w:line="360" w:lineRule="auto"/>
        <w:ind w:left="720" w:right="1022" w:firstLine="720"/>
      </w:pPr>
      <w:r>
        <w:t>On hospital day 12, she experienced a sudden and significant decline in her mental status, including visual hallucinations and increased somnolence. Given her known renal impairment, longstanding developmental delay, and hypoalbuminemia, a diagnosis of ertapenem-induced encephalopathy was strongly considered. Other potential causes of delirium—including intracranial pathology, metabolic disturbances,</w:t>
      </w:r>
      <w:r w:rsidR="008A16CC">
        <w:t xml:space="preserve"> uremic encephalopathy</w:t>
      </w:r>
      <w:r>
        <w:t xml:space="preserve"> and active infection—were excluded via unremarkable CT imaging, laboratory studies, and negative infectious screening. Her medication list was also reviewed in detail and revealed no newly introduced neuroactive drugs.</w:t>
      </w:r>
    </w:p>
    <w:p w14:paraId="175565AF" w14:textId="750FCB36" w:rsidR="007C5FE7" w:rsidRDefault="00373854" w:rsidP="00783920">
      <w:pPr>
        <w:pStyle w:val="BodyText"/>
        <w:spacing w:before="100" w:line="360" w:lineRule="auto"/>
        <w:ind w:left="720" w:right="1022" w:firstLine="720"/>
      </w:pPr>
      <w:r>
        <w:t>A rapid response was initiated due to concern for declining level of consciousness. The patient was assessed by internal medicine and infectious disease teams, who concurred with the diagnosis of probable ertapenem neurotoxicity. Ertapenem was immediately discontinued and replaced with ceftriaxone to continue antimicrobial therapy for osteomyelitis. In parallel, two infusions of 25% albumin (100 mL each) were administered over 48 hours in an effort to bind residual free ertapenem and facilitate clearance. She al</w:t>
      </w:r>
      <w:r w:rsidR="00783920">
        <w:t xml:space="preserve">so received haloperidol </w:t>
      </w:r>
      <w:r w:rsidR="005E00E3">
        <w:t>as needed</w:t>
      </w:r>
      <w:r>
        <w:t xml:space="preserve"> to manage agitation. Over the following 48 hours, the patient demonstrated marked neurological improvement, with resolution of hallucinations and progressive normalization of her mental status, strongly </w:t>
      </w:r>
      <w:r>
        <w:lastRenderedPageBreak/>
        <w:t>supporting the diagnosis of ertapenem-induced encephalopathy.</w:t>
      </w:r>
    </w:p>
    <w:p w14:paraId="79F3C3EF" w14:textId="77777777" w:rsidR="00783920" w:rsidRDefault="00783920" w:rsidP="00783920">
      <w:pPr>
        <w:pStyle w:val="BodyText"/>
        <w:spacing w:before="100" w:line="360" w:lineRule="auto"/>
        <w:ind w:left="720" w:right="1022" w:firstLine="720"/>
      </w:pPr>
    </w:p>
    <w:p w14:paraId="044C074E" w14:textId="77777777" w:rsidR="00341D0B" w:rsidRPr="00A856D6" w:rsidRDefault="00341D0B" w:rsidP="00A32C59">
      <w:pPr>
        <w:pStyle w:val="BodyText"/>
        <w:spacing w:before="100" w:line="360" w:lineRule="auto"/>
        <w:ind w:right="1022"/>
      </w:pPr>
      <w:r w:rsidRPr="000A6DB9">
        <w:tab/>
      </w:r>
      <w:r w:rsidRPr="000A6DB9">
        <w:rPr>
          <w:u w:val="single"/>
        </w:rPr>
        <w:t>Investigation</w:t>
      </w:r>
      <w:r w:rsidR="00AD7ADC" w:rsidRPr="000A6DB9">
        <w:rPr>
          <w:u w:val="single"/>
        </w:rPr>
        <w:t>s</w:t>
      </w:r>
      <w:r w:rsidRPr="000A6DB9">
        <w:rPr>
          <w:u w:val="single"/>
        </w:rPr>
        <w:t xml:space="preserve">: </w:t>
      </w:r>
    </w:p>
    <w:p w14:paraId="1E4CE18C" w14:textId="339B4A14" w:rsidR="00927CF2" w:rsidRDefault="00004BFF" w:rsidP="00E959A2">
      <w:pPr>
        <w:pStyle w:val="BodyText"/>
        <w:spacing w:before="100" w:line="360" w:lineRule="auto"/>
        <w:ind w:left="720" w:right="1022" w:firstLine="720"/>
      </w:pPr>
      <w:r>
        <w:t>On admission day 12</w:t>
      </w:r>
      <w:r w:rsidR="00927CF2">
        <w:t>, approximately three weeks after initiating ertapenem, the patient developed new and profound alterations in mental status. Nursing staf</w:t>
      </w:r>
      <w:r w:rsidR="00783920">
        <w:t xml:space="preserve">f reported increased confusion </w:t>
      </w:r>
      <w:r w:rsidR="00927CF2">
        <w:t xml:space="preserve">and episodes of vivid visual hallucinations, including agitation and periods of unresponsiveness. An urgent CT head was performed and showed no acute intracranial pathology—no hemorrhage, mass effect, or ischemia. Serum glucose and electrolyte panel were within normal limits, and liver function testing was unremarkable. No hypoglycemia or hyponatremia was identified. Urine culture from </w:t>
      </w:r>
      <w:r>
        <w:t>her admission</w:t>
      </w:r>
      <w:r w:rsidR="00927CF2">
        <w:t xml:space="preserve"> remained negative, and a repeat culture sent o</w:t>
      </w:r>
      <w:r>
        <w:t>ne week later was also negative</w:t>
      </w:r>
      <w:r w:rsidR="00927CF2">
        <w:t>. There was no evidence of systemic infection, and blood cultures remained sterile.</w:t>
      </w:r>
      <w:r w:rsidR="00005D0D">
        <w:t xml:space="preserve"> </w:t>
      </w:r>
      <w:r w:rsidR="008A16CC" w:rsidRPr="008A16CC">
        <w:t>Uremic encephalopathy was also excluded as a potential cause, given the improvement in her urea level from 15 mmol/L on admission to 8.1 mmol/L at the time of symptom onset.</w:t>
      </w:r>
      <w:r w:rsidR="008A16CC">
        <w:t xml:space="preserve"> </w:t>
      </w:r>
      <w:r w:rsidR="00626F71" w:rsidRPr="00626F71">
        <w:t>Additionally, the patient had no history of alcohol use disorder, and there was no reported recent alcohol consumption, making alcohol-related encephalopathy or withdrawal an unlikely contributor.</w:t>
      </w:r>
    </w:p>
    <w:p w14:paraId="64571100" w14:textId="226C4F63" w:rsidR="00927CF2" w:rsidRDefault="00004BFF" w:rsidP="00E959A2">
      <w:pPr>
        <w:pStyle w:val="BodyText"/>
        <w:spacing w:before="100" w:line="360" w:lineRule="auto"/>
        <w:ind w:left="720" w:right="1022" w:firstLine="720"/>
      </w:pPr>
      <w:r>
        <w:t xml:space="preserve">Other initial investigations completed in the emergency department </w:t>
      </w:r>
      <w:r w:rsidR="0004465B">
        <w:t>including</w:t>
      </w:r>
      <w:r>
        <w:t xml:space="preserve"> </w:t>
      </w:r>
      <w:r w:rsidRPr="00004BFF">
        <w:t>CT abdomen and pelvis demonstrated non-obstructive nephrolithiasis and bilateral hydroureteronephrosis, but no evidence of bowel obstruction, mass, or fluid collections. Stool and nasopharyngeal</w:t>
      </w:r>
      <w:r w:rsidR="004B4C0E">
        <w:t xml:space="preserve"> antigen</w:t>
      </w:r>
      <w:r w:rsidRPr="00004BFF">
        <w:t xml:space="preserve"> swabs were negative for </w:t>
      </w:r>
      <w:proofErr w:type="spellStart"/>
      <w:r w:rsidRPr="00004BFF">
        <w:t>Clostridioides</w:t>
      </w:r>
      <w:proofErr w:type="spellEnd"/>
      <w:r w:rsidRPr="00004BFF">
        <w:t xml:space="preserve"> difficile, influenza, RSV, and SARS-CoV-2. </w:t>
      </w:r>
    </w:p>
    <w:p w14:paraId="255E593E" w14:textId="77777777" w:rsidR="00783920" w:rsidRPr="000A6DB9" w:rsidRDefault="00783920" w:rsidP="00E959A2">
      <w:pPr>
        <w:pStyle w:val="BodyText"/>
        <w:spacing w:before="100" w:line="360" w:lineRule="auto"/>
        <w:ind w:left="720" w:right="1022" w:firstLine="720"/>
      </w:pPr>
    </w:p>
    <w:p w14:paraId="3E6F8CCF" w14:textId="77777777" w:rsidR="00737F8A" w:rsidRPr="00737F8A" w:rsidRDefault="00341D0B" w:rsidP="00341D0B">
      <w:pPr>
        <w:pStyle w:val="BodyText"/>
        <w:spacing w:before="100" w:line="360" w:lineRule="auto"/>
        <w:ind w:right="1022"/>
        <w:rPr>
          <w:u w:val="single"/>
        </w:rPr>
      </w:pPr>
      <w:r w:rsidRPr="000A6DB9">
        <w:tab/>
      </w:r>
      <w:r w:rsidRPr="000A6DB9">
        <w:rPr>
          <w:u w:val="single"/>
        </w:rPr>
        <w:t>Treatment:</w:t>
      </w:r>
    </w:p>
    <w:p w14:paraId="4FAD4A7B" w14:textId="1B615DAC" w:rsidR="00927CF2" w:rsidRDefault="00927CF2" w:rsidP="00927CF2">
      <w:pPr>
        <w:pStyle w:val="BodyText"/>
        <w:spacing w:before="100" w:line="360" w:lineRule="auto"/>
        <w:ind w:left="720" w:right="1022" w:firstLine="720"/>
      </w:pPr>
      <w:r>
        <w:t>Upon h</w:t>
      </w:r>
      <w:r w:rsidR="00E959A2">
        <w:t xml:space="preserve">er admission for </w:t>
      </w:r>
      <w:r>
        <w:t>AKI and systemic symptoms, she continued receiving ertapenem</w:t>
      </w:r>
      <w:r w:rsidR="008A16CC">
        <w:t xml:space="preserve"> 1 gram IV once daily</w:t>
      </w:r>
      <w:r>
        <w:t>, which was endorsed by both internal medicine and infectious diseases teams with an anticipat</w:t>
      </w:r>
      <w:r w:rsidR="00E959A2">
        <w:t xml:space="preserve">ed total duration of six weeks. </w:t>
      </w:r>
      <w:r>
        <w:t>Her acute kidney injury, thought to be multifactorial but predominantly pre</w:t>
      </w:r>
      <w:r w:rsidR="00783920">
        <w:t>-</w:t>
      </w:r>
      <w:r>
        <w:t>renal in origin, was managed with intravenous fluids and sodium bicarbonate infusion. Renal function showed slow but gradual improvement. She was also</w:t>
      </w:r>
      <w:r w:rsidR="005E00E3">
        <w:t xml:space="preserve"> treated with intravenous iron sucrose</w:t>
      </w:r>
      <w:r>
        <w:t xml:space="preserve"> receiving three doses in total to address significant microcytic anemia. Cardiology ruled out acute coronary </w:t>
      </w:r>
      <w:r>
        <w:lastRenderedPageBreak/>
        <w:t>syndrome, attributing ECG changes to uremic demand ischemia.</w:t>
      </w:r>
    </w:p>
    <w:p w14:paraId="2A058165" w14:textId="3687DB56" w:rsidR="004333CB" w:rsidRDefault="00927CF2" w:rsidP="004333CB">
      <w:pPr>
        <w:pStyle w:val="BodyText"/>
        <w:spacing w:before="100" w:line="360" w:lineRule="auto"/>
        <w:ind w:left="720" w:right="1022" w:firstLine="720"/>
      </w:pPr>
      <w:r>
        <w:t xml:space="preserve">After developing altered mental status and hallucinations </w:t>
      </w:r>
      <w:r w:rsidR="004333CB">
        <w:t>three weeks after starting the agent</w:t>
      </w:r>
      <w:r>
        <w:t xml:space="preserve">, ertapenem was promptly discontinued given high suspicion for drug-induced neurotoxicity. The patient was started on haloperidol 1 mg BID </w:t>
      </w:r>
      <w:r w:rsidR="005E00E3">
        <w:t xml:space="preserve">as needed </w:t>
      </w:r>
      <w:r>
        <w:t xml:space="preserve">to control agitation. Albumin 25% </w:t>
      </w:r>
      <w:r w:rsidR="005E00E3">
        <w:t xml:space="preserve">in </w:t>
      </w:r>
      <w:r w:rsidR="004333CB">
        <w:t xml:space="preserve">100 mL </w:t>
      </w:r>
      <w:r>
        <w:t>was administered daily for 48 hours in an attempt to enhance protein binding and clearance of circulating free ertapenem, based on its pharmacokinetic properties. This intervention was considered especially important in the context of her low serum albumin and impaired renal clearance.</w:t>
      </w:r>
    </w:p>
    <w:p w14:paraId="05B93112" w14:textId="3BEC196B" w:rsidR="00E959A2" w:rsidRDefault="00927CF2" w:rsidP="00647BB6">
      <w:pPr>
        <w:pStyle w:val="BodyText"/>
        <w:spacing w:before="100" w:line="360" w:lineRule="auto"/>
        <w:ind w:left="720" w:right="1022" w:firstLine="720"/>
      </w:pPr>
      <w:r>
        <w:t xml:space="preserve">Infectious diseases recommended switching her therapy to ceftriaxone 2 g IV </w:t>
      </w:r>
      <w:r w:rsidR="008A16CC">
        <w:t xml:space="preserve">once </w:t>
      </w:r>
      <w:r>
        <w:t>daily to complete the remainder of her antibiotic course. This agent was selected for its comparable spectrum for skin/soft tissue and bone infections, and more favorable CNS side effect profile. The p</w:t>
      </w:r>
      <w:r w:rsidR="005E00E3">
        <w:t>atient remained on ceftriaxone for a total of 6 weeks of antibiotic therapies</w:t>
      </w:r>
      <w:r>
        <w:t>, at which point her PICC line was removed, and no further antimicrobial follow-up was required unless symptoms recurred.</w:t>
      </w:r>
    </w:p>
    <w:p w14:paraId="78B3C381" w14:textId="77777777" w:rsidR="00783920" w:rsidRPr="0004465B" w:rsidRDefault="00783920" w:rsidP="00647BB6">
      <w:pPr>
        <w:pStyle w:val="BodyText"/>
        <w:spacing w:before="100" w:line="360" w:lineRule="auto"/>
        <w:ind w:left="720" w:right="1022" w:firstLine="720"/>
      </w:pPr>
    </w:p>
    <w:p w14:paraId="3B779846" w14:textId="77777777" w:rsidR="00D00CF3" w:rsidRDefault="00341D0B" w:rsidP="00D00CF3">
      <w:pPr>
        <w:pStyle w:val="BodyText"/>
        <w:spacing w:before="100" w:line="360" w:lineRule="auto"/>
        <w:ind w:right="1022"/>
        <w:rPr>
          <w:u w:val="single"/>
        </w:rPr>
      </w:pPr>
      <w:r w:rsidRPr="000A6DB9">
        <w:tab/>
      </w:r>
      <w:r w:rsidRPr="000A6DB9">
        <w:rPr>
          <w:u w:val="single"/>
        </w:rPr>
        <w:t>Discussion:</w:t>
      </w:r>
    </w:p>
    <w:p w14:paraId="0F2B0F38" w14:textId="7AF7245E" w:rsidR="004333CB" w:rsidRDefault="004333CB" w:rsidP="004333CB">
      <w:pPr>
        <w:pStyle w:val="BodyText"/>
        <w:spacing w:before="100" w:line="360" w:lineRule="auto"/>
        <w:ind w:left="720" w:right="1022" w:firstLine="720"/>
      </w:pPr>
      <w:r>
        <w:t xml:space="preserve">This case highlights a clinically significant but often </w:t>
      </w:r>
      <w:r w:rsidR="00D40505">
        <w:t>under recognized</w:t>
      </w:r>
      <w:r>
        <w:t xml:space="preserve"> adverse effect of ertapenem—drug-induced encephalopathy—in a high-risk patient. While imipenem is traditionally considered the carbapenem with the highest neurotoxicity risk, a growing body of literature now implicates ertapenem in simil</w:t>
      </w:r>
      <w:r w:rsidR="00B80D40">
        <w:t xml:space="preserve">ar central nervous system </w:t>
      </w:r>
      <w:r>
        <w:t>complications, particularly among patients w</w:t>
      </w:r>
      <w:r w:rsidR="00B80D40">
        <w:t>ith compromised renal function.</w:t>
      </w:r>
      <w:r w:rsidR="00B80D40" w:rsidRPr="00B80D40">
        <w:t xml:space="preserve"> </w:t>
      </w:r>
      <w:r w:rsidR="00B80D40" w:rsidRPr="00927099">
        <w:t>³</w:t>
      </w:r>
      <w:r w:rsidR="00B80D40">
        <w:t xml:space="preserve"> </w:t>
      </w:r>
      <w:r w:rsidR="00B80D40" w:rsidRPr="00B80D40">
        <w:t>⁷</w:t>
      </w:r>
      <w:r w:rsidR="00B80D40">
        <w:t xml:space="preserve"> </w:t>
      </w:r>
      <w:proofErr w:type="gramStart"/>
      <w:r>
        <w:t>The</w:t>
      </w:r>
      <w:proofErr w:type="gramEnd"/>
      <w:r>
        <w:t xml:space="preserve"> patient's constellation of risk factors—advan</w:t>
      </w:r>
      <w:r w:rsidR="00B80D40">
        <w:t>ced chronic kidney disease</w:t>
      </w:r>
      <w:r w:rsidR="00783920">
        <w:t xml:space="preserve"> and </w:t>
      </w:r>
      <w:r>
        <w:t xml:space="preserve">hypoalbuminemia—likely synergistically increased her susceptibility to neurotoxic effects. </w:t>
      </w:r>
      <w:r w:rsidR="00B80D40" w:rsidRPr="00927099">
        <w:t>³</w:t>
      </w:r>
      <w:r w:rsidR="00B80D40">
        <w:t xml:space="preserve"> </w:t>
      </w:r>
      <w:r>
        <w:t>These conditions contribute to impaired clearance, higher unbound drug concentrations, and enhanced CNS penetration of ertapenem, all of which facilitate neurologic side effects.</w:t>
      </w:r>
    </w:p>
    <w:p w14:paraId="7A4367E0" w14:textId="466B7B0E" w:rsidR="004333CB" w:rsidRDefault="004333CB" w:rsidP="004333CB">
      <w:pPr>
        <w:pStyle w:val="BodyText"/>
        <w:spacing w:before="100" w:line="360" w:lineRule="auto"/>
        <w:ind w:left="720" w:right="1022" w:firstLine="720"/>
      </w:pPr>
      <w:r>
        <w:t>Mechanistically, carbapenem-induced neurotoxicity is attributed to the competitive inhibition of GABA-A receptors, resulting in impaired inhibitory neurotransmission and heightened CNS excitability.</w:t>
      </w:r>
      <w:r w:rsidR="00B80D40">
        <w:t xml:space="preserve"> </w:t>
      </w:r>
      <w:r w:rsidR="00B80D40" w:rsidRPr="00B80D40">
        <w:t>⁸</w:t>
      </w:r>
      <w:r>
        <w:t xml:space="preserve"> This explains the wide spectrum of neurologic manifestations ranging from confusion and agitation to hallucinations and seizures.</w:t>
      </w:r>
      <w:r w:rsidR="00B80D40" w:rsidRPr="00B80D40">
        <w:t xml:space="preserve"> ⁹</w:t>
      </w:r>
      <w:r>
        <w:t xml:space="preserve"> </w:t>
      </w:r>
      <w:proofErr w:type="gramStart"/>
      <w:r>
        <w:t>In</w:t>
      </w:r>
      <w:proofErr w:type="gramEnd"/>
      <w:r>
        <w:t xml:space="preserve"> this case, the patient experienced vivid visual hallucinations and profound encephalopathy, with symptom onset approximately two weeks into therapy. Importantly, her presentation occurred in the </w:t>
      </w:r>
      <w:r>
        <w:lastRenderedPageBreak/>
        <w:t>absence of other metabolic, structural, or infectious causes, strengthening the causal association with ertapenem.</w:t>
      </w:r>
    </w:p>
    <w:p w14:paraId="7FA48159" w14:textId="799B23CF" w:rsidR="004333CB" w:rsidRDefault="004333CB" w:rsidP="004333CB">
      <w:pPr>
        <w:pStyle w:val="BodyText"/>
        <w:spacing w:before="100" w:line="360" w:lineRule="auto"/>
        <w:ind w:left="720" w:right="1022" w:firstLine="720"/>
      </w:pPr>
      <w:r>
        <w:t>The diagnosis of ertapenem-induced neurotoxicity remains challenging, as symptoms are often nonspecific and may be misattributed to delirium, underlying dementia, or uremia. As such, recognition often requires a high index of suspicion and a structured process of exclusion. In our case, early identification and discontinuation of ertapenem were pivotal in reversing symptoms. Notably, the patient experienced rapid neurologic improvement within 48 hours of stopping ertapenem and initiating supportive measures, including albumin infusion and symptom-directed pharmacologic therapy. This time course aligns with prior case reports and reinforces the reversibility of symptoms with prompt intervention.</w:t>
      </w:r>
    </w:p>
    <w:p w14:paraId="10A67648" w14:textId="0A3A3C73" w:rsidR="004333CB" w:rsidRDefault="004333CB" w:rsidP="004333CB">
      <w:pPr>
        <w:pStyle w:val="BodyText"/>
        <w:spacing w:before="100" w:line="360" w:lineRule="auto"/>
        <w:ind w:left="720" w:right="1022" w:firstLine="720"/>
      </w:pPr>
      <w:r>
        <w:t>The use of intravenous 25% albumin to accelerate clearance of free ertapenem represents a novel and rational approach in this setting.</w:t>
      </w:r>
      <w:r w:rsidR="001E0206" w:rsidRPr="001E0206">
        <w:t xml:space="preserve"> ¹⁰</w:t>
      </w:r>
      <w:r>
        <w:t xml:space="preserve"> Ertapenem is highly protein-bound (85–95%), primarily to albumin, and hypoalbuminemia has been shown to significantly increase the free, pharmacologically active fraction of the drug, thus r</w:t>
      </w:r>
      <w:r w:rsidR="001861AC">
        <w:t xml:space="preserve">aising neurotoxicity risk. </w:t>
      </w:r>
      <w:r w:rsidR="001861AC" w:rsidRPr="001861AC">
        <w:t>¹</w:t>
      </w:r>
      <w:r w:rsidR="001861AC" w:rsidRPr="00927099">
        <w:t>¹</w:t>
      </w:r>
      <w:r w:rsidR="001861AC">
        <w:t xml:space="preserve"> </w:t>
      </w:r>
      <w:r>
        <w:t>Studies in critically ill patients have demonstrated that hypoalbuminemia not only affects drug pharmacokinetics but also correlates with higher rates of adverse drug e</w:t>
      </w:r>
      <w:r w:rsidR="001861AC">
        <w:t xml:space="preserve">vents, including neurotoxicity. </w:t>
      </w:r>
      <w:r w:rsidR="001861AC" w:rsidRPr="001861AC">
        <w:t>¹²</w:t>
      </w:r>
    </w:p>
    <w:p w14:paraId="73C0E85A" w14:textId="6C13256F" w:rsidR="004333CB" w:rsidRDefault="004333CB" w:rsidP="004333CB">
      <w:pPr>
        <w:pStyle w:val="BodyText"/>
        <w:spacing w:before="100" w:line="360" w:lineRule="auto"/>
        <w:ind w:left="720" w:right="1022" w:firstLine="720"/>
      </w:pPr>
      <w:r w:rsidRPr="004333CB">
        <w:t xml:space="preserve">Albumin administration in </w:t>
      </w:r>
      <w:proofErr w:type="spellStart"/>
      <w:r w:rsidRPr="004333CB">
        <w:t>hypoalbuminemic</w:t>
      </w:r>
      <w:proofErr w:type="spellEnd"/>
      <w:r w:rsidRPr="004333CB">
        <w:t xml:space="preserve"> patients has been explored as a strategy to restore protein binding and reduce free drug concentrations, thereby mitigating toxicity. Although direct evidence in ertapenem neurotoxicity is limited, analogous clinical experience with other highly protein-bound drugs supports this approach.</w:t>
      </w:r>
      <w:r w:rsidR="001861AC" w:rsidRPr="001861AC">
        <w:t xml:space="preserve"> </w:t>
      </w:r>
      <w:r w:rsidR="001861AC">
        <w:t>¹</w:t>
      </w:r>
      <w:r w:rsidR="001861AC" w:rsidRPr="001861AC">
        <w:t>³</w:t>
      </w:r>
      <w:r w:rsidRPr="004333CB">
        <w:t xml:space="preserve"> </w:t>
      </w:r>
      <w:proofErr w:type="gramStart"/>
      <w:r w:rsidR="004D2BB7" w:rsidRPr="004D2BB7">
        <w:t>An</w:t>
      </w:r>
      <w:proofErr w:type="gramEnd"/>
      <w:r w:rsidR="004D2BB7" w:rsidRPr="004D2BB7">
        <w:t xml:space="preserve"> experimental pharmacokinetic study in sheep demonstrated that albumin replacement significantly altered the pharmacokinetics of highly protein-bound beta-lactams, including ceftriaxone and ertapenem, by reducing the apparent volume of distribution of total drug concentration</w:t>
      </w:r>
      <w:r w:rsidR="004D2BB7">
        <w:t xml:space="preserve">. </w:t>
      </w:r>
      <w:r w:rsidR="004D2BB7" w:rsidRPr="004D2BB7">
        <w:t xml:space="preserve">¹⁰ However, published case reports involving albumin infusion in carbapenem-related neurotoxicity </w:t>
      </w:r>
      <w:r w:rsidR="004D2BB7">
        <w:t xml:space="preserve">in humans </w:t>
      </w:r>
      <w:r w:rsidR="004D2BB7" w:rsidRPr="004D2BB7">
        <w:t>are sparse, and further research is needed before this approach can be routinely recommended in clinical practice.</w:t>
      </w:r>
    </w:p>
    <w:p w14:paraId="358FF4CF" w14:textId="4EADE236" w:rsidR="00DF7866" w:rsidRDefault="00DF7866" w:rsidP="004333CB">
      <w:pPr>
        <w:pStyle w:val="BodyText"/>
        <w:spacing w:before="100" w:line="360" w:lineRule="auto"/>
        <w:ind w:left="720" w:right="1022" w:firstLine="720"/>
      </w:pPr>
      <w:r>
        <w:t>An i</w:t>
      </w:r>
      <w:r w:rsidRPr="00DF7866">
        <w:t xml:space="preserve">mportant limitation in the evaluation of this case is the lack of therapeutic drug monitoring (TDM) for ertapenem. While TDM is increasingly used for beta-lactams in critically ill patients, no routine assays are currently available for ertapenem in most clinical </w:t>
      </w:r>
      <w:r w:rsidRPr="00DF7866">
        <w:lastRenderedPageBreak/>
        <w:t>settings. Although we did not obtain an ertapenem level in</w:t>
      </w:r>
      <w:r>
        <w:t xml:space="preserve"> this patient, a recent study</w:t>
      </w:r>
      <w:r w:rsidRPr="00DF7866">
        <w:t xml:space="preserve"> suggested that mean ertapenem trough concentrations may be significantly higher in patients with renal impairment, potentially exce</w:t>
      </w:r>
      <w:r>
        <w:t xml:space="preserve">eding </w:t>
      </w:r>
      <w:r w:rsidR="000D4CF3">
        <w:t>pharmacodynamic</w:t>
      </w:r>
      <w:r>
        <w:t xml:space="preserve"> </w:t>
      </w:r>
      <w:proofErr w:type="gramStart"/>
      <w:r>
        <w:t>targets.¹</w:t>
      </w:r>
      <w:proofErr w:type="gramEnd"/>
      <w:r w:rsidRPr="00DF7866">
        <w:t>⁶ However, this small pharmacokinetic study did not correlate trough levels with neurotoxicity risk, and larger, prospective studies are needed to establish clinically relevant exposure thresholds.</w:t>
      </w:r>
      <w:r w:rsidR="000D4CF3" w:rsidRPr="000D4CF3">
        <w:t xml:space="preserve"> </w:t>
      </w:r>
      <w:r w:rsidR="000D4CF3">
        <w:t>¹</w:t>
      </w:r>
      <w:r w:rsidR="000D4CF3" w:rsidRPr="00DF7866">
        <w:t>⁶</w:t>
      </w:r>
      <w:r w:rsidRPr="00DF7866">
        <w:t xml:space="preserve"> </w:t>
      </w:r>
      <w:proofErr w:type="gramStart"/>
      <w:r w:rsidRPr="00DF7866">
        <w:t>As</w:t>
      </w:r>
      <w:proofErr w:type="gramEnd"/>
      <w:r w:rsidRPr="00DF7866">
        <w:t xml:space="preserve"> such, the inability to quantify ertapenem levels in real time remains a barrier to early detection and mitigation of carbapenem-associated neurotoxicity.</w:t>
      </w:r>
    </w:p>
    <w:p w14:paraId="523D2C26" w14:textId="1284A3FC" w:rsidR="009C4EEE" w:rsidRDefault="009C4EEE" w:rsidP="004333CB">
      <w:pPr>
        <w:pStyle w:val="BodyText"/>
        <w:spacing w:before="100" w:line="360" w:lineRule="auto"/>
        <w:ind w:left="720" w:right="1022" w:firstLine="720"/>
      </w:pPr>
      <w:r w:rsidRPr="009C4EEE">
        <w:t xml:space="preserve">To further evaluate the likelihood of a causal relationship between ertapenem and the patient's neurotoxicity, we applied the Naranjo Adverse Drug Reaction Probability Scale. The patient received a score of 7, indicating a probable adverse drug reaction. This was based on the temporal association of symptom onset with ertapenem therapy, lack of alternative explanations, improvement following drug discontinuation, and previous reports of similar reactions. No </w:t>
      </w:r>
      <w:proofErr w:type="spellStart"/>
      <w:r w:rsidRPr="009C4EEE">
        <w:t>rechallenge</w:t>
      </w:r>
      <w:proofErr w:type="spellEnd"/>
      <w:r w:rsidRPr="009C4EEE">
        <w:t xml:space="preserve"> was performed due to ethical concerns. While central nervous system infections were initially considered in the differential diagnosis, cerebrospinal fluid analysis, neuroimaging, and the absence of fever or leukocytosis made an infectious etiology highly unlikely. The structured application of the Naranjo tool supports ertapenem as the most plausible causative agent in this case.</w:t>
      </w:r>
    </w:p>
    <w:p w14:paraId="68CC8701" w14:textId="77777777" w:rsidR="004333CB" w:rsidRPr="004333CB" w:rsidRDefault="004333CB" w:rsidP="004333CB">
      <w:pPr>
        <w:pStyle w:val="BodyText"/>
        <w:spacing w:line="360" w:lineRule="auto"/>
        <w:ind w:left="720" w:right="1022" w:firstLine="720"/>
        <w:rPr>
          <w:lang w:val="en-CA"/>
        </w:rPr>
      </w:pPr>
      <w:r w:rsidRPr="004333CB">
        <w:rPr>
          <w:lang w:val="en-CA"/>
        </w:rPr>
        <w:t xml:space="preserve">This report is subject to several limitations. First, as a single case report, the findings may not be generalizable to broader patient populations. Second, the retrospective nature of the chart review introduces the possibility of incomplete documentation, particularly regarding the patient’s neurologic baseline and timeline of symptom onset. Third, while causality is strongly supported by the clinical course and resolution after drug discontinuation, </w:t>
      </w:r>
      <w:proofErr w:type="spellStart"/>
      <w:r w:rsidRPr="004333CB">
        <w:rPr>
          <w:lang w:val="en-CA"/>
        </w:rPr>
        <w:t>rechallenge</w:t>
      </w:r>
      <w:proofErr w:type="spellEnd"/>
      <w:r w:rsidRPr="004333CB">
        <w:rPr>
          <w:lang w:val="en-CA"/>
        </w:rPr>
        <w:t xml:space="preserve"> was not performed for ethical reasons, and serum ertapenem levels were not measured. Additionally, the use of albumin as an adjunctive therapy, while biologically plausible, lacks randomized data and cannot be definitively linked to the patient’s improvement. Finally, confounding variables such as uremia and polypharmacy, though carefully evaluated and deemed unlikely contributors, cannot be entirely excluded.</w:t>
      </w:r>
    </w:p>
    <w:p w14:paraId="60284DA5" w14:textId="01A856E2" w:rsidR="00737F8A" w:rsidRDefault="004333CB" w:rsidP="004333CB">
      <w:pPr>
        <w:pStyle w:val="BodyText"/>
        <w:spacing w:before="100" w:line="360" w:lineRule="auto"/>
        <w:ind w:left="720" w:right="1022" w:firstLine="720"/>
      </w:pPr>
      <w:r>
        <w:t xml:space="preserve">This case also underscores the need for careful antibiotic selection in patients with multiple medical comorbidities, particularly when initiating long-term intravenous therapy in outpatient settings. Risk stratification for neurotoxicity should include assessment of renal function, albumin levels, and pre-existing neurologic vulnerability. </w:t>
      </w:r>
      <w:r w:rsidR="000D4CF3">
        <w:t xml:space="preserve">Dose adjustments, close clinical </w:t>
      </w:r>
      <w:r>
        <w:t xml:space="preserve">monitoring, and early follow-up should be considered standard practice for </w:t>
      </w:r>
      <w:r>
        <w:lastRenderedPageBreak/>
        <w:t>carbapenems in these populations.</w:t>
      </w:r>
    </w:p>
    <w:p w14:paraId="107D6FF4" w14:textId="77777777" w:rsidR="004333CB" w:rsidRDefault="004333CB" w:rsidP="004333CB">
      <w:pPr>
        <w:pStyle w:val="BodyText"/>
        <w:spacing w:before="100" w:line="360" w:lineRule="auto"/>
        <w:ind w:left="720" w:right="1022" w:firstLine="720"/>
      </w:pPr>
    </w:p>
    <w:p w14:paraId="0537A46D" w14:textId="77777777" w:rsidR="00F323F7" w:rsidRPr="002C4663" w:rsidRDefault="00F323F7" w:rsidP="00F323F7">
      <w:pPr>
        <w:pStyle w:val="BodyText"/>
        <w:spacing w:before="100" w:line="360" w:lineRule="auto"/>
        <w:ind w:right="1022" w:firstLine="720"/>
        <w:rPr>
          <w:u w:val="single"/>
        </w:rPr>
      </w:pPr>
      <w:r w:rsidRPr="002C4663">
        <w:rPr>
          <w:u w:val="single"/>
        </w:rPr>
        <w:t>Conclusion:</w:t>
      </w:r>
    </w:p>
    <w:p w14:paraId="46C7486D" w14:textId="5899B9DE" w:rsidR="003E7E89" w:rsidRDefault="00927CF2" w:rsidP="00C654B7">
      <w:pPr>
        <w:pStyle w:val="BodyText"/>
        <w:spacing w:before="100" w:line="360" w:lineRule="auto"/>
        <w:ind w:left="720" w:right="1022" w:firstLine="720"/>
        <w:rPr>
          <w:lang w:val="en-CA"/>
        </w:rPr>
      </w:pPr>
      <w:r w:rsidRPr="00927CF2">
        <w:rPr>
          <w:lang w:val="en-CA"/>
        </w:rPr>
        <w:t xml:space="preserve">Ertapenem-induced encephalopathy is an important and potentially serious complication of antimicrobial therapy, particularly in patients with renal dysfunction and low albumin levels. Clinicians must maintain a high index of suspicion in patients who develop new neuropsychiatric symptoms while on carbapenems, particularly in the absence of clear metabolic, structural, or infectious causes. Prompt discontinuation of the offending agent and supportive measures can result in full neurologic recovery. Consideration should be given to adjunctive therapies such as albumin infusion to enhance clearance in </w:t>
      </w:r>
      <w:proofErr w:type="spellStart"/>
      <w:r w:rsidRPr="00927CF2">
        <w:rPr>
          <w:lang w:val="en-CA"/>
        </w:rPr>
        <w:t>hypoalbuminemic</w:t>
      </w:r>
      <w:proofErr w:type="spellEnd"/>
      <w:r w:rsidRPr="00927CF2">
        <w:rPr>
          <w:lang w:val="en-CA"/>
        </w:rPr>
        <w:t xml:space="preserve"> patients. This case underscores the importance of vigilant monitoring, individualized pharmacotherapy, and interdisciplinary collaboration in managing complex hospitalized patients.</w:t>
      </w:r>
    </w:p>
    <w:p w14:paraId="2AD467B1" w14:textId="3D3FE261" w:rsidR="004333CB" w:rsidRDefault="004333CB" w:rsidP="00BE7B5B">
      <w:pPr>
        <w:pStyle w:val="BodyText"/>
        <w:spacing w:before="100" w:line="360" w:lineRule="auto"/>
        <w:ind w:right="1022"/>
      </w:pPr>
    </w:p>
    <w:p w14:paraId="5E716585" w14:textId="77777777" w:rsidR="00726849" w:rsidRPr="00A90979" w:rsidRDefault="00726849" w:rsidP="00726849">
      <w:pPr>
        <w:spacing w:before="148" w:line="360" w:lineRule="auto"/>
        <w:ind w:left="720" w:right="991"/>
      </w:pPr>
      <w:r w:rsidRPr="00A90979">
        <w:rPr>
          <w:b/>
        </w:rPr>
        <w:t>Ethical Approval:</w:t>
      </w:r>
      <w:r w:rsidRPr="00A90979">
        <w:t xml:space="preserve"> Ethical approval for the publication of this case report was obtained in accordance with the hospital’s guidelines for ethical conduct in case reporting.</w:t>
      </w:r>
    </w:p>
    <w:p w14:paraId="3F509961" w14:textId="77777777" w:rsidR="00726849" w:rsidRPr="00A90979" w:rsidRDefault="00726849" w:rsidP="00726849">
      <w:pPr>
        <w:spacing w:before="148" w:line="360" w:lineRule="auto"/>
        <w:ind w:left="720" w:right="991"/>
      </w:pPr>
      <w:r w:rsidRPr="00A90979">
        <w:rPr>
          <w:b/>
        </w:rPr>
        <w:t>Consent for Publication:</w:t>
      </w:r>
      <w:r w:rsidRPr="00A90979">
        <w:t xml:space="preserve"> Written informed consent was obtained from the patient for the publication of this case report. A copy of the written consent is available for review by the Editor-in-Chief of this journal.</w:t>
      </w:r>
    </w:p>
    <w:p w14:paraId="372C7809" w14:textId="77777777" w:rsidR="00F7568D" w:rsidRDefault="000426C8" w:rsidP="000426C8">
      <w:pPr>
        <w:spacing w:before="148" w:line="360" w:lineRule="auto"/>
        <w:ind w:left="720" w:right="991"/>
        <w:rPr>
          <w:b/>
        </w:rPr>
      </w:pPr>
      <w:r w:rsidRPr="000426C8">
        <w:rPr>
          <w:b/>
        </w:rPr>
        <w:t>Disclaimer (</w:t>
      </w:r>
      <w:r>
        <w:rPr>
          <w:b/>
        </w:rPr>
        <w:t xml:space="preserve">Use of Artificial Intelligence): </w:t>
      </w:r>
    </w:p>
    <w:p w14:paraId="068E6A77" w14:textId="6E89CA8D" w:rsidR="000426C8" w:rsidRPr="000426C8" w:rsidRDefault="000426C8" w:rsidP="000426C8">
      <w:pPr>
        <w:spacing w:before="148" w:line="360" w:lineRule="auto"/>
        <w:ind w:left="720" w:right="991"/>
        <w:rPr>
          <w:b/>
        </w:rPr>
      </w:pPr>
      <w:r>
        <w:t xml:space="preserve">The author(s) declare that generative AI technologies (e.g., </w:t>
      </w:r>
      <w:proofErr w:type="spellStart"/>
      <w:r>
        <w:t>ChatGPT</w:t>
      </w:r>
      <w:proofErr w:type="spellEnd"/>
      <w:r>
        <w:t>) were used solely for language editing and writing assistance during manuscript preparation. These tools were not used for idea generation, study conception, data analysis, or interpretation.</w:t>
      </w:r>
    </w:p>
    <w:p w14:paraId="5E09AD59" w14:textId="3BE55A24" w:rsidR="000426C8" w:rsidRDefault="000426C8" w:rsidP="000426C8">
      <w:pPr>
        <w:spacing w:before="148" w:line="360" w:lineRule="auto"/>
        <w:ind w:right="991" w:firstLine="720"/>
      </w:pPr>
      <w:r>
        <w:t>The following details describe the AI usage:</w:t>
      </w:r>
    </w:p>
    <w:p w14:paraId="63AF92AA" w14:textId="4F565E4F" w:rsidR="000426C8" w:rsidRDefault="000426C8" w:rsidP="000426C8">
      <w:pPr>
        <w:pStyle w:val="ListParagraph"/>
        <w:numPr>
          <w:ilvl w:val="0"/>
          <w:numId w:val="23"/>
        </w:numPr>
        <w:spacing w:before="148" w:line="360" w:lineRule="auto"/>
        <w:ind w:right="991"/>
      </w:pPr>
      <w:r>
        <w:t xml:space="preserve">AI tool used: </w:t>
      </w:r>
      <w:proofErr w:type="spellStart"/>
      <w:r>
        <w:t>ChatGPT</w:t>
      </w:r>
      <w:proofErr w:type="spellEnd"/>
      <w:r>
        <w:t xml:space="preserve"> (</w:t>
      </w:r>
      <w:proofErr w:type="spellStart"/>
      <w:r>
        <w:t>OpenAI</w:t>
      </w:r>
      <w:proofErr w:type="spellEnd"/>
      <w:r>
        <w:t>), version 3.5</w:t>
      </w:r>
    </w:p>
    <w:p w14:paraId="37E1D7DC" w14:textId="15413679" w:rsidR="000426C8" w:rsidRPr="00A90979" w:rsidRDefault="000426C8" w:rsidP="000426C8">
      <w:pPr>
        <w:pStyle w:val="ListParagraph"/>
        <w:numPr>
          <w:ilvl w:val="0"/>
          <w:numId w:val="23"/>
        </w:numPr>
        <w:spacing w:before="148" w:line="360" w:lineRule="auto"/>
        <w:ind w:right="991"/>
      </w:pPr>
      <w:r>
        <w:t>Purpose: Language editing and refinement</w:t>
      </w:r>
    </w:p>
    <w:p w14:paraId="1E645BD9" w14:textId="77777777" w:rsidR="00726849" w:rsidRDefault="00726849" w:rsidP="00726849">
      <w:pPr>
        <w:spacing w:before="148" w:line="360" w:lineRule="auto"/>
        <w:ind w:left="720" w:right="991"/>
        <w:rPr>
          <w:sz w:val="20"/>
          <w:szCs w:val="20"/>
        </w:rPr>
      </w:pPr>
    </w:p>
    <w:p w14:paraId="291AC52D" w14:textId="77777777" w:rsidR="00726849" w:rsidRDefault="00726849" w:rsidP="00BE7B5B">
      <w:pPr>
        <w:pStyle w:val="BodyText"/>
        <w:spacing w:before="100" w:line="360" w:lineRule="auto"/>
        <w:ind w:right="1022"/>
      </w:pPr>
    </w:p>
    <w:p w14:paraId="4F2B0C65" w14:textId="2C536BA9" w:rsidR="009C4EEE" w:rsidRDefault="009C4EEE" w:rsidP="00BE7B5B">
      <w:pPr>
        <w:pStyle w:val="BodyText"/>
        <w:spacing w:before="100" w:line="360" w:lineRule="auto"/>
        <w:ind w:right="1022"/>
      </w:pPr>
    </w:p>
    <w:p w14:paraId="1755EA98" w14:textId="77CEF7A7" w:rsidR="000426C8" w:rsidRDefault="000426C8" w:rsidP="00BE7B5B">
      <w:pPr>
        <w:pStyle w:val="BodyText"/>
        <w:spacing w:before="100" w:line="360" w:lineRule="auto"/>
        <w:ind w:right="1022"/>
      </w:pPr>
    </w:p>
    <w:p w14:paraId="59FFC1A5" w14:textId="3E4ADDFE" w:rsidR="000426C8" w:rsidRDefault="000426C8" w:rsidP="00BE7B5B">
      <w:pPr>
        <w:pStyle w:val="BodyText"/>
        <w:spacing w:before="100" w:line="360" w:lineRule="auto"/>
        <w:ind w:right="1022"/>
      </w:pPr>
    </w:p>
    <w:p w14:paraId="59334039" w14:textId="34DB7DAC" w:rsidR="000426C8" w:rsidRDefault="000426C8" w:rsidP="00BE7B5B">
      <w:pPr>
        <w:pStyle w:val="BodyText"/>
        <w:spacing w:before="100" w:line="360" w:lineRule="auto"/>
        <w:ind w:right="1022"/>
      </w:pPr>
    </w:p>
    <w:p w14:paraId="6370F910" w14:textId="55538F01" w:rsidR="000426C8" w:rsidRDefault="000426C8" w:rsidP="00BE7B5B">
      <w:pPr>
        <w:pStyle w:val="BodyText"/>
        <w:spacing w:before="100" w:line="360" w:lineRule="auto"/>
        <w:ind w:right="1022"/>
      </w:pPr>
    </w:p>
    <w:p w14:paraId="01A1F574" w14:textId="2583300F" w:rsidR="000426C8" w:rsidRDefault="000426C8" w:rsidP="00BE7B5B">
      <w:pPr>
        <w:pStyle w:val="BodyText"/>
        <w:spacing w:before="100" w:line="360" w:lineRule="auto"/>
        <w:ind w:right="1022"/>
      </w:pPr>
    </w:p>
    <w:p w14:paraId="34D779A1" w14:textId="0F1D8361" w:rsidR="000426C8" w:rsidRDefault="000426C8" w:rsidP="00BE7B5B">
      <w:pPr>
        <w:pStyle w:val="BodyText"/>
        <w:spacing w:before="100" w:line="360" w:lineRule="auto"/>
        <w:ind w:right="1022"/>
      </w:pPr>
    </w:p>
    <w:p w14:paraId="7A45D0F0" w14:textId="181B1F3B" w:rsidR="000426C8" w:rsidRDefault="000426C8" w:rsidP="00BE7B5B">
      <w:pPr>
        <w:pStyle w:val="BodyText"/>
        <w:spacing w:before="100" w:line="360" w:lineRule="auto"/>
        <w:ind w:right="1022"/>
      </w:pPr>
    </w:p>
    <w:p w14:paraId="6389D2ED" w14:textId="1E1BF745" w:rsidR="000426C8" w:rsidRDefault="000426C8" w:rsidP="00BE7B5B">
      <w:pPr>
        <w:pStyle w:val="BodyText"/>
        <w:spacing w:before="100" w:line="360" w:lineRule="auto"/>
        <w:ind w:right="1022"/>
      </w:pPr>
    </w:p>
    <w:p w14:paraId="31E9C817" w14:textId="7DDF9093" w:rsidR="000426C8" w:rsidRDefault="000426C8" w:rsidP="00BE7B5B">
      <w:pPr>
        <w:pStyle w:val="BodyText"/>
        <w:spacing w:before="100" w:line="360" w:lineRule="auto"/>
        <w:ind w:right="1022"/>
      </w:pPr>
    </w:p>
    <w:p w14:paraId="04BA61E0" w14:textId="55FC4EF9" w:rsidR="000426C8" w:rsidRDefault="000426C8" w:rsidP="00BE7B5B">
      <w:pPr>
        <w:pStyle w:val="BodyText"/>
        <w:spacing w:before="100" w:line="360" w:lineRule="auto"/>
        <w:ind w:right="1022"/>
      </w:pPr>
    </w:p>
    <w:p w14:paraId="4B6E8132" w14:textId="020C3E34" w:rsidR="000426C8" w:rsidRDefault="000426C8" w:rsidP="00BE7B5B">
      <w:pPr>
        <w:pStyle w:val="BodyText"/>
        <w:spacing w:before="100" w:line="360" w:lineRule="auto"/>
        <w:ind w:right="1022"/>
      </w:pPr>
    </w:p>
    <w:p w14:paraId="2ABAF0BD" w14:textId="6643C8B4" w:rsidR="000426C8" w:rsidRDefault="000426C8" w:rsidP="00BE7B5B">
      <w:pPr>
        <w:pStyle w:val="BodyText"/>
        <w:spacing w:before="100" w:line="360" w:lineRule="auto"/>
        <w:ind w:right="1022"/>
      </w:pPr>
    </w:p>
    <w:p w14:paraId="51779E4C" w14:textId="1CAA2EB7" w:rsidR="000D4CF3" w:rsidRDefault="000D4CF3" w:rsidP="00BE7B5B">
      <w:pPr>
        <w:pStyle w:val="BodyText"/>
        <w:spacing w:before="100" w:line="360" w:lineRule="auto"/>
        <w:ind w:right="1022"/>
      </w:pPr>
    </w:p>
    <w:p w14:paraId="47CEEFF5" w14:textId="40C2C7F5" w:rsidR="000D4CF3" w:rsidRDefault="000D4CF3" w:rsidP="00BE7B5B">
      <w:pPr>
        <w:pStyle w:val="BodyText"/>
        <w:spacing w:before="100" w:line="360" w:lineRule="auto"/>
        <w:ind w:right="1022"/>
      </w:pPr>
    </w:p>
    <w:p w14:paraId="0B7DDB8C" w14:textId="206E5791" w:rsidR="000D4CF3" w:rsidRDefault="000D4CF3" w:rsidP="00BE7B5B">
      <w:pPr>
        <w:pStyle w:val="BodyText"/>
        <w:spacing w:before="100" w:line="360" w:lineRule="auto"/>
        <w:ind w:right="1022"/>
      </w:pPr>
    </w:p>
    <w:p w14:paraId="44220841" w14:textId="7FDA6429" w:rsidR="000D4CF3" w:rsidRDefault="000D4CF3" w:rsidP="00BE7B5B">
      <w:pPr>
        <w:pStyle w:val="BodyText"/>
        <w:spacing w:before="100" w:line="360" w:lineRule="auto"/>
        <w:ind w:right="1022"/>
      </w:pPr>
    </w:p>
    <w:p w14:paraId="784162B1" w14:textId="11837B17" w:rsidR="000D4CF3" w:rsidRDefault="000D4CF3" w:rsidP="00BE7B5B">
      <w:pPr>
        <w:pStyle w:val="BodyText"/>
        <w:spacing w:before="100" w:line="360" w:lineRule="auto"/>
        <w:ind w:right="1022"/>
      </w:pPr>
    </w:p>
    <w:p w14:paraId="7C15D906" w14:textId="614A5870" w:rsidR="000D4CF3" w:rsidRDefault="000D4CF3" w:rsidP="00BE7B5B">
      <w:pPr>
        <w:pStyle w:val="BodyText"/>
        <w:spacing w:before="100" w:line="360" w:lineRule="auto"/>
        <w:ind w:right="1022"/>
      </w:pPr>
    </w:p>
    <w:p w14:paraId="7C2FA1B7" w14:textId="77777777" w:rsidR="000D4CF3" w:rsidRDefault="000D4CF3" w:rsidP="00BE7B5B">
      <w:pPr>
        <w:pStyle w:val="BodyText"/>
        <w:spacing w:before="100" w:line="360" w:lineRule="auto"/>
        <w:ind w:right="1022"/>
      </w:pPr>
    </w:p>
    <w:p w14:paraId="25A3B0E7" w14:textId="062C75D5" w:rsidR="00043794" w:rsidRDefault="00043794" w:rsidP="00BE7B5B">
      <w:pPr>
        <w:pStyle w:val="BodyText"/>
        <w:spacing w:before="100" w:line="360" w:lineRule="auto"/>
        <w:ind w:right="1022"/>
      </w:pPr>
    </w:p>
    <w:p w14:paraId="1D5B7B0A" w14:textId="50FD41E5" w:rsidR="002C4663" w:rsidRPr="009C4EEE" w:rsidRDefault="002C4663" w:rsidP="00C654B7">
      <w:pPr>
        <w:pStyle w:val="BodyText"/>
        <w:spacing w:before="100" w:line="360" w:lineRule="auto"/>
        <w:ind w:right="1022" w:firstLine="720"/>
        <w:rPr>
          <w:b/>
          <w:u w:val="single"/>
        </w:rPr>
      </w:pPr>
      <w:r w:rsidRPr="009C4EEE">
        <w:rPr>
          <w:b/>
          <w:u w:val="single"/>
        </w:rPr>
        <w:t>References:</w:t>
      </w:r>
    </w:p>
    <w:p w14:paraId="39731C61" w14:textId="0CBADA33" w:rsidR="005E00E3" w:rsidRDefault="005E00E3" w:rsidP="005E00E3">
      <w:pPr>
        <w:pStyle w:val="BodyText"/>
        <w:numPr>
          <w:ilvl w:val="0"/>
          <w:numId w:val="22"/>
        </w:numPr>
        <w:spacing w:line="360" w:lineRule="auto"/>
        <w:ind w:right="1022"/>
        <w:rPr>
          <w:lang w:val="en-CA"/>
        </w:rPr>
      </w:pPr>
      <w:r w:rsidRPr="005E00E3">
        <w:rPr>
          <w:lang w:val="en-CA"/>
        </w:rPr>
        <w:t>Norri</w:t>
      </w:r>
      <w:r>
        <w:rPr>
          <w:lang w:val="en-CA"/>
        </w:rPr>
        <w:t xml:space="preserve">s AH, Shrestha NK, Allison GM </w:t>
      </w:r>
      <w:r w:rsidRPr="00927099">
        <w:rPr>
          <w:i/>
          <w:lang w:val="en-CA"/>
        </w:rPr>
        <w:t>et al</w:t>
      </w:r>
      <w:r w:rsidRPr="005E00E3">
        <w:rPr>
          <w:lang w:val="en-CA"/>
        </w:rPr>
        <w:t>. 2018 Infectious Diseases Society of America Clinical Practice Guideline for the Management of Outpatient Parenteral Antimicrobial Therapy. Clin Infect Dis. 2019 Jan 1;68(1</w:t>
      </w:r>
      <w:proofErr w:type="gramStart"/>
      <w:r w:rsidRPr="005E00E3">
        <w:rPr>
          <w:lang w:val="en-CA"/>
        </w:rPr>
        <w:t>):e</w:t>
      </w:r>
      <w:proofErr w:type="gramEnd"/>
      <w:r w:rsidRPr="005E00E3">
        <w:rPr>
          <w:lang w:val="en-CA"/>
        </w:rPr>
        <w:t>1-e35</w:t>
      </w:r>
    </w:p>
    <w:p w14:paraId="37A3ADA0" w14:textId="2D914790" w:rsidR="00927099" w:rsidRDefault="00927099" w:rsidP="00927099">
      <w:pPr>
        <w:pStyle w:val="BodyText"/>
        <w:numPr>
          <w:ilvl w:val="0"/>
          <w:numId w:val="22"/>
        </w:numPr>
        <w:spacing w:line="360" w:lineRule="auto"/>
        <w:ind w:right="1022"/>
        <w:rPr>
          <w:lang w:val="en-CA"/>
        </w:rPr>
      </w:pPr>
      <w:proofErr w:type="spellStart"/>
      <w:r w:rsidRPr="00927099">
        <w:rPr>
          <w:lang w:val="en-CA"/>
        </w:rPr>
        <w:t>Mitaka</w:t>
      </w:r>
      <w:proofErr w:type="spellEnd"/>
      <w:r w:rsidRPr="00927099">
        <w:rPr>
          <w:lang w:val="en-CA"/>
        </w:rPr>
        <w:t xml:space="preserve"> H, Hasegawa S, Lan KF, Jain R, </w:t>
      </w:r>
      <w:proofErr w:type="spellStart"/>
      <w:r w:rsidRPr="00927099">
        <w:rPr>
          <w:lang w:val="en-CA"/>
        </w:rPr>
        <w:t>Rakita</w:t>
      </w:r>
      <w:proofErr w:type="spellEnd"/>
      <w:r w:rsidRPr="00927099">
        <w:rPr>
          <w:lang w:val="en-CA"/>
        </w:rPr>
        <w:t xml:space="preserve"> RM, Pottinger PS. Characterizing Ertapenem Neurotoxicity: A Systematic Review and Experience at a Tertiary Medical Center. Open Forum Infect Dis. 2024 Apr 16;11(5</w:t>
      </w:r>
      <w:proofErr w:type="gramStart"/>
      <w:r w:rsidRPr="00927099">
        <w:rPr>
          <w:lang w:val="en-CA"/>
        </w:rPr>
        <w:t>):ofae</w:t>
      </w:r>
      <w:proofErr w:type="gramEnd"/>
      <w:r w:rsidRPr="00927099">
        <w:rPr>
          <w:lang w:val="en-CA"/>
        </w:rPr>
        <w:t>214</w:t>
      </w:r>
      <w:r>
        <w:rPr>
          <w:lang w:val="en-CA"/>
        </w:rPr>
        <w:t>.</w:t>
      </w:r>
    </w:p>
    <w:p w14:paraId="3776A4D6" w14:textId="2E3D9CF2" w:rsidR="00927099" w:rsidRDefault="00927099" w:rsidP="00927099">
      <w:pPr>
        <w:pStyle w:val="BodyText"/>
        <w:numPr>
          <w:ilvl w:val="0"/>
          <w:numId w:val="22"/>
        </w:numPr>
        <w:spacing w:line="360" w:lineRule="auto"/>
        <w:ind w:right="1022"/>
        <w:rPr>
          <w:lang w:val="en-CA"/>
        </w:rPr>
      </w:pPr>
      <w:r w:rsidRPr="00927099">
        <w:rPr>
          <w:lang w:val="en-CA"/>
        </w:rPr>
        <w:lastRenderedPageBreak/>
        <w:t xml:space="preserve">Wang C, Zhou Y, Zhou Y, Ye C. Ertapenem-Induced Neurotoxicity: A Literature Review of Clinical Characteristics and Treatment Outcomes. Infect Drug Resist. 2023 Jun </w:t>
      </w:r>
      <w:proofErr w:type="gramStart"/>
      <w:r w:rsidRPr="00927099">
        <w:rPr>
          <w:lang w:val="en-CA"/>
        </w:rPr>
        <w:t>8;16:3649</w:t>
      </w:r>
      <w:proofErr w:type="gramEnd"/>
      <w:r w:rsidRPr="00927099">
        <w:rPr>
          <w:lang w:val="en-CA"/>
        </w:rPr>
        <w:t>-3658.</w:t>
      </w:r>
    </w:p>
    <w:p w14:paraId="33FBFD7E" w14:textId="77777777" w:rsidR="00927099" w:rsidRDefault="00927099" w:rsidP="00927099">
      <w:pPr>
        <w:pStyle w:val="BodyText"/>
        <w:numPr>
          <w:ilvl w:val="0"/>
          <w:numId w:val="22"/>
        </w:numPr>
        <w:spacing w:line="360" w:lineRule="auto"/>
        <w:ind w:right="1022"/>
        <w:rPr>
          <w:lang w:val="en-CA"/>
        </w:rPr>
      </w:pPr>
      <w:r w:rsidRPr="00927099">
        <w:rPr>
          <w:lang w:val="en-CA"/>
        </w:rPr>
        <w:t xml:space="preserve">Fong RKC, Donoghue SG, </w:t>
      </w:r>
      <w:proofErr w:type="spellStart"/>
      <w:r w:rsidRPr="00927099">
        <w:rPr>
          <w:lang w:val="en-CA"/>
        </w:rPr>
        <w:t>Shafi</w:t>
      </w:r>
      <w:proofErr w:type="spellEnd"/>
      <w:r w:rsidRPr="00927099">
        <w:rPr>
          <w:lang w:val="en-CA"/>
        </w:rPr>
        <w:t xml:space="preserve"> H, Tan SY, Lee WB, Wong ECK, </w:t>
      </w:r>
      <w:r w:rsidRPr="00927099">
        <w:rPr>
          <w:i/>
          <w:lang w:val="en-CA"/>
        </w:rPr>
        <w:t>et al</w:t>
      </w:r>
      <w:r w:rsidRPr="00927099">
        <w:rPr>
          <w:lang w:val="en-CA"/>
        </w:rPr>
        <w:t xml:space="preserve">. The Incidence and Risk Factors for Neurotoxicity in Patients on Ertapenem Therapy: </w:t>
      </w:r>
      <w:proofErr w:type="gramStart"/>
      <w:r w:rsidRPr="00927099">
        <w:rPr>
          <w:lang w:val="en-CA"/>
        </w:rPr>
        <w:t>a</w:t>
      </w:r>
      <w:proofErr w:type="gramEnd"/>
      <w:r w:rsidRPr="00927099">
        <w:rPr>
          <w:lang w:val="en-CA"/>
        </w:rPr>
        <w:t xml:space="preserve"> Retrospective Case- Control Study. Open Forum Infect Dis. 2019 Oct;6(Suppl 2</w:t>
      </w:r>
      <w:proofErr w:type="gramStart"/>
      <w:r w:rsidRPr="00927099">
        <w:rPr>
          <w:lang w:val="en-CA"/>
        </w:rPr>
        <w:t>):S</w:t>
      </w:r>
      <w:proofErr w:type="gramEnd"/>
      <w:r w:rsidRPr="00927099">
        <w:rPr>
          <w:lang w:val="en-CA"/>
        </w:rPr>
        <w:t>78.</w:t>
      </w:r>
    </w:p>
    <w:p w14:paraId="01934900" w14:textId="757E8B14" w:rsidR="00C654B7" w:rsidRDefault="00927099" w:rsidP="00B20CAE">
      <w:pPr>
        <w:pStyle w:val="BodyText"/>
        <w:numPr>
          <w:ilvl w:val="0"/>
          <w:numId w:val="22"/>
        </w:numPr>
        <w:spacing w:line="360" w:lineRule="auto"/>
        <w:ind w:right="1022"/>
        <w:rPr>
          <w:lang w:val="en-CA"/>
        </w:rPr>
      </w:pPr>
      <w:r w:rsidRPr="00927099">
        <w:rPr>
          <w:lang w:val="en-CA"/>
        </w:rPr>
        <w:t xml:space="preserve">Patel UC, Fowler MA. Ertapenem-associated neurotoxicity in the spinal cord injury (SCI) population: A case series. J Spinal </w:t>
      </w:r>
      <w:r w:rsidR="00B20CAE">
        <w:rPr>
          <w:lang w:val="en-CA"/>
        </w:rPr>
        <w:t>Cord Med. 2018 Nov;41(6):735-740.</w:t>
      </w:r>
    </w:p>
    <w:p w14:paraId="12AA872A" w14:textId="188F3A27" w:rsidR="00B20CAE" w:rsidRDefault="00B20CAE" w:rsidP="00B20CAE">
      <w:pPr>
        <w:pStyle w:val="BodyText"/>
        <w:numPr>
          <w:ilvl w:val="0"/>
          <w:numId w:val="22"/>
        </w:numPr>
        <w:spacing w:line="360" w:lineRule="auto"/>
        <w:ind w:right="1022"/>
        <w:rPr>
          <w:lang w:val="en-CA"/>
        </w:rPr>
      </w:pPr>
      <w:r w:rsidRPr="00B20CAE">
        <w:rPr>
          <w:lang w:val="en-CA"/>
        </w:rPr>
        <w:t xml:space="preserve">Sutton SS, Jumper M, Cook S, </w:t>
      </w:r>
      <w:proofErr w:type="spellStart"/>
      <w:r w:rsidRPr="00B20CAE">
        <w:rPr>
          <w:lang w:val="en-CA"/>
        </w:rPr>
        <w:t>Edun</w:t>
      </w:r>
      <w:proofErr w:type="spellEnd"/>
      <w:r w:rsidRPr="00B20CAE">
        <w:rPr>
          <w:lang w:val="en-CA"/>
        </w:rPr>
        <w:t xml:space="preserve"> B, Wyatt MD. Ertapenem-Induced Encephalopathy in a Patient </w:t>
      </w:r>
      <w:proofErr w:type="gramStart"/>
      <w:r w:rsidRPr="00B20CAE">
        <w:rPr>
          <w:lang w:val="en-CA"/>
        </w:rPr>
        <w:t>With</w:t>
      </w:r>
      <w:proofErr w:type="gramEnd"/>
      <w:r w:rsidRPr="00B20CAE">
        <w:rPr>
          <w:lang w:val="en-CA"/>
        </w:rPr>
        <w:t xml:space="preserve"> Normal Renal Function. J </w:t>
      </w:r>
      <w:proofErr w:type="spellStart"/>
      <w:r w:rsidRPr="00B20CAE">
        <w:rPr>
          <w:lang w:val="en-CA"/>
        </w:rPr>
        <w:t>Investig</w:t>
      </w:r>
      <w:proofErr w:type="spellEnd"/>
      <w:r w:rsidRPr="00B20CAE">
        <w:rPr>
          <w:lang w:val="en-CA"/>
        </w:rPr>
        <w:t xml:space="preserve"> Med High Impact Case Rep. 2017 Jan 1;5(1):2324709616689376</w:t>
      </w:r>
      <w:r>
        <w:rPr>
          <w:lang w:val="en-CA"/>
        </w:rPr>
        <w:t>.</w:t>
      </w:r>
    </w:p>
    <w:p w14:paraId="07B07E9B" w14:textId="77777777" w:rsidR="009C4EEE" w:rsidRDefault="009C4EEE" w:rsidP="009C4EEE">
      <w:pPr>
        <w:pStyle w:val="BodyText"/>
        <w:numPr>
          <w:ilvl w:val="0"/>
          <w:numId w:val="22"/>
        </w:numPr>
        <w:spacing w:line="360" w:lineRule="auto"/>
        <w:ind w:right="1022"/>
        <w:rPr>
          <w:lang w:val="en-CA"/>
        </w:rPr>
      </w:pPr>
      <w:r w:rsidRPr="009C4EEE">
        <w:rPr>
          <w:lang w:val="en-CA"/>
        </w:rPr>
        <w:t xml:space="preserve">Cannon JP, Lee TA, Clark NM, </w:t>
      </w:r>
      <w:proofErr w:type="spellStart"/>
      <w:r w:rsidRPr="009C4EEE">
        <w:rPr>
          <w:lang w:val="en-CA"/>
        </w:rPr>
        <w:t>Setlak</w:t>
      </w:r>
      <w:proofErr w:type="spellEnd"/>
      <w:r w:rsidRPr="009C4EEE">
        <w:rPr>
          <w:lang w:val="en-CA"/>
        </w:rPr>
        <w:t xml:space="preserve"> P, Grim SA. The risk of seizures among the carbapenems: a meta-analysis. J </w:t>
      </w:r>
      <w:proofErr w:type="spellStart"/>
      <w:r w:rsidRPr="009C4EEE">
        <w:rPr>
          <w:lang w:val="en-CA"/>
        </w:rPr>
        <w:t>Antimicrob</w:t>
      </w:r>
      <w:proofErr w:type="spellEnd"/>
      <w:r w:rsidRPr="009C4EEE">
        <w:rPr>
          <w:lang w:val="en-CA"/>
        </w:rPr>
        <w:t xml:space="preserve"> Chemother. 2014;69(8):2043–55.</w:t>
      </w:r>
    </w:p>
    <w:p w14:paraId="3997727A" w14:textId="77777777" w:rsidR="009C4EEE" w:rsidRDefault="009C4EEE" w:rsidP="009C4EEE">
      <w:pPr>
        <w:pStyle w:val="BodyText"/>
        <w:numPr>
          <w:ilvl w:val="0"/>
          <w:numId w:val="22"/>
        </w:numPr>
        <w:spacing w:line="360" w:lineRule="auto"/>
        <w:ind w:right="1022"/>
        <w:rPr>
          <w:lang w:val="en-CA"/>
        </w:rPr>
      </w:pPr>
      <w:proofErr w:type="spellStart"/>
      <w:r w:rsidRPr="009C4EEE">
        <w:rPr>
          <w:lang w:val="en-CA"/>
        </w:rPr>
        <w:t>Hikida</w:t>
      </w:r>
      <w:proofErr w:type="spellEnd"/>
      <w:r w:rsidRPr="009C4EEE">
        <w:rPr>
          <w:lang w:val="en-CA"/>
        </w:rPr>
        <w:t xml:space="preserve"> M, </w:t>
      </w:r>
      <w:proofErr w:type="spellStart"/>
      <w:r w:rsidRPr="009C4EEE">
        <w:rPr>
          <w:lang w:val="en-CA"/>
        </w:rPr>
        <w:t>Masukawa</w:t>
      </w:r>
      <w:proofErr w:type="spellEnd"/>
      <w:r w:rsidRPr="009C4EEE">
        <w:rPr>
          <w:lang w:val="en-CA"/>
        </w:rPr>
        <w:t xml:space="preserve"> Y, </w:t>
      </w:r>
      <w:proofErr w:type="spellStart"/>
      <w:r w:rsidRPr="009C4EEE">
        <w:rPr>
          <w:lang w:val="en-CA"/>
        </w:rPr>
        <w:t>Nishiki</w:t>
      </w:r>
      <w:proofErr w:type="spellEnd"/>
      <w:r w:rsidRPr="009C4EEE">
        <w:rPr>
          <w:lang w:val="en-CA"/>
        </w:rPr>
        <w:t xml:space="preserve"> K, Inomata N. Low neurotoxicity of LJC 10,627, a novel 1-beta-methyl carbapenem antibiotic: inhibition of gamma-aminobutyric acid A, benzodiazepine, and glycine receptor binding in relation to lack of central nervous system toxicity in rats. </w:t>
      </w:r>
      <w:proofErr w:type="spellStart"/>
      <w:r w:rsidRPr="009C4EEE">
        <w:rPr>
          <w:lang w:val="en-CA"/>
        </w:rPr>
        <w:t>Antimicrob</w:t>
      </w:r>
      <w:proofErr w:type="spellEnd"/>
      <w:r w:rsidRPr="009C4EEE">
        <w:rPr>
          <w:lang w:val="en-CA"/>
        </w:rPr>
        <w:t xml:space="preserve"> Agents Chemother. 1993;37(2):199–202.</w:t>
      </w:r>
    </w:p>
    <w:p w14:paraId="1C56237A" w14:textId="77777777" w:rsidR="009C4EEE" w:rsidRPr="009C4EEE" w:rsidRDefault="009C4EEE" w:rsidP="009C4EEE">
      <w:pPr>
        <w:pStyle w:val="BodyText"/>
        <w:numPr>
          <w:ilvl w:val="0"/>
          <w:numId w:val="22"/>
        </w:numPr>
        <w:spacing w:line="360" w:lineRule="auto"/>
        <w:ind w:right="1022"/>
        <w:rPr>
          <w:lang w:val="en-CA"/>
        </w:rPr>
      </w:pPr>
      <w:proofErr w:type="spellStart"/>
      <w:r w:rsidRPr="009C4EEE">
        <w:t>Sunagawa</w:t>
      </w:r>
      <w:proofErr w:type="spellEnd"/>
      <w:r w:rsidRPr="009C4EEE">
        <w:t xml:space="preserve"> M, Matsumura H, </w:t>
      </w:r>
      <w:proofErr w:type="spellStart"/>
      <w:r w:rsidRPr="009C4EEE">
        <w:t>Sumita</w:t>
      </w:r>
      <w:proofErr w:type="spellEnd"/>
      <w:r w:rsidRPr="009C4EEE">
        <w:t xml:space="preserve"> Y, </w:t>
      </w:r>
      <w:proofErr w:type="spellStart"/>
      <w:r w:rsidRPr="009C4EEE">
        <w:t>Nouda</w:t>
      </w:r>
      <w:proofErr w:type="spellEnd"/>
      <w:r w:rsidRPr="009C4EEE">
        <w:t xml:space="preserve"> H. Structural features resulting in convulsive activity of carbapenem compounds: effect of C-2 side chain. J </w:t>
      </w:r>
      <w:proofErr w:type="spellStart"/>
      <w:r w:rsidRPr="009C4EEE">
        <w:t>Antibiot</w:t>
      </w:r>
      <w:proofErr w:type="spellEnd"/>
      <w:r w:rsidRPr="009C4EEE">
        <w:t xml:space="preserve"> (Tokyo). 1995;48(5):408–16.</w:t>
      </w:r>
    </w:p>
    <w:p w14:paraId="14CE17A2" w14:textId="4D71A866" w:rsidR="001E0206" w:rsidRDefault="001E0206" w:rsidP="009C4EEE">
      <w:pPr>
        <w:pStyle w:val="BodyText"/>
        <w:numPr>
          <w:ilvl w:val="0"/>
          <w:numId w:val="22"/>
        </w:numPr>
        <w:spacing w:line="360" w:lineRule="auto"/>
        <w:ind w:right="1022"/>
        <w:rPr>
          <w:lang w:val="en-CA"/>
        </w:rPr>
      </w:pPr>
      <w:r w:rsidRPr="001E0206">
        <w:rPr>
          <w:lang w:val="en-CA"/>
        </w:rPr>
        <w:t xml:space="preserve">Dhanani JA, Ahern B, </w:t>
      </w:r>
      <w:proofErr w:type="spellStart"/>
      <w:r w:rsidRPr="001E0206">
        <w:rPr>
          <w:lang w:val="en-CA"/>
        </w:rPr>
        <w:t>Lupinsky</w:t>
      </w:r>
      <w:proofErr w:type="spellEnd"/>
      <w:r w:rsidRPr="001E0206">
        <w:rPr>
          <w:lang w:val="en-CA"/>
        </w:rPr>
        <w:t xml:space="preserve"> L, Jackson K, Wallis SC, Abdul-Aziz MH, Lipman J, Roberts JA. Comparative Plasma Pharmacokinetics of Ceftriaxone and Ertapenem in </w:t>
      </w:r>
      <w:proofErr w:type="spellStart"/>
      <w:r w:rsidRPr="001E0206">
        <w:rPr>
          <w:lang w:val="en-CA"/>
        </w:rPr>
        <w:t>Normoalbuminemia</w:t>
      </w:r>
      <w:proofErr w:type="spellEnd"/>
      <w:r w:rsidRPr="001E0206">
        <w:rPr>
          <w:lang w:val="en-CA"/>
        </w:rPr>
        <w:t xml:space="preserve">, Hypoalbuminemia, and Albumin Replacement in a Sheep Model. </w:t>
      </w:r>
      <w:proofErr w:type="spellStart"/>
      <w:r w:rsidRPr="001E0206">
        <w:rPr>
          <w:lang w:val="en-CA"/>
        </w:rPr>
        <w:t>Antimicrob</w:t>
      </w:r>
      <w:proofErr w:type="spellEnd"/>
      <w:r w:rsidRPr="001E0206">
        <w:rPr>
          <w:lang w:val="en-CA"/>
        </w:rPr>
        <w:t xml:space="preserve"> Agents Chemother. 2020 Jun 23;64(7</w:t>
      </w:r>
      <w:proofErr w:type="gramStart"/>
      <w:r w:rsidRPr="001E0206">
        <w:rPr>
          <w:lang w:val="en-CA"/>
        </w:rPr>
        <w:t>):e</w:t>
      </w:r>
      <w:proofErr w:type="gramEnd"/>
      <w:r w:rsidRPr="001E0206">
        <w:rPr>
          <w:lang w:val="en-CA"/>
        </w:rPr>
        <w:t>02584-19.</w:t>
      </w:r>
    </w:p>
    <w:p w14:paraId="077B94BD" w14:textId="77777777" w:rsidR="001861AC" w:rsidRDefault="001861AC" w:rsidP="001861AC">
      <w:pPr>
        <w:pStyle w:val="BodyText"/>
        <w:numPr>
          <w:ilvl w:val="0"/>
          <w:numId w:val="22"/>
        </w:numPr>
        <w:spacing w:line="360" w:lineRule="auto"/>
        <w:ind w:right="1022"/>
        <w:rPr>
          <w:lang w:val="en-CA"/>
        </w:rPr>
      </w:pPr>
      <w:proofErr w:type="spellStart"/>
      <w:r w:rsidRPr="001861AC">
        <w:rPr>
          <w:lang w:val="en-CA"/>
        </w:rPr>
        <w:t>Ulldemolins</w:t>
      </w:r>
      <w:proofErr w:type="spellEnd"/>
      <w:r w:rsidRPr="001861AC">
        <w:rPr>
          <w:lang w:val="en-CA"/>
        </w:rPr>
        <w:t xml:space="preserve"> M, Roberts JA, </w:t>
      </w:r>
      <w:proofErr w:type="spellStart"/>
      <w:r w:rsidRPr="001861AC">
        <w:rPr>
          <w:lang w:val="en-CA"/>
        </w:rPr>
        <w:t>Rello</w:t>
      </w:r>
      <w:proofErr w:type="spellEnd"/>
      <w:r w:rsidRPr="001861AC">
        <w:rPr>
          <w:lang w:val="en-CA"/>
        </w:rPr>
        <w:t xml:space="preserve"> J, Paterson DL, Lipman J. The effects of </w:t>
      </w:r>
      <w:proofErr w:type="spellStart"/>
      <w:r w:rsidRPr="001861AC">
        <w:rPr>
          <w:lang w:val="en-CA"/>
        </w:rPr>
        <w:t>hypoalbuminaemia</w:t>
      </w:r>
      <w:proofErr w:type="spellEnd"/>
      <w:r w:rsidRPr="001861AC">
        <w:rPr>
          <w:lang w:val="en-CA"/>
        </w:rPr>
        <w:t xml:space="preserve"> on optimizing antibacterial dosing in critically ill patients. Clin </w:t>
      </w:r>
      <w:proofErr w:type="spellStart"/>
      <w:r w:rsidRPr="001861AC">
        <w:rPr>
          <w:lang w:val="en-CA"/>
        </w:rPr>
        <w:t>Pharmacokinet</w:t>
      </w:r>
      <w:proofErr w:type="spellEnd"/>
      <w:r w:rsidRPr="001861AC">
        <w:rPr>
          <w:lang w:val="en-CA"/>
        </w:rPr>
        <w:t xml:space="preserve">. 2011 Feb;50(2):99-110. </w:t>
      </w:r>
    </w:p>
    <w:p w14:paraId="05EED97C" w14:textId="7EAA00EC" w:rsidR="001E0206" w:rsidRDefault="001E0206" w:rsidP="001861AC">
      <w:pPr>
        <w:pStyle w:val="BodyText"/>
        <w:numPr>
          <w:ilvl w:val="0"/>
          <w:numId w:val="22"/>
        </w:numPr>
        <w:spacing w:line="360" w:lineRule="auto"/>
        <w:ind w:right="1022"/>
        <w:rPr>
          <w:lang w:val="en-CA"/>
        </w:rPr>
      </w:pPr>
      <w:proofErr w:type="spellStart"/>
      <w:r w:rsidRPr="001E0206">
        <w:rPr>
          <w:lang w:val="en-CA"/>
        </w:rPr>
        <w:t>Danés</w:t>
      </w:r>
      <w:proofErr w:type="spellEnd"/>
      <w:r w:rsidRPr="001E0206">
        <w:rPr>
          <w:lang w:val="en-CA"/>
        </w:rPr>
        <w:t xml:space="preserve"> I, Pérez E, </w:t>
      </w:r>
      <w:proofErr w:type="spellStart"/>
      <w:r w:rsidRPr="001E0206">
        <w:rPr>
          <w:lang w:val="en-CA"/>
        </w:rPr>
        <w:t>Pigrau</w:t>
      </w:r>
      <w:proofErr w:type="spellEnd"/>
      <w:r w:rsidRPr="001E0206">
        <w:rPr>
          <w:lang w:val="en-CA"/>
        </w:rPr>
        <w:t xml:space="preserve"> C, </w:t>
      </w:r>
      <w:proofErr w:type="spellStart"/>
      <w:r w:rsidRPr="001E0206">
        <w:rPr>
          <w:lang w:val="en-CA"/>
        </w:rPr>
        <w:t>Gracia</w:t>
      </w:r>
      <w:proofErr w:type="spellEnd"/>
      <w:r w:rsidRPr="001E0206">
        <w:rPr>
          <w:lang w:val="en-CA"/>
        </w:rPr>
        <w:t xml:space="preserve"> RM, </w:t>
      </w:r>
      <w:proofErr w:type="spellStart"/>
      <w:r w:rsidRPr="001E0206">
        <w:rPr>
          <w:lang w:val="en-CA"/>
        </w:rPr>
        <w:t>Perelló</w:t>
      </w:r>
      <w:proofErr w:type="spellEnd"/>
      <w:r w:rsidRPr="001E0206">
        <w:rPr>
          <w:lang w:val="en-CA"/>
        </w:rPr>
        <w:t xml:space="preserve"> M, </w:t>
      </w:r>
      <w:proofErr w:type="spellStart"/>
      <w:r w:rsidRPr="001E0206">
        <w:rPr>
          <w:lang w:val="en-CA"/>
        </w:rPr>
        <w:t>Sueiras</w:t>
      </w:r>
      <w:proofErr w:type="spellEnd"/>
      <w:r w:rsidRPr="001E0206">
        <w:rPr>
          <w:lang w:val="en-CA"/>
        </w:rPr>
        <w:t xml:space="preserve"> M, Aguilera C, </w:t>
      </w:r>
      <w:proofErr w:type="spellStart"/>
      <w:r w:rsidRPr="001E0206">
        <w:rPr>
          <w:lang w:val="en-CA"/>
        </w:rPr>
        <w:t>Agustí</w:t>
      </w:r>
      <w:proofErr w:type="spellEnd"/>
      <w:r w:rsidRPr="001E0206">
        <w:rPr>
          <w:lang w:val="en-CA"/>
        </w:rPr>
        <w:t xml:space="preserve"> A. A case series of </w:t>
      </w:r>
      <w:proofErr w:type="spellStart"/>
      <w:r w:rsidRPr="001E0206">
        <w:rPr>
          <w:lang w:val="en-CA"/>
        </w:rPr>
        <w:t>confusional</w:t>
      </w:r>
      <w:proofErr w:type="spellEnd"/>
      <w:r w:rsidRPr="001E0206">
        <w:rPr>
          <w:lang w:val="en-CA"/>
        </w:rPr>
        <w:t xml:space="preserve"> states and other neurotoxic effects caused by ertapenem. Br J Clin </w:t>
      </w:r>
      <w:proofErr w:type="spellStart"/>
      <w:r w:rsidRPr="001E0206">
        <w:rPr>
          <w:lang w:val="en-CA"/>
        </w:rPr>
        <w:t>Pharmacol</w:t>
      </w:r>
      <w:proofErr w:type="spellEnd"/>
      <w:r w:rsidRPr="001E0206">
        <w:rPr>
          <w:lang w:val="en-CA"/>
        </w:rPr>
        <w:t>. 2021 Apr;87(4):2140-2145</w:t>
      </w:r>
      <w:r w:rsidR="001861AC">
        <w:rPr>
          <w:lang w:val="en-CA"/>
        </w:rPr>
        <w:t>.</w:t>
      </w:r>
    </w:p>
    <w:p w14:paraId="3CAEC4D9" w14:textId="77777777" w:rsidR="009C4EEE" w:rsidRDefault="009C4EEE" w:rsidP="009C4EEE">
      <w:pPr>
        <w:pStyle w:val="BodyText"/>
        <w:numPr>
          <w:ilvl w:val="0"/>
          <w:numId w:val="22"/>
        </w:numPr>
        <w:spacing w:line="360" w:lineRule="auto"/>
        <w:ind w:right="1022"/>
        <w:rPr>
          <w:lang w:val="en-CA"/>
        </w:rPr>
      </w:pPr>
      <w:proofErr w:type="spellStart"/>
      <w:r w:rsidRPr="009C4EEE">
        <w:rPr>
          <w:lang w:val="en-CA"/>
        </w:rPr>
        <w:t>Idasiak-Piechocka</w:t>
      </w:r>
      <w:proofErr w:type="spellEnd"/>
      <w:r w:rsidRPr="009C4EEE">
        <w:rPr>
          <w:lang w:val="en-CA"/>
        </w:rPr>
        <w:t xml:space="preserve"> I, Lewandowski D, </w:t>
      </w:r>
      <w:proofErr w:type="spellStart"/>
      <w:r w:rsidRPr="009C4EEE">
        <w:rPr>
          <w:lang w:val="en-CA"/>
        </w:rPr>
        <w:t>Świgut</w:t>
      </w:r>
      <w:proofErr w:type="spellEnd"/>
      <w:r w:rsidRPr="009C4EEE">
        <w:rPr>
          <w:lang w:val="en-CA"/>
        </w:rPr>
        <w:t xml:space="preserve"> W, Kalinowski J, </w:t>
      </w:r>
      <w:proofErr w:type="spellStart"/>
      <w:r w:rsidRPr="009C4EEE">
        <w:rPr>
          <w:lang w:val="en-CA"/>
        </w:rPr>
        <w:t>Mikosza</w:t>
      </w:r>
      <w:proofErr w:type="spellEnd"/>
      <w:r w:rsidRPr="009C4EEE">
        <w:rPr>
          <w:lang w:val="en-CA"/>
        </w:rPr>
        <w:t xml:space="preserve"> K, </w:t>
      </w:r>
      <w:proofErr w:type="spellStart"/>
      <w:r w:rsidRPr="009C4EEE">
        <w:rPr>
          <w:lang w:val="en-CA"/>
        </w:rPr>
        <w:t>Suchowiejski</w:t>
      </w:r>
      <w:proofErr w:type="spellEnd"/>
      <w:r w:rsidRPr="009C4EEE">
        <w:rPr>
          <w:lang w:val="en-CA"/>
        </w:rPr>
        <w:t xml:space="preserve"> P, et al. Effect of hypoalbuminemia on drug pharmacokinetics. Front </w:t>
      </w:r>
      <w:proofErr w:type="spellStart"/>
      <w:r w:rsidRPr="009C4EEE">
        <w:rPr>
          <w:lang w:val="en-CA"/>
        </w:rPr>
        <w:t>Pharmacol</w:t>
      </w:r>
      <w:proofErr w:type="spellEnd"/>
      <w:r w:rsidRPr="009C4EEE">
        <w:rPr>
          <w:lang w:val="en-CA"/>
        </w:rPr>
        <w:t xml:space="preserve">. </w:t>
      </w:r>
      <w:proofErr w:type="gramStart"/>
      <w:r w:rsidRPr="009C4EEE">
        <w:rPr>
          <w:lang w:val="en-CA"/>
        </w:rPr>
        <w:lastRenderedPageBreak/>
        <w:t>2025;16:1546465</w:t>
      </w:r>
      <w:proofErr w:type="gramEnd"/>
      <w:r w:rsidRPr="009C4EEE">
        <w:rPr>
          <w:lang w:val="en-CA"/>
        </w:rPr>
        <w:t>.</w:t>
      </w:r>
    </w:p>
    <w:p w14:paraId="665C97F1" w14:textId="1CAD3AA0" w:rsidR="001861AC" w:rsidRDefault="001861AC" w:rsidP="009C4EEE">
      <w:pPr>
        <w:pStyle w:val="BodyText"/>
        <w:numPr>
          <w:ilvl w:val="0"/>
          <w:numId w:val="22"/>
        </w:numPr>
        <w:spacing w:line="360" w:lineRule="auto"/>
        <w:ind w:right="1022"/>
        <w:rPr>
          <w:lang w:val="en-CA"/>
        </w:rPr>
      </w:pPr>
      <w:proofErr w:type="spellStart"/>
      <w:r w:rsidRPr="001861AC">
        <w:rPr>
          <w:lang w:val="en-CA"/>
        </w:rPr>
        <w:t>Osthoff</w:t>
      </w:r>
      <w:proofErr w:type="spellEnd"/>
      <w:r w:rsidRPr="001861AC">
        <w:rPr>
          <w:lang w:val="en-CA"/>
        </w:rPr>
        <w:t xml:space="preserve"> M, </w:t>
      </w:r>
      <w:proofErr w:type="spellStart"/>
      <w:r w:rsidRPr="001861AC">
        <w:rPr>
          <w:lang w:val="en-CA"/>
        </w:rPr>
        <w:t>Siegemund</w:t>
      </w:r>
      <w:proofErr w:type="spellEnd"/>
      <w:r w:rsidRPr="001861AC">
        <w:rPr>
          <w:lang w:val="en-CA"/>
        </w:rPr>
        <w:t xml:space="preserve"> M, </w:t>
      </w:r>
      <w:proofErr w:type="spellStart"/>
      <w:r w:rsidRPr="001861AC">
        <w:rPr>
          <w:lang w:val="en-CA"/>
        </w:rPr>
        <w:t>Balestra</w:t>
      </w:r>
      <w:proofErr w:type="spellEnd"/>
      <w:r w:rsidRPr="001861AC">
        <w:rPr>
          <w:lang w:val="en-CA"/>
        </w:rPr>
        <w:t xml:space="preserve"> G, Abdul-Aziz MH, Roberts JA. Prolonged administration of β-lactam antibiotics - a comprehensive review and critical appraisal. Swiss Med Wkly. 2016 Oct 10;</w:t>
      </w:r>
      <w:proofErr w:type="gramStart"/>
      <w:r w:rsidRPr="001861AC">
        <w:rPr>
          <w:lang w:val="en-CA"/>
        </w:rPr>
        <w:t>146:w</w:t>
      </w:r>
      <w:proofErr w:type="gramEnd"/>
      <w:r w:rsidRPr="001861AC">
        <w:rPr>
          <w:lang w:val="en-CA"/>
        </w:rPr>
        <w:t>14368.</w:t>
      </w:r>
    </w:p>
    <w:p w14:paraId="2A6FF35B" w14:textId="2FF9D6E5" w:rsidR="009C4EEE" w:rsidRDefault="009C4EEE" w:rsidP="009C4EEE">
      <w:pPr>
        <w:pStyle w:val="BodyText"/>
        <w:numPr>
          <w:ilvl w:val="0"/>
          <w:numId w:val="22"/>
        </w:numPr>
        <w:spacing w:line="360" w:lineRule="auto"/>
        <w:ind w:right="1022"/>
        <w:rPr>
          <w:lang w:val="en-CA"/>
        </w:rPr>
      </w:pPr>
      <w:r w:rsidRPr="009C4EEE">
        <w:rPr>
          <w:lang w:val="en-CA"/>
        </w:rPr>
        <w:t xml:space="preserve">Naranjo CA et al. A method for estimating the probability of adverse drug reactions. Clin </w:t>
      </w:r>
      <w:proofErr w:type="spellStart"/>
      <w:r w:rsidRPr="009C4EEE">
        <w:rPr>
          <w:lang w:val="en-CA"/>
        </w:rPr>
        <w:t>Pharmacol</w:t>
      </w:r>
      <w:proofErr w:type="spellEnd"/>
      <w:r w:rsidRPr="009C4EEE">
        <w:rPr>
          <w:lang w:val="en-CA"/>
        </w:rPr>
        <w:t xml:space="preserve"> </w:t>
      </w:r>
      <w:proofErr w:type="spellStart"/>
      <w:r w:rsidRPr="009C4EEE">
        <w:rPr>
          <w:lang w:val="en-CA"/>
        </w:rPr>
        <w:t>Ther</w:t>
      </w:r>
      <w:proofErr w:type="spellEnd"/>
      <w:r w:rsidRPr="009C4EEE">
        <w:rPr>
          <w:lang w:val="en-CA"/>
        </w:rPr>
        <w:t xml:space="preserve"> 1981; 30: 239245.</w:t>
      </w:r>
    </w:p>
    <w:p w14:paraId="1EB5ED4E" w14:textId="2A01A932" w:rsidR="00DF7866" w:rsidRDefault="00DF7866" w:rsidP="00DF7866">
      <w:pPr>
        <w:pStyle w:val="BodyText"/>
        <w:numPr>
          <w:ilvl w:val="0"/>
          <w:numId w:val="22"/>
        </w:numPr>
        <w:spacing w:line="360" w:lineRule="auto"/>
        <w:ind w:right="1022"/>
        <w:rPr>
          <w:lang w:val="en-CA"/>
        </w:rPr>
      </w:pPr>
      <w:proofErr w:type="spellStart"/>
      <w:r w:rsidRPr="00DF7866">
        <w:rPr>
          <w:lang w:val="en-CA"/>
        </w:rPr>
        <w:t>Campany</w:t>
      </w:r>
      <w:proofErr w:type="spellEnd"/>
      <w:r w:rsidRPr="00DF7866">
        <w:rPr>
          <w:lang w:val="en-CA"/>
        </w:rPr>
        <w:t xml:space="preserve">-Herrero D, Pau-Parra A, González-Moreno P, </w:t>
      </w:r>
      <w:proofErr w:type="spellStart"/>
      <w:r w:rsidRPr="00DF7866">
        <w:rPr>
          <w:lang w:val="en-CA"/>
        </w:rPr>
        <w:t>Vima-Bofarull</w:t>
      </w:r>
      <w:proofErr w:type="spellEnd"/>
      <w:r w:rsidRPr="00DF7866">
        <w:rPr>
          <w:lang w:val="en-CA"/>
        </w:rPr>
        <w:t xml:space="preserve"> J, </w:t>
      </w:r>
      <w:proofErr w:type="spellStart"/>
      <w:r w:rsidRPr="00DF7866">
        <w:rPr>
          <w:lang w:val="en-CA"/>
        </w:rPr>
        <w:t>Anguita</w:t>
      </w:r>
      <w:proofErr w:type="spellEnd"/>
      <w:r w:rsidRPr="00DF7866">
        <w:rPr>
          <w:lang w:val="en-CA"/>
        </w:rPr>
        <w:t>-Domingo D, Montoro-</w:t>
      </w:r>
      <w:proofErr w:type="spellStart"/>
      <w:r w:rsidRPr="00DF7866">
        <w:rPr>
          <w:lang w:val="en-CA"/>
        </w:rPr>
        <w:t>Ronsano</w:t>
      </w:r>
      <w:proofErr w:type="spellEnd"/>
      <w:r w:rsidRPr="00DF7866">
        <w:rPr>
          <w:lang w:val="en-CA"/>
        </w:rPr>
        <w:t xml:space="preserve"> B. Ertapenem blood concentration: A retrospective cohort study to analyse risk of neurotoxicity. Br J Clin </w:t>
      </w:r>
      <w:proofErr w:type="spellStart"/>
      <w:r w:rsidRPr="00DF7866">
        <w:rPr>
          <w:lang w:val="en-CA"/>
        </w:rPr>
        <w:t>Pharmacol</w:t>
      </w:r>
      <w:proofErr w:type="spellEnd"/>
      <w:r w:rsidRPr="00DF7866">
        <w:rPr>
          <w:lang w:val="en-CA"/>
        </w:rPr>
        <w:t>. 2023 Sep;89(9):2843-2850</w:t>
      </w:r>
      <w:r>
        <w:rPr>
          <w:lang w:val="en-CA"/>
        </w:rPr>
        <w:t>.</w:t>
      </w:r>
    </w:p>
    <w:p w14:paraId="77499617" w14:textId="77D4ECD2" w:rsidR="00B80D40" w:rsidRDefault="00B80D40" w:rsidP="00B80D40">
      <w:pPr>
        <w:pStyle w:val="BodyText"/>
        <w:spacing w:line="360" w:lineRule="auto"/>
        <w:ind w:right="1022"/>
        <w:rPr>
          <w:lang w:val="en-CA"/>
        </w:rPr>
      </w:pPr>
    </w:p>
    <w:p w14:paraId="3E8E1D6A" w14:textId="059C3273" w:rsidR="00B80D40" w:rsidRDefault="00B80D40" w:rsidP="00B80D40">
      <w:pPr>
        <w:pStyle w:val="BodyText"/>
        <w:spacing w:line="360" w:lineRule="auto"/>
        <w:ind w:right="1022"/>
        <w:rPr>
          <w:lang w:val="en-CA"/>
        </w:rPr>
      </w:pPr>
    </w:p>
    <w:p w14:paraId="11C97DB1" w14:textId="55776B1E" w:rsidR="00E07825" w:rsidRDefault="00E07825" w:rsidP="00F7568D">
      <w:pPr>
        <w:pStyle w:val="BodyText"/>
        <w:spacing w:before="100" w:line="360" w:lineRule="auto"/>
        <w:ind w:right="1022"/>
        <w:rPr>
          <w:b/>
          <w:u w:val="single"/>
        </w:rPr>
      </w:pPr>
      <w:r>
        <w:tab/>
      </w:r>
      <w:r w:rsidR="002B4821">
        <w:rPr>
          <w:b/>
          <w:u w:val="single"/>
        </w:rPr>
        <w:t>Fig</w:t>
      </w:r>
      <w:r w:rsidR="00130BDE" w:rsidRPr="00130BDE">
        <w:rPr>
          <w:b/>
          <w:u w:val="single"/>
        </w:rPr>
        <w:t xml:space="preserve"> 1: Factors in Ertapenem-Induced Neurotoxicity</w:t>
      </w:r>
    </w:p>
    <w:p w14:paraId="0829E472" w14:textId="490B10FA" w:rsidR="00130BDE" w:rsidRPr="00130BDE" w:rsidRDefault="00130BDE" w:rsidP="001762A3">
      <w:pPr>
        <w:pStyle w:val="BodyText"/>
        <w:spacing w:before="100" w:line="360" w:lineRule="auto"/>
        <w:ind w:right="1022" w:firstLine="720"/>
        <w:rPr>
          <w:b/>
          <w:u w:val="single"/>
        </w:rPr>
      </w:pPr>
    </w:p>
    <w:p w14:paraId="35138E03" w14:textId="37108B73" w:rsidR="00E07825" w:rsidRDefault="00E07825" w:rsidP="001762A3">
      <w:pPr>
        <w:pStyle w:val="BodyText"/>
        <w:spacing w:before="100" w:line="360" w:lineRule="auto"/>
        <w:ind w:right="1022" w:firstLine="720"/>
      </w:pPr>
      <w:r w:rsidRPr="00E07825">
        <w:rPr>
          <w:noProof/>
        </w:rPr>
        <w:drawing>
          <wp:inline distT="0" distB="0" distL="0" distR="0" wp14:anchorId="10C29CDD" wp14:editId="79188211">
            <wp:extent cx="6487595" cy="4338084"/>
            <wp:effectExtent l="0" t="0" r="8890" b="571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95793" cy="4343566"/>
                    </a:xfrm>
                    <a:prstGeom prst="rect">
                      <a:avLst/>
                    </a:prstGeom>
                  </pic:spPr>
                </pic:pic>
              </a:graphicData>
            </a:graphic>
          </wp:inline>
        </w:drawing>
      </w:r>
    </w:p>
    <w:p w14:paraId="74ADB469" w14:textId="4005D201" w:rsidR="00485A39" w:rsidRDefault="00E07825" w:rsidP="00F7568D">
      <w:pPr>
        <w:pStyle w:val="BodyText"/>
        <w:spacing w:before="100" w:line="360" w:lineRule="auto"/>
        <w:ind w:right="1022" w:firstLine="720"/>
      </w:pPr>
      <w:r w:rsidRPr="00E07825">
        <w:rPr>
          <w:noProof/>
        </w:rPr>
        <w:lastRenderedPageBreak/>
        <w:drawing>
          <wp:inline distT="0" distB="0" distL="0" distR="0" wp14:anchorId="6133BB3C" wp14:editId="3C547911">
            <wp:extent cx="6734840" cy="681124"/>
            <wp:effectExtent l="0" t="0" r="0" b="508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771189" cy="684800"/>
                    </a:xfrm>
                    <a:prstGeom prst="rect">
                      <a:avLst/>
                    </a:prstGeom>
                  </pic:spPr>
                </pic:pic>
              </a:graphicData>
            </a:graphic>
          </wp:inline>
        </w:drawing>
      </w:r>
    </w:p>
    <w:p w14:paraId="3F810A1D" w14:textId="32A5DE8B" w:rsidR="00005D0D" w:rsidRDefault="00005D0D" w:rsidP="00130BDE">
      <w:pPr>
        <w:pStyle w:val="BodyText"/>
        <w:spacing w:before="100" w:line="360" w:lineRule="auto"/>
        <w:ind w:right="1022"/>
      </w:pPr>
    </w:p>
    <w:p w14:paraId="2705D771" w14:textId="3A4C85F4" w:rsidR="00B80D40" w:rsidRPr="009C4EEE" w:rsidRDefault="00B80D40" w:rsidP="001762A3">
      <w:pPr>
        <w:pStyle w:val="BodyText"/>
        <w:spacing w:before="100" w:line="360" w:lineRule="auto"/>
        <w:ind w:right="1022" w:firstLine="720"/>
        <w:rPr>
          <w:b/>
          <w:u w:val="single"/>
        </w:rPr>
      </w:pPr>
      <w:r w:rsidRPr="009C4EEE">
        <w:rPr>
          <w:b/>
          <w:u w:val="single"/>
        </w:rPr>
        <w:t>Table 1: Admission Day 1 Blood work in Emergency Department:</w:t>
      </w:r>
    </w:p>
    <w:p w14:paraId="6682BCF4" w14:textId="11E3880A" w:rsidR="00D04A5E" w:rsidRDefault="00485A39" w:rsidP="00FA58BE">
      <w:pPr>
        <w:pStyle w:val="Heading1"/>
        <w:tabs>
          <w:tab w:val="left" w:pos="1187"/>
        </w:tabs>
        <w:ind w:left="0" w:firstLine="0"/>
      </w:pPr>
      <w:r>
        <w:t xml:space="preserve"> </w:t>
      </w:r>
      <w:r w:rsidRPr="00485A39">
        <w:rPr>
          <w:noProof/>
        </w:rPr>
        <w:drawing>
          <wp:inline distT="0" distB="0" distL="0" distR="0" wp14:anchorId="60E69E54" wp14:editId="33856180">
            <wp:extent cx="7277100" cy="649859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7277100" cy="6498590"/>
                    </a:xfrm>
                    <a:prstGeom prst="rect">
                      <a:avLst/>
                    </a:prstGeom>
                  </pic:spPr>
                </pic:pic>
              </a:graphicData>
            </a:graphic>
          </wp:inline>
        </w:drawing>
      </w:r>
    </w:p>
    <w:p w14:paraId="703CA2A3" w14:textId="76F4B4EE" w:rsidR="001762A3" w:rsidRDefault="00485A39" w:rsidP="00FA58BE">
      <w:pPr>
        <w:pStyle w:val="Heading1"/>
        <w:tabs>
          <w:tab w:val="left" w:pos="1187"/>
        </w:tabs>
        <w:ind w:left="0" w:firstLine="0"/>
      </w:pPr>
      <w:r w:rsidRPr="00485A39">
        <w:rPr>
          <w:noProof/>
        </w:rPr>
        <w:lastRenderedPageBreak/>
        <w:drawing>
          <wp:inline distT="0" distB="0" distL="0" distR="0" wp14:anchorId="24CE0347" wp14:editId="7218D093">
            <wp:extent cx="5039832" cy="1214959"/>
            <wp:effectExtent l="0" t="0" r="8890" b="444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88610" cy="1226718"/>
                    </a:xfrm>
                    <a:prstGeom prst="rect">
                      <a:avLst/>
                    </a:prstGeom>
                  </pic:spPr>
                </pic:pic>
              </a:graphicData>
            </a:graphic>
          </wp:inline>
        </w:drawing>
      </w:r>
    </w:p>
    <w:p w14:paraId="1F2B3EFF" w14:textId="5087A12F" w:rsidR="00904EF9" w:rsidRDefault="001762A3" w:rsidP="00FA58BE">
      <w:pPr>
        <w:pStyle w:val="Heading1"/>
        <w:tabs>
          <w:tab w:val="left" w:pos="1187"/>
        </w:tabs>
        <w:ind w:left="0" w:firstLine="0"/>
      </w:pPr>
      <w:r>
        <w:tab/>
        <w:t xml:space="preserve"> </w:t>
      </w:r>
    </w:p>
    <w:p w14:paraId="636C8C66" w14:textId="3B872442" w:rsidR="001762A3" w:rsidRPr="00FA58BE" w:rsidRDefault="00904EF9" w:rsidP="00FA58BE">
      <w:pPr>
        <w:pStyle w:val="Heading1"/>
        <w:tabs>
          <w:tab w:val="left" w:pos="1187"/>
        </w:tabs>
        <w:ind w:left="0" w:firstLine="0"/>
      </w:pPr>
      <w:r>
        <w:tab/>
      </w:r>
    </w:p>
    <w:sectPr w:rsidR="001762A3" w:rsidRPr="00FA58BE" w:rsidSect="00715035">
      <w:headerReference w:type="even" r:id="rId12"/>
      <w:headerReference w:type="default" r:id="rId13"/>
      <w:footerReference w:type="even" r:id="rId14"/>
      <w:footerReference w:type="default" r:id="rId15"/>
      <w:headerReference w:type="first" r:id="rId16"/>
      <w:footerReference w:type="first" r:id="rId17"/>
      <w:pgSz w:w="12240" w:h="15840"/>
      <w:pgMar w:top="1500" w:right="400" w:bottom="980" w:left="380" w:header="0" w:footer="7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E9235D" w14:textId="77777777" w:rsidR="0029451D" w:rsidRDefault="0029451D">
      <w:r>
        <w:separator/>
      </w:r>
    </w:p>
  </w:endnote>
  <w:endnote w:type="continuationSeparator" w:id="0">
    <w:p w14:paraId="1ED888F4" w14:textId="77777777" w:rsidR="0029451D" w:rsidRDefault="00294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Arial"/>
    <w:charset w:val="00"/>
    <w:family w:val="swiss"/>
    <w:pitch w:val="variable"/>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adea">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BB437" w14:textId="77777777" w:rsidR="00E8536F" w:rsidRDefault="00E853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E0960" w14:textId="77777777" w:rsidR="00297400" w:rsidRDefault="005F456B">
    <w:pPr>
      <w:pStyle w:val="BodyText"/>
      <w:spacing w:line="14" w:lineRule="auto"/>
      <w:rPr>
        <w:sz w:val="20"/>
      </w:rPr>
    </w:pPr>
    <w:r>
      <w:rPr>
        <w:noProof/>
      </w:rPr>
      <mc:AlternateContent>
        <mc:Choice Requires="wps">
          <w:drawing>
            <wp:anchor distT="0" distB="0" distL="114300" distR="114300" simplePos="0" relativeHeight="487173120" behindDoc="1" locked="0" layoutInCell="1" allowOverlap="1" wp14:anchorId="40D181D6" wp14:editId="406ECD14">
              <wp:simplePos x="0" y="0"/>
              <wp:positionH relativeFrom="page">
                <wp:posOffset>6655435</wp:posOffset>
              </wp:positionH>
              <wp:positionV relativeFrom="page">
                <wp:posOffset>9421495</wp:posOffset>
              </wp:positionV>
              <wp:extent cx="245110" cy="204470"/>
              <wp:effectExtent l="0" t="0" r="0" b="0"/>
              <wp:wrapNone/>
              <wp:docPr id="2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BE460A" w14:textId="744CDE61" w:rsidR="00297400" w:rsidRDefault="00297400">
                          <w:pPr>
                            <w:pStyle w:val="BodyText"/>
                            <w:spacing w:before="20"/>
                            <w:ind w:left="60"/>
                            <w:rPr>
                              <w:rFonts w:ascii="Caladea"/>
                            </w:rPr>
                          </w:pPr>
                          <w:r>
                            <w:fldChar w:fldCharType="begin"/>
                          </w:r>
                          <w:r>
                            <w:rPr>
                              <w:rFonts w:ascii="Caladea"/>
                            </w:rPr>
                            <w:instrText xml:space="preserve"> PAGE </w:instrText>
                          </w:r>
                          <w:r>
                            <w:fldChar w:fldCharType="separate"/>
                          </w:r>
                          <w:r w:rsidR="000D4CF3">
                            <w:rPr>
                              <w:rFonts w:ascii="Caladea"/>
                              <w:noProof/>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D181D6" id="_x0000_t202" coordsize="21600,21600" o:spt="202" path="m,l,21600r21600,l21600,xe">
              <v:stroke joinstyle="miter"/>
              <v:path gradientshapeok="t" o:connecttype="rect"/>
            </v:shapetype>
            <v:shape id="Text Box 1" o:spid="_x0000_s1026" type="#_x0000_t202" style="position:absolute;margin-left:524.05pt;margin-top:741.85pt;width:19.3pt;height:16.1pt;z-index:-1614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" filled="f" stroked="f">
              <v:textbox inset="0,0,0,0">
                <w:txbxContent>
                  <w:p w14:paraId="75BE460A" w14:textId="744CDE61" w:rsidR="00297400" w:rsidRDefault="00297400">
                    <w:pPr>
                      <w:pStyle w:val="BodyText"/>
                      <w:spacing w:before="20"/>
                      <w:ind w:left="60"/>
                      <w:rPr>
                        <w:rFonts w:ascii="Caladea"/>
                      </w:rPr>
                    </w:pPr>
                    <w:r>
                      <w:fldChar w:fldCharType="begin"/>
                    </w:r>
                    <w:r>
                      <w:rPr>
                        <w:rFonts w:ascii="Caladea"/>
                      </w:rPr>
                      <w:instrText xml:space="preserve"> PAGE </w:instrText>
                    </w:r>
                    <w:r>
                      <w:fldChar w:fldCharType="separate"/>
                    </w:r>
                    <w:r w:rsidR="000D4CF3">
                      <w:rPr>
                        <w:rFonts w:ascii="Caladea"/>
                        <w:noProof/>
                      </w:rPr>
                      <w:t>12</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4A39B" w14:textId="77777777" w:rsidR="00E8536F" w:rsidRDefault="00E853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E63AF1" w14:textId="77777777" w:rsidR="0029451D" w:rsidRDefault="0029451D">
      <w:r>
        <w:separator/>
      </w:r>
    </w:p>
  </w:footnote>
  <w:footnote w:type="continuationSeparator" w:id="0">
    <w:p w14:paraId="05FD2BD6" w14:textId="77777777" w:rsidR="0029451D" w:rsidRDefault="00294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179FF" w14:textId="2EC6A99B" w:rsidR="00E8536F" w:rsidRDefault="0029451D">
    <w:pPr>
      <w:pStyle w:val="Header"/>
    </w:pPr>
    <w:r>
      <w:rPr>
        <w:noProof/>
      </w:rPr>
      <w:pict w14:anchorId="694FA0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7355516" o:spid="_x0000_s2050" type="#_x0000_t136" style="position:absolute;margin-left:0;margin-top:0;width:727.1pt;height:80.75pt;rotation:315;z-index:-16139264;mso-position-horizontal:center;mso-position-horizontal-relative:margin;mso-position-vertical:center;mso-position-vertical-relative:margin" o:allowincell="f" fillcolor="silver" stroked="f">
          <v:fill opacity=".5"/>
          <v:textpath style="font-family:&quot;Carlito&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9BCA5" w14:textId="29A5D786" w:rsidR="00E8536F" w:rsidRDefault="0029451D">
    <w:pPr>
      <w:pStyle w:val="Header"/>
    </w:pPr>
    <w:r>
      <w:rPr>
        <w:noProof/>
      </w:rPr>
      <w:pict w14:anchorId="06E8BC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7355517" o:spid="_x0000_s2051" type="#_x0000_t136" style="position:absolute;margin-left:0;margin-top:0;width:727.1pt;height:80.75pt;rotation:315;z-index:-16137216;mso-position-horizontal:center;mso-position-horizontal-relative:margin;mso-position-vertical:center;mso-position-vertical-relative:margin" o:allowincell="f" fillcolor="silver" stroked="f">
          <v:fill opacity=".5"/>
          <v:textpath style="font-family:&quot;Carlito&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A6AFF" w14:textId="40EC53CF" w:rsidR="00E8536F" w:rsidRDefault="0029451D">
    <w:pPr>
      <w:pStyle w:val="Header"/>
    </w:pPr>
    <w:r>
      <w:rPr>
        <w:noProof/>
      </w:rPr>
      <w:pict w14:anchorId="463A2D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7355515" o:spid="_x0000_s2049" type="#_x0000_t136" style="position:absolute;margin-left:0;margin-top:0;width:727.1pt;height:80.75pt;rotation:315;z-index:-16141312;mso-position-horizontal:center;mso-position-horizontal-relative:margin;mso-position-vertical:center;mso-position-vertical-relative:margin" o:allowincell="f" fillcolor="silver" stroked="f">
          <v:fill opacity=".5"/>
          <v:textpath style="font-family:&quot;Carlito&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332A6"/>
    <w:multiLevelType w:val="hybridMultilevel"/>
    <w:tmpl w:val="7520D062"/>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 w15:restartNumberingAfterBreak="0">
    <w:nsid w:val="026F7FD0"/>
    <w:multiLevelType w:val="multilevel"/>
    <w:tmpl w:val="AD8431AE"/>
    <w:lvl w:ilvl="0">
      <w:start w:val="1"/>
      <w:numFmt w:val="decimal"/>
      <w:lvlText w:val="%1-"/>
      <w:lvlJc w:val="left"/>
      <w:pPr>
        <w:ind w:left="1186" w:hanging="122"/>
      </w:pPr>
      <w:rPr>
        <w:rFonts w:ascii="Carlito" w:eastAsia="Carlito" w:hAnsi="Carlito" w:cs="Carlito" w:hint="default"/>
        <w:b/>
        <w:bCs/>
        <w:spacing w:val="-1"/>
        <w:w w:val="23"/>
        <w:sz w:val="24"/>
        <w:szCs w:val="24"/>
        <w:u w:val="single" w:color="000000"/>
        <w:lang w:val="en-US" w:eastAsia="en-US" w:bidi="ar-SA"/>
      </w:rPr>
    </w:lvl>
    <w:lvl w:ilvl="1">
      <w:start w:val="1"/>
      <w:numFmt w:val="decimal"/>
      <w:lvlText w:val="%1.%2"/>
      <w:lvlJc w:val="left"/>
      <w:pPr>
        <w:ind w:left="1426" w:hanging="362"/>
      </w:pPr>
      <w:rPr>
        <w:rFonts w:ascii="Carlito" w:eastAsia="Carlito" w:hAnsi="Carlito" w:cs="Carlito" w:hint="default"/>
        <w:b/>
        <w:bCs/>
        <w:w w:val="100"/>
        <w:sz w:val="24"/>
        <w:szCs w:val="24"/>
        <w:lang w:val="en-US" w:eastAsia="en-US" w:bidi="ar-SA"/>
      </w:rPr>
    </w:lvl>
    <w:lvl w:ilvl="2">
      <w:start w:val="1"/>
      <w:numFmt w:val="decimal"/>
      <w:lvlText w:val="%3."/>
      <w:lvlJc w:val="left"/>
      <w:pPr>
        <w:ind w:left="1784" w:hanging="360"/>
      </w:pPr>
      <w:rPr>
        <w:rFonts w:ascii="Carlito" w:eastAsia="Carlito" w:hAnsi="Carlito" w:cs="Carlito" w:hint="default"/>
        <w:spacing w:val="-10"/>
        <w:w w:val="23"/>
        <w:sz w:val="24"/>
        <w:szCs w:val="24"/>
        <w:lang w:val="en-US" w:eastAsia="en-US" w:bidi="ar-SA"/>
      </w:rPr>
    </w:lvl>
    <w:lvl w:ilvl="3">
      <w:numFmt w:val="bullet"/>
      <w:lvlText w:val="•"/>
      <w:lvlJc w:val="left"/>
      <w:pPr>
        <w:ind w:left="2990" w:hanging="360"/>
      </w:pPr>
      <w:rPr>
        <w:rFonts w:hint="default"/>
        <w:lang w:val="en-US" w:eastAsia="en-US" w:bidi="ar-SA"/>
      </w:rPr>
    </w:lvl>
    <w:lvl w:ilvl="4">
      <w:numFmt w:val="bullet"/>
      <w:lvlText w:val="•"/>
      <w:lvlJc w:val="left"/>
      <w:pPr>
        <w:ind w:left="4200" w:hanging="360"/>
      </w:pPr>
      <w:rPr>
        <w:rFonts w:hint="default"/>
        <w:lang w:val="en-US" w:eastAsia="en-US" w:bidi="ar-SA"/>
      </w:rPr>
    </w:lvl>
    <w:lvl w:ilvl="5">
      <w:numFmt w:val="bullet"/>
      <w:lvlText w:val="•"/>
      <w:lvlJc w:val="left"/>
      <w:pPr>
        <w:ind w:left="5410" w:hanging="360"/>
      </w:pPr>
      <w:rPr>
        <w:rFonts w:hint="default"/>
        <w:lang w:val="en-US" w:eastAsia="en-US" w:bidi="ar-SA"/>
      </w:rPr>
    </w:lvl>
    <w:lvl w:ilvl="6">
      <w:numFmt w:val="bullet"/>
      <w:lvlText w:val="•"/>
      <w:lvlJc w:val="left"/>
      <w:pPr>
        <w:ind w:left="6620" w:hanging="360"/>
      </w:pPr>
      <w:rPr>
        <w:rFonts w:hint="default"/>
        <w:lang w:val="en-US" w:eastAsia="en-US" w:bidi="ar-SA"/>
      </w:rPr>
    </w:lvl>
    <w:lvl w:ilvl="7">
      <w:numFmt w:val="bullet"/>
      <w:lvlText w:val="•"/>
      <w:lvlJc w:val="left"/>
      <w:pPr>
        <w:ind w:left="7830" w:hanging="360"/>
      </w:pPr>
      <w:rPr>
        <w:rFonts w:hint="default"/>
        <w:lang w:val="en-US" w:eastAsia="en-US" w:bidi="ar-SA"/>
      </w:rPr>
    </w:lvl>
    <w:lvl w:ilvl="8">
      <w:numFmt w:val="bullet"/>
      <w:lvlText w:val="•"/>
      <w:lvlJc w:val="left"/>
      <w:pPr>
        <w:ind w:left="9040" w:hanging="360"/>
      </w:pPr>
      <w:rPr>
        <w:rFonts w:hint="default"/>
        <w:lang w:val="en-US" w:eastAsia="en-US" w:bidi="ar-SA"/>
      </w:rPr>
    </w:lvl>
  </w:abstractNum>
  <w:abstractNum w:abstractNumId="2" w15:restartNumberingAfterBreak="0">
    <w:nsid w:val="09DB55E4"/>
    <w:multiLevelType w:val="hybridMultilevel"/>
    <w:tmpl w:val="BF60400E"/>
    <w:lvl w:ilvl="0" w:tplc="D6A4EBF6">
      <w:start w:val="1"/>
      <w:numFmt w:val="lowerLetter"/>
      <w:lvlText w:val="%1)"/>
      <w:lvlJc w:val="left"/>
      <w:pPr>
        <w:ind w:left="834" w:hanging="360"/>
      </w:pPr>
      <w:rPr>
        <w:rFonts w:ascii="Carlito" w:eastAsia="Carlito" w:hAnsi="Carlito" w:cs="Carlito" w:hint="default"/>
        <w:spacing w:val="0"/>
        <w:w w:val="103"/>
        <w:sz w:val="19"/>
        <w:szCs w:val="19"/>
        <w:lang w:val="en-US" w:eastAsia="en-US" w:bidi="ar-SA"/>
      </w:rPr>
    </w:lvl>
    <w:lvl w:ilvl="1" w:tplc="CAFA64E8">
      <w:numFmt w:val="bullet"/>
      <w:lvlText w:val="•"/>
      <w:lvlJc w:val="left"/>
      <w:pPr>
        <w:ind w:left="1138" w:hanging="360"/>
      </w:pPr>
      <w:rPr>
        <w:rFonts w:hint="default"/>
        <w:lang w:val="en-US" w:eastAsia="en-US" w:bidi="ar-SA"/>
      </w:rPr>
    </w:lvl>
    <w:lvl w:ilvl="2" w:tplc="B816A17A">
      <w:numFmt w:val="bullet"/>
      <w:lvlText w:val="•"/>
      <w:lvlJc w:val="left"/>
      <w:pPr>
        <w:ind w:left="1437" w:hanging="360"/>
      </w:pPr>
      <w:rPr>
        <w:rFonts w:hint="default"/>
        <w:lang w:val="en-US" w:eastAsia="en-US" w:bidi="ar-SA"/>
      </w:rPr>
    </w:lvl>
    <w:lvl w:ilvl="3" w:tplc="41A6CF50">
      <w:numFmt w:val="bullet"/>
      <w:lvlText w:val="•"/>
      <w:lvlJc w:val="left"/>
      <w:pPr>
        <w:ind w:left="1736" w:hanging="360"/>
      </w:pPr>
      <w:rPr>
        <w:rFonts w:hint="default"/>
        <w:lang w:val="en-US" w:eastAsia="en-US" w:bidi="ar-SA"/>
      </w:rPr>
    </w:lvl>
    <w:lvl w:ilvl="4" w:tplc="D0A61692">
      <w:numFmt w:val="bullet"/>
      <w:lvlText w:val="•"/>
      <w:lvlJc w:val="left"/>
      <w:pPr>
        <w:ind w:left="2035" w:hanging="360"/>
      </w:pPr>
      <w:rPr>
        <w:rFonts w:hint="default"/>
        <w:lang w:val="en-US" w:eastAsia="en-US" w:bidi="ar-SA"/>
      </w:rPr>
    </w:lvl>
    <w:lvl w:ilvl="5" w:tplc="5A10A9CA">
      <w:numFmt w:val="bullet"/>
      <w:lvlText w:val="•"/>
      <w:lvlJc w:val="left"/>
      <w:pPr>
        <w:ind w:left="2334" w:hanging="360"/>
      </w:pPr>
      <w:rPr>
        <w:rFonts w:hint="default"/>
        <w:lang w:val="en-US" w:eastAsia="en-US" w:bidi="ar-SA"/>
      </w:rPr>
    </w:lvl>
    <w:lvl w:ilvl="6" w:tplc="1572237C">
      <w:numFmt w:val="bullet"/>
      <w:lvlText w:val="•"/>
      <w:lvlJc w:val="left"/>
      <w:pPr>
        <w:ind w:left="2632" w:hanging="360"/>
      </w:pPr>
      <w:rPr>
        <w:rFonts w:hint="default"/>
        <w:lang w:val="en-US" w:eastAsia="en-US" w:bidi="ar-SA"/>
      </w:rPr>
    </w:lvl>
    <w:lvl w:ilvl="7" w:tplc="A6E41CE2">
      <w:numFmt w:val="bullet"/>
      <w:lvlText w:val="•"/>
      <w:lvlJc w:val="left"/>
      <w:pPr>
        <w:ind w:left="2931" w:hanging="360"/>
      </w:pPr>
      <w:rPr>
        <w:rFonts w:hint="default"/>
        <w:lang w:val="en-US" w:eastAsia="en-US" w:bidi="ar-SA"/>
      </w:rPr>
    </w:lvl>
    <w:lvl w:ilvl="8" w:tplc="4C5AA96E">
      <w:numFmt w:val="bullet"/>
      <w:lvlText w:val="•"/>
      <w:lvlJc w:val="left"/>
      <w:pPr>
        <w:ind w:left="3230" w:hanging="360"/>
      </w:pPr>
      <w:rPr>
        <w:rFonts w:hint="default"/>
        <w:lang w:val="en-US" w:eastAsia="en-US" w:bidi="ar-SA"/>
      </w:rPr>
    </w:lvl>
  </w:abstractNum>
  <w:abstractNum w:abstractNumId="3" w15:restartNumberingAfterBreak="0">
    <w:nsid w:val="0B3827C1"/>
    <w:multiLevelType w:val="hybridMultilevel"/>
    <w:tmpl w:val="DE562020"/>
    <w:lvl w:ilvl="0" w:tplc="B06C8D6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246A2147"/>
    <w:multiLevelType w:val="multilevel"/>
    <w:tmpl w:val="9198E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1C71FC"/>
    <w:multiLevelType w:val="hybridMultilevel"/>
    <w:tmpl w:val="86E23710"/>
    <w:lvl w:ilvl="0" w:tplc="55840238">
      <w:start w:val="1"/>
      <w:numFmt w:val="lowerLetter"/>
      <w:lvlText w:val="%1)"/>
      <w:lvlJc w:val="left"/>
      <w:pPr>
        <w:ind w:left="720" w:hanging="36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D419D5"/>
    <w:multiLevelType w:val="hybridMultilevel"/>
    <w:tmpl w:val="BF26B2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227167"/>
    <w:multiLevelType w:val="hybridMultilevel"/>
    <w:tmpl w:val="BC2EC3FA"/>
    <w:lvl w:ilvl="0" w:tplc="E3A84A86">
      <w:start w:val="1"/>
      <w:numFmt w:val="lowerLetter"/>
      <w:lvlText w:val="%1)"/>
      <w:lvlJc w:val="left"/>
      <w:pPr>
        <w:ind w:left="757" w:hanging="360"/>
      </w:pPr>
      <w:rPr>
        <w:rFonts w:ascii="Carlito" w:eastAsia="Carlito" w:hAnsi="Carlito" w:cs="Carlito" w:hint="default"/>
        <w:spacing w:val="0"/>
        <w:w w:val="103"/>
        <w:sz w:val="19"/>
        <w:szCs w:val="19"/>
        <w:lang w:val="en-US" w:eastAsia="en-US" w:bidi="ar-SA"/>
      </w:rPr>
    </w:lvl>
    <w:lvl w:ilvl="1" w:tplc="6EFAFF62">
      <w:numFmt w:val="bullet"/>
      <w:lvlText w:val="•"/>
      <w:lvlJc w:val="left"/>
      <w:pPr>
        <w:ind w:left="1066" w:hanging="360"/>
      </w:pPr>
      <w:rPr>
        <w:rFonts w:hint="default"/>
        <w:lang w:val="en-US" w:eastAsia="en-US" w:bidi="ar-SA"/>
      </w:rPr>
    </w:lvl>
    <w:lvl w:ilvl="2" w:tplc="1C58B958">
      <w:numFmt w:val="bullet"/>
      <w:lvlText w:val="•"/>
      <w:lvlJc w:val="left"/>
      <w:pPr>
        <w:ind w:left="1373" w:hanging="360"/>
      </w:pPr>
      <w:rPr>
        <w:rFonts w:hint="default"/>
        <w:lang w:val="en-US" w:eastAsia="en-US" w:bidi="ar-SA"/>
      </w:rPr>
    </w:lvl>
    <w:lvl w:ilvl="3" w:tplc="042EC232">
      <w:numFmt w:val="bullet"/>
      <w:lvlText w:val="•"/>
      <w:lvlJc w:val="left"/>
      <w:pPr>
        <w:ind w:left="1680" w:hanging="360"/>
      </w:pPr>
      <w:rPr>
        <w:rFonts w:hint="default"/>
        <w:lang w:val="en-US" w:eastAsia="en-US" w:bidi="ar-SA"/>
      </w:rPr>
    </w:lvl>
    <w:lvl w:ilvl="4" w:tplc="A47A5248">
      <w:numFmt w:val="bullet"/>
      <w:lvlText w:val="•"/>
      <w:lvlJc w:val="left"/>
      <w:pPr>
        <w:ind w:left="1987" w:hanging="360"/>
      </w:pPr>
      <w:rPr>
        <w:rFonts w:hint="default"/>
        <w:lang w:val="en-US" w:eastAsia="en-US" w:bidi="ar-SA"/>
      </w:rPr>
    </w:lvl>
    <w:lvl w:ilvl="5" w:tplc="F8BE3304">
      <w:numFmt w:val="bullet"/>
      <w:lvlText w:val="•"/>
      <w:lvlJc w:val="left"/>
      <w:pPr>
        <w:ind w:left="2294" w:hanging="360"/>
      </w:pPr>
      <w:rPr>
        <w:rFonts w:hint="default"/>
        <w:lang w:val="en-US" w:eastAsia="en-US" w:bidi="ar-SA"/>
      </w:rPr>
    </w:lvl>
    <w:lvl w:ilvl="6" w:tplc="91225592">
      <w:numFmt w:val="bullet"/>
      <w:lvlText w:val="•"/>
      <w:lvlJc w:val="left"/>
      <w:pPr>
        <w:ind w:left="2600" w:hanging="360"/>
      </w:pPr>
      <w:rPr>
        <w:rFonts w:hint="default"/>
        <w:lang w:val="en-US" w:eastAsia="en-US" w:bidi="ar-SA"/>
      </w:rPr>
    </w:lvl>
    <w:lvl w:ilvl="7" w:tplc="4A6EE320">
      <w:numFmt w:val="bullet"/>
      <w:lvlText w:val="•"/>
      <w:lvlJc w:val="left"/>
      <w:pPr>
        <w:ind w:left="2907" w:hanging="360"/>
      </w:pPr>
      <w:rPr>
        <w:rFonts w:hint="default"/>
        <w:lang w:val="en-US" w:eastAsia="en-US" w:bidi="ar-SA"/>
      </w:rPr>
    </w:lvl>
    <w:lvl w:ilvl="8" w:tplc="F9442A56">
      <w:numFmt w:val="bullet"/>
      <w:lvlText w:val="•"/>
      <w:lvlJc w:val="left"/>
      <w:pPr>
        <w:ind w:left="3214" w:hanging="360"/>
      </w:pPr>
      <w:rPr>
        <w:rFonts w:hint="default"/>
        <w:lang w:val="en-US" w:eastAsia="en-US" w:bidi="ar-SA"/>
      </w:rPr>
    </w:lvl>
  </w:abstractNum>
  <w:abstractNum w:abstractNumId="8" w15:restartNumberingAfterBreak="0">
    <w:nsid w:val="3F6C4C69"/>
    <w:multiLevelType w:val="hybridMultilevel"/>
    <w:tmpl w:val="F228A8FE"/>
    <w:lvl w:ilvl="0" w:tplc="BB2644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25D1F99"/>
    <w:multiLevelType w:val="multilevel"/>
    <w:tmpl w:val="25B036BC"/>
    <w:lvl w:ilvl="0">
      <w:start w:val="3"/>
      <w:numFmt w:val="decimal"/>
      <w:lvlText w:val="%1."/>
      <w:lvlJc w:val="left"/>
      <w:pPr>
        <w:ind w:left="405" w:hanging="405"/>
      </w:pPr>
      <w:rPr>
        <w:rFonts w:hint="default"/>
      </w:rPr>
    </w:lvl>
    <w:lvl w:ilvl="1">
      <w:start w:val="1"/>
      <w:numFmt w:val="decimal"/>
      <w:lvlText w:val="%1.%2)"/>
      <w:lvlJc w:val="left"/>
      <w:pPr>
        <w:ind w:left="1783" w:hanging="720"/>
      </w:pPr>
      <w:rPr>
        <w:rFonts w:hint="default"/>
      </w:rPr>
    </w:lvl>
    <w:lvl w:ilvl="2">
      <w:start w:val="1"/>
      <w:numFmt w:val="decimal"/>
      <w:lvlText w:val="%1.%2)%3."/>
      <w:lvlJc w:val="left"/>
      <w:pPr>
        <w:ind w:left="2846" w:hanging="720"/>
      </w:pPr>
      <w:rPr>
        <w:rFonts w:hint="default"/>
      </w:rPr>
    </w:lvl>
    <w:lvl w:ilvl="3">
      <w:start w:val="1"/>
      <w:numFmt w:val="decimal"/>
      <w:lvlText w:val="%1.%2)%3.%4."/>
      <w:lvlJc w:val="left"/>
      <w:pPr>
        <w:ind w:left="4269" w:hanging="108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755" w:hanging="144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9241" w:hanging="1800"/>
      </w:pPr>
      <w:rPr>
        <w:rFonts w:hint="default"/>
      </w:rPr>
    </w:lvl>
    <w:lvl w:ilvl="8">
      <w:start w:val="1"/>
      <w:numFmt w:val="decimal"/>
      <w:lvlText w:val="%1.%2)%3.%4.%5.%6.%7.%8.%9."/>
      <w:lvlJc w:val="left"/>
      <w:pPr>
        <w:ind w:left="10664" w:hanging="2160"/>
      </w:pPr>
      <w:rPr>
        <w:rFonts w:hint="default"/>
      </w:rPr>
    </w:lvl>
  </w:abstractNum>
  <w:abstractNum w:abstractNumId="10" w15:restartNumberingAfterBreak="0">
    <w:nsid w:val="4D2841C5"/>
    <w:multiLevelType w:val="hybridMultilevel"/>
    <w:tmpl w:val="5C6AA13E"/>
    <w:lvl w:ilvl="0" w:tplc="04090001">
      <w:start w:val="1"/>
      <w:numFmt w:val="bullet"/>
      <w:lvlText w:val=""/>
      <w:lvlJc w:val="left"/>
      <w:pPr>
        <w:ind w:left="1783" w:hanging="360"/>
      </w:pPr>
      <w:rPr>
        <w:rFonts w:ascii="Symbol" w:hAnsi="Symbol" w:hint="default"/>
      </w:rPr>
    </w:lvl>
    <w:lvl w:ilvl="1" w:tplc="04090003" w:tentative="1">
      <w:start w:val="1"/>
      <w:numFmt w:val="bullet"/>
      <w:lvlText w:val="o"/>
      <w:lvlJc w:val="left"/>
      <w:pPr>
        <w:ind w:left="2503" w:hanging="360"/>
      </w:pPr>
      <w:rPr>
        <w:rFonts w:ascii="Courier New" w:hAnsi="Courier New" w:cs="Courier New" w:hint="default"/>
      </w:rPr>
    </w:lvl>
    <w:lvl w:ilvl="2" w:tplc="04090005" w:tentative="1">
      <w:start w:val="1"/>
      <w:numFmt w:val="bullet"/>
      <w:lvlText w:val=""/>
      <w:lvlJc w:val="left"/>
      <w:pPr>
        <w:ind w:left="3223" w:hanging="360"/>
      </w:pPr>
      <w:rPr>
        <w:rFonts w:ascii="Wingdings" w:hAnsi="Wingdings" w:hint="default"/>
      </w:rPr>
    </w:lvl>
    <w:lvl w:ilvl="3" w:tplc="04090001" w:tentative="1">
      <w:start w:val="1"/>
      <w:numFmt w:val="bullet"/>
      <w:lvlText w:val=""/>
      <w:lvlJc w:val="left"/>
      <w:pPr>
        <w:ind w:left="3943" w:hanging="360"/>
      </w:pPr>
      <w:rPr>
        <w:rFonts w:ascii="Symbol" w:hAnsi="Symbol" w:hint="default"/>
      </w:rPr>
    </w:lvl>
    <w:lvl w:ilvl="4" w:tplc="04090003" w:tentative="1">
      <w:start w:val="1"/>
      <w:numFmt w:val="bullet"/>
      <w:lvlText w:val="o"/>
      <w:lvlJc w:val="left"/>
      <w:pPr>
        <w:ind w:left="4663" w:hanging="360"/>
      </w:pPr>
      <w:rPr>
        <w:rFonts w:ascii="Courier New" w:hAnsi="Courier New" w:cs="Courier New" w:hint="default"/>
      </w:rPr>
    </w:lvl>
    <w:lvl w:ilvl="5" w:tplc="04090005" w:tentative="1">
      <w:start w:val="1"/>
      <w:numFmt w:val="bullet"/>
      <w:lvlText w:val=""/>
      <w:lvlJc w:val="left"/>
      <w:pPr>
        <w:ind w:left="5383" w:hanging="360"/>
      </w:pPr>
      <w:rPr>
        <w:rFonts w:ascii="Wingdings" w:hAnsi="Wingdings" w:hint="default"/>
      </w:rPr>
    </w:lvl>
    <w:lvl w:ilvl="6" w:tplc="04090001" w:tentative="1">
      <w:start w:val="1"/>
      <w:numFmt w:val="bullet"/>
      <w:lvlText w:val=""/>
      <w:lvlJc w:val="left"/>
      <w:pPr>
        <w:ind w:left="6103" w:hanging="360"/>
      </w:pPr>
      <w:rPr>
        <w:rFonts w:ascii="Symbol" w:hAnsi="Symbol" w:hint="default"/>
      </w:rPr>
    </w:lvl>
    <w:lvl w:ilvl="7" w:tplc="04090003" w:tentative="1">
      <w:start w:val="1"/>
      <w:numFmt w:val="bullet"/>
      <w:lvlText w:val="o"/>
      <w:lvlJc w:val="left"/>
      <w:pPr>
        <w:ind w:left="6823" w:hanging="360"/>
      </w:pPr>
      <w:rPr>
        <w:rFonts w:ascii="Courier New" w:hAnsi="Courier New" w:cs="Courier New" w:hint="default"/>
      </w:rPr>
    </w:lvl>
    <w:lvl w:ilvl="8" w:tplc="04090005" w:tentative="1">
      <w:start w:val="1"/>
      <w:numFmt w:val="bullet"/>
      <w:lvlText w:val=""/>
      <w:lvlJc w:val="left"/>
      <w:pPr>
        <w:ind w:left="7543" w:hanging="360"/>
      </w:pPr>
      <w:rPr>
        <w:rFonts w:ascii="Wingdings" w:hAnsi="Wingdings" w:hint="default"/>
      </w:rPr>
    </w:lvl>
  </w:abstractNum>
  <w:abstractNum w:abstractNumId="11" w15:restartNumberingAfterBreak="0">
    <w:nsid w:val="506D3770"/>
    <w:multiLevelType w:val="hybridMultilevel"/>
    <w:tmpl w:val="43B040B6"/>
    <w:lvl w:ilvl="0" w:tplc="1D8CDD1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2153E0B"/>
    <w:multiLevelType w:val="hybridMultilevel"/>
    <w:tmpl w:val="2528B4A2"/>
    <w:lvl w:ilvl="0" w:tplc="B57A8F0C">
      <w:start w:val="1"/>
      <w:numFmt w:val="lowerLetter"/>
      <w:lvlText w:val="%1)"/>
      <w:lvlJc w:val="left"/>
      <w:pPr>
        <w:ind w:left="720" w:hanging="36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5851D2"/>
    <w:multiLevelType w:val="hybridMultilevel"/>
    <w:tmpl w:val="39FE1A80"/>
    <w:lvl w:ilvl="0" w:tplc="04090011">
      <w:start w:val="1"/>
      <w:numFmt w:val="decimal"/>
      <w:lvlText w:val="%1)"/>
      <w:lvlJc w:val="left"/>
      <w:pPr>
        <w:ind w:left="1787" w:hanging="360"/>
      </w:pPr>
      <w:rPr>
        <w:rFonts w:hint="default"/>
      </w:rPr>
    </w:lvl>
    <w:lvl w:ilvl="1" w:tplc="04090019">
      <w:start w:val="1"/>
      <w:numFmt w:val="lowerLetter"/>
      <w:lvlText w:val="%2."/>
      <w:lvlJc w:val="left"/>
      <w:pPr>
        <w:ind w:left="2507" w:hanging="360"/>
      </w:pPr>
    </w:lvl>
    <w:lvl w:ilvl="2" w:tplc="0409001B">
      <w:start w:val="1"/>
      <w:numFmt w:val="lowerRoman"/>
      <w:lvlText w:val="%3."/>
      <w:lvlJc w:val="right"/>
      <w:pPr>
        <w:ind w:left="3227" w:hanging="180"/>
      </w:pPr>
    </w:lvl>
    <w:lvl w:ilvl="3" w:tplc="0409000F" w:tentative="1">
      <w:start w:val="1"/>
      <w:numFmt w:val="decimal"/>
      <w:lvlText w:val="%4."/>
      <w:lvlJc w:val="left"/>
      <w:pPr>
        <w:ind w:left="3947" w:hanging="360"/>
      </w:pPr>
    </w:lvl>
    <w:lvl w:ilvl="4" w:tplc="04090019" w:tentative="1">
      <w:start w:val="1"/>
      <w:numFmt w:val="lowerLetter"/>
      <w:lvlText w:val="%5."/>
      <w:lvlJc w:val="left"/>
      <w:pPr>
        <w:ind w:left="4667" w:hanging="360"/>
      </w:pPr>
    </w:lvl>
    <w:lvl w:ilvl="5" w:tplc="0409001B" w:tentative="1">
      <w:start w:val="1"/>
      <w:numFmt w:val="lowerRoman"/>
      <w:lvlText w:val="%6."/>
      <w:lvlJc w:val="right"/>
      <w:pPr>
        <w:ind w:left="5387" w:hanging="180"/>
      </w:pPr>
    </w:lvl>
    <w:lvl w:ilvl="6" w:tplc="0409000F" w:tentative="1">
      <w:start w:val="1"/>
      <w:numFmt w:val="decimal"/>
      <w:lvlText w:val="%7."/>
      <w:lvlJc w:val="left"/>
      <w:pPr>
        <w:ind w:left="6107" w:hanging="360"/>
      </w:pPr>
    </w:lvl>
    <w:lvl w:ilvl="7" w:tplc="04090019" w:tentative="1">
      <w:start w:val="1"/>
      <w:numFmt w:val="lowerLetter"/>
      <w:lvlText w:val="%8."/>
      <w:lvlJc w:val="left"/>
      <w:pPr>
        <w:ind w:left="6827" w:hanging="360"/>
      </w:pPr>
    </w:lvl>
    <w:lvl w:ilvl="8" w:tplc="0409001B" w:tentative="1">
      <w:start w:val="1"/>
      <w:numFmt w:val="lowerRoman"/>
      <w:lvlText w:val="%9."/>
      <w:lvlJc w:val="right"/>
      <w:pPr>
        <w:ind w:left="7547" w:hanging="180"/>
      </w:pPr>
    </w:lvl>
  </w:abstractNum>
  <w:abstractNum w:abstractNumId="14" w15:restartNumberingAfterBreak="0">
    <w:nsid w:val="5A856177"/>
    <w:multiLevelType w:val="multilevel"/>
    <w:tmpl w:val="25B036BC"/>
    <w:lvl w:ilvl="0">
      <w:start w:val="3"/>
      <w:numFmt w:val="decimal"/>
      <w:lvlText w:val="%1."/>
      <w:lvlJc w:val="left"/>
      <w:pPr>
        <w:ind w:left="405" w:hanging="405"/>
      </w:pPr>
      <w:rPr>
        <w:rFonts w:hint="default"/>
      </w:rPr>
    </w:lvl>
    <w:lvl w:ilvl="1">
      <w:start w:val="1"/>
      <w:numFmt w:val="decimal"/>
      <w:lvlText w:val="%1.%2)"/>
      <w:lvlJc w:val="left"/>
      <w:pPr>
        <w:ind w:left="1783" w:hanging="720"/>
      </w:pPr>
      <w:rPr>
        <w:rFonts w:hint="default"/>
      </w:rPr>
    </w:lvl>
    <w:lvl w:ilvl="2">
      <w:start w:val="1"/>
      <w:numFmt w:val="decimal"/>
      <w:lvlText w:val="%1.%2)%3."/>
      <w:lvlJc w:val="left"/>
      <w:pPr>
        <w:ind w:left="2846" w:hanging="720"/>
      </w:pPr>
      <w:rPr>
        <w:rFonts w:hint="default"/>
      </w:rPr>
    </w:lvl>
    <w:lvl w:ilvl="3">
      <w:start w:val="1"/>
      <w:numFmt w:val="decimal"/>
      <w:lvlText w:val="%1.%2)%3.%4."/>
      <w:lvlJc w:val="left"/>
      <w:pPr>
        <w:ind w:left="4269" w:hanging="108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755" w:hanging="144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9241" w:hanging="1800"/>
      </w:pPr>
      <w:rPr>
        <w:rFonts w:hint="default"/>
      </w:rPr>
    </w:lvl>
    <w:lvl w:ilvl="8">
      <w:start w:val="1"/>
      <w:numFmt w:val="decimal"/>
      <w:lvlText w:val="%1.%2)%3.%4.%5.%6.%7.%8.%9."/>
      <w:lvlJc w:val="left"/>
      <w:pPr>
        <w:ind w:left="10664" w:hanging="2160"/>
      </w:pPr>
      <w:rPr>
        <w:rFonts w:hint="default"/>
      </w:rPr>
    </w:lvl>
  </w:abstractNum>
  <w:abstractNum w:abstractNumId="15" w15:restartNumberingAfterBreak="0">
    <w:nsid w:val="5B301659"/>
    <w:multiLevelType w:val="hybridMultilevel"/>
    <w:tmpl w:val="472E369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B22D25"/>
    <w:multiLevelType w:val="hybridMultilevel"/>
    <w:tmpl w:val="C2D6FE18"/>
    <w:lvl w:ilvl="0" w:tplc="C526BA7C">
      <w:start w:val="54"/>
      <w:numFmt w:val="bullet"/>
      <w:lvlText w:val="-"/>
      <w:lvlJc w:val="left"/>
      <w:pPr>
        <w:ind w:left="1080" w:hanging="360"/>
      </w:pPr>
      <w:rPr>
        <w:rFonts w:ascii="Carlito" w:eastAsia="Carlito" w:hAnsi="Carlito" w:cs="Carlito"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F7D05EA"/>
    <w:multiLevelType w:val="hybridMultilevel"/>
    <w:tmpl w:val="D6564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025BB9"/>
    <w:multiLevelType w:val="multilevel"/>
    <w:tmpl w:val="25B036BC"/>
    <w:lvl w:ilvl="0">
      <w:start w:val="3"/>
      <w:numFmt w:val="decimal"/>
      <w:lvlText w:val="%1."/>
      <w:lvlJc w:val="left"/>
      <w:pPr>
        <w:ind w:left="405" w:hanging="405"/>
      </w:pPr>
      <w:rPr>
        <w:rFonts w:hint="default"/>
      </w:rPr>
    </w:lvl>
    <w:lvl w:ilvl="1">
      <w:start w:val="1"/>
      <w:numFmt w:val="decimal"/>
      <w:lvlText w:val="%1.%2)"/>
      <w:lvlJc w:val="left"/>
      <w:pPr>
        <w:ind w:left="1783" w:hanging="720"/>
      </w:pPr>
      <w:rPr>
        <w:rFonts w:hint="default"/>
      </w:rPr>
    </w:lvl>
    <w:lvl w:ilvl="2">
      <w:start w:val="1"/>
      <w:numFmt w:val="decimal"/>
      <w:lvlText w:val="%1.%2)%3."/>
      <w:lvlJc w:val="left"/>
      <w:pPr>
        <w:ind w:left="2846" w:hanging="720"/>
      </w:pPr>
      <w:rPr>
        <w:rFonts w:hint="default"/>
      </w:rPr>
    </w:lvl>
    <w:lvl w:ilvl="3">
      <w:start w:val="1"/>
      <w:numFmt w:val="decimal"/>
      <w:lvlText w:val="%1.%2)%3.%4."/>
      <w:lvlJc w:val="left"/>
      <w:pPr>
        <w:ind w:left="4269" w:hanging="108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755" w:hanging="144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9241" w:hanging="1800"/>
      </w:pPr>
      <w:rPr>
        <w:rFonts w:hint="default"/>
      </w:rPr>
    </w:lvl>
    <w:lvl w:ilvl="8">
      <w:start w:val="1"/>
      <w:numFmt w:val="decimal"/>
      <w:lvlText w:val="%1.%2)%3.%4.%5.%6.%7.%8.%9."/>
      <w:lvlJc w:val="left"/>
      <w:pPr>
        <w:ind w:left="10664" w:hanging="2160"/>
      </w:pPr>
      <w:rPr>
        <w:rFonts w:hint="default"/>
      </w:rPr>
    </w:lvl>
  </w:abstractNum>
  <w:abstractNum w:abstractNumId="19" w15:restartNumberingAfterBreak="0">
    <w:nsid w:val="65A95A93"/>
    <w:multiLevelType w:val="hybridMultilevel"/>
    <w:tmpl w:val="0666B640"/>
    <w:lvl w:ilvl="0" w:tplc="3BB277E2">
      <w:start w:val="1"/>
      <w:numFmt w:val="lowerLetter"/>
      <w:lvlText w:val="%1)"/>
      <w:lvlJc w:val="left"/>
      <w:pPr>
        <w:ind w:left="760" w:hanging="360"/>
      </w:pPr>
      <w:rPr>
        <w:rFonts w:ascii="Carlito" w:eastAsia="Carlito" w:hAnsi="Carlito" w:cs="Carlito" w:hint="default"/>
        <w:spacing w:val="0"/>
        <w:w w:val="103"/>
        <w:sz w:val="19"/>
        <w:szCs w:val="19"/>
        <w:lang w:val="en-US" w:eastAsia="en-US" w:bidi="ar-SA"/>
      </w:rPr>
    </w:lvl>
    <w:lvl w:ilvl="1" w:tplc="A26444D6">
      <w:numFmt w:val="bullet"/>
      <w:lvlText w:val="•"/>
      <w:lvlJc w:val="left"/>
      <w:pPr>
        <w:ind w:left="982" w:hanging="360"/>
      </w:pPr>
      <w:rPr>
        <w:rFonts w:hint="default"/>
        <w:lang w:val="en-US" w:eastAsia="en-US" w:bidi="ar-SA"/>
      </w:rPr>
    </w:lvl>
    <w:lvl w:ilvl="2" w:tplc="5794377C">
      <w:numFmt w:val="bullet"/>
      <w:lvlText w:val="•"/>
      <w:lvlJc w:val="left"/>
      <w:pPr>
        <w:ind w:left="1205" w:hanging="360"/>
      </w:pPr>
      <w:rPr>
        <w:rFonts w:hint="default"/>
        <w:lang w:val="en-US" w:eastAsia="en-US" w:bidi="ar-SA"/>
      </w:rPr>
    </w:lvl>
    <w:lvl w:ilvl="3" w:tplc="FC02942A">
      <w:numFmt w:val="bullet"/>
      <w:lvlText w:val="•"/>
      <w:lvlJc w:val="left"/>
      <w:pPr>
        <w:ind w:left="1427" w:hanging="360"/>
      </w:pPr>
      <w:rPr>
        <w:rFonts w:hint="default"/>
        <w:lang w:val="en-US" w:eastAsia="en-US" w:bidi="ar-SA"/>
      </w:rPr>
    </w:lvl>
    <w:lvl w:ilvl="4" w:tplc="AD0C2F54">
      <w:numFmt w:val="bullet"/>
      <w:lvlText w:val="•"/>
      <w:lvlJc w:val="left"/>
      <w:pPr>
        <w:ind w:left="1650" w:hanging="360"/>
      </w:pPr>
      <w:rPr>
        <w:rFonts w:hint="default"/>
        <w:lang w:val="en-US" w:eastAsia="en-US" w:bidi="ar-SA"/>
      </w:rPr>
    </w:lvl>
    <w:lvl w:ilvl="5" w:tplc="1E3EA1A4">
      <w:numFmt w:val="bullet"/>
      <w:lvlText w:val="•"/>
      <w:lvlJc w:val="left"/>
      <w:pPr>
        <w:ind w:left="1872" w:hanging="360"/>
      </w:pPr>
      <w:rPr>
        <w:rFonts w:hint="default"/>
        <w:lang w:val="en-US" w:eastAsia="en-US" w:bidi="ar-SA"/>
      </w:rPr>
    </w:lvl>
    <w:lvl w:ilvl="6" w:tplc="9014B89E">
      <w:numFmt w:val="bullet"/>
      <w:lvlText w:val="•"/>
      <w:lvlJc w:val="left"/>
      <w:pPr>
        <w:ind w:left="2095" w:hanging="360"/>
      </w:pPr>
      <w:rPr>
        <w:rFonts w:hint="default"/>
        <w:lang w:val="en-US" w:eastAsia="en-US" w:bidi="ar-SA"/>
      </w:rPr>
    </w:lvl>
    <w:lvl w:ilvl="7" w:tplc="F3CC7DD6">
      <w:numFmt w:val="bullet"/>
      <w:lvlText w:val="•"/>
      <w:lvlJc w:val="left"/>
      <w:pPr>
        <w:ind w:left="2317" w:hanging="360"/>
      </w:pPr>
      <w:rPr>
        <w:rFonts w:hint="default"/>
        <w:lang w:val="en-US" w:eastAsia="en-US" w:bidi="ar-SA"/>
      </w:rPr>
    </w:lvl>
    <w:lvl w:ilvl="8" w:tplc="1890AD72">
      <w:numFmt w:val="bullet"/>
      <w:lvlText w:val="•"/>
      <w:lvlJc w:val="left"/>
      <w:pPr>
        <w:ind w:left="2540" w:hanging="360"/>
      </w:pPr>
      <w:rPr>
        <w:rFonts w:hint="default"/>
        <w:lang w:val="en-US" w:eastAsia="en-US" w:bidi="ar-SA"/>
      </w:rPr>
    </w:lvl>
  </w:abstractNum>
  <w:abstractNum w:abstractNumId="20" w15:restartNumberingAfterBreak="0">
    <w:nsid w:val="6B4C170E"/>
    <w:multiLevelType w:val="hybridMultilevel"/>
    <w:tmpl w:val="BB3EC2AC"/>
    <w:lvl w:ilvl="0" w:tplc="742C15E8">
      <w:start w:val="1"/>
      <w:numFmt w:val="decimal"/>
      <w:lvlText w:val="%1-"/>
      <w:lvlJc w:val="left"/>
      <w:pPr>
        <w:ind w:left="1440" w:hanging="36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71F1FD7"/>
    <w:multiLevelType w:val="multilevel"/>
    <w:tmpl w:val="80666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403212"/>
    <w:multiLevelType w:val="hybridMultilevel"/>
    <w:tmpl w:val="2014F168"/>
    <w:lvl w:ilvl="0" w:tplc="CA3629CA">
      <w:start w:val="1"/>
      <w:numFmt w:val="lowerLetter"/>
      <w:lvlText w:val="%1)"/>
      <w:lvlJc w:val="left"/>
      <w:pPr>
        <w:ind w:left="834" w:hanging="360"/>
      </w:pPr>
      <w:rPr>
        <w:rFonts w:ascii="Carlito" w:eastAsia="Carlito" w:hAnsi="Carlito" w:cs="Carlito" w:hint="default"/>
        <w:spacing w:val="0"/>
        <w:w w:val="103"/>
        <w:sz w:val="19"/>
        <w:szCs w:val="19"/>
        <w:lang w:val="en-US" w:eastAsia="en-US" w:bidi="ar-SA"/>
      </w:rPr>
    </w:lvl>
    <w:lvl w:ilvl="1" w:tplc="A014B5AC">
      <w:numFmt w:val="bullet"/>
      <w:lvlText w:val="•"/>
      <w:lvlJc w:val="left"/>
      <w:pPr>
        <w:ind w:left="1138" w:hanging="360"/>
      </w:pPr>
      <w:rPr>
        <w:rFonts w:hint="default"/>
        <w:lang w:val="en-US" w:eastAsia="en-US" w:bidi="ar-SA"/>
      </w:rPr>
    </w:lvl>
    <w:lvl w:ilvl="2" w:tplc="1B249D1E">
      <w:numFmt w:val="bullet"/>
      <w:lvlText w:val="•"/>
      <w:lvlJc w:val="left"/>
      <w:pPr>
        <w:ind w:left="1437" w:hanging="360"/>
      </w:pPr>
      <w:rPr>
        <w:rFonts w:hint="default"/>
        <w:lang w:val="en-US" w:eastAsia="en-US" w:bidi="ar-SA"/>
      </w:rPr>
    </w:lvl>
    <w:lvl w:ilvl="3" w:tplc="FB3815DE">
      <w:numFmt w:val="bullet"/>
      <w:lvlText w:val="•"/>
      <w:lvlJc w:val="left"/>
      <w:pPr>
        <w:ind w:left="1736" w:hanging="360"/>
      </w:pPr>
      <w:rPr>
        <w:rFonts w:hint="default"/>
        <w:lang w:val="en-US" w:eastAsia="en-US" w:bidi="ar-SA"/>
      </w:rPr>
    </w:lvl>
    <w:lvl w:ilvl="4" w:tplc="5E72923C">
      <w:numFmt w:val="bullet"/>
      <w:lvlText w:val="•"/>
      <w:lvlJc w:val="left"/>
      <w:pPr>
        <w:ind w:left="2035" w:hanging="360"/>
      </w:pPr>
      <w:rPr>
        <w:rFonts w:hint="default"/>
        <w:lang w:val="en-US" w:eastAsia="en-US" w:bidi="ar-SA"/>
      </w:rPr>
    </w:lvl>
    <w:lvl w:ilvl="5" w:tplc="B52ABC10">
      <w:numFmt w:val="bullet"/>
      <w:lvlText w:val="•"/>
      <w:lvlJc w:val="left"/>
      <w:pPr>
        <w:ind w:left="2334" w:hanging="360"/>
      </w:pPr>
      <w:rPr>
        <w:rFonts w:hint="default"/>
        <w:lang w:val="en-US" w:eastAsia="en-US" w:bidi="ar-SA"/>
      </w:rPr>
    </w:lvl>
    <w:lvl w:ilvl="6" w:tplc="3ACE78E0">
      <w:numFmt w:val="bullet"/>
      <w:lvlText w:val="•"/>
      <w:lvlJc w:val="left"/>
      <w:pPr>
        <w:ind w:left="2632" w:hanging="360"/>
      </w:pPr>
      <w:rPr>
        <w:rFonts w:hint="default"/>
        <w:lang w:val="en-US" w:eastAsia="en-US" w:bidi="ar-SA"/>
      </w:rPr>
    </w:lvl>
    <w:lvl w:ilvl="7" w:tplc="A91067FC">
      <w:numFmt w:val="bullet"/>
      <w:lvlText w:val="•"/>
      <w:lvlJc w:val="left"/>
      <w:pPr>
        <w:ind w:left="2931" w:hanging="360"/>
      </w:pPr>
      <w:rPr>
        <w:rFonts w:hint="default"/>
        <w:lang w:val="en-US" w:eastAsia="en-US" w:bidi="ar-SA"/>
      </w:rPr>
    </w:lvl>
    <w:lvl w:ilvl="8" w:tplc="A9409CDC">
      <w:numFmt w:val="bullet"/>
      <w:lvlText w:val="•"/>
      <w:lvlJc w:val="left"/>
      <w:pPr>
        <w:ind w:left="3230" w:hanging="360"/>
      </w:pPr>
      <w:rPr>
        <w:rFonts w:hint="default"/>
        <w:lang w:val="en-US" w:eastAsia="en-US" w:bidi="ar-SA"/>
      </w:rPr>
    </w:lvl>
  </w:abstractNum>
  <w:num w:numId="1">
    <w:abstractNumId w:val="22"/>
  </w:num>
  <w:num w:numId="2">
    <w:abstractNumId w:val="2"/>
  </w:num>
  <w:num w:numId="3">
    <w:abstractNumId w:val="19"/>
  </w:num>
  <w:num w:numId="4">
    <w:abstractNumId w:val="7"/>
  </w:num>
  <w:num w:numId="5">
    <w:abstractNumId w:val="1"/>
  </w:num>
  <w:num w:numId="6">
    <w:abstractNumId w:val="20"/>
  </w:num>
  <w:num w:numId="7">
    <w:abstractNumId w:val="13"/>
  </w:num>
  <w:num w:numId="8">
    <w:abstractNumId w:val="18"/>
  </w:num>
  <w:num w:numId="9">
    <w:abstractNumId w:val="10"/>
  </w:num>
  <w:num w:numId="10">
    <w:abstractNumId w:val="5"/>
  </w:num>
  <w:num w:numId="11">
    <w:abstractNumId w:val="12"/>
  </w:num>
  <w:num w:numId="12">
    <w:abstractNumId w:val="9"/>
  </w:num>
  <w:num w:numId="13">
    <w:abstractNumId w:val="14"/>
  </w:num>
  <w:num w:numId="14">
    <w:abstractNumId w:val="16"/>
  </w:num>
  <w:num w:numId="15">
    <w:abstractNumId w:val="0"/>
  </w:num>
  <w:num w:numId="16">
    <w:abstractNumId w:val="6"/>
  </w:num>
  <w:num w:numId="17">
    <w:abstractNumId w:val="11"/>
  </w:num>
  <w:num w:numId="18">
    <w:abstractNumId w:val="4"/>
  </w:num>
  <w:num w:numId="19">
    <w:abstractNumId w:val="15"/>
  </w:num>
  <w:num w:numId="20">
    <w:abstractNumId w:val="21"/>
  </w:num>
  <w:num w:numId="21">
    <w:abstractNumId w:val="17"/>
  </w:num>
  <w:num w:numId="22">
    <w:abstractNumId w:val="3"/>
  </w:num>
  <w:num w:numId="2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activeWritingStyle w:appName="MSWord" w:lang="fr-CA" w:vendorID="64" w:dllVersion="6" w:nlCheck="1" w:checkStyle="0"/>
  <w:activeWritingStyle w:appName="MSWord" w:lang="en-US" w:vendorID="64" w:dllVersion="6" w:nlCheck="1" w:checkStyle="1"/>
  <w:activeWritingStyle w:appName="MSWord" w:lang="en-CA" w:vendorID="64" w:dllVersion="6" w:nlCheck="1" w:checkStyle="1"/>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activeWritingStyle w:appName="MSWord" w:lang="en-US" w:vendorID="64" w:dllVersion="4096" w:nlCheck="1" w:checkStyle="0"/>
  <w:activeWritingStyle w:appName="MSWord" w:lang="en-CA" w:vendorID="64" w:dllVersion="4096" w:nlCheck="1" w:checkStyle="0"/>
  <w:activeWritingStyle w:appName="MSWord" w:lang="fr-CA" w:vendorID="64" w:dllVersion="4096" w:nlCheck="1" w:checkStyle="0"/>
  <w:proofState w:spelling="clean" w:grammar="clean"/>
  <w:defaultTabStop w:val="720"/>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24B4"/>
    <w:rsid w:val="00004BFF"/>
    <w:rsid w:val="00005D0D"/>
    <w:rsid w:val="00007E6F"/>
    <w:rsid w:val="000106E7"/>
    <w:rsid w:val="000426C8"/>
    <w:rsid w:val="00043794"/>
    <w:rsid w:val="0004465B"/>
    <w:rsid w:val="000559DA"/>
    <w:rsid w:val="00060441"/>
    <w:rsid w:val="00073C93"/>
    <w:rsid w:val="00095155"/>
    <w:rsid w:val="00097037"/>
    <w:rsid w:val="000A1EEC"/>
    <w:rsid w:val="000A4047"/>
    <w:rsid w:val="000A6A70"/>
    <w:rsid w:val="000A6DB9"/>
    <w:rsid w:val="000C2F8A"/>
    <w:rsid w:val="000C56B3"/>
    <w:rsid w:val="000C57BB"/>
    <w:rsid w:val="000D4B99"/>
    <w:rsid w:val="000D4CF3"/>
    <w:rsid w:val="000D604C"/>
    <w:rsid w:val="000D70CC"/>
    <w:rsid w:val="000E3B62"/>
    <w:rsid w:val="000F6DEA"/>
    <w:rsid w:val="000F7AA3"/>
    <w:rsid w:val="0011164F"/>
    <w:rsid w:val="00116648"/>
    <w:rsid w:val="00116809"/>
    <w:rsid w:val="00130BDE"/>
    <w:rsid w:val="001350C6"/>
    <w:rsid w:val="00140045"/>
    <w:rsid w:val="00141A69"/>
    <w:rsid w:val="00143677"/>
    <w:rsid w:val="001445D0"/>
    <w:rsid w:val="0015352E"/>
    <w:rsid w:val="00156583"/>
    <w:rsid w:val="00165E63"/>
    <w:rsid w:val="00167080"/>
    <w:rsid w:val="001731F0"/>
    <w:rsid w:val="001762A3"/>
    <w:rsid w:val="00176EAB"/>
    <w:rsid w:val="00177FB6"/>
    <w:rsid w:val="001861AC"/>
    <w:rsid w:val="00190E04"/>
    <w:rsid w:val="001924DC"/>
    <w:rsid w:val="00194E5A"/>
    <w:rsid w:val="001A2353"/>
    <w:rsid w:val="001A6353"/>
    <w:rsid w:val="001C20C7"/>
    <w:rsid w:val="001C58F2"/>
    <w:rsid w:val="001D4B83"/>
    <w:rsid w:val="001E0206"/>
    <w:rsid w:val="001E68CB"/>
    <w:rsid w:val="001F1A00"/>
    <w:rsid w:val="001F3325"/>
    <w:rsid w:val="001F34B8"/>
    <w:rsid w:val="00202925"/>
    <w:rsid w:val="0022534D"/>
    <w:rsid w:val="002300D9"/>
    <w:rsid w:val="002356A6"/>
    <w:rsid w:val="00244BCA"/>
    <w:rsid w:val="0025064B"/>
    <w:rsid w:val="00252F80"/>
    <w:rsid w:val="00255DE3"/>
    <w:rsid w:val="00257292"/>
    <w:rsid w:val="00265C27"/>
    <w:rsid w:val="00272EDF"/>
    <w:rsid w:val="002765BC"/>
    <w:rsid w:val="00283075"/>
    <w:rsid w:val="00283DE3"/>
    <w:rsid w:val="002868CB"/>
    <w:rsid w:val="0029451D"/>
    <w:rsid w:val="00296596"/>
    <w:rsid w:val="00297400"/>
    <w:rsid w:val="00297478"/>
    <w:rsid w:val="002A79EB"/>
    <w:rsid w:val="002B035A"/>
    <w:rsid w:val="002B4821"/>
    <w:rsid w:val="002B4863"/>
    <w:rsid w:val="002C4663"/>
    <w:rsid w:val="002E1A02"/>
    <w:rsid w:val="002F527C"/>
    <w:rsid w:val="002F64BC"/>
    <w:rsid w:val="00310A15"/>
    <w:rsid w:val="00312A46"/>
    <w:rsid w:val="003138E7"/>
    <w:rsid w:val="0031519B"/>
    <w:rsid w:val="0031528F"/>
    <w:rsid w:val="00316E99"/>
    <w:rsid w:val="00317C1E"/>
    <w:rsid w:val="0032030D"/>
    <w:rsid w:val="00324649"/>
    <w:rsid w:val="003254CF"/>
    <w:rsid w:val="00325E0D"/>
    <w:rsid w:val="00341D0B"/>
    <w:rsid w:val="003455AE"/>
    <w:rsid w:val="003531A6"/>
    <w:rsid w:val="00361A4F"/>
    <w:rsid w:val="00366DC4"/>
    <w:rsid w:val="00373854"/>
    <w:rsid w:val="0038012B"/>
    <w:rsid w:val="003A0735"/>
    <w:rsid w:val="003A33FF"/>
    <w:rsid w:val="003C6708"/>
    <w:rsid w:val="003D6695"/>
    <w:rsid w:val="003E1782"/>
    <w:rsid w:val="003E2FE6"/>
    <w:rsid w:val="003E7E89"/>
    <w:rsid w:val="003F08D2"/>
    <w:rsid w:val="003F18D3"/>
    <w:rsid w:val="003F6661"/>
    <w:rsid w:val="004333CB"/>
    <w:rsid w:val="00433455"/>
    <w:rsid w:val="004442E7"/>
    <w:rsid w:val="004463A6"/>
    <w:rsid w:val="0045005E"/>
    <w:rsid w:val="00450FF5"/>
    <w:rsid w:val="00454203"/>
    <w:rsid w:val="004548C5"/>
    <w:rsid w:val="004725C0"/>
    <w:rsid w:val="00473826"/>
    <w:rsid w:val="00473E7D"/>
    <w:rsid w:val="00476632"/>
    <w:rsid w:val="00476681"/>
    <w:rsid w:val="004828B8"/>
    <w:rsid w:val="0048429C"/>
    <w:rsid w:val="00484A09"/>
    <w:rsid w:val="00485A39"/>
    <w:rsid w:val="004A4B7D"/>
    <w:rsid w:val="004A70F8"/>
    <w:rsid w:val="004B4C0E"/>
    <w:rsid w:val="004C7AC1"/>
    <w:rsid w:val="004D04DA"/>
    <w:rsid w:val="004D2BB7"/>
    <w:rsid w:val="004E000C"/>
    <w:rsid w:val="004E5146"/>
    <w:rsid w:val="004E71FE"/>
    <w:rsid w:val="004F1556"/>
    <w:rsid w:val="00501814"/>
    <w:rsid w:val="00504A72"/>
    <w:rsid w:val="0050795C"/>
    <w:rsid w:val="00527FEE"/>
    <w:rsid w:val="00532862"/>
    <w:rsid w:val="00540FBF"/>
    <w:rsid w:val="00541A9D"/>
    <w:rsid w:val="005421A3"/>
    <w:rsid w:val="00546EF3"/>
    <w:rsid w:val="00550089"/>
    <w:rsid w:val="005549BA"/>
    <w:rsid w:val="00573032"/>
    <w:rsid w:val="00593ABC"/>
    <w:rsid w:val="00596CBA"/>
    <w:rsid w:val="00597787"/>
    <w:rsid w:val="005A1E58"/>
    <w:rsid w:val="005A4EFC"/>
    <w:rsid w:val="005C3D9A"/>
    <w:rsid w:val="005E00E3"/>
    <w:rsid w:val="005E038B"/>
    <w:rsid w:val="005E260B"/>
    <w:rsid w:val="005E5899"/>
    <w:rsid w:val="005F21F0"/>
    <w:rsid w:val="005F456B"/>
    <w:rsid w:val="00604D6E"/>
    <w:rsid w:val="006132BF"/>
    <w:rsid w:val="00614B81"/>
    <w:rsid w:val="00616D50"/>
    <w:rsid w:val="006269F6"/>
    <w:rsid w:val="00626F71"/>
    <w:rsid w:val="0063204C"/>
    <w:rsid w:val="006424B3"/>
    <w:rsid w:val="00645BD9"/>
    <w:rsid w:val="00647BB6"/>
    <w:rsid w:val="00647D12"/>
    <w:rsid w:val="00652DF4"/>
    <w:rsid w:val="00654D6E"/>
    <w:rsid w:val="00664D55"/>
    <w:rsid w:val="006777F8"/>
    <w:rsid w:val="00677867"/>
    <w:rsid w:val="006824B4"/>
    <w:rsid w:val="00684D77"/>
    <w:rsid w:val="006A25D9"/>
    <w:rsid w:val="006A6A76"/>
    <w:rsid w:val="006A72D2"/>
    <w:rsid w:val="006C3FC5"/>
    <w:rsid w:val="006C5B8B"/>
    <w:rsid w:val="006C6383"/>
    <w:rsid w:val="006E314A"/>
    <w:rsid w:val="006F08FE"/>
    <w:rsid w:val="006F0AB7"/>
    <w:rsid w:val="006F2CD2"/>
    <w:rsid w:val="00700528"/>
    <w:rsid w:val="00711A44"/>
    <w:rsid w:val="00715035"/>
    <w:rsid w:val="0071694A"/>
    <w:rsid w:val="00726849"/>
    <w:rsid w:val="00737590"/>
    <w:rsid w:val="00737A0B"/>
    <w:rsid w:val="00737F8A"/>
    <w:rsid w:val="00750F2F"/>
    <w:rsid w:val="00753BFB"/>
    <w:rsid w:val="007710F9"/>
    <w:rsid w:val="00771E10"/>
    <w:rsid w:val="007724EE"/>
    <w:rsid w:val="00782785"/>
    <w:rsid w:val="00783920"/>
    <w:rsid w:val="00783AB1"/>
    <w:rsid w:val="0079154A"/>
    <w:rsid w:val="00791F3E"/>
    <w:rsid w:val="0079766A"/>
    <w:rsid w:val="007A6524"/>
    <w:rsid w:val="007A7A3E"/>
    <w:rsid w:val="007B1DFD"/>
    <w:rsid w:val="007B4C8A"/>
    <w:rsid w:val="007C5FE7"/>
    <w:rsid w:val="007D2A88"/>
    <w:rsid w:val="00811FBC"/>
    <w:rsid w:val="008125DF"/>
    <w:rsid w:val="00813B0F"/>
    <w:rsid w:val="00813B2E"/>
    <w:rsid w:val="00816941"/>
    <w:rsid w:val="00820EE4"/>
    <w:rsid w:val="00827A46"/>
    <w:rsid w:val="008364E6"/>
    <w:rsid w:val="00836CD4"/>
    <w:rsid w:val="00862D0B"/>
    <w:rsid w:val="008672C5"/>
    <w:rsid w:val="00880F81"/>
    <w:rsid w:val="008909C9"/>
    <w:rsid w:val="008A16CC"/>
    <w:rsid w:val="008B2CF8"/>
    <w:rsid w:val="008D0B4E"/>
    <w:rsid w:val="008D3243"/>
    <w:rsid w:val="008E1B1A"/>
    <w:rsid w:val="00904EF9"/>
    <w:rsid w:val="00907DF5"/>
    <w:rsid w:val="00927099"/>
    <w:rsid w:val="00927CF2"/>
    <w:rsid w:val="009333C0"/>
    <w:rsid w:val="009350EF"/>
    <w:rsid w:val="00956D03"/>
    <w:rsid w:val="009639C8"/>
    <w:rsid w:val="00971BBC"/>
    <w:rsid w:val="009734AF"/>
    <w:rsid w:val="00974924"/>
    <w:rsid w:val="009845F3"/>
    <w:rsid w:val="00984A46"/>
    <w:rsid w:val="0099497D"/>
    <w:rsid w:val="009956EE"/>
    <w:rsid w:val="009A676E"/>
    <w:rsid w:val="009A7DEE"/>
    <w:rsid w:val="009B0FDA"/>
    <w:rsid w:val="009C4EEE"/>
    <w:rsid w:val="009D2A14"/>
    <w:rsid w:val="009E4E7F"/>
    <w:rsid w:val="009F42FC"/>
    <w:rsid w:val="00A00E45"/>
    <w:rsid w:val="00A039BF"/>
    <w:rsid w:val="00A2268C"/>
    <w:rsid w:val="00A23918"/>
    <w:rsid w:val="00A23A1E"/>
    <w:rsid w:val="00A32C59"/>
    <w:rsid w:val="00A330B9"/>
    <w:rsid w:val="00A342C2"/>
    <w:rsid w:val="00A377DE"/>
    <w:rsid w:val="00A404F2"/>
    <w:rsid w:val="00A41790"/>
    <w:rsid w:val="00A425AE"/>
    <w:rsid w:val="00A524F6"/>
    <w:rsid w:val="00A543D5"/>
    <w:rsid w:val="00A564DE"/>
    <w:rsid w:val="00A60E11"/>
    <w:rsid w:val="00A66BFE"/>
    <w:rsid w:val="00A74F91"/>
    <w:rsid w:val="00A8236F"/>
    <w:rsid w:val="00A85310"/>
    <w:rsid w:val="00A856D6"/>
    <w:rsid w:val="00A8789E"/>
    <w:rsid w:val="00A87A17"/>
    <w:rsid w:val="00A9637B"/>
    <w:rsid w:val="00AA0868"/>
    <w:rsid w:val="00AA57D8"/>
    <w:rsid w:val="00AB795F"/>
    <w:rsid w:val="00AC2C18"/>
    <w:rsid w:val="00AC586C"/>
    <w:rsid w:val="00AD5C14"/>
    <w:rsid w:val="00AD72D9"/>
    <w:rsid w:val="00AD7ADC"/>
    <w:rsid w:val="00AE1AAA"/>
    <w:rsid w:val="00AE5FB0"/>
    <w:rsid w:val="00B05853"/>
    <w:rsid w:val="00B11DBC"/>
    <w:rsid w:val="00B11EAB"/>
    <w:rsid w:val="00B20CAE"/>
    <w:rsid w:val="00B24D2A"/>
    <w:rsid w:val="00B26731"/>
    <w:rsid w:val="00B42C1E"/>
    <w:rsid w:val="00B44ABC"/>
    <w:rsid w:val="00B52407"/>
    <w:rsid w:val="00B55487"/>
    <w:rsid w:val="00B568FB"/>
    <w:rsid w:val="00B656D5"/>
    <w:rsid w:val="00B71959"/>
    <w:rsid w:val="00B71C61"/>
    <w:rsid w:val="00B72E0A"/>
    <w:rsid w:val="00B74D2D"/>
    <w:rsid w:val="00B76153"/>
    <w:rsid w:val="00B77E17"/>
    <w:rsid w:val="00B80D40"/>
    <w:rsid w:val="00B914B7"/>
    <w:rsid w:val="00B97F90"/>
    <w:rsid w:val="00BA058F"/>
    <w:rsid w:val="00BA722A"/>
    <w:rsid w:val="00BD31A2"/>
    <w:rsid w:val="00BE06B5"/>
    <w:rsid w:val="00BE0B1B"/>
    <w:rsid w:val="00BE7047"/>
    <w:rsid w:val="00BE7B5B"/>
    <w:rsid w:val="00C03803"/>
    <w:rsid w:val="00C04FA2"/>
    <w:rsid w:val="00C12D91"/>
    <w:rsid w:val="00C237CF"/>
    <w:rsid w:val="00C30DBF"/>
    <w:rsid w:val="00C36C70"/>
    <w:rsid w:val="00C4087D"/>
    <w:rsid w:val="00C41167"/>
    <w:rsid w:val="00C44B7A"/>
    <w:rsid w:val="00C50A84"/>
    <w:rsid w:val="00C654B7"/>
    <w:rsid w:val="00C73FDA"/>
    <w:rsid w:val="00C81B7D"/>
    <w:rsid w:val="00C82D5C"/>
    <w:rsid w:val="00CA25A4"/>
    <w:rsid w:val="00CB0639"/>
    <w:rsid w:val="00CB348D"/>
    <w:rsid w:val="00CB4C4A"/>
    <w:rsid w:val="00CB4F70"/>
    <w:rsid w:val="00CC35B3"/>
    <w:rsid w:val="00CC5AC5"/>
    <w:rsid w:val="00CC79B6"/>
    <w:rsid w:val="00CD0C9B"/>
    <w:rsid w:val="00CE33C1"/>
    <w:rsid w:val="00CE55FB"/>
    <w:rsid w:val="00CF259A"/>
    <w:rsid w:val="00CF3FA1"/>
    <w:rsid w:val="00D00CF3"/>
    <w:rsid w:val="00D04A5E"/>
    <w:rsid w:val="00D326F5"/>
    <w:rsid w:val="00D40505"/>
    <w:rsid w:val="00D42CE3"/>
    <w:rsid w:val="00D67C9D"/>
    <w:rsid w:val="00D74A90"/>
    <w:rsid w:val="00D82804"/>
    <w:rsid w:val="00D84E86"/>
    <w:rsid w:val="00DB1E97"/>
    <w:rsid w:val="00DB6040"/>
    <w:rsid w:val="00DD1055"/>
    <w:rsid w:val="00DD494B"/>
    <w:rsid w:val="00DE561C"/>
    <w:rsid w:val="00DF7866"/>
    <w:rsid w:val="00E07825"/>
    <w:rsid w:val="00E22647"/>
    <w:rsid w:val="00E4049A"/>
    <w:rsid w:val="00E419A8"/>
    <w:rsid w:val="00E45972"/>
    <w:rsid w:val="00E50F07"/>
    <w:rsid w:val="00E54390"/>
    <w:rsid w:val="00E578D9"/>
    <w:rsid w:val="00E62BF9"/>
    <w:rsid w:val="00E754F4"/>
    <w:rsid w:val="00E76E25"/>
    <w:rsid w:val="00E76FCB"/>
    <w:rsid w:val="00E831FB"/>
    <w:rsid w:val="00E8536F"/>
    <w:rsid w:val="00E85619"/>
    <w:rsid w:val="00E86A05"/>
    <w:rsid w:val="00E91553"/>
    <w:rsid w:val="00E9343D"/>
    <w:rsid w:val="00E959A2"/>
    <w:rsid w:val="00E95FED"/>
    <w:rsid w:val="00EB6095"/>
    <w:rsid w:val="00EC3600"/>
    <w:rsid w:val="00EC5DDD"/>
    <w:rsid w:val="00ED1FB7"/>
    <w:rsid w:val="00ED65B7"/>
    <w:rsid w:val="00EE60FF"/>
    <w:rsid w:val="00EE7D72"/>
    <w:rsid w:val="00EF11F9"/>
    <w:rsid w:val="00EF4721"/>
    <w:rsid w:val="00F0374D"/>
    <w:rsid w:val="00F13CCC"/>
    <w:rsid w:val="00F21054"/>
    <w:rsid w:val="00F323F7"/>
    <w:rsid w:val="00F32D10"/>
    <w:rsid w:val="00F34CD3"/>
    <w:rsid w:val="00F538D0"/>
    <w:rsid w:val="00F541EA"/>
    <w:rsid w:val="00F546F5"/>
    <w:rsid w:val="00F67E15"/>
    <w:rsid w:val="00F7568D"/>
    <w:rsid w:val="00F766C7"/>
    <w:rsid w:val="00F80DB2"/>
    <w:rsid w:val="00F9343D"/>
    <w:rsid w:val="00FA2B06"/>
    <w:rsid w:val="00FA58BE"/>
    <w:rsid w:val="00FA6C99"/>
    <w:rsid w:val="00FB3DBF"/>
    <w:rsid w:val="00FC16CE"/>
    <w:rsid w:val="00FC5A64"/>
    <w:rsid w:val="00FC7C65"/>
    <w:rsid w:val="00FD1965"/>
    <w:rsid w:val="00FE7A9D"/>
    <w:rsid w:val="00FF2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FBD2B38"/>
  <w15:docId w15:val="{0BCB413B-F9DF-4B8D-A353-642A6C8AB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190E04"/>
    <w:rPr>
      <w:rFonts w:ascii="Carlito" w:eastAsia="Carlito" w:hAnsi="Carlito" w:cs="Carlito"/>
    </w:rPr>
  </w:style>
  <w:style w:type="paragraph" w:styleId="Heading1">
    <w:name w:val="heading 1"/>
    <w:basedOn w:val="Normal"/>
    <w:link w:val="Heading1Char"/>
    <w:uiPriority w:val="1"/>
    <w:qFormat/>
    <w:pPr>
      <w:ind w:left="1426" w:hanging="36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424"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16809"/>
    <w:rPr>
      <w:color w:val="0000FF" w:themeColor="hyperlink"/>
      <w:u w:val="single"/>
    </w:rPr>
  </w:style>
  <w:style w:type="character" w:styleId="Emphasis">
    <w:name w:val="Emphasis"/>
    <w:basedOn w:val="DefaultParagraphFont"/>
    <w:uiPriority w:val="20"/>
    <w:qFormat/>
    <w:rsid w:val="005549BA"/>
    <w:rPr>
      <w:i/>
      <w:iCs/>
    </w:rPr>
  </w:style>
  <w:style w:type="table" w:styleId="TableGrid">
    <w:name w:val="Table Grid"/>
    <w:basedOn w:val="TableNormal"/>
    <w:uiPriority w:val="59"/>
    <w:rsid w:val="00B74D2D"/>
    <w:pPr>
      <w:widowControl/>
      <w:autoSpaceDE/>
      <w:autoSpaceDN/>
    </w:pPr>
    <w:rPr>
      <w:rFonts w:eastAsiaTheme="minorEastAsia"/>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B914B7"/>
    <w:rPr>
      <w:rFonts w:ascii="Carlito" w:eastAsia="Carlito" w:hAnsi="Carlito" w:cs="Carlito"/>
      <w:sz w:val="24"/>
      <w:szCs w:val="24"/>
    </w:rPr>
  </w:style>
  <w:style w:type="character" w:customStyle="1" w:styleId="Heading1Char">
    <w:name w:val="Heading 1 Char"/>
    <w:basedOn w:val="DefaultParagraphFont"/>
    <w:link w:val="Heading1"/>
    <w:uiPriority w:val="1"/>
    <w:rsid w:val="00257292"/>
    <w:rPr>
      <w:rFonts w:ascii="Carlito" w:eastAsia="Carlito" w:hAnsi="Carlito" w:cs="Carlito"/>
      <w:b/>
      <w:bCs/>
      <w:sz w:val="24"/>
      <w:szCs w:val="24"/>
    </w:rPr>
  </w:style>
  <w:style w:type="table" w:customStyle="1" w:styleId="Grilledutableau1">
    <w:name w:val="Grille du tableau1"/>
    <w:basedOn w:val="TableNormal"/>
    <w:next w:val="TableGrid"/>
    <w:uiPriority w:val="59"/>
    <w:rsid w:val="00DB6040"/>
    <w:pPr>
      <w:widowControl/>
      <w:autoSpaceDE/>
      <w:autoSpaceDN/>
    </w:pPr>
    <w:rPr>
      <w:rFonts w:eastAsia="Times New Roman"/>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3254CF"/>
  </w:style>
  <w:style w:type="character" w:styleId="CommentReference">
    <w:name w:val="annotation reference"/>
    <w:basedOn w:val="DefaultParagraphFont"/>
    <w:uiPriority w:val="99"/>
    <w:semiHidden/>
    <w:unhideWhenUsed/>
    <w:rsid w:val="00C237CF"/>
    <w:rPr>
      <w:sz w:val="16"/>
      <w:szCs w:val="16"/>
    </w:rPr>
  </w:style>
  <w:style w:type="paragraph" w:styleId="CommentText">
    <w:name w:val="annotation text"/>
    <w:basedOn w:val="Normal"/>
    <w:link w:val="CommentTextChar"/>
    <w:uiPriority w:val="99"/>
    <w:semiHidden/>
    <w:unhideWhenUsed/>
    <w:rsid w:val="00C237CF"/>
    <w:rPr>
      <w:sz w:val="20"/>
      <w:szCs w:val="20"/>
    </w:rPr>
  </w:style>
  <w:style w:type="character" w:customStyle="1" w:styleId="CommentTextChar">
    <w:name w:val="Comment Text Char"/>
    <w:basedOn w:val="DefaultParagraphFont"/>
    <w:link w:val="CommentText"/>
    <w:uiPriority w:val="99"/>
    <w:semiHidden/>
    <w:rsid w:val="00C237CF"/>
    <w:rPr>
      <w:rFonts w:ascii="Carlito" w:eastAsia="Carlito" w:hAnsi="Carlito" w:cs="Carlito"/>
      <w:sz w:val="20"/>
      <w:szCs w:val="20"/>
    </w:rPr>
  </w:style>
  <w:style w:type="paragraph" w:styleId="CommentSubject">
    <w:name w:val="annotation subject"/>
    <w:basedOn w:val="CommentText"/>
    <w:next w:val="CommentText"/>
    <w:link w:val="CommentSubjectChar"/>
    <w:uiPriority w:val="99"/>
    <w:semiHidden/>
    <w:unhideWhenUsed/>
    <w:rsid w:val="00C237CF"/>
    <w:rPr>
      <w:b/>
      <w:bCs/>
    </w:rPr>
  </w:style>
  <w:style w:type="character" w:customStyle="1" w:styleId="CommentSubjectChar">
    <w:name w:val="Comment Subject Char"/>
    <w:basedOn w:val="CommentTextChar"/>
    <w:link w:val="CommentSubject"/>
    <w:uiPriority w:val="99"/>
    <w:semiHidden/>
    <w:rsid w:val="00C237CF"/>
    <w:rPr>
      <w:rFonts w:ascii="Carlito" w:eastAsia="Carlito" w:hAnsi="Carlito" w:cs="Carlito"/>
      <w:b/>
      <w:bCs/>
      <w:sz w:val="20"/>
      <w:szCs w:val="20"/>
    </w:rPr>
  </w:style>
  <w:style w:type="paragraph" w:styleId="BalloonText">
    <w:name w:val="Balloon Text"/>
    <w:basedOn w:val="Normal"/>
    <w:link w:val="BalloonTextChar"/>
    <w:uiPriority w:val="99"/>
    <w:semiHidden/>
    <w:unhideWhenUsed/>
    <w:rsid w:val="00C237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37CF"/>
    <w:rPr>
      <w:rFonts w:ascii="Segoe UI" w:eastAsia="Carlito" w:hAnsi="Segoe UI" w:cs="Segoe UI"/>
      <w:sz w:val="18"/>
      <w:szCs w:val="18"/>
    </w:rPr>
  </w:style>
  <w:style w:type="paragraph" w:customStyle="1" w:styleId="paragraph">
    <w:name w:val="paragraph"/>
    <w:basedOn w:val="Normal"/>
    <w:rsid w:val="00B71959"/>
    <w:pPr>
      <w:widowControl/>
      <w:autoSpaceDE/>
      <w:autoSpaceDN/>
      <w:spacing w:before="100" w:beforeAutospacing="1" w:after="100" w:afterAutospacing="1"/>
    </w:pPr>
    <w:rPr>
      <w:rFonts w:ascii="Times New Roman" w:eastAsia="Times New Roman" w:hAnsi="Times New Roman" w:cs="Times New Roman"/>
      <w:sz w:val="24"/>
      <w:szCs w:val="24"/>
      <w:lang w:val="fr-CA" w:eastAsia="fr-CA"/>
    </w:rPr>
  </w:style>
  <w:style w:type="character" w:customStyle="1" w:styleId="normaltextrun">
    <w:name w:val="normaltextrun"/>
    <w:basedOn w:val="DefaultParagraphFont"/>
    <w:rsid w:val="00B71959"/>
  </w:style>
  <w:style w:type="character" w:customStyle="1" w:styleId="eop">
    <w:name w:val="eop"/>
    <w:basedOn w:val="DefaultParagraphFont"/>
    <w:rsid w:val="00B71959"/>
  </w:style>
  <w:style w:type="paragraph" w:styleId="Header">
    <w:name w:val="header"/>
    <w:basedOn w:val="Normal"/>
    <w:link w:val="HeaderChar"/>
    <w:uiPriority w:val="99"/>
    <w:unhideWhenUsed/>
    <w:rsid w:val="00E8536F"/>
    <w:pPr>
      <w:tabs>
        <w:tab w:val="center" w:pos="4680"/>
        <w:tab w:val="right" w:pos="9360"/>
      </w:tabs>
    </w:pPr>
  </w:style>
  <w:style w:type="character" w:customStyle="1" w:styleId="HeaderChar">
    <w:name w:val="Header Char"/>
    <w:basedOn w:val="DefaultParagraphFont"/>
    <w:link w:val="Header"/>
    <w:uiPriority w:val="99"/>
    <w:rsid w:val="00E8536F"/>
    <w:rPr>
      <w:rFonts w:ascii="Carlito" w:eastAsia="Carlito" w:hAnsi="Carlito" w:cs="Carlito"/>
    </w:rPr>
  </w:style>
  <w:style w:type="paragraph" w:styleId="Footer">
    <w:name w:val="footer"/>
    <w:basedOn w:val="Normal"/>
    <w:link w:val="FooterChar"/>
    <w:uiPriority w:val="99"/>
    <w:unhideWhenUsed/>
    <w:rsid w:val="00E8536F"/>
    <w:pPr>
      <w:tabs>
        <w:tab w:val="center" w:pos="4680"/>
        <w:tab w:val="right" w:pos="9360"/>
      </w:tabs>
    </w:pPr>
  </w:style>
  <w:style w:type="character" w:customStyle="1" w:styleId="FooterChar">
    <w:name w:val="Footer Char"/>
    <w:basedOn w:val="DefaultParagraphFont"/>
    <w:link w:val="Footer"/>
    <w:uiPriority w:val="99"/>
    <w:rsid w:val="00E8536F"/>
    <w:rPr>
      <w:rFonts w:ascii="Carlito" w:eastAsia="Carlito" w:hAnsi="Carlito" w:cs="Carli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53988">
      <w:bodyDiv w:val="1"/>
      <w:marLeft w:val="0"/>
      <w:marRight w:val="0"/>
      <w:marTop w:val="0"/>
      <w:marBottom w:val="0"/>
      <w:divBdr>
        <w:top w:val="none" w:sz="0" w:space="0" w:color="auto"/>
        <w:left w:val="none" w:sz="0" w:space="0" w:color="auto"/>
        <w:bottom w:val="none" w:sz="0" w:space="0" w:color="auto"/>
        <w:right w:val="none" w:sz="0" w:space="0" w:color="auto"/>
      </w:divBdr>
    </w:div>
    <w:div w:id="40373372">
      <w:bodyDiv w:val="1"/>
      <w:marLeft w:val="0"/>
      <w:marRight w:val="0"/>
      <w:marTop w:val="0"/>
      <w:marBottom w:val="0"/>
      <w:divBdr>
        <w:top w:val="none" w:sz="0" w:space="0" w:color="auto"/>
        <w:left w:val="none" w:sz="0" w:space="0" w:color="auto"/>
        <w:bottom w:val="none" w:sz="0" w:space="0" w:color="auto"/>
        <w:right w:val="none" w:sz="0" w:space="0" w:color="auto"/>
      </w:divBdr>
    </w:div>
    <w:div w:id="126436336">
      <w:bodyDiv w:val="1"/>
      <w:marLeft w:val="0"/>
      <w:marRight w:val="0"/>
      <w:marTop w:val="0"/>
      <w:marBottom w:val="0"/>
      <w:divBdr>
        <w:top w:val="none" w:sz="0" w:space="0" w:color="auto"/>
        <w:left w:val="none" w:sz="0" w:space="0" w:color="auto"/>
        <w:bottom w:val="none" w:sz="0" w:space="0" w:color="auto"/>
        <w:right w:val="none" w:sz="0" w:space="0" w:color="auto"/>
      </w:divBdr>
    </w:div>
    <w:div w:id="128982310">
      <w:bodyDiv w:val="1"/>
      <w:marLeft w:val="0"/>
      <w:marRight w:val="0"/>
      <w:marTop w:val="0"/>
      <w:marBottom w:val="0"/>
      <w:divBdr>
        <w:top w:val="none" w:sz="0" w:space="0" w:color="auto"/>
        <w:left w:val="none" w:sz="0" w:space="0" w:color="auto"/>
        <w:bottom w:val="none" w:sz="0" w:space="0" w:color="auto"/>
        <w:right w:val="none" w:sz="0" w:space="0" w:color="auto"/>
      </w:divBdr>
    </w:div>
    <w:div w:id="271860111">
      <w:bodyDiv w:val="1"/>
      <w:marLeft w:val="0"/>
      <w:marRight w:val="0"/>
      <w:marTop w:val="0"/>
      <w:marBottom w:val="0"/>
      <w:divBdr>
        <w:top w:val="none" w:sz="0" w:space="0" w:color="auto"/>
        <w:left w:val="none" w:sz="0" w:space="0" w:color="auto"/>
        <w:bottom w:val="none" w:sz="0" w:space="0" w:color="auto"/>
        <w:right w:val="none" w:sz="0" w:space="0" w:color="auto"/>
      </w:divBdr>
      <w:divsChild>
        <w:div w:id="2019119497">
          <w:marLeft w:val="0"/>
          <w:marRight w:val="0"/>
          <w:marTop w:val="0"/>
          <w:marBottom w:val="0"/>
          <w:divBdr>
            <w:top w:val="none" w:sz="0" w:space="0" w:color="auto"/>
            <w:left w:val="none" w:sz="0" w:space="0" w:color="auto"/>
            <w:bottom w:val="none" w:sz="0" w:space="0" w:color="auto"/>
            <w:right w:val="none" w:sz="0" w:space="0" w:color="auto"/>
          </w:divBdr>
        </w:div>
      </w:divsChild>
    </w:div>
    <w:div w:id="318924496">
      <w:bodyDiv w:val="1"/>
      <w:marLeft w:val="0"/>
      <w:marRight w:val="0"/>
      <w:marTop w:val="0"/>
      <w:marBottom w:val="0"/>
      <w:divBdr>
        <w:top w:val="none" w:sz="0" w:space="0" w:color="auto"/>
        <w:left w:val="none" w:sz="0" w:space="0" w:color="auto"/>
        <w:bottom w:val="none" w:sz="0" w:space="0" w:color="auto"/>
        <w:right w:val="none" w:sz="0" w:space="0" w:color="auto"/>
      </w:divBdr>
    </w:div>
    <w:div w:id="390546501">
      <w:bodyDiv w:val="1"/>
      <w:marLeft w:val="0"/>
      <w:marRight w:val="0"/>
      <w:marTop w:val="0"/>
      <w:marBottom w:val="0"/>
      <w:divBdr>
        <w:top w:val="none" w:sz="0" w:space="0" w:color="auto"/>
        <w:left w:val="none" w:sz="0" w:space="0" w:color="auto"/>
        <w:bottom w:val="none" w:sz="0" w:space="0" w:color="auto"/>
        <w:right w:val="none" w:sz="0" w:space="0" w:color="auto"/>
      </w:divBdr>
    </w:div>
    <w:div w:id="557084607">
      <w:bodyDiv w:val="1"/>
      <w:marLeft w:val="0"/>
      <w:marRight w:val="0"/>
      <w:marTop w:val="0"/>
      <w:marBottom w:val="0"/>
      <w:divBdr>
        <w:top w:val="none" w:sz="0" w:space="0" w:color="auto"/>
        <w:left w:val="none" w:sz="0" w:space="0" w:color="auto"/>
        <w:bottom w:val="none" w:sz="0" w:space="0" w:color="auto"/>
        <w:right w:val="none" w:sz="0" w:space="0" w:color="auto"/>
      </w:divBdr>
    </w:div>
    <w:div w:id="598417950">
      <w:bodyDiv w:val="1"/>
      <w:marLeft w:val="0"/>
      <w:marRight w:val="0"/>
      <w:marTop w:val="0"/>
      <w:marBottom w:val="0"/>
      <w:divBdr>
        <w:top w:val="none" w:sz="0" w:space="0" w:color="auto"/>
        <w:left w:val="none" w:sz="0" w:space="0" w:color="auto"/>
        <w:bottom w:val="none" w:sz="0" w:space="0" w:color="auto"/>
        <w:right w:val="none" w:sz="0" w:space="0" w:color="auto"/>
      </w:divBdr>
    </w:div>
    <w:div w:id="656881740">
      <w:bodyDiv w:val="1"/>
      <w:marLeft w:val="0"/>
      <w:marRight w:val="0"/>
      <w:marTop w:val="0"/>
      <w:marBottom w:val="0"/>
      <w:divBdr>
        <w:top w:val="none" w:sz="0" w:space="0" w:color="auto"/>
        <w:left w:val="none" w:sz="0" w:space="0" w:color="auto"/>
        <w:bottom w:val="none" w:sz="0" w:space="0" w:color="auto"/>
        <w:right w:val="none" w:sz="0" w:space="0" w:color="auto"/>
      </w:divBdr>
      <w:divsChild>
        <w:div w:id="1333139155">
          <w:marLeft w:val="0"/>
          <w:marRight w:val="0"/>
          <w:marTop w:val="0"/>
          <w:marBottom w:val="0"/>
          <w:divBdr>
            <w:top w:val="none" w:sz="0" w:space="0" w:color="auto"/>
            <w:left w:val="none" w:sz="0" w:space="0" w:color="auto"/>
            <w:bottom w:val="none" w:sz="0" w:space="0" w:color="auto"/>
            <w:right w:val="none" w:sz="0" w:space="0" w:color="auto"/>
          </w:divBdr>
        </w:div>
        <w:div w:id="922647775">
          <w:marLeft w:val="0"/>
          <w:marRight w:val="0"/>
          <w:marTop w:val="0"/>
          <w:marBottom w:val="0"/>
          <w:divBdr>
            <w:top w:val="none" w:sz="0" w:space="0" w:color="auto"/>
            <w:left w:val="none" w:sz="0" w:space="0" w:color="auto"/>
            <w:bottom w:val="none" w:sz="0" w:space="0" w:color="auto"/>
            <w:right w:val="none" w:sz="0" w:space="0" w:color="auto"/>
          </w:divBdr>
        </w:div>
      </w:divsChild>
    </w:div>
    <w:div w:id="848910277">
      <w:bodyDiv w:val="1"/>
      <w:marLeft w:val="0"/>
      <w:marRight w:val="0"/>
      <w:marTop w:val="0"/>
      <w:marBottom w:val="0"/>
      <w:divBdr>
        <w:top w:val="none" w:sz="0" w:space="0" w:color="auto"/>
        <w:left w:val="none" w:sz="0" w:space="0" w:color="auto"/>
        <w:bottom w:val="none" w:sz="0" w:space="0" w:color="auto"/>
        <w:right w:val="none" w:sz="0" w:space="0" w:color="auto"/>
      </w:divBdr>
    </w:div>
    <w:div w:id="1221402710">
      <w:bodyDiv w:val="1"/>
      <w:marLeft w:val="0"/>
      <w:marRight w:val="0"/>
      <w:marTop w:val="0"/>
      <w:marBottom w:val="0"/>
      <w:divBdr>
        <w:top w:val="none" w:sz="0" w:space="0" w:color="auto"/>
        <w:left w:val="none" w:sz="0" w:space="0" w:color="auto"/>
        <w:bottom w:val="none" w:sz="0" w:space="0" w:color="auto"/>
        <w:right w:val="none" w:sz="0" w:space="0" w:color="auto"/>
      </w:divBdr>
    </w:div>
    <w:div w:id="1888564923">
      <w:bodyDiv w:val="1"/>
      <w:marLeft w:val="0"/>
      <w:marRight w:val="0"/>
      <w:marTop w:val="0"/>
      <w:marBottom w:val="0"/>
      <w:divBdr>
        <w:top w:val="none" w:sz="0" w:space="0" w:color="auto"/>
        <w:left w:val="none" w:sz="0" w:space="0" w:color="auto"/>
        <w:bottom w:val="none" w:sz="0" w:space="0" w:color="auto"/>
        <w:right w:val="none" w:sz="0" w:space="0" w:color="auto"/>
      </w:divBdr>
    </w:div>
    <w:div w:id="2015036757">
      <w:bodyDiv w:val="1"/>
      <w:marLeft w:val="0"/>
      <w:marRight w:val="0"/>
      <w:marTop w:val="0"/>
      <w:marBottom w:val="0"/>
      <w:divBdr>
        <w:top w:val="none" w:sz="0" w:space="0" w:color="auto"/>
        <w:left w:val="none" w:sz="0" w:space="0" w:color="auto"/>
        <w:bottom w:val="none" w:sz="0" w:space="0" w:color="auto"/>
        <w:right w:val="none" w:sz="0" w:space="0" w:color="auto"/>
      </w:divBdr>
    </w:div>
    <w:div w:id="2085253466">
      <w:bodyDiv w:val="1"/>
      <w:marLeft w:val="0"/>
      <w:marRight w:val="0"/>
      <w:marTop w:val="0"/>
      <w:marBottom w:val="0"/>
      <w:divBdr>
        <w:top w:val="none" w:sz="0" w:space="0" w:color="auto"/>
        <w:left w:val="none" w:sz="0" w:space="0" w:color="auto"/>
        <w:bottom w:val="none" w:sz="0" w:space="0" w:color="auto"/>
        <w:right w:val="none" w:sz="0" w:space="0" w:color="auto"/>
      </w:divBdr>
      <w:divsChild>
        <w:div w:id="739642887">
          <w:marLeft w:val="0"/>
          <w:marRight w:val="0"/>
          <w:marTop w:val="0"/>
          <w:marBottom w:val="0"/>
          <w:divBdr>
            <w:top w:val="none" w:sz="0" w:space="0" w:color="auto"/>
            <w:left w:val="none" w:sz="0" w:space="0" w:color="auto"/>
            <w:bottom w:val="none" w:sz="0" w:space="0" w:color="auto"/>
            <w:right w:val="none" w:sz="0" w:space="0" w:color="auto"/>
          </w:divBdr>
        </w:div>
        <w:div w:id="638606106">
          <w:marLeft w:val="0"/>
          <w:marRight w:val="0"/>
          <w:marTop w:val="0"/>
          <w:marBottom w:val="0"/>
          <w:divBdr>
            <w:top w:val="none" w:sz="0" w:space="0" w:color="auto"/>
            <w:left w:val="none" w:sz="0" w:space="0" w:color="auto"/>
            <w:bottom w:val="none" w:sz="0" w:space="0" w:color="auto"/>
            <w:right w:val="none" w:sz="0" w:space="0" w:color="auto"/>
          </w:divBdr>
        </w:div>
        <w:div w:id="63517900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C8917-A50F-42A8-AC14-349D8A0E5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2918</TotalTime>
  <Pages>14</Pages>
  <Words>3647</Words>
  <Characters>20794</Characters>
  <Application>Microsoft Office Word</Application>
  <DocSecurity>0</DocSecurity>
  <Lines>173</Lines>
  <Paragraphs>48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Microsoft Word - MS Pen Protocol (Feb 9).docx</vt:lpstr>
      <vt:lpstr>Microsoft Word - MS Pen Protocol (Feb 9).docx</vt:lpstr>
    </vt:vector>
  </TitlesOfParts>
  <Company>PAD-I22</Company>
  <LinksUpToDate>false</LinksUpToDate>
  <CharactersWithSpaces>24393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MS Pen Protocol (Feb 9).docx</dc:title>
  <dc:creator>Imran Khan</dc:creator>
  <cp:lastModifiedBy>SDI 1183</cp:lastModifiedBy>
  <cp:revision>142</cp:revision>
  <dcterms:created xsi:type="dcterms:W3CDTF">2022-12-14T18:57:00Z</dcterms:created>
  <dcterms:modified xsi:type="dcterms:W3CDTF">2025-08-04T08:08:00Z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2017-02-09T00:00:00Z</vt:filetime>
  </property>
  <property fmtid="{D5CDD505-2E9C-101B-9397-08002B2CF9AE}" pid="3" name="Creator">
    <vt:lpwstr>Word</vt:lpwstr>
  </property>
  <property fmtid="{D5CDD505-2E9C-101B-9397-08002B2CF9AE}" pid="4" name="LastSaved">
    <vt:filetime>2022-01-08T00:00:00Z</vt:filetime>
  </property>
</Properties>
</file>