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9A762" w14:textId="519A5962" w:rsidR="00C33854" w:rsidRDefault="00E65AA6">
      <w:pPr>
        <w:shd w:val="clear" w:color="auto" w:fill="FFFFFF"/>
        <w:spacing w:line="240" w:lineRule="auto"/>
        <w:jc w:val="right"/>
        <w:rPr>
          <w:b/>
          <w:color w:val="1B1B1B"/>
          <w:sz w:val="28"/>
          <w:szCs w:val="28"/>
        </w:rPr>
      </w:pPr>
      <w:r>
        <w:rPr>
          <w:b/>
          <w:color w:val="1B1B1B"/>
          <w:sz w:val="28"/>
          <w:szCs w:val="28"/>
        </w:rPr>
        <w:t>A</w:t>
      </w:r>
      <w:r w:rsidR="00200D3B">
        <w:rPr>
          <w:b/>
          <w:color w:val="1B1B1B"/>
          <w:sz w:val="28"/>
          <w:szCs w:val="28"/>
        </w:rPr>
        <w:t xml:space="preserve"> unique case of Lead-Paint Pica in a 14-year-old girl</w:t>
      </w:r>
    </w:p>
    <w:p w14:paraId="12DA8EA4" w14:textId="77777777" w:rsidR="00C33854" w:rsidRDefault="00C33854">
      <w:pPr>
        <w:shd w:val="clear" w:color="auto" w:fill="FFFFFF"/>
        <w:spacing w:line="240" w:lineRule="auto"/>
        <w:jc w:val="center"/>
        <w:rPr>
          <w:color w:val="1B1B1B"/>
          <w:sz w:val="24"/>
          <w:szCs w:val="24"/>
        </w:rPr>
      </w:pPr>
    </w:p>
    <w:p w14:paraId="659EDA81" w14:textId="77777777" w:rsidR="00C33854" w:rsidRDefault="00C33854">
      <w:pPr>
        <w:shd w:val="clear" w:color="auto" w:fill="FFFFFF"/>
        <w:spacing w:line="240" w:lineRule="auto"/>
        <w:rPr>
          <w:color w:val="1B1B1B"/>
          <w:sz w:val="24"/>
          <w:szCs w:val="24"/>
        </w:rPr>
      </w:pPr>
    </w:p>
    <w:p w14:paraId="1A317828" w14:textId="77777777" w:rsidR="00C33854" w:rsidRDefault="00C33854">
      <w:pPr>
        <w:shd w:val="clear" w:color="auto" w:fill="FFFFFF"/>
        <w:spacing w:line="240" w:lineRule="auto"/>
        <w:rPr>
          <w:color w:val="1B1B1B"/>
          <w:sz w:val="24"/>
          <w:szCs w:val="24"/>
        </w:rPr>
      </w:pPr>
    </w:p>
    <w:p w14:paraId="76DB6295" w14:textId="77777777" w:rsidR="00C33854" w:rsidRDefault="00C33854">
      <w:pPr>
        <w:shd w:val="clear" w:color="auto" w:fill="FFFFFF"/>
        <w:spacing w:line="240" w:lineRule="auto"/>
        <w:rPr>
          <w:b/>
          <w:color w:val="1B1B1B"/>
          <w:sz w:val="24"/>
          <w:szCs w:val="24"/>
        </w:rPr>
      </w:pPr>
    </w:p>
    <w:p w14:paraId="5961D5FA" w14:textId="77777777" w:rsidR="00C33854" w:rsidRDefault="00200D3B">
      <w:pPr>
        <w:shd w:val="clear" w:color="auto" w:fill="FFFFFF"/>
        <w:spacing w:line="240" w:lineRule="auto"/>
        <w:rPr>
          <w:b/>
          <w:color w:val="1B1B1B"/>
        </w:rPr>
      </w:pPr>
      <w:r>
        <w:rPr>
          <w:b/>
          <w:color w:val="1B1B1B"/>
        </w:rPr>
        <w:t>ABSTRACT</w:t>
      </w:r>
    </w:p>
    <w:p w14:paraId="195ACEBC" w14:textId="77777777" w:rsidR="00C33854" w:rsidRDefault="00C33854">
      <w:pPr>
        <w:shd w:val="clear" w:color="auto" w:fill="FFFFFF"/>
        <w:spacing w:line="240" w:lineRule="auto"/>
        <w:rPr>
          <w:b/>
          <w:color w:val="1B1B1B"/>
        </w:rPr>
      </w:pPr>
    </w:p>
    <w:p w14:paraId="30034D25" w14:textId="30F6E90C" w:rsidR="00C33854" w:rsidRDefault="00200D3B">
      <w:pPr>
        <w:shd w:val="clear" w:color="auto" w:fill="FFFFFF"/>
        <w:spacing w:line="240" w:lineRule="auto"/>
        <w:jc w:val="both"/>
        <w:rPr>
          <w:color w:val="1B1B1B"/>
          <w:sz w:val="20"/>
          <w:szCs w:val="20"/>
        </w:rPr>
      </w:pPr>
      <w:r>
        <w:rPr>
          <w:b/>
          <w:color w:val="1B1B1B"/>
          <w:sz w:val="20"/>
          <w:szCs w:val="20"/>
        </w:rPr>
        <w:t>Background:</w:t>
      </w:r>
      <w:r>
        <w:rPr>
          <w:color w:val="1B1B1B"/>
          <w:sz w:val="20"/>
          <w:szCs w:val="20"/>
        </w:rPr>
        <w:t xml:space="preserve"> Pica, as defined by the DSM-V, is the persistent consumption of non-nutritive, non-food substances for at least one month, which cannot be explained by developmental stage or cultural norms. While commonly associated with developmental disorders, pregnancy, and iron deficiency, pica can result in serious medical complications, particularly when toxic substances are ingested. </w:t>
      </w:r>
    </w:p>
    <w:p w14:paraId="57C84159" w14:textId="77777777" w:rsidR="00D21503" w:rsidRDefault="00D21503" w:rsidP="00D21503">
      <w:pPr>
        <w:shd w:val="clear" w:color="auto" w:fill="FFFFFF"/>
        <w:spacing w:line="240" w:lineRule="auto"/>
        <w:jc w:val="both"/>
        <w:rPr>
          <w:color w:val="1B1B1B"/>
          <w:sz w:val="20"/>
          <w:szCs w:val="20"/>
        </w:rPr>
      </w:pPr>
      <w:r>
        <w:rPr>
          <w:b/>
          <w:color w:val="1B1B1B"/>
          <w:sz w:val="20"/>
          <w:szCs w:val="20"/>
        </w:rPr>
        <w:t>Aims:</w:t>
      </w:r>
      <w:r>
        <w:rPr>
          <w:color w:val="1B1B1B"/>
          <w:sz w:val="20"/>
          <w:szCs w:val="20"/>
        </w:rPr>
        <w:t xml:space="preserve"> This study describes a unique case of pica and elucidate the importance of early recognition and management in order to avoid long-term complications.</w:t>
      </w:r>
    </w:p>
    <w:p w14:paraId="09B34A94" w14:textId="77777777" w:rsidR="00C33854" w:rsidRDefault="00200D3B">
      <w:pPr>
        <w:shd w:val="clear" w:color="auto" w:fill="FFFFFF"/>
        <w:spacing w:line="240" w:lineRule="auto"/>
        <w:jc w:val="both"/>
        <w:rPr>
          <w:color w:val="1B1B1B"/>
          <w:sz w:val="20"/>
          <w:szCs w:val="20"/>
        </w:rPr>
      </w:pPr>
      <w:bookmarkStart w:id="0" w:name="_GoBack"/>
      <w:bookmarkEnd w:id="0"/>
      <w:r>
        <w:rPr>
          <w:b/>
          <w:color w:val="1B1B1B"/>
          <w:sz w:val="20"/>
          <w:szCs w:val="20"/>
        </w:rPr>
        <w:t>Case Description:</w:t>
      </w:r>
      <w:r>
        <w:rPr>
          <w:color w:val="1B1B1B"/>
          <w:sz w:val="20"/>
          <w:szCs w:val="20"/>
        </w:rPr>
        <w:t xml:space="preserve"> Here we present a rare case of a 14-year-old female with no significant past medical or psychiatric history who developed lead poisoning secondary to chronic ingestion of lead-based paint. The patient was hospitalized with elevated blood lead levels of 79 mcg/dL, microcytic anemia, and gastrointestinal symptoms, as well as having the characteristic burton lines along the gums. Imaging revealed radio-dense material in the colon, consistent with ingested paint chips. She required chelation therapy, bowel decontamination, and psychiatric evaluation. Her psychiatric assessment revealed compulsive urges to ingest paint, without evidence of underlying psychosis, intellectual disability, or obsessive-compulsive disorder. The patient ultimately completed chelation therapy without further complications with future follow-up with her outpatient primary care provider as well as a referral to outpatient behavioral health resources. </w:t>
      </w:r>
    </w:p>
    <w:p w14:paraId="3E40C3D7" w14:textId="77777777" w:rsidR="00C33854" w:rsidRDefault="00200D3B">
      <w:pPr>
        <w:shd w:val="clear" w:color="auto" w:fill="FFFFFF"/>
        <w:spacing w:line="240" w:lineRule="auto"/>
        <w:jc w:val="both"/>
        <w:rPr>
          <w:color w:val="1B1B1B"/>
          <w:sz w:val="20"/>
          <w:szCs w:val="20"/>
        </w:rPr>
      </w:pPr>
      <w:r>
        <w:rPr>
          <w:b/>
          <w:color w:val="1B1B1B"/>
          <w:sz w:val="20"/>
          <w:szCs w:val="20"/>
        </w:rPr>
        <w:t>Conclusion:</w:t>
      </w:r>
      <w:r>
        <w:rPr>
          <w:color w:val="1B1B1B"/>
          <w:sz w:val="20"/>
          <w:szCs w:val="20"/>
        </w:rPr>
        <w:t xml:space="preserve"> This case underscores the importance of considering pica in the differential diagnosis for unexplained lead toxicity, especially in the context of iron deficiency. Early recognition and multidisciplinary management are essential to prevent long-term complications.</w:t>
      </w:r>
    </w:p>
    <w:p w14:paraId="55A5F229" w14:textId="77777777" w:rsidR="00C33854" w:rsidRDefault="00C33854">
      <w:pPr>
        <w:shd w:val="clear" w:color="auto" w:fill="FFFFFF"/>
        <w:spacing w:line="240" w:lineRule="auto"/>
        <w:rPr>
          <w:color w:val="1B1B1B"/>
          <w:sz w:val="24"/>
          <w:szCs w:val="24"/>
        </w:rPr>
      </w:pPr>
    </w:p>
    <w:p w14:paraId="0D886145" w14:textId="77777777" w:rsidR="00C33854" w:rsidRDefault="00C33854">
      <w:pPr>
        <w:shd w:val="clear" w:color="auto" w:fill="FFFFFF"/>
        <w:spacing w:line="240" w:lineRule="auto"/>
        <w:rPr>
          <w:color w:val="1B1B1B"/>
          <w:sz w:val="24"/>
          <w:szCs w:val="24"/>
        </w:rPr>
      </w:pPr>
    </w:p>
    <w:p w14:paraId="440854A8" w14:textId="77777777" w:rsidR="00C33854" w:rsidRDefault="00C33854">
      <w:pPr>
        <w:shd w:val="clear" w:color="auto" w:fill="FFFFFF"/>
        <w:spacing w:line="240" w:lineRule="auto"/>
        <w:rPr>
          <w:color w:val="1B1B1B"/>
          <w:sz w:val="24"/>
          <w:szCs w:val="24"/>
        </w:rPr>
      </w:pPr>
    </w:p>
    <w:p w14:paraId="0EA47A8A" w14:textId="77777777" w:rsidR="00C33854" w:rsidRDefault="00C33854">
      <w:pPr>
        <w:shd w:val="clear" w:color="auto" w:fill="FFFFFF"/>
        <w:spacing w:line="240" w:lineRule="auto"/>
        <w:rPr>
          <w:color w:val="1B1B1B"/>
          <w:sz w:val="24"/>
          <w:szCs w:val="24"/>
        </w:rPr>
      </w:pPr>
    </w:p>
    <w:p w14:paraId="56FDBAE0" w14:textId="77777777" w:rsidR="00C33854" w:rsidRDefault="00C33854">
      <w:pPr>
        <w:shd w:val="clear" w:color="auto" w:fill="FFFFFF"/>
        <w:spacing w:line="240" w:lineRule="auto"/>
        <w:rPr>
          <w:color w:val="1B1B1B"/>
          <w:sz w:val="24"/>
          <w:szCs w:val="24"/>
        </w:rPr>
      </w:pPr>
    </w:p>
    <w:p w14:paraId="5EF70CCC" w14:textId="77777777" w:rsidR="00C33854" w:rsidRDefault="00C33854">
      <w:pPr>
        <w:shd w:val="clear" w:color="auto" w:fill="FFFFFF"/>
        <w:spacing w:line="240" w:lineRule="auto"/>
        <w:rPr>
          <w:color w:val="1B1B1B"/>
          <w:sz w:val="24"/>
          <w:szCs w:val="24"/>
        </w:rPr>
      </w:pPr>
    </w:p>
    <w:p w14:paraId="46B2DDC1" w14:textId="77777777" w:rsidR="00C33854" w:rsidRDefault="00C33854">
      <w:pPr>
        <w:shd w:val="clear" w:color="auto" w:fill="FFFFFF"/>
        <w:spacing w:line="240" w:lineRule="auto"/>
        <w:rPr>
          <w:color w:val="1B1B1B"/>
          <w:sz w:val="24"/>
          <w:szCs w:val="24"/>
        </w:rPr>
      </w:pPr>
    </w:p>
    <w:p w14:paraId="56F20150" w14:textId="77777777" w:rsidR="00C33854" w:rsidRDefault="00C33854">
      <w:pPr>
        <w:shd w:val="clear" w:color="auto" w:fill="FFFFFF"/>
        <w:spacing w:line="240" w:lineRule="auto"/>
        <w:rPr>
          <w:color w:val="1B1B1B"/>
          <w:sz w:val="24"/>
          <w:szCs w:val="24"/>
        </w:rPr>
      </w:pPr>
    </w:p>
    <w:p w14:paraId="1D294FDA" w14:textId="77777777" w:rsidR="00C33854" w:rsidRDefault="00C33854">
      <w:pPr>
        <w:shd w:val="clear" w:color="auto" w:fill="FFFFFF"/>
        <w:spacing w:line="240" w:lineRule="auto"/>
        <w:rPr>
          <w:color w:val="1B1B1B"/>
          <w:sz w:val="24"/>
          <w:szCs w:val="24"/>
        </w:rPr>
      </w:pPr>
    </w:p>
    <w:p w14:paraId="54E9265A" w14:textId="77777777" w:rsidR="00C33854" w:rsidRDefault="00C33854">
      <w:pPr>
        <w:shd w:val="clear" w:color="auto" w:fill="FFFFFF"/>
        <w:spacing w:line="240" w:lineRule="auto"/>
        <w:rPr>
          <w:color w:val="1B1B1B"/>
          <w:sz w:val="24"/>
          <w:szCs w:val="24"/>
        </w:rPr>
      </w:pPr>
    </w:p>
    <w:p w14:paraId="0F712177" w14:textId="77777777" w:rsidR="00C33854" w:rsidRDefault="00C33854">
      <w:pPr>
        <w:shd w:val="clear" w:color="auto" w:fill="FFFFFF"/>
        <w:spacing w:line="240" w:lineRule="auto"/>
        <w:rPr>
          <w:color w:val="1B1B1B"/>
          <w:sz w:val="24"/>
          <w:szCs w:val="24"/>
        </w:rPr>
      </w:pPr>
    </w:p>
    <w:p w14:paraId="021D92BF" w14:textId="77777777" w:rsidR="00C33854" w:rsidRDefault="00C33854">
      <w:pPr>
        <w:shd w:val="clear" w:color="auto" w:fill="FFFFFF"/>
        <w:spacing w:line="240" w:lineRule="auto"/>
        <w:rPr>
          <w:color w:val="1B1B1B"/>
          <w:sz w:val="24"/>
          <w:szCs w:val="24"/>
        </w:rPr>
      </w:pPr>
    </w:p>
    <w:p w14:paraId="43936BEC" w14:textId="77777777" w:rsidR="00C33854" w:rsidRDefault="00C33854">
      <w:pPr>
        <w:shd w:val="clear" w:color="auto" w:fill="FFFFFF"/>
        <w:spacing w:line="240" w:lineRule="auto"/>
        <w:rPr>
          <w:color w:val="1B1B1B"/>
          <w:sz w:val="24"/>
          <w:szCs w:val="24"/>
        </w:rPr>
      </w:pPr>
    </w:p>
    <w:p w14:paraId="09A021F8" w14:textId="77777777" w:rsidR="00C33854" w:rsidRDefault="00C33854">
      <w:pPr>
        <w:shd w:val="clear" w:color="auto" w:fill="FFFFFF"/>
        <w:spacing w:line="240" w:lineRule="auto"/>
        <w:rPr>
          <w:color w:val="1B1B1B"/>
          <w:sz w:val="24"/>
          <w:szCs w:val="24"/>
        </w:rPr>
      </w:pPr>
    </w:p>
    <w:p w14:paraId="5F43DA6B" w14:textId="77777777" w:rsidR="00C33854" w:rsidRDefault="00C33854">
      <w:pPr>
        <w:shd w:val="clear" w:color="auto" w:fill="FFFFFF"/>
        <w:spacing w:line="240" w:lineRule="auto"/>
        <w:rPr>
          <w:color w:val="1B1B1B"/>
          <w:sz w:val="24"/>
          <w:szCs w:val="24"/>
        </w:rPr>
      </w:pPr>
    </w:p>
    <w:p w14:paraId="491F24F8" w14:textId="77777777" w:rsidR="00C33854" w:rsidRDefault="00C33854">
      <w:pPr>
        <w:shd w:val="clear" w:color="auto" w:fill="FFFFFF"/>
        <w:spacing w:line="240" w:lineRule="auto"/>
        <w:rPr>
          <w:color w:val="1B1B1B"/>
          <w:sz w:val="24"/>
          <w:szCs w:val="24"/>
        </w:rPr>
      </w:pPr>
    </w:p>
    <w:p w14:paraId="4ADA1FBA" w14:textId="77777777" w:rsidR="00C33854" w:rsidRDefault="00C33854">
      <w:pPr>
        <w:shd w:val="clear" w:color="auto" w:fill="FFFFFF"/>
        <w:spacing w:line="240" w:lineRule="auto"/>
        <w:rPr>
          <w:color w:val="1B1B1B"/>
          <w:sz w:val="24"/>
          <w:szCs w:val="24"/>
        </w:rPr>
      </w:pPr>
    </w:p>
    <w:p w14:paraId="2CFFF00C" w14:textId="77777777" w:rsidR="00C33854" w:rsidRDefault="00C33854">
      <w:pPr>
        <w:shd w:val="clear" w:color="auto" w:fill="FFFFFF"/>
        <w:spacing w:line="240" w:lineRule="auto"/>
        <w:rPr>
          <w:color w:val="1B1B1B"/>
          <w:sz w:val="24"/>
          <w:szCs w:val="24"/>
        </w:rPr>
      </w:pPr>
    </w:p>
    <w:p w14:paraId="71A8CF27" w14:textId="77777777" w:rsidR="00C33854" w:rsidRDefault="00200D3B">
      <w:pPr>
        <w:shd w:val="clear" w:color="auto" w:fill="FFFFFF"/>
        <w:spacing w:line="240" w:lineRule="auto"/>
        <w:rPr>
          <w:i/>
          <w:color w:val="1B1B1B"/>
          <w:sz w:val="20"/>
          <w:szCs w:val="20"/>
        </w:rPr>
      </w:pPr>
      <w:r>
        <w:rPr>
          <w:b/>
          <w:i/>
          <w:color w:val="1B1B1B"/>
          <w:sz w:val="20"/>
          <w:szCs w:val="20"/>
        </w:rPr>
        <w:t>Key words</w:t>
      </w:r>
      <w:r>
        <w:rPr>
          <w:i/>
          <w:color w:val="1B1B1B"/>
          <w:sz w:val="20"/>
          <w:szCs w:val="20"/>
        </w:rPr>
        <w:t>: Pica; paint; non-food substance; lead; anemia</w:t>
      </w:r>
    </w:p>
    <w:p w14:paraId="7420005A" w14:textId="77777777" w:rsidR="00C33854" w:rsidRDefault="00C33854">
      <w:pPr>
        <w:shd w:val="clear" w:color="auto" w:fill="FFFFFF"/>
        <w:spacing w:line="240" w:lineRule="auto"/>
        <w:rPr>
          <w:color w:val="1B1B1B"/>
          <w:sz w:val="24"/>
          <w:szCs w:val="24"/>
        </w:rPr>
      </w:pPr>
    </w:p>
    <w:p w14:paraId="0ABA8033" w14:textId="77777777" w:rsidR="00C33854" w:rsidRDefault="00200D3B">
      <w:pPr>
        <w:shd w:val="clear" w:color="auto" w:fill="FFFFFF"/>
        <w:spacing w:line="240" w:lineRule="auto"/>
        <w:rPr>
          <w:b/>
          <w:color w:val="1B1B1B"/>
        </w:rPr>
      </w:pPr>
      <w:r>
        <w:rPr>
          <w:b/>
          <w:color w:val="1B1B1B"/>
        </w:rPr>
        <w:t>INTRODUCTION</w:t>
      </w:r>
    </w:p>
    <w:p w14:paraId="2FD4CF9D" w14:textId="77777777" w:rsidR="00C33854" w:rsidRDefault="00C33854">
      <w:pPr>
        <w:shd w:val="clear" w:color="auto" w:fill="FFFFFF"/>
        <w:spacing w:line="240" w:lineRule="auto"/>
        <w:rPr>
          <w:b/>
          <w:color w:val="1B1B1B"/>
        </w:rPr>
      </w:pPr>
    </w:p>
    <w:p w14:paraId="122D7E86" w14:textId="77777777" w:rsidR="00C33854" w:rsidRDefault="00200D3B">
      <w:pPr>
        <w:shd w:val="clear" w:color="auto" w:fill="FFFFFF"/>
        <w:spacing w:line="240" w:lineRule="auto"/>
        <w:jc w:val="both"/>
        <w:rPr>
          <w:color w:val="1B1B1B"/>
          <w:sz w:val="20"/>
          <w:szCs w:val="20"/>
        </w:rPr>
      </w:pPr>
      <w:r>
        <w:rPr>
          <w:color w:val="1B1B1B"/>
          <w:sz w:val="20"/>
          <w:szCs w:val="20"/>
        </w:rPr>
        <w:t xml:space="preserve">The DSM-V defines pica as eating non-nutritive, non-food substances over a period of at least one month that is not explained by someone’s developmental age or explained by someone’s cultural or social </w:t>
      </w:r>
      <w:r>
        <w:rPr>
          <w:color w:val="1B1B1B"/>
          <w:sz w:val="20"/>
          <w:szCs w:val="20"/>
        </w:rPr>
        <w:lastRenderedPageBreak/>
        <w:t xml:space="preserve">background (Al Nasser, 2023). Commonly, infants will start mouthing at about 3-5 months of age, and it will begin to peak until 6-9 months of age. After about 9 months the behavior typically begins to fade (Koterba, 2014). As children grow older, they begin to explore more with their hands, ending this oral stage of exploration. </w:t>
      </w:r>
    </w:p>
    <w:p w14:paraId="765B8EE7" w14:textId="77777777" w:rsidR="00C33854" w:rsidRDefault="00C33854">
      <w:pPr>
        <w:shd w:val="clear" w:color="auto" w:fill="FFFFFF"/>
        <w:spacing w:line="240" w:lineRule="auto"/>
        <w:jc w:val="both"/>
        <w:rPr>
          <w:color w:val="1B1B1B"/>
          <w:sz w:val="20"/>
          <w:szCs w:val="20"/>
        </w:rPr>
      </w:pPr>
    </w:p>
    <w:p w14:paraId="318624E9" w14:textId="77777777" w:rsidR="00C33854" w:rsidRDefault="00200D3B">
      <w:pPr>
        <w:shd w:val="clear" w:color="auto" w:fill="FFFFFF"/>
        <w:spacing w:line="240" w:lineRule="auto"/>
        <w:jc w:val="both"/>
        <w:rPr>
          <w:color w:val="1B1B1B"/>
          <w:sz w:val="20"/>
          <w:szCs w:val="20"/>
        </w:rPr>
      </w:pPr>
      <w:r>
        <w:rPr>
          <w:color w:val="1B1B1B"/>
          <w:sz w:val="20"/>
          <w:szCs w:val="20"/>
        </w:rPr>
        <w:t>Pica itself can present at any age and is likewise common among individuals that are intellectually impaired (McNaughten, 2017), or in women during the perinatal period. Pica can also be associated with schizophrenia (Khosravi 2021), autism spectrum disorder, trichotillomania (hair pulling disorder), and excoriation (skin picking) disorder, obsessive compulsive disorder, and sickle cell disease (Clark et al., 2020). The nature of ingested items is variable, including but not limited to earth (geophagy), raw starches (</w:t>
      </w:r>
      <w:proofErr w:type="spellStart"/>
      <w:r>
        <w:rPr>
          <w:color w:val="1B1B1B"/>
          <w:sz w:val="20"/>
          <w:szCs w:val="20"/>
        </w:rPr>
        <w:t>amylophagy</w:t>
      </w:r>
      <w:proofErr w:type="spellEnd"/>
      <w:r>
        <w:rPr>
          <w:color w:val="1B1B1B"/>
          <w:sz w:val="20"/>
          <w:szCs w:val="20"/>
        </w:rPr>
        <w:t xml:space="preserve">), ice (pagophagia), charcoal, ash, paper, chalk, cloth, baby powder, coffee grounds, and eggshells (Al Nasser, 2023). </w:t>
      </w:r>
    </w:p>
    <w:p w14:paraId="0242D531" w14:textId="77777777" w:rsidR="00C33854" w:rsidRDefault="00C33854">
      <w:pPr>
        <w:shd w:val="clear" w:color="auto" w:fill="FFFFFF"/>
        <w:spacing w:line="240" w:lineRule="auto"/>
        <w:ind w:firstLine="720"/>
        <w:jc w:val="both"/>
        <w:rPr>
          <w:color w:val="1B1B1B"/>
          <w:sz w:val="20"/>
          <w:szCs w:val="20"/>
        </w:rPr>
      </w:pPr>
    </w:p>
    <w:p w14:paraId="58F96468" w14:textId="77777777" w:rsidR="00C33854" w:rsidRDefault="00200D3B">
      <w:pPr>
        <w:shd w:val="clear" w:color="auto" w:fill="FFFFFF"/>
        <w:spacing w:line="240" w:lineRule="auto"/>
        <w:jc w:val="both"/>
        <w:rPr>
          <w:color w:val="1B1B1B"/>
          <w:sz w:val="20"/>
          <w:szCs w:val="20"/>
        </w:rPr>
      </w:pPr>
      <w:r>
        <w:rPr>
          <w:color w:val="1B1B1B"/>
          <w:sz w:val="20"/>
          <w:szCs w:val="20"/>
        </w:rPr>
        <w:t xml:space="preserve">While the exact pathophysiology of pica is currently unknown, the strong association of pica with iron deficiency anemia (IDA) lends credence to the hypothesis that dopamine transmission may be disrupted in this disorder, as iron is a crucial cofactor in dopamine synthesis. Current treatments for nutritive picas are focused on treating the underlying deficiency. Picas associated with ASD are resistant to medications but can be treated with applied behavioral analysis therapy (ABA) (Schnitzler, 2022). </w:t>
      </w:r>
    </w:p>
    <w:p w14:paraId="728DDF0B" w14:textId="77777777" w:rsidR="00C33854" w:rsidRDefault="00C33854">
      <w:pPr>
        <w:shd w:val="clear" w:color="auto" w:fill="FFFFFF"/>
        <w:spacing w:line="240" w:lineRule="auto"/>
        <w:rPr>
          <w:color w:val="1B1B1B"/>
          <w:sz w:val="24"/>
          <w:szCs w:val="24"/>
        </w:rPr>
      </w:pPr>
    </w:p>
    <w:p w14:paraId="47B2A41A" w14:textId="77777777" w:rsidR="00C33854" w:rsidRDefault="00200D3B">
      <w:pPr>
        <w:shd w:val="clear" w:color="auto" w:fill="FFFFFF"/>
        <w:spacing w:line="240" w:lineRule="auto"/>
        <w:rPr>
          <w:b/>
          <w:color w:val="1B1B1B"/>
        </w:rPr>
      </w:pPr>
      <w:r>
        <w:rPr>
          <w:b/>
          <w:color w:val="1B1B1B"/>
        </w:rPr>
        <w:t>CASE DESCRIPTION</w:t>
      </w:r>
    </w:p>
    <w:p w14:paraId="2B4E6412" w14:textId="77777777" w:rsidR="00C33854" w:rsidRDefault="00C33854">
      <w:pPr>
        <w:shd w:val="clear" w:color="auto" w:fill="FFFFFF"/>
        <w:spacing w:line="240" w:lineRule="auto"/>
        <w:rPr>
          <w:b/>
          <w:color w:val="1B1B1B"/>
        </w:rPr>
      </w:pPr>
    </w:p>
    <w:p w14:paraId="7961CC38" w14:textId="77777777" w:rsidR="00C33854" w:rsidRDefault="00200D3B">
      <w:pPr>
        <w:shd w:val="clear" w:color="auto" w:fill="FFFFFF"/>
        <w:spacing w:line="240" w:lineRule="auto"/>
        <w:jc w:val="both"/>
        <w:rPr>
          <w:color w:val="1B1B1B"/>
          <w:sz w:val="20"/>
          <w:szCs w:val="20"/>
        </w:rPr>
      </w:pPr>
      <w:r>
        <w:rPr>
          <w:color w:val="1B1B1B"/>
          <w:sz w:val="20"/>
          <w:szCs w:val="20"/>
        </w:rPr>
        <w:t>A 14-year-old girl with no significant past medical history presented to the hospital with complaints of daily headaches, diffuse abdominal pain, generalized body aches, and intermittent constipation. She was admitted for evaluation and management of markedly elevated blood lead levels identified on recent outpatient testing.</w:t>
      </w:r>
    </w:p>
    <w:p w14:paraId="37E47DB3" w14:textId="77777777" w:rsidR="00C33854" w:rsidRDefault="00C33854">
      <w:pPr>
        <w:shd w:val="clear" w:color="auto" w:fill="FFFFFF"/>
        <w:spacing w:line="240" w:lineRule="auto"/>
        <w:jc w:val="both"/>
        <w:rPr>
          <w:color w:val="1B1B1B"/>
          <w:sz w:val="20"/>
          <w:szCs w:val="20"/>
        </w:rPr>
      </w:pPr>
    </w:p>
    <w:p w14:paraId="53B71185" w14:textId="77777777" w:rsidR="00C33854" w:rsidRDefault="00200D3B">
      <w:pPr>
        <w:shd w:val="clear" w:color="auto" w:fill="FFFFFF"/>
        <w:spacing w:line="240" w:lineRule="auto"/>
        <w:jc w:val="both"/>
        <w:rPr>
          <w:color w:val="1B1B1B"/>
          <w:sz w:val="20"/>
          <w:szCs w:val="20"/>
        </w:rPr>
      </w:pPr>
      <w:r>
        <w:rPr>
          <w:color w:val="1B1B1B"/>
          <w:sz w:val="20"/>
          <w:szCs w:val="20"/>
        </w:rPr>
        <w:t>Initial venous lead level obtained on September 11, 2024, was 79 mcg/dL. Despite the severity of elevation, chelation therapy had not yet been initiated. The patient denied drug use and reported regular but heavy menses, 8–10 pads daily at the peak, currently on her period at the time of admission. She was taking over-the-counter oral ferrous sulfate (</w:t>
      </w:r>
      <w:proofErr w:type="spellStart"/>
      <w:r>
        <w:rPr>
          <w:color w:val="1B1B1B"/>
          <w:sz w:val="20"/>
          <w:szCs w:val="20"/>
        </w:rPr>
        <w:t>Ferosul</w:t>
      </w:r>
      <w:proofErr w:type="spellEnd"/>
      <w:r>
        <w:rPr>
          <w:color w:val="1B1B1B"/>
          <w:sz w:val="20"/>
          <w:szCs w:val="20"/>
        </w:rPr>
        <w:t>) 325 mg daily for iron supplementation at home. A urine pregnancy test was negative on admission.</w:t>
      </w:r>
    </w:p>
    <w:p w14:paraId="3127FED3" w14:textId="77777777" w:rsidR="00C33854" w:rsidRDefault="00C33854">
      <w:pPr>
        <w:shd w:val="clear" w:color="auto" w:fill="FFFFFF"/>
        <w:spacing w:line="240" w:lineRule="auto"/>
        <w:jc w:val="both"/>
        <w:rPr>
          <w:color w:val="1B1B1B"/>
          <w:sz w:val="20"/>
          <w:szCs w:val="20"/>
        </w:rPr>
      </w:pPr>
    </w:p>
    <w:p w14:paraId="6667A085" w14:textId="77777777" w:rsidR="00C33854" w:rsidRDefault="00200D3B">
      <w:pPr>
        <w:shd w:val="clear" w:color="auto" w:fill="FFFFFF"/>
        <w:spacing w:line="240" w:lineRule="auto"/>
        <w:jc w:val="both"/>
        <w:rPr>
          <w:color w:val="1B1B1B"/>
          <w:sz w:val="20"/>
          <w:szCs w:val="20"/>
        </w:rPr>
      </w:pPr>
      <w:r>
        <w:rPr>
          <w:color w:val="1B1B1B"/>
          <w:sz w:val="20"/>
          <w:szCs w:val="20"/>
        </w:rPr>
        <w:t>On arrival, the patient was alert and oriented, in no acute distress. Initial vital signs included blood pressure 117/77 mmHg, pulse 104 bpm, temperature 36.7°C, respiratory rate 16 breaths per minute, and oxygen saturation 99% on room air. Neurologic examination was unremarkable with no focal deficits, tremor, or signs of encephalopathy. Cranial nerves were intact. She displayed a thin bluish-black line along the gingival margins, consistent with Burton lines, a physical exam finding associated with chronic lead exposure. Mild diffuse abdominal tenderness was noted on examination without rebound or guarding.</w:t>
      </w:r>
    </w:p>
    <w:p w14:paraId="3085ED2D" w14:textId="77777777" w:rsidR="00C33854" w:rsidRDefault="00C33854">
      <w:pPr>
        <w:shd w:val="clear" w:color="auto" w:fill="FFFFFF"/>
        <w:spacing w:line="240" w:lineRule="auto"/>
        <w:jc w:val="both"/>
        <w:rPr>
          <w:color w:val="1B1B1B"/>
          <w:sz w:val="20"/>
          <w:szCs w:val="20"/>
        </w:rPr>
      </w:pPr>
    </w:p>
    <w:p w14:paraId="1CE8AF8A" w14:textId="77777777" w:rsidR="00C33854" w:rsidRDefault="00200D3B">
      <w:pPr>
        <w:shd w:val="clear" w:color="auto" w:fill="FFFFFF"/>
        <w:spacing w:line="240" w:lineRule="auto"/>
        <w:jc w:val="both"/>
        <w:rPr>
          <w:color w:val="1B1B1B"/>
          <w:sz w:val="20"/>
          <w:szCs w:val="20"/>
        </w:rPr>
      </w:pPr>
      <w:r>
        <w:rPr>
          <w:color w:val="1B1B1B"/>
          <w:sz w:val="20"/>
          <w:szCs w:val="20"/>
        </w:rPr>
        <w:t xml:space="preserve">Laboratory testing was notable for hemoglobin 10.3 g/dL, hematocrit 33.3%, and mean corpuscular volume (MCV) 74.0 </w:t>
      </w:r>
      <w:proofErr w:type="spellStart"/>
      <w:r>
        <w:rPr>
          <w:color w:val="1B1B1B"/>
          <w:sz w:val="20"/>
          <w:szCs w:val="20"/>
        </w:rPr>
        <w:t>fL</w:t>
      </w:r>
      <w:proofErr w:type="spellEnd"/>
      <w:r>
        <w:rPr>
          <w:color w:val="1B1B1B"/>
          <w:sz w:val="20"/>
          <w:szCs w:val="20"/>
        </w:rPr>
        <w:t>, consistent with microcytic anemia. Red cell distribution width (RDW) was elevated at 20.3%. Peripheral smear demonstrated target cells. Sodium was 137 mmol/L, and AST was mildly elevated at 37 U/L. Urinalysis revealed minimal bacteria but was contaminated with epithelial cells.</w:t>
      </w:r>
    </w:p>
    <w:p w14:paraId="25A312F5" w14:textId="77777777" w:rsidR="00C33854" w:rsidRDefault="00C33854">
      <w:pPr>
        <w:shd w:val="clear" w:color="auto" w:fill="FFFFFF"/>
        <w:spacing w:line="240" w:lineRule="auto"/>
        <w:jc w:val="both"/>
        <w:rPr>
          <w:color w:val="1B1B1B"/>
          <w:sz w:val="20"/>
          <w:szCs w:val="20"/>
        </w:rPr>
      </w:pPr>
    </w:p>
    <w:p w14:paraId="7C1B01F7" w14:textId="77777777" w:rsidR="00C33854" w:rsidRDefault="00C33854">
      <w:pPr>
        <w:shd w:val="clear" w:color="auto" w:fill="FFFFFF"/>
        <w:spacing w:line="240" w:lineRule="auto"/>
        <w:jc w:val="both"/>
        <w:rPr>
          <w:color w:val="1B1B1B"/>
          <w:sz w:val="20"/>
          <w:szCs w:val="20"/>
        </w:rPr>
      </w:pPr>
    </w:p>
    <w:p w14:paraId="33274D14" w14:textId="77777777" w:rsidR="00C33854" w:rsidRDefault="00C33854">
      <w:pPr>
        <w:shd w:val="clear" w:color="auto" w:fill="FFFFFF"/>
        <w:spacing w:line="240" w:lineRule="auto"/>
        <w:jc w:val="both"/>
        <w:rPr>
          <w:color w:val="1B1B1B"/>
          <w:sz w:val="20"/>
          <w:szCs w:val="20"/>
        </w:rPr>
      </w:pPr>
    </w:p>
    <w:p w14:paraId="05C4C4EC" w14:textId="77777777" w:rsidR="00C33854" w:rsidRDefault="00C33854">
      <w:pPr>
        <w:shd w:val="clear" w:color="auto" w:fill="FFFFFF"/>
        <w:spacing w:line="240" w:lineRule="auto"/>
        <w:jc w:val="both"/>
        <w:rPr>
          <w:color w:val="1B1B1B"/>
          <w:sz w:val="20"/>
          <w:szCs w:val="20"/>
        </w:rPr>
      </w:pPr>
    </w:p>
    <w:p w14:paraId="68C33E3D" w14:textId="77777777" w:rsidR="00C33854" w:rsidRDefault="00C33854">
      <w:pPr>
        <w:shd w:val="clear" w:color="auto" w:fill="FFFFFF"/>
        <w:spacing w:line="240" w:lineRule="auto"/>
        <w:jc w:val="both"/>
        <w:rPr>
          <w:color w:val="1B1B1B"/>
          <w:sz w:val="20"/>
          <w:szCs w:val="20"/>
        </w:rPr>
      </w:pPr>
    </w:p>
    <w:p w14:paraId="2537A651" w14:textId="77777777" w:rsidR="00C33854" w:rsidRDefault="00C33854">
      <w:pPr>
        <w:shd w:val="clear" w:color="auto" w:fill="FFFFFF"/>
        <w:spacing w:line="240" w:lineRule="auto"/>
        <w:jc w:val="both"/>
        <w:rPr>
          <w:color w:val="1B1B1B"/>
          <w:sz w:val="20"/>
          <w:szCs w:val="20"/>
        </w:rPr>
      </w:pPr>
    </w:p>
    <w:p w14:paraId="62F44A70" w14:textId="77777777" w:rsidR="00C33854" w:rsidRDefault="00C33854">
      <w:pPr>
        <w:shd w:val="clear" w:color="auto" w:fill="FFFFFF"/>
        <w:spacing w:line="240" w:lineRule="auto"/>
        <w:jc w:val="both"/>
        <w:rPr>
          <w:sz w:val="20"/>
          <w:szCs w:val="20"/>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33854" w14:paraId="55A4DC27" w14:textId="77777777">
        <w:tc>
          <w:tcPr>
            <w:tcW w:w="3120" w:type="dxa"/>
            <w:shd w:val="clear" w:color="auto" w:fill="B7B7B7"/>
            <w:tcMar>
              <w:top w:w="100" w:type="dxa"/>
              <w:left w:w="100" w:type="dxa"/>
              <w:bottom w:w="100" w:type="dxa"/>
              <w:right w:w="100" w:type="dxa"/>
            </w:tcMar>
          </w:tcPr>
          <w:p w14:paraId="50D8A2CC" w14:textId="77777777" w:rsidR="00C33854" w:rsidRDefault="00200D3B">
            <w:pPr>
              <w:widowControl w:val="0"/>
              <w:spacing w:line="240" w:lineRule="auto"/>
              <w:rPr>
                <w:b/>
                <w:sz w:val="20"/>
                <w:szCs w:val="20"/>
              </w:rPr>
            </w:pPr>
            <w:r>
              <w:rPr>
                <w:b/>
                <w:sz w:val="20"/>
                <w:szCs w:val="20"/>
              </w:rPr>
              <w:t>Lab value</w:t>
            </w:r>
          </w:p>
        </w:tc>
        <w:tc>
          <w:tcPr>
            <w:tcW w:w="3120" w:type="dxa"/>
            <w:shd w:val="clear" w:color="auto" w:fill="B7B7B7"/>
            <w:tcMar>
              <w:top w:w="100" w:type="dxa"/>
              <w:left w:w="100" w:type="dxa"/>
              <w:bottom w:w="100" w:type="dxa"/>
              <w:right w:w="100" w:type="dxa"/>
            </w:tcMar>
          </w:tcPr>
          <w:p w14:paraId="21EA4C78" w14:textId="77777777" w:rsidR="00C33854" w:rsidRDefault="00200D3B">
            <w:pPr>
              <w:widowControl w:val="0"/>
              <w:spacing w:line="240" w:lineRule="auto"/>
              <w:rPr>
                <w:b/>
                <w:sz w:val="20"/>
                <w:szCs w:val="20"/>
              </w:rPr>
            </w:pPr>
            <w:r>
              <w:rPr>
                <w:b/>
                <w:sz w:val="20"/>
                <w:szCs w:val="20"/>
              </w:rPr>
              <w:t>9/11/24 (admission)</w:t>
            </w:r>
          </w:p>
        </w:tc>
        <w:tc>
          <w:tcPr>
            <w:tcW w:w="3120" w:type="dxa"/>
            <w:shd w:val="clear" w:color="auto" w:fill="B7B7B7"/>
            <w:tcMar>
              <w:top w:w="100" w:type="dxa"/>
              <w:left w:w="100" w:type="dxa"/>
              <w:bottom w:w="100" w:type="dxa"/>
              <w:right w:w="100" w:type="dxa"/>
            </w:tcMar>
          </w:tcPr>
          <w:p w14:paraId="348461B3" w14:textId="77777777" w:rsidR="00C33854" w:rsidRDefault="00200D3B">
            <w:pPr>
              <w:widowControl w:val="0"/>
              <w:spacing w:line="240" w:lineRule="auto"/>
              <w:rPr>
                <w:b/>
                <w:sz w:val="20"/>
                <w:szCs w:val="20"/>
              </w:rPr>
            </w:pPr>
            <w:r>
              <w:rPr>
                <w:b/>
                <w:sz w:val="20"/>
                <w:szCs w:val="20"/>
              </w:rPr>
              <w:t>9/27/24</w:t>
            </w:r>
          </w:p>
        </w:tc>
      </w:tr>
      <w:tr w:rsidR="00C33854" w14:paraId="23D59A6A" w14:textId="77777777">
        <w:tc>
          <w:tcPr>
            <w:tcW w:w="3120" w:type="dxa"/>
            <w:shd w:val="clear" w:color="auto" w:fill="CCCCCC"/>
            <w:tcMar>
              <w:top w:w="100" w:type="dxa"/>
              <w:left w:w="100" w:type="dxa"/>
              <w:bottom w:w="100" w:type="dxa"/>
              <w:right w:w="100" w:type="dxa"/>
            </w:tcMar>
          </w:tcPr>
          <w:p w14:paraId="309EB2FD" w14:textId="77777777" w:rsidR="00C33854" w:rsidRDefault="00200D3B">
            <w:pPr>
              <w:widowControl w:val="0"/>
              <w:spacing w:line="240" w:lineRule="auto"/>
              <w:rPr>
                <w:b/>
                <w:sz w:val="20"/>
                <w:szCs w:val="20"/>
              </w:rPr>
            </w:pPr>
            <w:r>
              <w:rPr>
                <w:b/>
                <w:sz w:val="20"/>
                <w:szCs w:val="20"/>
              </w:rPr>
              <w:t>Sodium</w:t>
            </w:r>
          </w:p>
        </w:tc>
        <w:tc>
          <w:tcPr>
            <w:tcW w:w="3120" w:type="dxa"/>
            <w:shd w:val="clear" w:color="auto" w:fill="auto"/>
            <w:tcMar>
              <w:top w:w="100" w:type="dxa"/>
              <w:left w:w="100" w:type="dxa"/>
              <w:bottom w:w="100" w:type="dxa"/>
              <w:right w:w="100" w:type="dxa"/>
            </w:tcMar>
          </w:tcPr>
          <w:p w14:paraId="53456030" w14:textId="77777777" w:rsidR="00C33854" w:rsidRDefault="00200D3B">
            <w:pPr>
              <w:widowControl w:val="0"/>
              <w:spacing w:line="240" w:lineRule="auto"/>
              <w:rPr>
                <w:sz w:val="20"/>
                <w:szCs w:val="20"/>
              </w:rPr>
            </w:pPr>
            <w:r>
              <w:rPr>
                <w:sz w:val="20"/>
                <w:szCs w:val="20"/>
              </w:rPr>
              <w:t>142 mmol/L</w:t>
            </w:r>
          </w:p>
        </w:tc>
        <w:tc>
          <w:tcPr>
            <w:tcW w:w="3120" w:type="dxa"/>
            <w:shd w:val="clear" w:color="auto" w:fill="auto"/>
            <w:tcMar>
              <w:top w:w="100" w:type="dxa"/>
              <w:left w:w="100" w:type="dxa"/>
              <w:bottom w:w="100" w:type="dxa"/>
              <w:right w:w="100" w:type="dxa"/>
            </w:tcMar>
          </w:tcPr>
          <w:p w14:paraId="2787E7D5" w14:textId="77777777" w:rsidR="00C33854" w:rsidRDefault="00200D3B">
            <w:pPr>
              <w:widowControl w:val="0"/>
              <w:spacing w:line="240" w:lineRule="auto"/>
              <w:rPr>
                <w:sz w:val="20"/>
                <w:szCs w:val="20"/>
              </w:rPr>
            </w:pPr>
            <w:r>
              <w:rPr>
                <w:sz w:val="20"/>
                <w:szCs w:val="20"/>
              </w:rPr>
              <w:t>137 mmol/L</w:t>
            </w:r>
          </w:p>
        </w:tc>
      </w:tr>
      <w:tr w:rsidR="00C33854" w14:paraId="35DAE41D" w14:textId="77777777">
        <w:tc>
          <w:tcPr>
            <w:tcW w:w="3120" w:type="dxa"/>
            <w:shd w:val="clear" w:color="auto" w:fill="CCCCCC"/>
            <w:tcMar>
              <w:top w:w="100" w:type="dxa"/>
              <w:left w:w="100" w:type="dxa"/>
              <w:bottom w:w="100" w:type="dxa"/>
              <w:right w:w="100" w:type="dxa"/>
            </w:tcMar>
          </w:tcPr>
          <w:p w14:paraId="5491ABA6" w14:textId="77777777" w:rsidR="00C33854" w:rsidRDefault="00200D3B">
            <w:pPr>
              <w:widowControl w:val="0"/>
              <w:spacing w:line="240" w:lineRule="auto"/>
              <w:rPr>
                <w:b/>
                <w:sz w:val="20"/>
                <w:szCs w:val="20"/>
              </w:rPr>
            </w:pPr>
            <w:r>
              <w:rPr>
                <w:b/>
                <w:sz w:val="20"/>
                <w:szCs w:val="20"/>
              </w:rPr>
              <w:lastRenderedPageBreak/>
              <w:t>potassium</w:t>
            </w:r>
          </w:p>
        </w:tc>
        <w:tc>
          <w:tcPr>
            <w:tcW w:w="3120" w:type="dxa"/>
            <w:shd w:val="clear" w:color="auto" w:fill="auto"/>
            <w:tcMar>
              <w:top w:w="100" w:type="dxa"/>
              <w:left w:w="100" w:type="dxa"/>
              <w:bottom w:w="100" w:type="dxa"/>
              <w:right w:w="100" w:type="dxa"/>
            </w:tcMar>
          </w:tcPr>
          <w:p w14:paraId="7372E2A8" w14:textId="77777777" w:rsidR="00C33854" w:rsidRDefault="00200D3B">
            <w:pPr>
              <w:widowControl w:val="0"/>
              <w:spacing w:line="240" w:lineRule="auto"/>
              <w:rPr>
                <w:sz w:val="20"/>
                <w:szCs w:val="20"/>
              </w:rPr>
            </w:pPr>
            <w:r>
              <w:rPr>
                <w:sz w:val="20"/>
                <w:szCs w:val="20"/>
              </w:rPr>
              <w:t>4.2 mmol/L</w:t>
            </w:r>
          </w:p>
        </w:tc>
        <w:tc>
          <w:tcPr>
            <w:tcW w:w="3120" w:type="dxa"/>
            <w:shd w:val="clear" w:color="auto" w:fill="auto"/>
            <w:tcMar>
              <w:top w:w="100" w:type="dxa"/>
              <w:left w:w="100" w:type="dxa"/>
              <w:bottom w:w="100" w:type="dxa"/>
              <w:right w:w="100" w:type="dxa"/>
            </w:tcMar>
          </w:tcPr>
          <w:p w14:paraId="196E41B1" w14:textId="77777777" w:rsidR="00C33854" w:rsidRDefault="00200D3B">
            <w:pPr>
              <w:widowControl w:val="0"/>
              <w:spacing w:line="240" w:lineRule="auto"/>
              <w:rPr>
                <w:sz w:val="20"/>
                <w:szCs w:val="20"/>
              </w:rPr>
            </w:pPr>
            <w:r>
              <w:rPr>
                <w:sz w:val="20"/>
                <w:szCs w:val="20"/>
              </w:rPr>
              <w:t>3.8 mmol/L</w:t>
            </w:r>
          </w:p>
        </w:tc>
      </w:tr>
      <w:tr w:rsidR="00C33854" w14:paraId="249D77FF" w14:textId="77777777">
        <w:tc>
          <w:tcPr>
            <w:tcW w:w="3120" w:type="dxa"/>
            <w:shd w:val="clear" w:color="auto" w:fill="CCCCCC"/>
            <w:tcMar>
              <w:top w:w="100" w:type="dxa"/>
              <w:left w:w="100" w:type="dxa"/>
              <w:bottom w:w="100" w:type="dxa"/>
              <w:right w:w="100" w:type="dxa"/>
            </w:tcMar>
          </w:tcPr>
          <w:p w14:paraId="296E0AF2" w14:textId="77777777" w:rsidR="00C33854" w:rsidRDefault="00200D3B">
            <w:pPr>
              <w:widowControl w:val="0"/>
              <w:spacing w:line="240" w:lineRule="auto"/>
              <w:rPr>
                <w:b/>
                <w:sz w:val="20"/>
                <w:szCs w:val="20"/>
              </w:rPr>
            </w:pPr>
            <w:r>
              <w:rPr>
                <w:b/>
                <w:sz w:val="20"/>
                <w:szCs w:val="20"/>
              </w:rPr>
              <w:t>chloride</w:t>
            </w:r>
          </w:p>
        </w:tc>
        <w:tc>
          <w:tcPr>
            <w:tcW w:w="3120" w:type="dxa"/>
            <w:shd w:val="clear" w:color="auto" w:fill="auto"/>
            <w:tcMar>
              <w:top w:w="100" w:type="dxa"/>
              <w:left w:w="100" w:type="dxa"/>
              <w:bottom w:w="100" w:type="dxa"/>
              <w:right w:w="100" w:type="dxa"/>
            </w:tcMar>
          </w:tcPr>
          <w:p w14:paraId="7DA6BAA8" w14:textId="77777777" w:rsidR="00C33854" w:rsidRDefault="00200D3B">
            <w:pPr>
              <w:widowControl w:val="0"/>
              <w:spacing w:line="240" w:lineRule="auto"/>
              <w:rPr>
                <w:sz w:val="20"/>
                <w:szCs w:val="20"/>
              </w:rPr>
            </w:pPr>
            <w:r>
              <w:rPr>
                <w:sz w:val="20"/>
                <w:szCs w:val="20"/>
              </w:rPr>
              <w:t>109 mmol/L</w:t>
            </w:r>
          </w:p>
        </w:tc>
        <w:tc>
          <w:tcPr>
            <w:tcW w:w="3120" w:type="dxa"/>
            <w:shd w:val="clear" w:color="auto" w:fill="auto"/>
            <w:tcMar>
              <w:top w:w="100" w:type="dxa"/>
              <w:left w:w="100" w:type="dxa"/>
              <w:bottom w:w="100" w:type="dxa"/>
              <w:right w:w="100" w:type="dxa"/>
            </w:tcMar>
          </w:tcPr>
          <w:p w14:paraId="0053A995" w14:textId="77777777" w:rsidR="00C33854" w:rsidRDefault="00200D3B">
            <w:pPr>
              <w:widowControl w:val="0"/>
              <w:spacing w:line="240" w:lineRule="auto"/>
              <w:rPr>
                <w:sz w:val="20"/>
                <w:szCs w:val="20"/>
              </w:rPr>
            </w:pPr>
            <w:r>
              <w:rPr>
                <w:sz w:val="20"/>
                <w:szCs w:val="20"/>
              </w:rPr>
              <w:t>106 mmol/L</w:t>
            </w:r>
          </w:p>
        </w:tc>
      </w:tr>
      <w:tr w:rsidR="00C33854" w14:paraId="68BBA155" w14:textId="77777777">
        <w:tc>
          <w:tcPr>
            <w:tcW w:w="3120" w:type="dxa"/>
            <w:shd w:val="clear" w:color="auto" w:fill="CCCCCC"/>
            <w:tcMar>
              <w:top w:w="100" w:type="dxa"/>
              <w:left w:w="100" w:type="dxa"/>
              <w:bottom w:w="100" w:type="dxa"/>
              <w:right w:w="100" w:type="dxa"/>
            </w:tcMar>
          </w:tcPr>
          <w:p w14:paraId="48113453" w14:textId="77777777" w:rsidR="00C33854" w:rsidRDefault="00200D3B">
            <w:pPr>
              <w:widowControl w:val="0"/>
              <w:spacing w:line="240" w:lineRule="auto"/>
              <w:rPr>
                <w:b/>
                <w:sz w:val="20"/>
                <w:szCs w:val="20"/>
              </w:rPr>
            </w:pPr>
            <w:r>
              <w:rPr>
                <w:b/>
                <w:sz w:val="20"/>
                <w:szCs w:val="20"/>
              </w:rPr>
              <w:t>BUN</w:t>
            </w:r>
          </w:p>
        </w:tc>
        <w:tc>
          <w:tcPr>
            <w:tcW w:w="3120" w:type="dxa"/>
            <w:shd w:val="clear" w:color="auto" w:fill="auto"/>
            <w:tcMar>
              <w:top w:w="100" w:type="dxa"/>
              <w:left w:w="100" w:type="dxa"/>
              <w:bottom w:w="100" w:type="dxa"/>
              <w:right w:w="100" w:type="dxa"/>
            </w:tcMar>
          </w:tcPr>
          <w:p w14:paraId="57112F57" w14:textId="77777777" w:rsidR="00C33854" w:rsidRDefault="00200D3B">
            <w:pPr>
              <w:widowControl w:val="0"/>
              <w:spacing w:line="240" w:lineRule="auto"/>
              <w:rPr>
                <w:sz w:val="20"/>
                <w:szCs w:val="20"/>
              </w:rPr>
            </w:pPr>
            <w:r>
              <w:rPr>
                <w:sz w:val="20"/>
                <w:szCs w:val="20"/>
              </w:rPr>
              <w:t>10 mg/dL</w:t>
            </w:r>
          </w:p>
        </w:tc>
        <w:tc>
          <w:tcPr>
            <w:tcW w:w="3120" w:type="dxa"/>
            <w:shd w:val="clear" w:color="auto" w:fill="auto"/>
            <w:tcMar>
              <w:top w:w="100" w:type="dxa"/>
              <w:left w:w="100" w:type="dxa"/>
              <w:bottom w:w="100" w:type="dxa"/>
              <w:right w:w="100" w:type="dxa"/>
            </w:tcMar>
          </w:tcPr>
          <w:p w14:paraId="4951F89E" w14:textId="77777777" w:rsidR="00C33854" w:rsidRDefault="00200D3B">
            <w:pPr>
              <w:widowControl w:val="0"/>
              <w:spacing w:line="240" w:lineRule="auto"/>
              <w:rPr>
                <w:sz w:val="20"/>
                <w:szCs w:val="20"/>
              </w:rPr>
            </w:pPr>
            <w:r>
              <w:rPr>
                <w:sz w:val="20"/>
                <w:szCs w:val="20"/>
              </w:rPr>
              <w:t>11 mg/dL</w:t>
            </w:r>
          </w:p>
        </w:tc>
      </w:tr>
      <w:tr w:rsidR="00C33854" w14:paraId="164A7456" w14:textId="77777777">
        <w:tc>
          <w:tcPr>
            <w:tcW w:w="3120" w:type="dxa"/>
            <w:shd w:val="clear" w:color="auto" w:fill="CCCCCC"/>
            <w:tcMar>
              <w:top w:w="100" w:type="dxa"/>
              <w:left w:w="100" w:type="dxa"/>
              <w:bottom w:w="100" w:type="dxa"/>
              <w:right w:w="100" w:type="dxa"/>
            </w:tcMar>
          </w:tcPr>
          <w:p w14:paraId="01293537" w14:textId="77777777" w:rsidR="00C33854" w:rsidRDefault="00200D3B">
            <w:pPr>
              <w:widowControl w:val="0"/>
              <w:spacing w:line="240" w:lineRule="auto"/>
              <w:rPr>
                <w:b/>
                <w:sz w:val="20"/>
                <w:szCs w:val="20"/>
              </w:rPr>
            </w:pPr>
            <w:r>
              <w:rPr>
                <w:b/>
                <w:sz w:val="20"/>
                <w:szCs w:val="20"/>
              </w:rPr>
              <w:t>Cr</w:t>
            </w:r>
          </w:p>
        </w:tc>
        <w:tc>
          <w:tcPr>
            <w:tcW w:w="3120" w:type="dxa"/>
            <w:shd w:val="clear" w:color="auto" w:fill="auto"/>
            <w:tcMar>
              <w:top w:w="100" w:type="dxa"/>
              <w:left w:w="100" w:type="dxa"/>
              <w:bottom w:w="100" w:type="dxa"/>
              <w:right w:w="100" w:type="dxa"/>
            </w:tcMar>
          </w:tcPr>
          <w:p w14:paraId="24EB31B5" w14:textId="77777777" w:rsidR="00C33854" w:rsidRDefault="00200D3B">
            <w:pPr>
              <w:widowControl w:val="0"/>
              <w:spacing w:line="240" w:lineRule="auto"/>
              <w:rPr>
                <w:sz w:val="20"/>
                <w:szCs w:val="20"/>
              </w:rPr>
            </w:pPr>
            <w:r>
              <w:rPr>
                <w:sz w:val="20"/>
                <w:szCs w:val="20"/>
              </w:rPr>
              <w:t>0.52 mg/dL</w:t>
            </w:r>
          </w:p>
        </w:tc>
        <w:tc>
          <w:tcPr>
            <w:tcW w:w="3120" w:type="dxa"/>
            <w:shd w:val="clear" w:color="auto" w:fill="auto"/>
            <w:tcMar>
              <w:top w:w="100" w:type="dxa"/>
              <w:left w:w="100" w:type="dxa"/>
              <w:bottom w:w="100" w:type="dxa"/>
              <w:right w:w="100" w:type="dxa"/>
            </w:tcMar>
          </w:tcPr>
          <w:p w14:paraId="6DDEC578" w14:textId="77777777" w:rsidR="00C33854" w:rsidRDefault="00200D3B">
            <w:pPr>
              <w:widowControl w:val="0"/>
              <w:spacing w:line="240" w:lineRule="auto"/>
              <w:rPr>
                <w:sz w:val="20"/>
                <w:szCs w:val="20"/>
              </w:rPr>
            </w:pPr>
            <w:r>
              <w:rPr>
                <w:sz w:val="20"/>
                <w:szCs w:val="20"/>
              </w:rPr>
              <w:t>0.53 mg/dL</w:t>
            </w:r>
          </w:p>
        </w:tc>
      </w:tr>
      <w:tr w:rsidR="00C33854" w14:paraId="42271F92" w14:textId="77777777">
        <w:tc>
          <w:tcPr>
            <w:tcW w:w="3120" w:type="dxa"/>
            <w:shd w:val="clear" w:color="auto" w:fill="CCCCCC"/>
            <w:tcMar>
              <w:top w:w="100" w:type="dxa"/>
              <w:left w:w="100" w:type="dxa"/>
              <w:bottom w:w="100" w:type="dxa"/>
              <w:right w:w="100" w:type="dxa"/>
            </w:tcMar>
          </w:tcPr>
          <w:p w14:paraId="415DBA1E" w14:textId="77777777" w:rsidR="00C33854" w:rsidRDefault="00200D3B">
            <w:pPr>
              <w:widowControl w:val="0"/>
              <w:spacing w:line="240" w:lineRule="auto"/>
              <w:rPr>
                <w:b/>
                <w:sz w:val="20"/>
                <w:szCs w:val="20"/>
              </w:rPr>
            </w:pPr>
            <w:r>
              <w:rPr>
                <w:b/>
                <w:sz w:val="20"/>
                <w:szCs w:val="20"/>
              </w:rPr>
              <w:t>Glucose</w:t>
            </w:r>
          </w:p>
        </w:tc>
        <w:tc>
          <w:tcPr>
            <w:tcW w:w="3120" w:type="dxa"/>
            <w:shd w:val="clear" w:color="auto" w:fill="auto"/>
            <w:tcMar>
              <w:top w:w="100" w:type="dxa"/>
              <w:left w:w="100" w:type="dxa"/>
              <w:bottom w:w="100" w:type="dxa"/>
              <w:right w:w="100" w:type="dxa"/>
            </w:tcMar>
          </w:tcPr>
          <w:p w14:paraId="43B9F78D" w14:textId="77777777" w:rsidR="00C33854" w:rsidRDefault="00200D3B">
            <w:pPr>
              <w:widowControl w:val="0"/>
              <w:spacing w:line="240" w:lineRule="auto"/>
              <w:rPr>
                <w:sz w:val="20"/>
                <w:szCs w:val="20"/>
              </w:rPr>
            </w:pPr>
            <w:r>
              <w:rPr>
                <w:sz w:val="20"/>
                <w:szCs w:val="20"/>
              </w:rPr>
              <w:t>77 mg/dL</w:t>
            </w:r>
          </w:p>
        </w:tc>
        <w:tc>
          <w:tcPr>
            <w:tcW w:w="3120" w:type="dxa"/>
            <w:shd w:val="clear" w:color="auto" w:fill="auto"/>
            <w:tcMar>
              <w:top w:w="100" w:type="dxa"/>
              <w:left w:w="100" w:type="dxa"/>
              <w:bottom w:w="100" w:type="dxa"/>
              <w:right w:w="100" w:type="dxa"/>
            </w:tcMar>
          </w:tcPr>
          <w:p w14:paraId="505AB037" w14:textId="77777777" w:rsidR="00C33854" w:rsidRDefault="00200D3B">
            <w:pPr>
              <w:widowControl w:val="0"/>
              <w:spacing w:line="240" w:lineRule="auto"/>
              <w:rPr>
                <w:sz w:val="20"/>
                <w:szCs w:val="20"/>
              </w:rPr>
            </w:pPr>
            <w:r>
              <w:rPr>
                <w:sz w:val="20"/>
                <w:szCs w:val="20"/>
              </w:rPr>
              <w:t>81 mg/dL</w:t>
            </w:r>
          </w:p>
        </w:tc>
      </w:tr>
      <w:tr w:rsidR="00C33854" w14:paraId="1EC79EDC" w14:textId="77777777">
        <w:tc>
          <w:tcPr>
            <w:tcW w:w="3120" w:type="dxa"/>
            <w:shd w:val="clear" w:color="auto" w:fill="CCCCCC"/>
            <w:tcMar>
              <w:top w:w="100" w:type="dxa"/>
              <w:left w:w="100" w:type="dxa"/>
              <w:bottom w:w="100" w:type="dxa"/>
              <w:right w:w="100" w:type="dxa"/>
            </w:tcMar>
          </w:tcPr>
          <w:p w14:paraId="71F30BF6" w14:textId="77777777" w:rsidR="00C33854" w:rsidRDefault="00200D3B">
            <w:pPr>
              <w:widowControl w:val="0"/>
              <w:spacing w:line="240" w:lineRule="auto"/>
              <w:rPr>
                <w:b/>
                <w:sz w:val="20"/>
                <w:szCs w:val="20"/>
              </w:rPr>
            </w:pPr>
            <w:r>
              <w:rPr>
                <w:b/>
                <w:sz w:val="20"/>
                <w:szCs w:val="20"/>
              </w:rPr>
              <w:t>Albumin</w:t>
            </w:r>
          </w:p>
        </w:tc>
        <w:tc>
          <w:tcPr>
            <w:tcW w:w="3120" w:type="dxa"/>
            <w:shd w:val="clear" w:color="auto" w:fill="auto"/>
            <w:tcMar>
              <w:top w:w="100" w:type="dxa"/>
              <w:left w:w="100" w:type="dxa"/>
              <w:bottom w:w="100" w:type="dxa"/>
              <w:right w:w="100" w:type="dxa"/>
            </w:tcMar>
          </w:tcPr>
          <w:p w14:paraId="141EDA1A" w14:textId="77777777" w:rsidR="00C33854" w:rsidRDefault="00200D3B">
            <w:pPr>
              <w:widowControl w:val="0"/>
              <w:spacing w:line="240" w:lineRule="auto"/>
              <w:rPr>
                <w:sz w:val="20"/>
                <w:szCs w:val="20"/>
              </w:rPr>
            </w:pPr>
            <w:r>
              <w:rPr>
                <w:sz w:val="20"/>
                <w:szCs w:val="20"/>
              </w:rPr>
              <w:t>4.1 g/dL</w:t>
            </w:r>
          </w:p>
        </w:tc>
        <w:tc>
          <w:tcPr>
            <w:tcW w:w="3120" w:type="dxa"/>
            <w:shd w:val="clear" w:color="auto" w:fill="auto"/>
            <w:tcMar>
              <w:top w:w="100" w:type="dxa"/>
              <w:left w:w="100" w:type="dxa"/>
              <w:bottom w:w="100" w:type="dxa"/>
              <w:right w:w="100" w:type="dxa"/>
            </w:tcMar>
          </w:tcPr>
          <w:p w14:paraId="7EA1C320" w14:textId="77777777" w:rsidR="00C33854" w:rsidRDefault="00200D3B">
            <w:pPr>
              <w:widowControl w:val="0"/>
              <w:spacing w:line="240" w:lineRule="auto"/>
              <w:rPr>
                <w:sz w:val="20"/>
                <w:szCs w:val="20"/>
              </w:rPr>
            </w:pPr>
            <w:r>
              <w:rPr>
                <w:sz w:val="20"/>
                <w:szCs w:val="20"/>
              </w:rPr>
              <w:t>4.4 mg/dL</w:t>
            </w:r>
          </w:p>
        </w:tc>
      </w:tr>
      <w:tr w:rsidR="00C33854" w14:paraId="5FA5535D" w14:textId="77777777">
        <w:tc>
          <w:tcPr>
            <w:tcW w:w="3120" w:type="dxa"/>
            <w:shd w:val="clear" w:color="auto" w:fill="CCCCCC"/>
            <w:tcMar>
              <w:top w:w="100" w:type="dxa"/>
              <w:left w:w="100" w:type="dxa"/>
              <w:bottom w:w="100" w:type="dxa"/>
              <w:right w:w="100" w:type="dxa"/>
            </w:tcMar>
          </w:tcPr>
          <w:p w14:paraId="6B2617B0" w14:textId="77777777" w:rsidR="00C33854" w:rsidRDefault="00200D3B">
            <w:pPr>
              <w:widowControl w:val="0"/>
              <w:spacing w:line="240" w:lineRule="auto"/>
              <w:rPr>
                <w:b/>
                <w:sz w:val="20"/>
                <w:szCs w:val="20"/>
              </w:rPr>
            </w:pPr>
            <w:r>
              <w:rPr>
                <w:b/>
                <w:sz w:val="20"/>
                <w:szCs w:val="20"/>
              </w:rPr>
              <w:t>Magnesium</w:t>
            </w:r>
          </w:p>
        </w:tc>
        <w:tc>
          <w:tcPr>
            <w:tcW w:w="3120" w:type="dxa"/>
            <w:shd w:val="clear" w:color="auto" w:fill="auto"/>
            <w:tcMar>
              <w:top w:w="100" w:type="dxa"/>
              <w:left w:w="100" w:type="dxa"/>
              <w:bottom w:w="100" w:type="dxa"/>
              <w:right w:w="100" w:type="dxa"/>
            </w:tcMar>
          </w:tcPr>
          <w:p w14:paraId="2F67BCDD" w14:textId="77777777" w:rsidR="00C33854" w:rsidRDefault="00C33854">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39C542ED" w14:textId="77777777" w:rsidR="00C33854" w:rsidRDefault="00200D3B">
            <w:pPr>
              <w:widowControl w:val="0"/>
              <w:spacing w:line="240" w:lineRule="auto"/>
              <w:rPr>
                <w:sz w:val="20"/>
                <w:szCs w:val="20"/>
              </w:rPr>
            </w:pPr>
            <w:r>
              <w:rPr>
                <w:sz w:val="20"/>
                <w:szCs w:val="20"/>
              </w:rPr>
              <w:t>2.0 mg/dL</w:t>
            </w:r>
          </w:p>
        </w:tc>
      </w:tr>
      <w:tr w:rsidR="00C33854" w14:paraId="1E5F5821" w14:textId="77777777">
        <w:tc>
          <w:tcPr>
            <w:tcW w:w="3120" w:type="dxa"/>
            <w:shd w:val="clear" w:color="auto" w:fill="CCCCCC"/>
            <w:tcMar>
              <w:top w:w="100" w:type="dxa"/>
              <w:left w:w="100" w:type="dxa"/>
              <w:bottom w:w="100" w:type="dxa"/>
              <w:right w:w="100" w:type="dxa"/>
            </w:tcMar>
          </w:tcPr>
          <w:p w14:paraId="647C0BBF" w14:textId="77777777" w:rsidR="00C33854" w:rsidRDefault="00200D3B">
            <w:pPr>
              <w:widowControl w:val="0"/>
              <w:spacing w:line="240" w:lineRule="auto"/>
              <w:rPr>
                <w:b/>
                <w:sz w:val="20"/>
                <w:szCs w:val="20"/>
              </w:rPr>
            </w:pPr>
            <w:r>
              <w:rPr>
                <w:b/>
                <w:sz w:val="20"/>
                <w:szCs w:val="20"/>
              </w:rPr>
              <w:t>calcium</w:t>
            </w:r>
          </w:p>
        </w:tc>
        <w:tc>
          <w:tcPr>
            <w:tcW w:w="3120" w:type="dxa"/>
            <w:shd w:val="clear" w:color="auto" w:fill="auto"/>
            <w:tcMar>
              <w:top w:w="100" w:type="dxa"/>
              <w:left w:w="100" w:type="dxa"/>
              <w:bottom w:w="100" w:type="dxa"/>
              <w:right w:w="100" w:type="dxa"/>
            </w:tcMar>
          </w:tcPr>
          <w:p w14:paraId="05DB8CFC" w14:textId="77777777" w:rsidR="00C33854" w:rsidRDefault="00C33854">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52BC56EB" w14:textId="77777777" w:rsidR="00C33854" w:rsidRDefault="00200D3B">
            <w:pPr>
              <w:widowControl w:val="0"/>
              <w:spacing w:line="240" w:lineRule="auto"/>
              <w:rPr>
                <w:sz w:val="20"/>
                <w:szCs w:val="20"/>
              </w:rPr>
            </w:pPr>
            <w:r>
              <w:rPr>
                <w:sz w:val="20"/>
                <w:szCs w:val="20"/>
              </w:rPr>
              <w:t>10.3 mg/dL</w:t>
            </w:r>
          </w:p>
        </w:tc>
      </w:tr>
      <w:tr w:rsidR="00C33854" w14:paraId="6B86D0C4" w14:textId="77777777">
        <w:tc>
          <w:tcPr>
            <w:tcW w:w="3120" w:type="dxa"/>
            <w:shd w:val="clear" w:color="auto" w:fill="CCCCCC"/>
            <w:tcMar>
              <w:top w:w="100" w:type="dxa"/>
              <w:left w:w="100" w:type="dxa"/>
              <w:bottom w:w="100" w:type="dxa"/>
              <w:right w:w="100" w:type="dxa"/>
            </w:tcMar>
          </w:tcPr>
          <w:p w14:paraId="4AC4ACE6" w14:textId="77777777" w:rsidR="00C33854" w:rsidRDefault="00200D3B">
            <w:pPr>
              <w:widowControl w:val="0"/>
              <w:spacing w:line="240" w:lineRule="auto"/>
              <w:rPr>
                <w:b/>
                <w:sz w:val="20"/>
                <w:szCs w:val="20"/>
              </w:rPr>
            </w:pPr>
            <w:r>
              <w:rPr>
                <w:b/>
                <w:sz w:val="20"/>
                <w:szCs w:val="20"/>
              </w:rPr>
              <w:t>AST</w:t>
            </w:r>
          </w:p>
        </w:tc>
        <w:tc>
          <w:tcPr>
            <w:tcW w:w="3120" w:type="dxa"/>
            <w:shd w:val="clear" w:color="auto" w:fill="auto"/>
            <w:tcMar>
              <w:top w:w="100" w:type="dxa"/>
              <w:left w:w="100" w:type="dxa"/>
              <w:bottom w:w="100" w:type="dxa"/>
              <w:right w:w="100" w:type="dxa"/>
            </w:tcMar>
          </w:tcPr>
          <w:p w14:paraId="7629D542" w14:textId="77777777" w:rsidR="00C33854" w:rsidRDefault="00200D3B">
            <w:pPr>
              <w:widowControl w:val="0"/>
              <w:spacing w:line="240" w:lineRule="auto"/>
              <w:rPr>
                <w:sz w:val="20"/>
                <w:szCs w:val="20"/>
              </w:rPr>
            </w:pPr>
            <w:r>
              <w:rPr>
                <w:sz w:val="20"/>
                <w:szCs w:val="20"/>
              </w:rPr>
              <w:t>22 IU/L</w:t>
            </w:r>
          </w:p>
        </w:tc>
        <w:tc>
          <w:tcPr>
            <w:tcW w:w="3120" w:type="dxa"/>
            <w:shd w:val="clear" w:color="auto" w:fill="auto"/>
            <w:tcMar>
              <w:top w:w="100" w:type="dxa"/>
              <w:left w:w="100" w:type="dxa"/>
              <w:bottom w:w="100" w:type="dxa"/>
              <w:right w:w="100" w:type="dxa"/>
            </w:tcMar>
          </w:tcPr>
          <w:p w14:paraId="3DE73FC9" w14:textId="77777777" w:rsidR="00C33854" w:rsidRDefault="00200D3B">
            <w:pPr>
              <w:widowControl w:val="0"/>
              <w:spacing w:line="240" w:lineRule="auto"/>
              <w:rPr>
                <w:sz w:val="20"/>
                <w:szCs w:val="20"/>
              </w:rPr>
            </w:pPr>
            <w:r>
              <w:rPr>
                <w:sz w:val="20"/>
                <w:szCs w:val="20"/>
              </w:rPr>
              <w:t>37 IU/L</w:t>
            </w:r>
          </w:p>
        </w:tc>
      </w:tr>
      <w:tr w:rsidR="00C33854" w14:paraId="3CF3A27A" w14:textId="77777777">
        <w:tc>
          <w:tcPr>
            <w:tcW w:w="3120" w:type="dxa"/>
            <w:shd w:val="clear" w:color="auto" w:fill="CCCCCC"/>
            <w:tcMar>
              <w:top w:w="100" w:type="dxa"/>
              <w:left w:w="100" w:type="dxa"/>
              <w:bottom w:w="100" w:type="dxa"/>
              <w:right w:w="100" w:type="dxa"/>
            </w:tcMar>
          </w:tcPr>
          <w:p w14:paraId="2E03EBBC" w14:textId="77777777" w:rsidR="00C33854" w:rsidRDefault="00200D3B">
            <w:pPr>
              <w:widowControl w:val="0"/>
              <w:spacing w:line="240" w:lineRule="auto"/>
              <w:rPr>
                <w:b/>
                <w:sz w:val="20"/>
                <w:szCs w:val="20"/>
              </w:rPr>
            </w:pPr>
            <w:r>
              <w:rPr>
                <w:b/>
                <w:sz w:val="20"/>
                <w:szCs w:val="20"/>
              </w:rPr>
              <w:t>ALT</w:t>
            </w:r>
          </w:p>
        </w:tc>
        <w:tc>
          <w:tcPr>
            <w:tcW w:w="3120" w:type="dxa"/>
            <w:shd w:val="clear" w:color="auto" w:fill="auto"/>
            <w:tcMar>
              <w:top w:w="100" w:type="dxa"/>
              <w:left w:w="100" w:type="dxa"/>
              <w:bottom w:w="100" w:type="dxa"/>
              <w:right w:w="100" w:type="dxa"/>
            </w:tcMar>
          </w:tcPr>
          <w:p w14:paraId="677760F0" w14:textId="77777777" w:rsidR="00C33854" w:rsidRDefault="00200D3B">
            <w:pPr>
              <w:widowControl w:val="0"/>
              <w:spacing w:line="240" w:lineRule="auto"/>
              <w:rPr>
                <w:sz w:val="20"/>
                <w:szCs w:val="20"/>
              </w:rPr>
            </w:pPr>
            <w:r>
              <w:rPr>
                <w:sz w:val="20"/>
                <w:szCs w:val="20"/>
              </w:rPr>
              <w:t>13 IU/L</w:t>
            </w:r>
          </w:p>
        </w:tc>
        <w:tc>
          <w:tcPr>
            <w:tcW w:w="3120" w:type="dxa"/>
            <w:shd w:val="clear" w:color="auto" w:fill="auto"/>
            <w:tcMar>
              <w:top w:w="100" w:type="dxa"/>
              <w:left w:w="100" w:type="dxa"/>
              <w:bottom w:w="100" w:type="dxa"/>
              <w:right w:w="100" w:type="dxa"/>
            </w:tcMar>
          </w:tcPr>
          <w:p w14:paraId="69CEC8A0" w14:textId="77777777" w:rsidR="00C33854" w:rsidRDefault="00200D3B">
            <w:pPr>
              <w:widowControl w:val="0"/>
              <w:spacing w:line="240" w:lineRule="auto"/>
              <w:rPr>
                <w:sz w:val="20"/>
                <w:szCs w:val="20"/>
              </w:rPr>
            </w:pPr>
            <w:r>
              <w:rPr>
                <w:sz w:val="20"/>
                <w:szCs w:val="20"/>
              </w:rPr>
              <w:t>20 IU/L</w:t>
            </w:r>
          </w:p>
        </w:tc>
      </w:tr>
      <w:tr w:rsidR="00C33854" w14:paraId="4B4D5003" w14:textId="77777777">
        <w:tc>
          <w:tcPr>
            <w:tcW w:w="3120" w:type="dxa"/>
            <w:shd w:val="clear" w:color="auto" w:fill="CCCCCC"/>
            <w:tcMar>
              <w:top w:w="100" w:type="dxa"/>
              <w:left w:w="100" w:type="dxa"/>
              <w:bottom w:w="100" w:type="dxa"/>
              <w:right w:w="100" w:type="dxa"/>
            </w:tcMar>
          </w:tcPr>
          <w:p w14:paraId="69AD01ED" w14:textId="77777777" w:rsidR="00C33854" w:rsidRDefault="00200D3B">
            <w:pPr>
              <w:widowControl w:val="0"/>
              <w:spacing w:line="240" w:lineRule="auto"/>
              <w:rPr>
                <w:b/>
                <w:sz w:val="20"/>
                <w:szCs w:val="20"/>
              </w:rPr>
            </w:pPr>
            <w:r>
              <w:rPr>
                <w:b/>
                <w:sz w:val="20"/>
                <w:szCs w:val="20"/>
              </w:rPr>
              <w:t>WBC</w:t>
            </w:r>
          </w:p>
        </w:tc>
        <w:tc>
          <w:tcPr>
            <w:tcW w:w="3120" w:type="dxa"/>
            <w:shd w:val="clear" w:color="auto" w:fill="auto"/>
            <w:tcMar>
              <w:top w:w="100" w:type="dxa"/>
              <w:left w:w="100" w:type="dxa"/>
              <w:bottom w:w="100" w:type="dxa"/>
              <w:right w:w="100" w:type="dxa"/>
            </w:tcMar>
          </w:tcPr>
          <w:p w14:paraId="2D2FD89C" w14:textId="77777777" w:rsidR="00C33854" w:rsidRDefault="00C33854">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1F95A7A6" w14:textId="77777777" w:rsidR="00C33854" w:rsidRDefault="00200D3B">
            <w:pPr>
              <w:widowControl w:val="0"/>
              <w:spacing w:line="240" w:lineRule="auto"/>
              <w:rPr>
                <w:sz w:val="20"/>
                <w:szCs w:val="20"/>
              </w:rPr>
            </w:pPr>
            <w:r>
              <w:rPr>
                <w:sz w:val="20"/>
                <w:szCs w:val="20"/>
              </w:rPr>
              <w:t xml:space="preserve">10.1 </w:t>
            </w:r>
            <w:r>
              <w:rPr>
                <w:sz w:val="20"/>
                <w:szCs w:val="20"/>
                <w:highlight w:val="white"/>
              </w:rPr>
              <w:t>x 10E3/</w:t>
            </w:r>
            <w:proofErr w:type="spellStart"/>
            <w:r>
              <w:rPr>
                <w:sz w:val="20"/>
                <w:szCs w:val="20"/>
                <w:highlight w:val="white"/>
              </w:rPr>
              <w:t>uL</w:t>
            </w:r>
            <w:proofErr w:type="spellEnd"/>
          </w:p>
        </w:tc>
      </w:tr>
      <w:tr w:rsidR="00C33854" w14:paraId="202B66B9" w14:textId="77777777">
        <w:tc>
          <w:tcPr>
            <w:tcW w:w="3120" w:type="dxa"/>
            <w:shd w:val="clear" w:color="auto" w:fill="CCCCCC"/>
            <w:tcMar>
              <w:top w:w="100" w:type="dxa"/>
              <w:left w:w="100" w:type="dxa"/>
              <w:bottom w:w="100" w:type="dxa"/>
              <w:right w:w="100" w:type="dxa"/>
            </w:tcMar>
          </w:tcPr>
          <w:p w14:paraId="70037295" w14:textId="77777777" w:rsidR="00C33854" w:rsidRDefault="00200D3B">
            <w:pPr>
              <w:widowControl w:val="0"/>
              <w:spacing w:line="240" w:lineRule="auto"/>
              <w:rPr>
                <w:b/>
                <w:sz w:val="20"/>
                <w:szCs w:val="20"/>
              </w:rPr>
            </w:pPr>
            <w:r>
              <w:rPr>
                <w:b/>
                <w:sz w:val="20"/>
                <w:szCs w:val="20"/>
              </w:rPr>
              <w:t>Hgb</w:t>
            </w:r>
          </w:p>
        </w:tc>
        <w:tc>
          <w:tcPr>
            <w:tcW w:w="3120" w:type="dxa"/>
            <w:shd w:val="clear" w:color="auto" w:fill="auto"/>
            <w:tcMar>
              <w:top w:w="100" w:type="dxa"/>
              <w:left w:w="100" w:type="dxa"/>
              <w:bottom w:w="100" w:type="dxa"/>
              <w:right w:w="100" w:type="dxa"/>
            </w:tcMar>
          </w:tcPr>
          <w:p w14:paraId="4F4FA2C2" w14:textId="77777777" w:rsidR="00C33854" w:rsidRDefault="00C33854">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3D23C438" w14:textId="77777777" w:rsidR="00C33854" w:rsidRDefault="00200D3B">
            <w:pPr>
              <w:widowControl w:val="0"/>
              <w:spacing w:line="240" w:lineRule="auto"/>
              <w:rPr>
                <w:sz w:val="20"/>
                <w:szCs w:val="20"/>
              </w:rPr>
            </w:pPr>
            <w:r>
              <w:rPr>
                <w:sz w:val="20"/>
                <w:szCs w:val="20"/>
              </w:rPr>
              <w:t>10.3 g/dL</w:t>
            </w:r>
          </w:p>
        </w:tc>
      </w:tr>
      <w:tr w:rsidR="00C33854" w14:paraId="2DFCB89D" w14:textId="77777777">
        <w:tc>
          <w:tcPr>
            <w:tcW w:w="3120" w:type="dxa"/>
            <w:shd w:val="clear" w:color="auto" w:fill="CCCCCC"/>
            <w:tcMar>
              <w:top w:w="100" w:type="dxa"/>
              <w:left w:w="100" w:type="dxa"/>
              <w:bottom w:w="100" w:type="dxa"/>
              <w:right w:w="100" w:type="dxa"/>
            </w:tcMar>
          </w:tcPr>
          <w:p w14:paraId="3C107A89" w14:textId="77777777" w:rsidR="00C33854" w:rsidRDefault="00200D3B">
            <w:pPr>
              <w:widowControl w:val="0"/>
              <w:spacing w:line="240" w:lineRule="auto"/>
              <w:rPr>
                <w:b/>
                <w:sz w:val="20"/>
                <w:szCs w:val="20"/>
              </w:rPr>
            </w:pPr>
            <w:r>
              <w:rPr>
                <w:b/>
                <w:sz w:val="20"/>
                <w:szCs w:val="20"/>
              </w:rPr>
              <w:t>RDW</w:t>
            </w:r>
          </w:p>
        </w:tc>
        <w:tc>
          <w:tcPr>
            <w:tcW w:w="3120" w:type="dxa"/>
            <w:shd w:val="clear" w:color="auto" w:fill="auto"/>
            <w:tcMar>
              <w:top w:w="100" w:type="dxa"/>
              <w:left w:w="100" w:type="dxa"/>
              <w:bottom w:w="100" w:type="dxa"/>
              <w:right w:w="100" w:type="dxa"/>
            </w:tcMar>
          </w:tcPr>
          <w:p w14:paraId="5F399D81" w14:textId="77777777" w:rsidR="00C33854" w:rsidRDefault="00C33854">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405C3F7F" w14:textId="77777777" w:rsidR="00C33854" w:rsidRDefault="00200D3B">
            <w:pPr>
              <w:widowControl w:val="0"/>
              <w:spacing w:line="240" w:lineRule="auto"/>
              <w:rPr>
                <w:sz w:val="20"/>
                <w:szCs w:val="20"/>
              </w:rPr>
            </w:pPr>
            <w:r>
              <w:rPr>
                <w:sz w:val="20"/>
                <w:szCs w:val="20"/>
              </w:rPr>
              <w:t>20.3 %</w:t>
            </w:r>
          </w:p>
        </w:tc>
      </w:tr>
      <w:tr w:rsidR="00C33854" w14:paraId="2586E4EB" w14:textId="77777777">
        <w:tc>
          <w:tcPr>
            <w:tcW w:w="3120" w:type="dxa"/>
            <w:shd w:val="clear" w:color="auto" w:fill="CCCCCC"/>
            <w:tcMar>
              <w:top w:w="100" w:type="dxa"/>
              <w:left w:w="100" w:type="dxa"/>
              <w:bottom w:w="100" w:type="dxa"/>
              <w:right w:w="100" w:type="dxa"/>
            </w:tcMar>
          </w:tcPr>
          <w:p w14:paraId="534331D4" w14:textId="77777777" w:rsidR="00C33854" w:rsidRDefault="00200D3B">
            <w:pPr>
              <w:widowControl w:val="0"/>
              <w:spacing w:line="240" w:lineRule="auto"/>
              <w:rPr>
                <w:i/>
                <w:sz w:val="20"/>
                <w:szCs w:val="20"/>
              </w:rPr>
            </w:pPr>
            <w:r>
              <w:rPr>
                <w:b/>
                <w:sz w:val="20"/>
                <w:szCs w:val="20"/>
              </w:rPr>
              <w:t xml:space="preserve">MCV </w:t>
            </w:r>
            <w:r>
              <w:rPr>
                <w:i/>
                <w:sz w:val="20"/>
                <w:szCs w:val="20"/>
              </w:rPr>
              <w:t xml:space="preserve">(80-99 </w:t>
            </w:r>
            <w:proofErr w:type="spellStart"/>
            <w:r>
              <w:rPr>
                <w:i/>
                <w:sz w:val="20"/>
                <w:szCs w:val="20"/>
              </w:rPr>
              <w:t>fL</w:t>
            </w:r>
            <w:proofErr w:type="spellEnd"/>
            <w:r>
              <w:rPr>
                <w:i/>
                <w:sz w:val="20"/>
                <w:szCs w:val="20"/>
              </w:rPr>
              <w:t>)</w:t>
            </w:r>
          </w:p>
        </w:tc>
        <w:tc>
          <w:tcPr>
            <w:tcW w:w="3120" w:type="dxa"/>
            <w:shd w:val="clear" w:color="auto" w:fill="auto"/>
            <w:tcMar>
              <w:top w:w="100" w:type="dxa"/>
              <w:left w:w="100" w:type="dxa"/>
              <w:bottom w:w="100" w:type="dxa"/>
              <w:right w:w="100" w:type="dxa"/>
            </w:tcMar>
          </w:tcPr>
          <w:p w14:paraId="53DB8734" w14:textId="77777777" w:rsidR="00C33854" w:rsidRDefault="00C33854">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27DEB307" w14:textId="77777777" w:rsidR="00C33854" w:rsidRDefault="00200D3B">
            <w:pPr>
              <w:widowControl w:val="0"/>
              <w:spacing w:line="240" w:lineRule="auto"/>
              <w:rPr>
                <w:i/>
                <w:sz w:val="20"/>
                <w:szCs w:val="20"/>
              </w:rPr>
            </w:pPr>
            <w:r>
              <w:rPr>
                <w:sz w:val="20"/>
                <w:szCs w:val="20"/>
              </w:rPr>
              <w:t xml:space="preserve">70.7 </w:t>
            </w:r>
            <w:proofErr w:type="spellStart"/>
            <w:r>
              <w:rPr>
                <w:sz w:val="20"/>
                <w:szCs w:val="20"/>
              </w:rPr>
              <w:t>fL</w:t>
            </w:r>
            <w:proofErr w:type="spellEnd"/>
            <w:r>
              <w:rPr>
                <w:sz w:val="20"/>
                <w:szCs w:val="20"/>
              </w:rPr>
              <w:t xml:space="preserve"> </w:t>
            </w:r>
            <w:r>
              <w:rPr>
                <w:i/>
                <w:sz w:val="20"/>
                <w:szCs w:val="20"/>
              </w:rPr>
              <w:t>(low)</w:t>
            </w:r>
          </w:p>
        </w:tc>
      </w:tr>
      <w:tr w:rsidR="00C33854" w14:paraId="2D3F7903" w14:textId="77777777">
        <w:tc>
          <w:tcPr>
            <w:tcW w:w="3120" w:type="dxa"/>
            <w:shd w:val="clear" w:color="auto" w:fill="CCCCCC"/>
            <w:tcMar>
              <w:top w:w="100" w:type="dxa"/>
              <w:left w:w="100" w:type="dxa"/>
              <w:bottom w:w="100" w:type="dxa"/>
              <w:right w:w="100" w:type="dxa"/>
            </w:tcMar>
          </w:tcPr>
          <w:p w14:paraId="4308C8E3" w14:textId="77777777" w:rsidR="00C33854" w:rsidRDefault="00200D3B">
            <w:pPr>
              <w:widowControl w:val="0"/>
              <w:spacing w:line="240" w:lineRule="auto"/>
              <w:rPr>
                <w:b/>
                <w:sz w:val="20"/>
                <w:szCs w:val="20"/>
              </w:rPr>
            </w:pPr>
            <w:r>
              <w:rPr>
                <w:b/>
                <w:sz w:val="20"/>
                <w:szCs w:val="20"/>
              </w:rPr>
              <w:t>platelets</w:t>
            </w:r>
          </w:p>
        </w:tc>
        <w:tc>
          <w:tcPr>
            <w:tcW w:w="3120" w:type="dxa"/>
            <w:shd w:val="clear" w:color="auto" w:fill="auto"/>
            <w:tcMar>
              <w:top w:w="100" w:type="dxa"/>
              <w:left w:w="100" w:type="dxa"/>
              <w:bottom w:w="100" w:type="dxa"/>
              <w:right w:w="100" w:type="dxa"/>
            </w:tcMar>
          </w:tcPr>
          <w:p w14:paraId="430F8B2D" w14:textId="77777777" w:rsidR="00C33854" w:rsidRDefault="00C33854">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465B079A" w14:textId="77777777" w:rsidR="00C33854" w:rsidRDefault="00200D3B">
            <w:pPr>
              <w:widowControl w:val="0"/>
              <w:spacing w:line="240" w:lineRule="auto"/>
              <w:rPr>
                <w:sz w:val="20"/>
                <w:szCs w:val="20"/>
              </w:rPr>
            </w:pPr>
            <w:r>
              <w:rPr>
                <w:sz w:val="20"/>
                <w:szCs w:val="20"/>
              </w:rPr>
              <w:t xml:space="preserve">555 </w:t>
            </w:r>
            <w:r>
              <w:rPr>
                <w:sz w:val="20"/>
                <w:szCs w:val="20"/>
                <w:highlight w:val="white"/>
              </w:rPr>
              <w:t>x 10E3/</w:t>
            </w:r>
            <w:proofErr w:type="spellStart"/>
            <w:r>
              <w:rPr>
                <w:sz w:val="20"/>
                <w:szCs w:val="20"/>
                <w:highlight w:val="white"/>
              </w:rPr>
              <w:t>uL</w:t>
            </w:r>
            <w:proofErr w:type="spellEnd"/>
          </w:p>
        </w:tc>
      </w:tr>
    </w:tbl>
    <w:p w14:paraId="7712284D" w14:textId="6FC5E528" w:rsidR="00C33854" w:rsidRDefault="00200D3B">
      <w:pPr>
        <w:spacing w:line="240" w:lineRule="auto"/>
        <w:rPr>
          <w:color w:val="1B1B1B"/>
          <w:sz w:val="20"/>
          <w:szCs w:val="20"/>
        </w:rPr>
      </w:pPr>
      <w:r>
        <w:rPr>
          <w:b/>
          <w:color w:val="1B1B1B"/>
          <w:sz w:val="20"/>
          <w:szCs w:val="20"/>
        </w:rPr>
        <w:t>Table 1</w:t>
      </w:r>
      <w:r>
        <w:rPr>
          <w:color w:val="1B1B1B"/>
          <w:sz w:val="20"/>
          <w:szCs w:val="20"/>
        </w:rPr>
        <w:t>. Selected Laboratory Values on Admission and two-week Follow-up</w:t>
      </w:r>
    </w:p>
    <w:p w14:paraId="0EA1055E" w14:textId="77777777" w:rsidR="00C33854" w:rsidRDefault="00C33854">
      <w:pPr>
        <w:shd w:val="clear" w:color="auto" w:fill="FFFFFF"/>
        <w:spacing w:line="240" w:lineRule="auto"/>
        <w:jc w:val="both"/>
        <w:rPr>
          <w:color w:val="1B1B1B"/>
          <w:sz w:val="20"/>
          <w:szCs w:val="20"/>
        </w:rPr>
      </w:pPr>
    </w:p>
    <w:p w14:paraId="52579022" w14:textId="77777777" w:rsidR="00C33854" w:rsidRDefault="00C33854">
      <w:pPr>
        <w:shd w:val="clear" w:color="auto" w:fill="FFFFFF"/>
        <w:spacing w:line="240" w:lineRule="auto"/>
        <w:jc w:val="both"/>
        <w:rPr>
          <w:color w:val="1B1B1B"/>
          <w:sz w:val="20"/>
          <w:szCs w:val="20"/>
        </w:rPr>
      </w:pPr>
    </w:p>
    <w:p w14:paraId="04414FE8" w14:textId="77777777" w:rsidR="00C33854" w:rsidRDefault="00200D3B">
      <w:pPr>
        <w:shd w:val="clear" w:color="auto" w:fill="FFFFFF"/>
        <w:spacing w:line="240" w:lineRule="auto"/>
        <w:jc w:val="both"/>
        <w:rPr>
          <w:color w:val="1B1B1B"/>
          <w:sz w:val="20"/>
          <w:szCs w:val="20"/>
        </w:rPr>
      </w:pPr>
      <w:r>
        <w:rPr>
          <w:color w:val="1B1B1B"/>
          <w:sz w:val="20"/>
          <w:szCs w:val="20"/>
        </w:rPr>
        <w:t xml:space="preserve">Poison Control was contacted for management recommendations. Oral chelation therapy with </w:t>
      </w:r>
      <w:proofErr w:type="spellStart"/>
      <w:r>
        <w:rPr>
          <w:color w:val="1B1B1B"/>
          <w:sz w:val="20"/>
          <w:szCs w:val="20"/>
        </w:rPr>
        <w:t>succimer</w:t>
      </w:r>
      <w:proofErr w:type="spellEnd"/>
      <w:r>
        <w:rPr>
          <w:color w:val="1B1B1B"/>
          <w:sz w:val="20"/>
          <w:szCs w:val="20"/>
        </w:rPr>
        <w:t xml:space="preserve"> was initiated at 10 mg/kg/dose three times daily for five days, followed by twice daily for 14 days. An alternative dosing regimen of 350 mg/m²/dose was considered but not used in favor of a more conservative treatment dose. </w:t>
      </w:r>
    </w:p>
    <w:p w14:paraId="58A32BCE" w14:textId="77777777" w:rsidR="00C33854" w:rsidRDefault="00C33854">
      <w:pPr>
        <w:shd w:val="clear" w:color="auto" w:fill="FFFFFF"/>
        <w:spacing w:line="240" w:lineRule="auto"/>
        <w:jc w:val="both"/>
        <w:rPr>
          <w:color w:val="1B1B1B"/>
          <w:sz w:val="20"/>
          <w:szCs w:val="20"/>
        </w:rPr>
      </w:pPr>
    </w:p>
    <w:p w14:paraId="06D46457" w14:textId="77777777" w:rsidR="00C33854" w:rsidRDefault="00200D3B">
      <w:pPr>
        <w:shd w:val="clear" w:color="auto" w:fill="FFFFFF"/>
        <w:spacing w:line="240" w:lineRule="auto"/>
        <w:jc w:val="both"/>
        <w:rPr>
          <w:color w:val="1B1B1B"/>
          <w:sz w:val="20"/>
          <w:szCs w:val="20"/>
        </w:rPr>
      </w:pPr>
      <w:r>
        <w:rPr>
          <w:color w:val="1B1B1B"/>
          <w:sz w:val="20"/>
          <w:szCs w:val="20"/>
        </w:rPr>
        <w:t>On hospital day 2, an abdominal radiograph demonstrated numerous small radiodensities scattered throughout the colon, suggestive of retained lead-containing material, likely from ingested paint chips. No radiopaque material was seen in the stomach or small intestine. In response, chelation therapy was temporarily held due to the risk of enhancing absorption of ingested lead. A bowel regimen was initiated, including polyethylene glycol (</w:t>
      </w:r>
      <w:proofErr w:type="spellStart"/>
      <w:r>
        <w:rPr>
          <w:color w:val="1B1B1B"/>
          <w:sz w:val="20"/>
          <w:szCs w:val="20"/>
        </w:rPr>
        <w:t>Miralax</w:t>
      </w:r>
      <w:proofErr w:type="spellEnd"/>
      <w:r>
        <w:rPr>
          <w:color w:val="1B1B1B"/>
          <w:sz w:val="20"/>
          <w:szCs w:val="20"/>
        </w:rPr>
        <w:t>) and magnesium citrate, to promote gastrointestinal clearance. Repeat abdominal imaging was planned prior to resuming chelation.</w:t>
      </w:r>
    </w:p>
    <w:p w14:paraId="1D1A23AA" w14:textId="77777777" w:rsidR="00C33854" w:rsidRDefault="00C33854">
      <w:pPr>
        <w:shd w:val="clear" w:color="auto" w:fill="FFFFFF"/>
        <w:spacing w:line="240" w:lineRule="auto"/>
        <w:jc w:val="both"/>
        <w:rPr>
          <w:color w:val="1B1B1B"/>
          <w:sz w:val="20"/>
          <w:szCs w:val="20"/>
        </w:rPr>
      </w:pPr>
    </w:p>
    <w:p w14:paraId="0ED7043B" w14:textId="77777777" w:rsidR="00C33854" w:rsidRDefault="00200D3B">
      <w:pPr>
        <w:shd w:val="clear" w:color="auto" w:fill="FFFFFF"/>
        <w:spacing w:line="240" w:lineRule="auto"/>
        <w:jc w:val="both"/>
        <w:rPr>
          <w:color w:val="1B1B1B"/>
          <w:sz w:val="20"/>
          <w:szCs w:val="20"/>
        </w:rPr>
      </w:pPr>
      <w:r>
        <w:rPr>
          <w:color w:val="1B1B1B"/>
          <w:sz w:val="20"/>
          <w:szCs w:val="20"/>
        </w:rPr>
        <w:t xml:space="preserve">By September 28, the patient had reported episodes of green, watery diarrhea. Follow-up radiography showed no remaining radiodensities within the colon. Chelation therapy was resumed with oral </w:t>
      </w:r>
      <w:proofErr w:type="spellStart"/>
      <w:r>
        <w:rPr>
          <w:color w:val="1B1B1B"/>
          <w:sz w:val="20"/>
          <w:szCs w:val="20"/>
        </w:rPr>
        <w:t>succimer</w:t>
      </w:r>
      <w:proofErr w:type="spellEnd"/>
      <w:r>
        <w:rPr>
          <w:color w:val="1B1B1B"/>
          <w:sz w:val="20"/>
          <w:szCs w:val="20"/>
        </w:rPr>
        <w:t xml:space="preserve"> 500 mg three times daily for five days, followed by 500 mg twice daily for 14 days. Daily iron supplementation was continued. Repeat venous lead levels declined to 70.3 mcg/dL on October 3 and 37.1 mcg/dL on October 6, indicating appropriate response to treatment.</w:t>
      </w:r>
    </w:p>
    <w:p w14:paraId="69CA0C3F" w14:textId="77777777" w:rsidR="00C33854" w:rsidRDefault="00C33854">
      <w:pPr>
        <w:shd w:val="clear" w:color="auto" w:fill="FFFFFF"/>
        <w:spacing w:line="240" w:lineRule="auto"/>
        <w:jc w:val="both"/>
        <w:rPr>
          <w:color w:val="1B1B1B"/>
          <w:sz w:val="20"/>
          <w:szCs w:val="20"/>
        </w:rPr>
      </w:pPr>
    </w:p>
    <w:p w14:paraId="0744AB4D" w14:textId="77777777" w:rsidR="00C33854" w:rsidRDefault="00C33854">
      <w:pPr>
        <w:spacing w:line="240" w:lineRule="auto"/>
        <w:rPr>
          <w:sz w:val="24"/>
          <w:szCs w:val="24"/>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C33854" w14:paraId="390323B6" w14:textId="77777777">
        <w:tc>
          <w:tcPr>
            <w:tcW w:w="1560" w:type="dxa"/>
            <w:shd w:val="clear" w:color="auto" w:fill="CCCCCC"/>
            <w:tcMar>
              <w:top w:w="100" w:type="dxa"/>
              <w:left w:w="100" w:type="dxa"/>
              <w:bottom w:w="100" w:type="dxa"/>
              <w:right w:w="100" w:type="dxa"/>
            </w:tcMar>
          </w:tcPr>
          <w:p w14:paraId="706C575A" w14:textId="77777777" w:rsidR="00C33854" w:rsidRDefault="00200D3B">
            <w:pPr>
              <w:widowControl w:val="0"/>
              <w:spacing w:line="240" w:lineRule="auto"/>
              <w:rPr>
                <w:sz w:val="20"/>
                <w:szCs w:val="20"/>
              </w:rPr>
            </w:pPr>
            <w:r>
              <w:rPr>
                <w:sz w:val="20"/>
                <w:szCs w:val="20"/>
              </w:rPr>
              <w:t>Date</w:t>
            </w:r>
          </w:p>
        </w:tc>
        <w:tc>
          <w:tcPr>
            <w:tcW w:w="1560" w:type="dxa"/>
            <w:shd w:val="clear" w:color="auto" w:fill="auto"/>
            <w:tcMar>
              <w:top w:w="100" w:type="dxa"/>
              <w:left w:w="100" w:type="dxa"/>
              <w:bottom w:w="100" w:type="dxa"/>
              <w:right w:w="100" w:type="dxa"/>
            </w:tcMar>
          </w:tcPr>
          <w:p w14:paraId="0760023F" w14:textId="77777777" w:rsidR="00C33854" w:rsidRDefault="00200D3B">
            <w:pPr>
              <w:widowControl w:val="0"/>
              <w:spacing w:line="240" w:lineRule="auto"/>
              <w:rPr>
                <w:sz w:val="20"/>
                <w:szCs w:val="20"/>
              </w:rPr>
            </w:pPr>
            <w:r>
              <w:rPr>
                <w:sz w:val="20"/>
                <w:szCs w:val="20"/>
              </w:rPr>
              <w:t>9/11/24</w:t>
            </w:r>
          </w:p>
        </w:tc>
        <w:tc>
          <w:tcPr>
            <w:tcW w:w="1560" w:type="dxa"/>
            <w:shd w:val="clear" w:color="auto" w:fill="auto"/>
            <w:tcMar>
              <w:top w:w="100" w:type="dxa"/>
              <w:left w:w="100" w:type="dxa"/>
              <w:bottom w:w="100" w:type="dxa"/>
              <w:right w:w="100" w:type="dxa"/>
            </w:tcMar>
          </w:tcPr>
          <w:p w14:paraId="0942E9C1" w14:textId="77777777" w:rsidR="00C33854" w:rsidRDefault="00200D3B">
            <w:pPr>
              <w:widowControl w:val="0"/>
              <w:spacing w:line="240" w:lineRule="auto"/>
              <w:rPr>
                <w:sz w:val="20"/>
                <w:szCs w:val="20"/>
              </w:rPr>
            </w:pPr>
            <w:r>
              <w:rPr>
                <w:sz w:val="20"/>
                <w:szCs w:val="20"/>
              </w:rPr>
              <w:t>9/28/24</w:t>
            </w:r>
          </w:p>
        </w:tc>
        <w:tc>
          <w:tcPr>
            <w:tcW w:w="1560" w:type="dxa"/>
            <w:shd w:val="clear" w:color="auto" w:fill="auto"/>
            <w:tcMar>
              <w:top w:w="100" w:type="dxa"/>
              <w:left w:w="100" w:type="dxa"/>
              <w:bottom w:w="100" w:type="dxa"/>
              <w:right w:w="100" w:type="dxa"/>
            </w:tcMar>
          </w:tcPr>
          <w:p w14:paraId="670E53CC" w14:textId="77777777" w:rsidR="00C33854" w:rsidRDefault="00200D3B">
            <w:pPr>
              <w:widowControl w:val="0"/>
              <w:spacing w:line="240" w:lineRule="auto"/>
              <w:rPr>
                <w:sz w:val="20"/>
                <w:szCs w:val="20"/>
              </w:rPr>
            </w:pPr>
            <w:r>
              <w:rPr>
                <w:sz w:val="20"/>
                <w:szCs w:val="20"/>
              </w:rPr>
              <w:t>10/1/24</w:t>
            </w:r>
          </w:p>
        </w:tc>
        <w:tc>
          <w:tcPr>
            <w:tcW w:w="1560" w:type="dxa"/>
            <w:shd w:val="clear" w:color="auto" w:fill="auto"/>
            <w:tcMar>
              <w:top w:w="100" w:type="dxa"/>
              <w:left w:w="100" w:type="dxa"/>
              <w:bottom w:w="100" w:type="dxa"/>
              <w:right w:w="100" w:type="dxa"/>
            </w:tcMar>
          </w:tcPr>
          <w:p w14:paraId="2BB1AC47" w14:textId="77777777" w:rsidR="00C33854" w:rsidRDefault="00200D3B">
            <w:pPr>
              <w:widowControl w:val="0"/>
              <w:spacing w:line="240" w:lineRule="auto"/>
              <w:rPr>
                <w:sz w:val="20"/>
                <w:szCs w:val="20"/>
              </w:rPr>
            </w:pPr>
            <w:r>
              <w:rPr>
                <w:sz w:val="20"/>
                <w:szCs w:val="20"/>
              </w:rPr>
              <w:t>10/6/24</w:t>
            </w:r>
          </w:p>
        </w:tc>
        <w:tc>
          <w:tcPr>
            <w:tcW w:w="1560" w:type="dxa"/>
            <w:shd w:val="clear" w:color="auto" w:fill="auto"/>
            <w:tcMar>
              <w:top w:w="100" w:type="dxa"/>
              <w:left w:w="100" w:type="dxa"/>
              <w:bottom w:w="100" w:type="dxa"/>
              <w:right w:w="100" w:type="dxa"/>
            </w:tcMar>
          </w:tcPr>
          <w:p w14:paraId="5A2ADA3C" w14:textId="77777777" w:rsidR="00C33854" w:rsidRDefault="00200D3B">
            <w:pPr>
              <w:widowControl w:val="0"/>
              <w:spacing w:line="240" w:lineRule="auto"/>
              <w:rPr>
                <w:sz w:val="20"/>
                <w:szCs w:val="20"/>
              </w:rPr>
            </w:pPr>
            <w:r>
              <w:rPr>
                <w:sz w:val="20"/>
                <w:szCs w:val="20"/>
              </w:rPr>
              <w:t>10/13/24</w:t>
            </w:r>
          </w:p>
        </w:tc>
      </w:tr>
      <w:tr w:rsidR="00C33854" w14:paraId="6CF85604" w14:textId="77777777">
        <w:tc>
          <w:tcPr>
            <w:tcW w:w="1560" w:type="dxa"/>
            <w:shd w:val="clear" w:color="auto" w:fill="CCCCCC"/>
            <w:tcMar>
              <w:top w:w="100" w:type="dxa"/>
              <w:left w:w="100" w:type="dxa"/>
              <w:bottom w:w="100" w:type="dxa"/>
              <w:right w:w="100" w:type="dxa"/>
            </w:tcMar>
          </w:tcPr>
          <w:p w14:paraId="487DD6E2" w14:textId="77777777" w:rsidR="00C33854" w:rsidRDefault="00200D3B">
            <w:pPr>
              <w:widowControl w:val="0"/>
              <w:spacing w:line="240" w:lineRule="auto"/>
              <w:rPr>
                <w:sz w:val="20"/>
                <w:szCs w:val="20"/>
              </w:rPr>
            </w:pPr>
            <w:r>
              <w:rPr>
                <w:sz w:val="20"/>
                <w:szCs w:val="20"/>
              </w:rPr>
              <w:t>Lead Level</w:t>
            </w:r>
          </w:p>
        </w:tc>
        <w:tc>
          <w:tcPr>
            <w:tcW w:w="1560" w:type="dxa"/>
            <w:shd w:val="clear" w:color="auto" w:fill="auto"/>
            <w:tcMar>
              <w:top w:w="100" w:type="dxa"/>
              <w:left w:w="100" w:type="dxa"/>
              <w:bottom w:w="100" w:type="dxa"/>
              <w:right w:w="100" w:type="dxa"/>
            </w:tcMar>
          </w:tcPr>
          <w:p w14:paraId="1EA966CF" w14:textId="77777777" w:rsidR="00C33854" w:rsidRDefault="00200D3B">
            <w:pPr>
              <w:shd w:val="clear" w:color="auto" w:fill="FFFFFF"/>
              <w:spacing w:line="240" w:lineRule="auto"/>
              <w:jc w:val="both"/>
              <w:rPr>
                <w:sz w:val="20"/>
                <w:szCs w:val="20"/>
              </w:rPr>
            </w:pPr>
            <w:r>
              <w:rPr>
                <w:color w:val="1B1B1B"/>
                <w:sz w:val="20"/>
                <w:szCs w:val="20"/>
              </w:rPr>
              <w:t>79 mcg/dL</w:t>
            </w:r>
          </w:p>
        </w:tc>
        <w:tc>
          <w:tcPr>
            <w:tcW w:w="1560" w:type="dxa"/>
            <w:shd w:val="clear" w:color="auto" w:fill="auto"/>
            <w:tcMar>
              <w:top w:w="100" w:type="dxa"/>
              <w:left w:w="100" w:type="dxa"/>
              <w:bottom w:w="100" w:type="dxa"/>
              <w:right w:w="100" w:type="dxa"/>
            </w:tcMar>
          </w:tcPr>
          <w:p w14:paraId="63D9CA58" w14:textId="77777777" w:rsidR="00C33854" w:rsidRDefault="00200D3B">
            <w:pPr>
              <w:widowControl w:val="0"/>
              <w:spacing w:line="240" w:lineRule="auto"/>
              <w:rPr>
                <w:sz w:val="20"/>
                <w:szCs w:val="20"/>
              </w:rPr>
            </w:pPr>
            <w:r>
              <w:rPr>
                <w:sz w:val="20"/>
                <w:szCs w:val="20"/>
              </w:rPr>
              <w:t>64.8 mcg/dL</w:t>
            </w:r>
          </w:p>
        </w:tc>
        <w:tc>
          <w:tcPr>
            <w:tcW w:w="1560" w:type="dxa"/>
            <w:shd w:val="clear" w:color="auto" w:fill="auto"/>
            <w:tcMar>
              <w:top w:w="100" w:type="dxa"/>
              <w:left w:w="100" w:type="dxa"/>
              <w:bottom w:w="100" w:type="dxa"/>
              <w:right w:w="100" w:type="dxa"/>
            </w:tcMar>
          </w:tcPr>
          <w:p w14:paraId="3534862F" w14:textId="77777777" w:rsidR="00C33854" w:rsidRDefault="00200D3B">
            <w:pPr>
              <w:widowControl w:val="0"/>
              <w:spacing w:line="240" w:lineRule="auto"/>
              <w:rPr>
                <w:sz w:val="20"/>
                <w:szCs w:val="20"/>
              </w:rPr>
            </w:pPr>
            <w:r>
              <w:rPr>
                <w:sz w:val="20"/>
                <w:szCs w:val="20"/>
              </w:rPr>
              <w:t>70.3 mcg/dL</w:t>
            </w:r>
          </w:p>
        </w:tc>
        <w:tc>
          <w:tcPr>
            <w:tcW w:w="1560" w:type="dxa"/>
            <w:shd w:val="clear" w:color="auto" w:fill="auto"/>
            <w:tcMar>
              <w:top w:w="100" w:type="dxa"/>
              <w:left w:w="100" w:type="dxa"/>
              <w:bottom w:w="100" w:type="dxa"/>
              <w:right w:w="100" w:type="dxa"/>
            </w:tcMar>
          </w:tcPr>
          <w:p w14:paraId="3B0C8859" w14:textId="77777777" w:rsidR="00C33854" w:rsidRDefault="00200D3B">
            <w:pPr>
              <w:widowControl w:val="0"/>
              <w:spacing w:line="240" w:lineRule="auto"/>
              <w:rPr>
                <w:sz w:val="20"/>
                <w:szCs w:val="20"/>
              </w:rPr>
            </w:pPr>
            <w:r>
              <w:rPr>
                <w:sz w:val="20"/>
                <w:szCs w:val="20"/>
              </w:rPr>
              <w:t>37.1 mcg/dL</w:t>
            </w:r>
          </w:p>
        </w:tc>
        <w:tc>
          <w:tcPr>
            <w:tcW w:w="1560" w:type="dxa"/>
            <w:shd w:val="clear" w:color="auto" w:fill="auto"/>
            <w:tcMar>
              <w:top w:w="100" w:type="dxa"/>
              <w:left w:w="100" w:type="dxa"/>
              <w:bottom w:w="100" w:type="dxa"/>
              <w:right w:w="100" w:type="dxa"/>
            </w:tcMar>
          </w:tcPr>
          <w:p w14:paraId="6AD79EEA" w14:textId="77777777" w:rsidR="00C33854" w:rsidRDefault="00200D3B">
            <w:pPr>
              <w:widowControl w:val="0"/>
              <w:spacing w:line="240" w:lineRule="auto"/>
              <w:rPr>
                <w:sz w:val="20"/>
                <w:szCs w:val="20"/>
              </w:rPr>
            </w:pPr>
            <w:r>
              <w:rPr>
                <w:sz w:val="20"/>
                <w:szCs w:val="20"/>
              </w:rPr>
              <w:t>34.1 mcg/dL</w:t>
            </w:r>
          </w:p>
        </w:tc>
      </w:tr>
    </w:tbl>
    <w:p w14:paraId="0E08BD95" w14:textId="77777777" w:rsidR="00C33854" w:rsidRDefault="00200D3B">
      <w:pPr>
        <w:spacing w:line="240" w:lineRule="auto"/>
        <w:rPr>
          <w:color w:val="1B1B1B"/>
          <w:sz w:val="20"/>
          <w:szCs w:val="20"/>
        </w:rPr>
      </w:pPr>
      <w:r>
        <w:rPr>
          <w:b/>
          <w:color w:val="1B1B1B"/>
          <w:sz w:val="20"/>
          <w:szCs w:val="20"/>
        </w:rPr>
        <w:lastRenderedPageBreak/>
        <w:t>Table 2</w:t>
      </w:r>
      <w:r>
        <w:rPr>
          <w:color w:val="1B1B1B"/>
          <w:sz w:val="20"/>
          <w:szCs w:val="20"/>
        </w:rPr>
        <w:t>. Lead levels during treatment.</w:t>
      </w:r>
    </w:p>
    <w:p w14:paraId="005DC6CA" w14:textId="77777777" w:rsidR="00C33854" w:rsidRDefault="00C33854">
      <w:pPr>
        <w:spacing w:line="240" w:lineRule="auto"/>
        <w:rPr>
          <w:b/>
          <w:sz w:val="24"/>
          <w:szCs w:val="24"/>
        </w:rPr>
      </w:pPr>
    </w:p>
    <w:p w14:paraId="289FD5B4" w14:textId="77777777" w:rsidR="00C33854" w:rsidRDefault="00C33854">
      <w:pPr>
        <w:spacing w:line="240" w:lineRule="auto"/>
        <w:rPr>
          <w:sz w:val="20"/>
          <w:szCs w:val="20"/>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33854" w14:paraId="51310FD0" w14:textId="77777777">
        <w:tc>
          <w:tcPr>
            <w:tcW w:w="3120" w:type="dxa"/>
            <w:shd w:val="clear" w:color="auto" w:fill="CCCCCC"/>
            <w:tcMar>
              <w:top w:w="100" w:type="dxa"/>
              <w:left w:w="100" w:type="dxa"/>
              <w:bottom w:w="100" w:type="dxa"/>
              <w:right w:w="100" w:type="dxa"/>
            </w:tcMar>
          </w:tcPr>
          <w:p w14:paraId="16D61537" w14:textId="77777777" w:rsidR="00C33854" w:rsidRDefault="00200D3B">
            <w:pPr>
              <w:widowControl w:val="0"/>
              <w:spacing w:line="240" w:lineRule="auto"/>
              <w:rPr>
                <w:b/>
                <w:sz w:val="20"/>
                <w:szCs w:val="20"/>
              </w:rPr>
            </w:pPr>
            <w:r>
              <w:rPr>
                <w:b/>
                <w:sz w:val="20"/>
                <w:szCs w:val="20"/>
              </w:rPr>
              <w:t>Lab value</w:t>
            </w:r>
          </w:p>
        </w:tc>
        <w:tc>
          <w:tcPr>
            <w:tcW w:w="3120" w:type="dxa"/>
            <w:shd w:val="clear" w:color="auto" w:fill="auto"/>
            <w:tcMar>
              <w:top w:w="100" w:type="dxa"/>
              <w:left w:w="100" w:type="dxa"/>
              <w:bottom w:w="100" w:type="dxa"/>
              <w:right w:w="100" w:type="dxa"/>
            </w:tcMar>
          </w:tcPr>
          <w:p w14:paraId="2DF89109" w14:textId="77777777" w:rsidR="00C33854" w:rsidRDefault="00200D3B">
            <w:pPr>
              <w:widowControl w:val="0"/>
              <w:spacing w:line="240" w:lineRule="auto"/>
              <w:rPr>
                <w:sz w:val="20"/>
                <w:szCs w:val="20"/>
              </w:rPr>
            </w:pPr>
            <w:r>
              <w:rPr>
                <w:sz w:val="20"/>
                <w:szCs w:val="20"/>
              </w:rPr>
              <w:t>9/27/24</w:t>
            </w:r>
          </w:p>
        </w:tc>
        <w:tc>
          <w:tcPr>
            <w:tcW w:w="3120" w:type="dxa"/>
            <w:shd w:val="clear" w:color="auto" w:fill="auto"/>
            <w:tcMar>
              <w:top w:w="100" w:type="dxa"/>
              <w:left w:w="100" w:type="dxa"/>
              <w:bottom w:w="100" w:type="dxa"/>
              <w:right w:w="100" w:type="dxa"/>
            </w:tcMar>
          </w:tcPr>
          <w:p w14:paraId="33E0C6A2" w14:textId="77777777" w:rsidR="00C33854" w:rsidRDefault="00200D3B">
            <w:pPr>
              <w:widowControl w:val="0"/>
              <w:spacing w:line="240" w:lineRule="auto"/>
              <w:rPr>
                <w:sz w:val="20"/>
                <w:szCs w:val="20"/>
              </w:rPr>
            </w:pPr>
            <w:r>
              <w:rPr>
                <w:sz w:val="20"/>
                <w:szCs w:val="20"/>
              </w:rPr>
              <w:t>10/13/24</w:t>
            </w:r>
          </w:p>
        </w:tc>
      </w:tr>
      <w:tr w:rsidR="00C33854" w14:paraId="505722BC" w14:textId="77777777">
        <w:tc>
          <w:tcPr>
            <w:tcW w:w="3120" w:type="dxa"/>
            <w:shd w:val="clear" w:color="auto" w:fill="CCCCCC"/>
            <w:tcMar>
              <w:top w:w="100" w:type="dxa"/>
              <w:left w:w="100" w:type="dxa"/>
              <w:bottom w:w="100" w:type="dxa"/>
              <w:right w:w="100" w:type="dxa"/>
            </w:tcMar>
          </w:tcPr>
          <w:p w14:paraId="62388C08" w14:textId="77777777" w:rsidR="00C33854" w:rsidRDefault="00200D3B">
            <w:pPr>
              <w:widowControl w:val="0"/>
              <w:spacing w:line="240" w:lineRule="auto"/>
              <w:rPr>
                <w:sz w:val="20"/>
                <w:szCs w:val="20"/>
              </w:rPr>
            </w:pPr>
            <w:r>
              <w:rPr>
                <w:sz w:val="20"/>
                <w:szCs w:val="20"/>
              </w:rPr>
              <w:t>RBC morphology</w:t>
            </w:r>
          </w:p>
        </w:tc>
        <w:tc>
          <w:tcPr>
            <w:tcW w:w="3120" w:type="dxa"/>
            <w:shd w:val="clear" w:color="auto" w:fill="auto"/>
            <w:tcMar>
              <w:top w:w="100" w:type="dxa"/>
              <w:left w:w="100" w:type="dxa"/>
              <w:bottom w:w="100" w:type="dxa"/>
              <w:right w:w="100" w:type="dxa"/>
            </w:tcMar>
          </w:tcPr>
          <w:p w14:paraId="2E60F735" w14:textId="77777777" w:rsidR="00C33854" w:rsidRDefault="00200D3B">
            <w:pPr>
              <w:widowControl w:val="0"/>
              <w:spacing w:line="240" w:lineRule="auto"/>
              <w:rPr>
                <w:sz w:val="20"/>
                <w:szCs w:val="20"/>
              </w:rPr>
            </w:pPr>
            <w:r>
              <w:rPr>
                <w:sz w:val="20"/>
                <w:szCs w:val="20"/>
              </w:rPr>
              <w:t>present</w:t>
            </w:r>
          </w:p>
        </w:tc>
        <w:tc>
          <w:tcPr>
            <w:tcW w:w="3120" w:type="dxa"/>
            <w:shd w:val="clear" w:color="auto" w:fill="auto"/>
            <w:tcMar>
              <w:top w:w="100" w:type="dxa"/>
              <w:left w:w="100" w:type="dxa"/>
              <w:bottom w:w="100" w:type="dxa"/>
              <w:right w:w="100" w:type="dxa"/>
            </w:tcMar>
          </w:tcPr>
          <w:p w14:paraId="58F88019" w14:textId="77777777" w:rsidR="00C33854" w:rsidRDefault="00200D3B">
            <w:pPr>
              <w:widowControl w:val="0"/>
              <w:spacing w:line="240" w:lineRule="auto"/>
              <w:rPr>
                <w:sz w:val="20"/>
                <w:szCs w:val="20"/>
              </w:rPr>
            </w:pPr>
            <w:r>
              <w:rPr>
                <w:sz w:val="20"/>
                <w:szCs w:val="20"/>
              </w:rPr>
              <w:t>present</w:t>
            </w:r>
          </w:p>
        </w:tc>
      </w:tr>
      <w:tr w:rsidR="00C33854" w14:paraId="5A44D0B5" w14:textId="77777777">
        <w:tc>
          <w:tcPr>
            <w:tcW w:w="3120" w:type="dxa"/>
            <w:shd w:val="clear" w:color="auto" w:fill="CCCCCC"/>
            <w:tcMar>
              <w:top w:w="100" w:type="dxa"/>
              <w:left w:w="100" w:type="dxa"/>
              <w:bottom w:w="100" w:type="dxa"/>
              <w:right w:w="100" w:type="dxa"/>
            </w:tcMar>
          </w:tcPr>
          <w:p w14:paraId="39DC7677" w14:textId="77777777" w:rsidR="00C33854" w:rsidRDefault="00200D3B">
            <w:pPr>
              <w:widowControl w:val="0"/>
              <w:spacing w:line="240" w:lineRule="auto"/>
              <w:rPr>
                <w:sz w:val="20"/>
                <w:szCs w:val="20"/>
              </w:rPr>
            </w:pPr>
            <w:proofErr w:type="spellStart"/>
            <w:r>
              <w:rPr>
                <w:sz w:val="20"/>
                <w:szCs w:val="20"/>
              </w:rPr>
              <w:t>stomatocytes</w:t>
            </w:r>
            <w:proofErr w:type="spellEnd"/>
          </w:p>
        </w:tc>
        <w:tc>
          <w:tcPr>
            <w:tcW w:w="3120" w:type="dxa"/>
            <w:shd w:val="clear" w:color="auto" w:fill="auto"/>
            <w:tcMar>
              <w:top w:w="100" w:type="dxa"/>
              <w:left w:w="100" w:type="dxa"/>
              <w:bottom w:w="100" w:type="dxa"/>
              <w:right w:w="100" w:type="dxa"/>
            </w:tcMar>
          </w:tcPr>
          <w:p w14:paraId="59B989D9" w14:textId="77777777" w:rsidR="00C33854" w:rsidRDefault="00200D3B">
            <w:pPr>
              <w:widowControl w:val="0"/>
              <w:spacing w:line="240" w:lineRule="auto"/>
              <w:rPr>
                <w:sz w:val="20"/>
                <w:szCs w:val="20"/>
              </w:rPr>
            </w:pPr>
            <w:r>
              <w:rPr>
                <w:sz w:val="20"/>
                <w:szCs w:val="20"/>
              </w:rPr>
              <w:t>slight</w:t>
            </w:r>
          </w:p>
        </w:tc>
        <w:tc>
          <w:tcPr>
            <w:tcW w:w="3120" w:type="dxa"/>
            <w:shd w:val="clear" w:color="auto" w:fill="auto"/>
            <w:tcMar>
              <w:top w:w="100" w:type="dxa"/>
              <w:left w:w="100" w:type="dxa"/>
              <w:bottom w:w="100" w:type="dxa"/>
              <w:right w:w="100" w:type="dxa"/>
            </w:tcMar>
          </w:tcPr>
          <w:p w14:paraId="3DEA22C6" w14:textId="77777777" w:rsidR="00C33854" w:rsidRDefault="00200D3B">
            <w:pPr>
              <w:widowControl w:val="0"/>
              <w:spacing w:line="240" w:lineRule="auto"/>
              <w:rPr>
                <w:sz w:val="20"/>
                <w:szCs w:val="20"/>
              </w:rPr>
            </w:pPr>
            <w:r>
              <w:rPr>
                <w:sz w:val="20"/>
                <w:szCs w:val="20"/>
              </w:rPr>
              <w:t>slight</w:t>
            </w:r>
          </w:p>
        </w:tc>
      </w:tr>
      <w:tr w:rsidR="00C33854" w14:paraId="276E285D" w14:textId="77777777">
        <w:tc>
          <w:tcPr>
            <w:tcW w:w="3120" w:type="dxa"/>
            <w:shd w:val="clear" w:color="auto" w:fill="CCCCCC"/>
            <w:tcMar>
              <w:top w:w="100" w:type="dxa"/>
              <w:left w:w="100" w:type="dxa"/>
              <w:bottom w:w="100" w:type="dxa"/>
              <w:right w:w="100" w:type="dxa"/>
            </w:tcMar>
          </w:tcPr>
          <w:p w14:paraId="1D07943C" w14:textId="77777777" w:rsidR="00C33854" w:rsidRDefault="00200D3B">
            <w:pPr>
              <w:widowControl w:val="0"/>
              <w:spacing w:line="240" w:lineRule="auto"/>
              <w:rPr>
                <w:sz w:val="20"/>
                <w:szCs w:val="20"/>
              </w:rPr>
            </w:pPr>
            <w:r>
              <w:rPr>
                <w:sz w:val="20"/>
                <w:szCs w:val="20"/>
              </w:rPr>
              <w:t>Target Cells</w:t>
            </w:r>
          </w:p>
        </w:tc>
        <w:tc>
          <w:tcPr>
            <w:tcW w:w="3120" w:type="dxa"/>
            <w:shd w:val="clear" w:color="auto" w:fill="auto"/>
            <w:tcMar>
              <w:top w:w="100" w:type="dxa"/>
              <w:left w:w="100" w:type="dxa"/>
              <w:bottom w:w="100" w:type="dxa"/>
              <w:right w:w="100" w:type="dxa"/>
            </w:tcMar>
          </w:tcPr>
          <w:p w14:paraId="46CE8B87" w14:textId="77777777" w:rsidR="00C33854" w:rsidRDefault="00C33854">
            <w:pPr>
              <w:widowControl w:val="0"/>
              <w:spacing w:line="240" w:lineRule="auto"/>
              <w:rPr>
                <w:sz w:val="20"/>
                <w:szCs w:val="20"/>
              </w:rPr>
            </w:pPr>
          </w:p>
        </w:tc>
        <w:tc>
          <w:tcPr>
            <w:tcW w:w="3120" w:type="dxa"/>
            <w:shd w:val="clear" w:color="auto" w:fill="auto"/>
            <w:tcMar>
              <w:top w:w="100" w:type="dxa"/>
              <w:left w:w="100" w:type="dxa"/>
              <w:bottom w:w="100" w:type="dxa"/>
              <w:right w:w="100" w:type="dxa"/>
            </w:tcMar>
          </w:tcPr>
          <w:p w14:paraId="7CCB89B0" w14:textId="77777777" w:rsidR="00C33854" w:rsidRDefault="00200D3B">
            <w:pPr>
              <w:widowControl w:val="0"/>
              <w:spacing w:line="240" w:lineRule="auto"/>
              <w:rPr>
                <w:sz w:val="20"/>
                <w:szCs w:val="20"/>
              </w:rPr>
            </w:pPr>
            <w:r>
              <w:rPr>
                <w:sz w:val="20"/>
                <w:szCs w:val="20"/>
              </w:rPr>
              <w:t>slight</w:t>
            </w:r>
          </w:p>
        </w:tc>
      </w:tr>
      <w:tr w:rsidR="00C33854" w14:paraId="5C4EEA5C" w14:textId="77777777">
        <w:tc>
          <w:tcPr>
            <w:tcW w:w="3120" w:type="dxa"/>
            <w:shd w:val="clear" w:color="auto" w:fill="CCCCCC"/>
            <w:tcMar>
              <w:top w:w="100" w:type="dxa"/>
              <w:left w:w="100" w:type="dxa"/>
              <w:bottom w:w="100" w:type="dxa"/>
              <w:right w:w="100" w:type="dxa"/>
            </w:tcMar>
          </w:tcPr>
          <w:p w14:paraId="480F4257" w14:textId="77777777" w:rsidR="00C33854" w:rsidRDefault="00200D3B">
            <w:pPr>
              <w:widowControl w:val="0"/>
              <w:spacing w:line="240" w:lineRule="auto"/>
              <w:rPr>
                <w:sz w:val="20"/>
                <w:szCs w:val="20"/>
              </w:rPr>
            </w:pPr>
            <w:r>
              <w:rPr>
                <w:sz w:val="20"/>
                <w:szCs w:val="20"/>
              </w:rPr>
              <w:t>anisocytosis</w:t>
            </w:r>
          </w:p>
        </w:tc>
        <w:tc>
          <w:tcPr>
            <w:tcW w:w="3120" w:type="dxa"/>
            <w:shd w:val="clear" w:color="auto" w:fill="auto"/>
            <w:tcMar>
              <w:top w:w="100" w:type="dxa"/>
              <w:left w:w="100" w:type="dxa"/>
              <w:bottom w:w="100" w:type="dxa"/>
              <w:right w:w="100" w:type="dxa"/>
            </w:tcMar>
          </w:tcPr>
          <w:p w14:paraId="0C70D32F" w14:textId="77777777" w:rsidR="00C33854" w:rsidRDefault="00200D3B">
            <w:pPr>
              <w:widowControl w:val="0"/>
              <w:spacing w:line="240" w:lineRule="auto"/>
              <w:rPr>
                <w:sz w:val="20"/>
                <w:szCs w:val="20"/>
              </w:rPr>
            </w:pPr>
            <w:r>
              <w:rPr>
                <w:sz w:val="20"/>
                <w:szCs w:val="20"/>
              </w:rPr>
              <w:t>moderate</w:t>
            </w:r>
          </w:p>
        </w:tc>
        <w:tc>
          <w:tcPr>
            <w:tcW w:w="3120" w:type="dxa"/>
            <w:shd w:val="clear" w:color="auto" w:fill="auto"/>
            <w:tcMar>
              <w:top w:w="100" w:type="dxa"/>
              <w:left w:w="100" w:type="dxa"/>
              <w:bottom w:w="100" w:type="dxa"/>
              <w:right w:w="100" w:type="dxa"/>
            </w:tcMar>
          </w:tcPr>
          <w:p w14:paraId="5F6261CD" w14:textId="77777777" w:rsidR="00C33854" w:rsidRDefault="00200D3B">
            <w:pPr>
              <w:widowControl w:val="0"/>
              <w:spacing w:line="240" w:lineRule="auto"/>
              <w:rPr>
                <w:sz w:val="20"/>
                <w:szCs w:val="20"/>
              </w:rPr>
            </w:pPr>
            <w:r>
              <w:rPr>
                <w:sz w:val="20"/>
                <w:szCs w:val="20"/>
              </w:rPr>
              <w:t>slight</w:t>
            </w:r>
          </w:p>
        </w:tc>
      </w:tr>
      <w:tr w:rsidR="00C33854" w14:paraId="1CE47338" w14:textId="77777777">
        <w:tc>
          <w:tcPr>
            <w:tcW w:w="3120" w:type="dxa"/>
            <w:shd w:val="clear" w:color="auto" w:fill="CCCCCC"/>
            <w:tcMar>
              <w:top w:w="100" w:type="dxa"/>
              <w:left w:w="100" w:type="dxa"/>
              <w:bottom w:w="100" w:type="dxa"/>
              <w:right w:w="100" w:type="dxa"/>
            </w:tcMar>
          </w:tcPr>
          <w:p w14:paraId="5A81B30C" w14:textId="77777777" w:rsidR="00C33854" w:rsidRDefault="00200D3B">
            <w:pPr>
              <w:widowControl w:val="0"/>
              <w:spacing w:line="240" w:lineRule="auto"/>
              <w:rPr>
                <w:sz w:val="20"/>
                <w:szCs w:val="20"/>
              </w:rPr>
            </w:pPr>
            <w:r>
              <w:rPr>
                <w:sz w:val="20"/>
                <w:szCs w:val="20"/>
              </w:rPr>
              <w:t>hypochromia</w:t>
            </w:r>
          </w:p>
        </w:tc>
        <w:tc>
          <w:tcPr>
            <w:tcW w:w="3120" w:type="dxa"/>
            <w:shd w:val="clear" w:color="auto" w:fill="auto"/>
            <w:tcMar>
              <w:top w:w="100" w:type="dxa"/>
              <w:left w:w="100" w:type="dxa"/>
              <w:bottom w:w="100" w:type="dxa"/>
              <w:right w:w="100" w:type="dxa"/>
            </w:tcMar>
          </w:tcPr>
          <w:p w14:paraId="3CBEB537" w14:textId="77777777" w:rsidR="00C33854" w:rsidRDefault="00200D3B">
            <w:pPr>
              <w:widowControl w:val="0"/>
              <w:spacing w:line="240" w:lineRule="auto"/>
              <w:rPr>
                <w:sz w:val="20"/>
                <w:szCs w:val="20"/>
              </w:rPr>
            </w:pPr>
            <w:r>
              <w:rPr>
                <w:sz w:val="20"/>
                <w:szCs w:val="20"/>
              </w:rPr>
              <w:t>slight</w:t>
            </w:r>
          </w:p>
        </w:tc>
        <w:tc>
          <w:tcPr>
            <w:tcW w:w="3120" w:type="dxa"/>
            <w:shd w:val="clear" w:color="auto" w:fill="auto"/>
            <w:tcMar>
              <w:top w:w="100" w:type="dxa"/>
              <w:left w:w="100" w:type="dxa"/>
              <w:bottom w:w="100" w:type="dxa"/>
              <w:right w:w="100" w:type="dxa"/>
            </w:tcMar>
          </w:tcPr>
          <w:p w14:paraId="7B3AE15C" w14:textId="77777777" w:rsidR="00C33854" w:rsidRDefault="00200D3B">
            <w:pPr>
              <w:widowControl w:val="0"/>
              <w:spacing w:line="240" w:lineRule="auto"/>
              <w:rPr>
                <w:sz w:val="20"/>
                <w:szCs w:val="20"/>
              </w:rPr>
            </w:pPr>
            <w:r>
              <w:rPr>
                <w:sz w:val="20"/>
                <w:szCs w:val="20"/>
              </w:rPr>
              <w:t>slight</w:t>
            </w:r>
          </w:p>
        </w:tc>
      </w:tr>
      <w:tr w:rsidR="00C33854" w14:paraId="1856C9C2" w14:textId="77777777">
        <w:tc>
          <w:tcPr>
            <w:tcW w:w="3120" w:type="dxa"/>
            <w:shd w:val="clear" w:color="auto" w:fill="CCCCCC"/>
            <w:tcMar>
              <w:top w:w="100" w:type="dxa"/>
              <w:left w:w="100" w:type="dxa"/>
              <w:bottom w:w="100" w:type="dxa"/>
              <w:right w:w="100" w:type="dxa"/>
            </w:tcMar>
          </w:tcPr>
          <w:p w14:paraId="0324FB4C" w14:textId="77777777" w:rsidR="00C33854" w:rsidRDefault="00200D3B">
            <w:pPr>
              <w:widowControl w:val="0"/>
              <w:spacing w:line="240" w:lineRule="auto"/>
              <w:rPr>
                <w:sz w:val="20"/>
                <w:szCs w:val="20"/>
              </w:rPr>
            </w:pPr>
            <w:r>
              <w:rPr>
                <w:sz w:val="20"/>
                <w:szCs w:val="20"/>
              </w:rPr>
              <w:t>microcytes</w:t>
            </w:r>
          </w:p>
        </w:tc>
        <w:tc>
          <w:tcPr>
            <w:tcW w:w="3120" w:type="dxa"/>
            <w:shd w:val="clear" w:color="auto" w:fill="auto"/>
            <w:tcMar>
              <w:top w:w="100" w:type="dxa"/>
              <w:left w:w="100" w:type="dxa"/>
              <w:bottom w:w="100" w:type="dxa"/>
              <w:right w:w="100" w:type="dxa"/>
            </w:tcMar>
          </w:tcPr>
          <w:p w14:paraId="3CC93ED1" w14:textId="77777777" w:rsidR="00C33854" w:rsidRDefault="00200D3B">
            <w:pPr>
              <w:widowControl w:val="0"/>
              <w:spacing w:line="240" w:lineRule="auto"/>
              <w:rPr>
                <w:sz w:val="20"/>
                <w:szCs w:val="20"/>
              </w:rPr>
            </w:pPr>
            <w:r>
              <w:rPr>
                <w:sz w:val="20"/>
                <w:szCs w:val="20"/>
              </w:rPr>
              <w:t>moderate</w:t>
            </w:r>
          </w:p>
        </w:tc>
        <w:tc>
          <w:tcPr>
            <w:tcW w:w="3120" w:type="dxa"/>
            <w:shd w:val="clear" w:color="auto" w:fill="auto"/>
            <w:tcMar>
              <w:top w:w="100" w:type="dxa"/>
              <w:left w:w="100" w:type="dxa"/>
              <w:bottom w:w="100" w:type="dxa"/>
              <w:right w:w="100" w:type="dxa"/>
            </w:tcMar>
          </w:tcPr>
          <w:p w14:paraId="0F7BB837" w14:textId="77777777" w:rsidR="00C33854" w:rsidRDefault="00200D3B">
            <w:pPr>
              <w:widowControl w:val="0"/>
              <w:spacing w:line="240" w:lineRule="auto"/>
              <w:rPr>
                <w:sz w:val="20"/>
                <w:szCs w:val="20"/>
              </w:rPr>
            </w:pPr>
            <w:r>
              <w:rPr>
                <w:sz w:val="20"/>
                <w:szCs w:val="20"/>
              </w:rPr>
              <w:t>slight</w:t>
            </w:r>
          </w:p>
        </w:tc>
      </w:tr>
    </w:tbl>
    <w:p w14:paraId="5486DEA8" w14:textId="77777777" w:rsidR="00C33854" w:rsidRDefault="00200D3B">
      <w:pPr>
        <w:spacing w:line="240" w:lineRule="auto"/>
        <w:rPr>
          <w:color w:val="1B1B1B"/>
          <w:sz w:val="20"/>
          <w:szCs w:val="20"/>
        </w:rPr>
      </w:pPr>
      <w:r>
        <w:rPr>
          <w:b/>
          <w:color w:val="1B1B1B"/>
          <w:sz w:val="20"/>
          <w:szCs w:val="20"/>
        </w:rPr>
        <w:t>Table 3</w:t>
      </w:r>
      <w:r>
        <w:rPr>
          <w:color w:val="1B1B1B"/>
          <w:sz w:val="20"/>
          <w:szCs w:val="20"/>
        </w:rPr>
        <w:t>. Peripheral blood smear findings prior to reinitiation of chelation therapy and at its conclusion.</w:t>
      </w:r>
    </w:p>
    <w:p w14:paraId="5518C24C" w14:textId="77777777" w:rsidR="00C33854" w:rsidRDefault="00C33854">
      <w:pPr>
        <w:spacing w:line="240" w:lineRule="auto"/>
        <w:rPr>
          <w:color w:val="1B1B1B"/>
          <w:sz w:val="20"/>
          <w:szCs w:val="20"/>
        </w:rPr>
      </w:pPr>
    </w:p>
    <w:p w14:paraId="31E2D3B3" w14:textId="77777777" w:rsidR="00C33854" w:rsidRDefault="00C33854">
      <w:pPr>
        <w:spacing w:line="240" w:lineRule="auto"/>
        <w:rPr>
          <w:color w:val="1B1B1B"/>
          <w:sz w:val="20"/>
          <w:szCs w:val="20"/>
        </w:rPr>
      </w:pPr>
    </w:p>
    <w:p w14:paraId="65E037B1" w14:textId="77777777" w:rsidR="00C33854" w:rsidRDefault="00200D3B">
      <w:pPr>
        <w:shd w:val="clear" w:color="auto" w:fill="FFFFFF"/>
        <w:spacing w:line="240" w:lineRule="auto"/>
        <w:jc w:val="both"/>
        <w:rPr>
          <w:color w:val="1B1B1B"/>
          <w:sz w:val="20"/>
          <w:szCs w:val="20"/>
        </w:rPr>
      </w:pPr>
      <w:r>
        <w:rPr>
          <w:color w:val="1B1B1B"/>
          <w:sz w:val="20"/>
          <w:szCs w:val="20"/>
        </w:rPr>
        <w:t>Psychiatric consultation was requested to assess the patient’s ongoing ingestion of paint and other non-nutritive substances. The patient reported a two-year history of paint consumption that began while living abroad. She described intrusive urges to eat paint, with mounting internal discomfort if unable to do so. She denied eating paint due to hunger or curiosity and reported no longer consuming other substances such as chalk or plaster. She denied hallucinations, trauma, suicidal ideation, or compulsive rituals.</w:t>
      </w:r>
    </w:p>
    <w:p w14:paraId="65C56DF2" w14:textId="77777777" w:rsidR="00C33854" w:rsidRDefault="00C33854">
      <w:pPr>
        <w:shd w:val="clear" w:color="auto" w:fill="FFFFFF"/>
        <w:spacing w:line="240" w:lineRule="auto"/>
        <w:jc w:val="both"/>
        <w:rPr>
          <w:color w:val="1B1B1B"/>
          <w:sz w:val="20"/>
          <w:szCs w:val="20"/>
        </w:rPr>
      </w:pPr>
    </w:p>
    <w:p w14:paraId="6217C54A" w14:textId="77777777" w:rsidR="00C33854" w:rsidRDefault="00200D3B">
      <w:pPr>
        <w:shd w:val="clear" w:color="auto" w:fill="FFFFFF"/>
        <w:spacing w:line="240" w:lineRule="auto"/>
        <w:jc w:val="both"/>
        <w:rPr>
          <w:color w:val="1B1B1B"/>
          <w:sz w:val="20"/>
          <w:szCs w:val="20"/>
        </w:rPr>
      </w:pPr>
      <w:r>
        <w:rPr>
          <w:color w:val="1B1B1B"/>
          <w:sz w:val="20"/>
          <w:szCs w:val="20"/>
        </w:rPr>
        <w:t>Mental status examination revealed a calm, cooperative adolescent who appeared her stated age, maintained appropriate eye contact, and demonstrated linear, goal-directed thought processes. She was fully oriented, with no evidence of mood disturbance, psychosis, or cognitive impairment. The patient was performing well in school as a ninth grader and actively participated in Junior ROTC. Her siblings were asymptomatic and had normal lead levels. The family resided in a townhome built in 1900, raising concern for ongoing environmental lead exposure.</w:t>
      </w:r>
    </w:p>
    <w:p w14:paraId="44F882B2" w14:textId="77777777" w:rsidR="00C33854" w:rsidRDefault="00C33854">
      <w:pPr>
        <w:shd w:val="clear" w:color="auto" w:fill="FFFFFF"/>
        <w:spacing w:line="240" w:lineRule="auto"/>
        <w:jc w:val="both"/>
        <w:rPr>
          <w:color w:val="1B1B1B"/>
          <w:sz w:val="20"/>
          <w:szCs w:val="20"/>
        </w:rPr>
      </w:pPr>
    </w:p>
    <w:p w14:paraId="0CBAC633" w14:textId="77777777" w:rsidR="00C33854" w:rsidRDefault="00200D3B">
      <w:pPr>
        <w:shd w:val="clear" w:color="auto" w:fill="FFFFFF"/>
        <w:spacing w:line="240" w:lineRule="auto"/>
        <w:jc w:val="both"/>
        <w:rPr>
          <w:color w:val="1B1B1B"/>
          <w:sz w:val="20"/>
          <w:szCs w:val="20"/>
        </w:rPr>
      </w:pPr>
      <w:r>
        <w:rPr>
          <w:color w:val="1B1B1B"/>
          <w:sz w:val="20"/>
          <w:szCs w:val="20"/>
        </w:rPr>
        <w:t>Given the persistent, non-nutritive ingestion of lead-containing paint without nutritional or cultural explanation, the patient met DSM-5 criteria for pica. Although the intensity of urges raised consideration of a compulsive component, the absence of intrusive thoughts or ritualistic behavior did not support a diagnosis of obsessive-compulsive disorder. Outpatient psychiatric follow-up was recommended.</w:t>
      </w:r>
    </w:p>
    <w:p w14:paraId="74525CB4" w14:textId="77777777" w:rsidR="00C33854" w:rsidRDefault="00C33854">
      <w:pPr>
        <w:shd w:val="clear" w:color="auto" w:fill="FFFFFF"/>
        <w:spacing w:line="240" w:lineRule="auto"/>
        <w:jc w:val="both"/>
        <w:rPr>
          <w:color w:val="1B1B1B"/>
          <w:sz w:val="20"/>
          <w:szCs w:val="20"/>
        </w:rPr>
      </w:pPr>
    </w:p>
    <w:p w14:paraId="16BB5EDA" w14:textId="77777777" w:rsidR="00C33854" w:rsidRDefault="00200D3B">
      <w:pPr>
        <w:shd w:val="clear" w:color="auto" w:fill="FFFFFF"/>
        <w:spacing w:line="240" w:lineRule="auto"/>
        <w:jc w:val="both"/>
        <w:rPr>
          <w:color w:val="1B1B1B"/>
          <w:sz w:val="20"/>
          <w:szCs w:val="20"/>
        </w:rPr>
      </w:pPr>
      <w:r>
        <w:rPr>
          <w:color w:val="1B1B1B"/>
          <w:sz w:val="20"/>
          <w:szCs w:val="20"/>
        </w:rPr>
        <w:t>The patient completed chelation therapy without further complication. With elimination of retained lead material, improvement in lead burden, and clinical stabilization, she was deemed appropriate for discharge. She was advised to avoid returning to the home environment due to ongoing exposure risk and referred for follow-up with pediatric hematology, psychiatry, and public health services.</w:t>
      </w:r>
    </w:p>
    <w:p w14:paraId="2D32959B" w14:textId="77777777" w:rsidR="00C33854" w:rsidRDefault="00C33854">
      <w:pPr>
        <w:widowControl w:val="0"/>
        <w:shd w:val="clear" w:color="auto" w:fill="FFFFFF"/>
        <w:spacing w:line="240" w:lineRule="auto"/>
        <w:rPr>
          <w:color w:val="1B1B1B"/>
          <w:sz w:val="24"/>
          <w:szCs w:val="24"/>
        </w:rPr>
      </w:pPr>
    </w:p>
    <w:p w14:paraId="08A22EEF" w14:textId="77777777" w:rsidR="00C33854" w:rsidRDefault="00200D3B">
      <w:pPr>
        <w:shd w:val="clear" w:color="auto" w:fill="FFFFFF"/>
        <w:spacing w:line="240" w:lineRule="auto"/>
        <w:rPr>
          <w:b/>
          <w:color w:val="1B1B1B"/>
        </w:rPr>
      </w:pPr>
      <w:r>
        <w:rPr>
          <w:b/>
          <w:color w:val="1B1B1B"/>
        </w:rPr>
        <w:t>DISCUSSION</w:t>
      </w:r>
    </w:p>
    <w:p w14:paraId="50EF2F36" w14:textId="77777777" w:rsidR="00C33854" w:rsidRDefault="00C33854">
      <w:pPr>
        <w:shd w:val="clear" w:color="auto" w:fill="FFFFFF"/>
        <w:spacing w:line="240" w:lineRule="auto"/>
        <w:rPr>
          <w:b/>
          <w:color w:val="1B1B1B"/>
        </w:rPr>
      </w:pPr>
    </w:p>
    <w:p w14:paraId="02F300CA" w14:textId="77777777" w:rsidR="00C33854" w:rsidRDefault="00200D3B">
      <w:pPr>
        <w:shd w:val="clear" w:color="auto" w:fill="FFFFFF"/>
        <w:spacing w:line="240" w:lineRule="auto"/>
        <w:jc w:val="both"/>
        <w:rPr>
          <w:color w:val="1B1B1B"/>
          <w:sz w:val="20"/>
          <w:szCs w:val="20"/>
        </w:rPr>
      </w:pPr>
      <w:r>
        <w:rPr>
          <w:color w:val="1B1B1B"/>
          <w:sz w:val="20"/>
          <w:szCs w:val="20"/>
        </w:rPr>
        <w:t xml:space="preserve">Pica is characterized by the persistent ingestion of non-nutritive substances and commonly includes items such as chalk, paper, dirt, hair, soap, rocks, and ice. Similar cases of pica-related lead poisoning have been documented, although they are uncommon. For example, Gaitens et al. (2009) reported a case of lead toxicity in a child who ingested lead-contaminated soil in an urban setting, highlighting environmental exposure in high-risk housing. Another report by Karwowski et al. (2021) described lead poisoning in a toddler with developmental delay and pica behaviors involving ingestion of paint chips. Unlike these cases, which often involve young children with developmental or cognitive impairments, our patient is an adolescent without underlying psychiatric or developmental disorders. This contrast underscores the importance of considering pica and lead poisoning in a broader patient population, including otherwise healthy adolescents presenting with unexplained lead toxicity (Singer et al., 2018). This case presents a </w:t>
      </w:r>
      <w:r>
        <w:rPr>
          <w:color w:val="1B1B1B"/>
          <w:sz w:val="20"/>
          <w:szCs w:val="20"/>
        </w:rPr>
        <w:lastRenderedPageBreak/>
        <w:t>notable variant of pica involving the ingestion of lead-based paint; one of the few rare cases since the first documented case reported in Queensland, Australia nearly a century ago (Gibson, 1904).</w:t>
      </w:r>
    </w:p>
    <w:p w14:paraId="3F71F483" w14:textId="77777777" w:rsidR="00C33854" w:rsidRDefault="00C33854">
      <w:pPr>
        <w:shd w:val="clear" w:color="auto" w:fill="FFFFFF"/>
        <w:spacing w:line="240" w:lineRule="auto"/>
        <w:ind w:firstLine="720"/>
        <w:jc w:val="both"/>
        <w:rPr>
          <w:color w:val="1B1B1B"/>
          <w:sz w:val="20"/>
          <w:szCs w:val="20"/>
        </w:rPr>
      </w:pPr>
    </w:p>
    <w:p w14:paraId="11BE291A" w14:textId="77777777" w:rsidR="00C33854" w:rsidRDefault="00200D3B">
      <w:pPr>
        <w:shd w:val="clear" w:color="auto" w:fill="FFFFFF"/>
        <w:spacing w:line="240" w:lineRule="auto"/>
        <w:jc w:val="both"/>
        <w:rPr>
          <w:color w:val="1B1B1B"/>
          <w:sz w:val="20"/>
          <w:szCs w:val="20"/>
        </w:rPr>
      </w:pPr>
      <w:r>
        <w:rPr>
          <w:color w:val="1B1B1B"/>
          <w:sz w:val="20"/>
          <w:szCs w:val="20"/>
        </w:rPr>
        <w:t>The association between pica and lead poisoning extends beyond the direct ingestion of lead-contaminated substances like soil or paint chips. Iron deficiency, often seen in individuals with pica, increases lead absorption by upregulating the divalent cation transporter in the duodenum. This transporter, which normally facilitates Fe²⁺ absorption, also permits uptake of Pb²⁺, thereby increasing lead absorption in iron-deficient individuals (Kwong, 2004). In this patient, it is unclear whether lead toxicity caused iron deficiency or vice versa. However, her history of heavy menstrual periods suggests chronic iron deficiency as a potential contributor. At presentation, the patient's symptoms of chronic abdominal discomfort, constipation, and unusual cravings raised concern for several potential etiologies. A broad differential included iron-deficiency anemia, gastrointestinal malabsorption (celiac disease), behavioral or neurodevelopmental disorders (autism spectrum disorder, OCD), nutritional deficiencies (zinc or calcium), and environmental toxin exposure, particularly lead poisoning. However, it was the history of ingesting non-nutritive substances, specifically paint chips, and subsequent lab findings that ultimately guided the diagnosis toward pica with associated lead toxicity.</w:t>
      </w:r>
    </w:p>
    <w:p w14:paraId="473B76F4" w14:textId="77777777" w:rsidR="00C33854" w:rsidRDefault="00C33854">
      <w:pPr>
        <w:shd w:val="clear" w:color="auto" w:fill="FFFFFF"/>
        <w:spacing w:line="240" w:lineRule="auto"/>
        <w:ind w:firstLine="720"/>
        <w:jc w:val="both"/>
        <w:rPr>
          <w:color w:val="1B1B1B"/>
          <w:sz w:val="20"/>
          <w:szCs w:val="20"/>
        </w:rPr>
      </w:pPr>
    </w:p>
    <w:p w14:paraId="4F4F446F" w14:textId="77777777" w:rsidR="00C33854" w:rsidRDefault="00200D3B">
      <w:pPr>
        <w:shd w:val="clear" w:color="auto" w:fill="FFFFFF"/>
        <w:spacing w:line="240" w:lineRule="auto"/>
        <w:jc w:val="both"/>
        <w:rPr>
          <w:color w:val="1B1B1B"/>
          <w:sz w:val="20"/>
          <w:szCs w:val="20"/>
        </w:rPr>
      </w:pPr>
      <w:r>
        <w:rPr>
          <w:color w:val="1B1B1B"/>
          <w:sz w:val="20"/>
          <w:szCs w:val="20"/>
        </w:rPr>
        <w:t>Nutritional factors may further influence pica-related lead toxicity. In an animal model, calcium deficiency significantly increased lead ingestion, while magnesium and zinc deficiencies showed intermediate effects (Snowdon, 1977). In a study of 43 children aged 1 to 6, those with higher blood lead levels had lower calcium and zinc intake and were more likely to fall below recommended nutrient thresholds. A negative correlation between milk consumption and blood lead levels further suggests a protective role for calcium. The incidence of pica was also higher among children with elevated lead levels, supporting a nutritional basis for this behavior (Johnson, 1979).</w:t>
      </w:r>
    </w:p>
    <w:p w14:paraId="2F012F57" w14:textId="77777777" w:rsidR="00C33854" w:rsidRDefault="00C33854">
      <w:pPr>
        <w:shd w:val="clear" w:color="auto" w:fill="FFFFFF"/>
        <w:spacing w:line="240" w:lineRule="auto"/>
        <w:ind w:firstLine="720"/>
        <w:jc w:val="both"/>
        <w:rPr>
          <w:color w:val="1B1B1B"/>
          <w:sz w:val="20"/>
          <w:szCs w:val="20"/>
        </w:rPr>
      </w:pPr>
    </w:p>
    <w:p w14:paraId="5B81EE5A" w14:textId="77777777" w:rsidR="00C33854" w:rsidRDefault="00200D3B">
      <w:pPr>
        <w:shd w:val="clear" w:color="auto" w:fill="FFFFFF"/>
        <w:spacing w:line="240" w:lineRule="auto"/>
        <w:jc w:val="both"/>
        <w:rPr>
          <w:color w:val="1B1B1B"/>
          <w:sz w:val="20"/>
          <w:szCs w:val="20"/>
        </w:rPr>
      </w:pPr>
      <w:r>
        <w:rPr>
          <w:color w:val="1B1B1B"/>
          <w:sz w:val="20"/>
          <w:szCs w:val="20"/>
        </w:rPr>
        <w:t>This patient's admission labs showed no deficiencies in calcium or magnesium with a serum calcium of 10.3 mg/dL and a serum magnesium of 2.0 mg/dL. Although serum zinc levels were not assessed, no clinical signs of zinc deficiency such as dermatitis, hair loss, or diarrhea were noted on physical exam. Nonetheless, zinc testing may be worth considering in similar cases despite it not being routinely performed.</w:t>
      </w:r>
    </w:p>
    <w:p w14:paraId="22A1D30E" w14:textId="77777777" w:rsidR="00C33854" w:rsidRDefault="00C33854">
      <w:pPr>
        <w:shd w:val="clear" w:color="auto" w:fill="FFFFFF"/>
        <w:spacing w:line="240" w:lineRule="auto"/>
        <w:ind w:firstLine="720"/>
        <w:jc w:val="both"/>
        <w:rPr>
          <w:color w:val="1B1B1B"/>
          <w:sz w:val="20"/>
          <w:szCs w:val="20"/>
        </w:rPr>
      </w:pPr>
    </w:p>
    <w:p w14:paraId="352A8A31" w14:textId="77777777" w:rsidR="00C33854" w:rsidRDefault="00200D3B">
      <w:pPr>
        <w:shd w:val="clear" w:color="auto" w:fill="FFFFFF"/>
        <w:spacing w:line="240" w:lineRule="auto"/>
        <w:jc w:val="both"/>
        <w:rPr>
          <w:color w:val="1B1B1B"/>
          <w:sz w:val="20"/>
          <w:szCs w:val="20"/>
        </w:rPr>
      </w:pPr>
      <w:r>
        <w:rPr>
          <w:color w:val="1B1B1B"/>
          <w:sz w:val="20"/>
          <w:szCs w:val="20"/>
        </w:rPr>
        <w:t>Emerging research into the gut-brain axis provides additional insight into pica pathogenesis. Alterations in gut microbiota have been linked to behavioral changes, with methane-producing bacteria—particularly in the context of Small Intestinal Bacterial Overgrowth (SIBO)—impairing nutrient absorption and contributing to iron and vitamin B12 deficiencies (Margolis, 2021; Wielgosz-Grochowska, 2024). Although this patient had no formal diagnosis of IBS, her history of constipation raises the possibility of such a mechanism contributing to her behavior.</w:t>
      </w:r>
    </w:p>
    <w:p w14:paraId="3C0445EE" w14:textId="77777777" w:rsidR="00C33854" w:rsidRDefault="00C33854">
      <w:pPr>
        <w:shd w:val="clear" w:color="auto" w:fill="FFFFFF"/>
        <w:spacing w:line="240" w:lineRule="auto"/>
        <w:ind w:firstLine="720"/>
        <w:jc w:val="both"/>
        <w:rPr>
          <w:color w:val="1B1B1B"/>
          <w:sz w:val="20"/>
          <w:szCs w:val="20"/>
        </w:rPr>
      </w:pPr>
    </w:p>
    <w:p w14:paraId="0AFB83EC" w14:textId="77777777" w:rsidR="00C33854" w:rsidRDefault="00200D3B">
      <w:pPr>
        <w:shd w:val="clear" w:color="auto" w:fill="FFFFFF"/>
        <w:spacing w:line="240" w:lineRule="auto"/>
        <w:jc w:val="both"/>
        <w:rPr>
          <w:color w:val="1B1B1B"/>
          <w:sz w:val="20"/>
          <w:szCs w:val="20"/>
        </w:rPr>
      </w:pPr>
      <w:r>
        <w:rPr>
          <w:color w:val="1B1B1B"/>
          <w:sz w:val="20"/>
          <w:szCs w:val="20"/>
        </w:rPr>
        <w:t xml:space="preserve">This case illustrates an uncommon form of pica without underlying psychiatric or developmental disorders. Nutritional deficiencies, particularly in iron, calcium, and zinc, are known contributors to this behavior. Recognizing and addressing these underlying causes is essential due to the significant medical complications involved. Environmental lead exposure remains a major concern, particularly through ingestion of lead-based paint in older housing and among immigrant populations from regions with less stringent regulations (Brown &amp; Margolis, 2012). The patient’s continued ingestion of paint both before and after immigration underscores the persistence of pica and the global nature of lead exposure. In this case, as the source of exposure was clearly identified, no environmental home inspection was conducted following discharge. </w:t>
      </w:r>
    </w:p>
    <w:p w14:paraId="6E009AA5" w14:textId="77777777" w:rsidR="00C33854" w:rsidRDefault="00C33854">
      <w:pPr>
        <w:shd w:val="clear" w:color="auto" w:fill="FFFFFF"/>
        <w:spacing w:line="240" w:lineRule="auto"/>
        <w:jc w:val="both"/>
        <w:rPr>
          <w:color w:val="1B1B1B"/>
          <w:sz w:val="20"/>
          <w:szCs w:val="20"/>
        </w:rPr>
      </w:pPr>
    </w:p>
    <w:p w14:paraId="2839A8B3" w14:textId="77777777" w:rsidR="00C33854" w:rsidRDefault="00200D3B">
      <w:pPr>
        <w:shd w:val="clear" w:color="auto" w:fill="FFFFFF"/>
        <w:spacing w:line="240" w:lineRule="auto"/>
        <w:jc w:val="both"/>
        <w:rPr>
          <w:color w:val="1B1B1B"/>
          <w:sz w:val="20"/>
          <w:szCs w:val="20"/>
        </w:rPr>
      </w:pPr>
      <w:r>
        <w:rPr>
          <w:color w:val="1B1B1B"/>
          <w:sz w:val="20"/>
          <w:szCs w:val="20"/>
        </w:rPr>
        <w:t>This case also highlights broader public health implications. Lead exposure disproportionately affects children in high-risk environments, including substandard housing and underserved communities. Routine screening, especially in high-prevalence areas, along with caregiver education on the dangers of ingesting non-nutritive substances, is critical for prevention. Coordinated efforts among clinicians, public health officials, and housing authorities are essential to identify and eliminate environmental lead hazards.</w:t>
      </w:r>
    </w:p>
    <w:p w14:paraId="47099F23" w14:textId="77777777" w:rsidR="00C33854" w:rsidRDefault="00C33854">
      <w:pPr>
        <w:shd w:val="clear" w:color="auto" w:fill="FFFFFF"/>
        <w:spacing w:line="240" w:lineRule="auto"/>
        <w:ind w:firstLine="720"/>
        <w:jc w:val="both"/>
        <w:rPr>
          <w:color w:val="1B1B1B"/>
          <w:sz w:val="20"/>
          <w:szCs w:val="20"/>
        </w:rPr>
      </w:pPr>
    </w:p>
    <w:p w14:paraId="572ADFD3" w14:textId="77777777" w:rsidR="00C33854" w:rsidRDefault="00200D3B">
      <w:pPr>
        <w:shd w:val="clear" w:color="auto" w:fill="FFFFFF"/>
        <w:spacing w:line="240" w:lineRule="auto"/>
        <w:jc w:val="both"/>
        <w:rPr>
          <w:color w:val="1B1B1B"/>
          <w:sz w:val="20"/>
          <w:szCs w:val="20"/>
        </w:rPr>
      </w:pPr>
      <w:r>
        <w:rPr>
          <w:color w:val="1B1B1B"/>
          <w:sz w:val="20"/>
          <w:szCs w:val="20"/>
        </w:rPr>
        <w:t xml:space="preserve">Lead exposure has well-documented neurodevelopmental consequences, including cognitive deficits, behavioral dysregulation, and long-term academic underperformance (Lanphear, 2005). Although this patient currently demonstrates normal academic performance and no overt neurological deficits, her history </w:t>
      </w:r>
      <w:r>
        <w:rPr>
          <w:color w:val="1B1B1B"/>
          <w:sz w:val="20"/>
          <w:szCs w:val="20"/>
        </w:rPr>
        <w:lastRenderedPageBreak/>
        <w:t>of chronic exposure and high lead levels pose a risk for subtle neurocognitive impairments. Effective management of pica-related lead toxicity requires a multidisciplinary approach involving psychiatry, toxicology, nutrition, and social services. Continued follow-up is essential to monitor for recurrence, reassess lead levels, and ensure a safe, lead-free environment for the patient and family.</w:t>
      </w:r>
    </w:p>
    <w:p w14:paraId="22D980E3" w14:textId="77777777" w:rsidR="00C33854" w:rsidRDefault="00C33854">
      <w:pPr>
        <w:shd w:val="clear" w:color="auto" w:fill="FFFFFF"/>
        <w:spacing w:line="240" w:lineRule="auto"/>
        <w:rPr>
          <w:color w:val="1B1B1B"/>
          <w:sz w:val="24"/>
          <w:szCs w:val="24"/>
        </w:rPr>
      </w:pPr>
    </w:p>
    <w:p w14:paraId="0D325923" w14:textId="77777777" w:rsidR="00C33854" w:rsidRDefault="00200D3B">
      <w:pPr>
        <w:shd w:val="clear" w:color="auto" w:fill="FFFFFF"/>
        <w:spacing w:line="240" w:lineRule="auto"/>
        <w:rPr>
          <w:b/>
          <w:color w:val="1B1B1B"/>
        </w:rPr>
      </w:pPr>
      <w:r>
        <w:rPr>
          <w:b/>
          <w:color w:val="1B1B1B"/>
        </w:rPr>
        <w:t>CONCLUSION</w:t>
      </w:r>
    </w:p>
    <w:p w14:paraId="5F9250EE" w14:textId="77777777" w:rsidR="00C33854" w:rsidRDefault="00C33854">
      <w:pPr>
        <w:shd w:val="clear" w:color="auto" w:fill="FFFFFF"/>
        <w:spacing w:line="240" w:lineRule="auto"/>
        <w:rPr>
          <w:b/>
          <w:color w:val="1B1B1B"/>
        </w:rPr>
      </w:pPr>
    </w:p>
    <w:p w14:paraId="0B37A3AA" w14:textId="77777777" w:rsidR="00C33854" w:rsidRDefault="00200D3B">
      <w:pPr>
        <w:shd w:val="clear" w:color="auto" w:fill="FFFFFF"/>
        <w:spacing w:line="240" w:lineRule="auto"/>
        <w:jc w:val="both"/>
        <w:rPr>
          <w:color w:val="1B1B1B"/>
          <w:sz w:val="20"/>
          <w:szCs w:val="20"/>
        </w:rPr>
      </w:pPr>
      <w:r>
        <w:rPr>
          <w:color w:val="1B1B1B"/>
          <w:sz w:val="20"/>
          <w:szCs w:val="20"/>
        </w:rPr>
        <w:t>This case underscores the clinical importance of recognizing pica as a potential underlying cause of lead toxicity, even in adolescents without developmental delays, psychiatric history, or overt nutritional deprivation. This patient’s presentation, a previously healthy 14-year-old girl with compulsive ingestion of lead-based paint, highlights the potential for serious medical consequences, including lead poisoning and microcytic anemia. Her case illustrates how pica can occur in the absence of traditional risk factors and may present primarily with physical symptoms rather than psychiatric ones. Early identification and a multidisciplinary treatment approach, including medical stabilization, environmental intervention, nutritional supplementation, and psychiatric assessment, were essential in her recovery. Clinicians must maintain a high index of suspicion for pica in patients - particularly in children and adolescents - with unexplained anemia or heavy metal exposure, as timely diagnosis and intervention can prevent long-term cognitive and physiological complications.</w:t>
      </w:r>
    </w:p>
    <w:p w14:paraId="708E6521" w14:textId="77777777" w:rsidR="00C33854" w:rsidRDefault="00C33854">
      <w:pPr>
        <w:shd w:val="clear" w:color="auto" w:fill="FFFFFF"/>
        <w:spacing w:line="240" w:lineRule="auto"/>
        <w:jc w:val="both"/>
        <w:rPr>
          <w:color w:val="1B1B1B"/>
          <w:sz w:val="20"/>
          <w:szCs w:val="20"/>
        </w:rPr>
      </w:pPr>
    </w:p>
    <w:p w14:paraId="407F340B" w14:textId="77777777" w:rsidR="00C33854" w:rsidRDefault="00C33854">
      <w:pPr>
        <w:shd w:val="clear" w:color="auto" w:fill="FFFFFF"/>
        <w:spacing w:line="240" w:lineRule="auto"/>
        <w:rPr>
          <w:color w:val="1B1B1B"/>
          <w:sz w:val="24"/>
          <w:szCs w:val="24"/>
        </w:rPr>
      </w:pPr>
    </w:p>
    <w:p w14:paraId="20CF42BA" w14:textId="77777777" w:rsidR="00C33854" w:rsidRDefault="00C33854">
      <w:pPr>
        <w:shd w:val="clear" w:color="auto" w:fill="FFFFFF"/>
        <w:spacing w:line="240" w:lineRule="auto"/>
        <w:rPr>
          <w:color w:val="1B1B1B"/>
          <w:sz w:val="20"/>
          <w:szCs w:val="20"/>
        </w:rPr>
      </w:pPr>
    </w:p>
    <w:p w14:paraId="4A3FA519" w14:textId="77777777" w:rsidR="00C33854" w:rsidRDefault="00200D3B">
      <w:pPr>
        <w:shd w:val="clear" w:color="auto" w:fill="FFFFFF"/>
        <w:spacing w:line="240" w:lineRule="auto"/>
        <w:rPr>
          <w:b/>
          <w:color w:val="1B1B1B"/>
        </w:rPr>
      </w:pPr>
      <w:r>
        <w:rPr>
          <w:b/>
          <w:color w:val="1B1B1B"/>
        </w:rPr>
        <w:t>AUTHORS’ CONTRIBUTIONS</w:t>
      </w:r>
    </w:p>
    <w:p w14:paraId="06AD8D85" w14:textId="77777777" w:rsidR="00C33854" w:rsidRDefault="00C33854">
      <w:pPr>
        <w:shd w:val="clear" w:color="auto" w:fill="FFFFFF"/>
        <w:spacing w:line="240" w:lineRule="auto"/>
        <w:rPr>
          <w:b/>
          <w:color w:val="1B1B1B"/>
        </w:rPr>
      </w:pPr>
    </w:p>
    <w:p w14:paraId="4B1AEE33" w14:textId="77777777" w:rsidR="00C33854" w:rsidRDefault="00200D3B">
      <w:pPr>
        <w:shd w:val="clear" w:color="auto" w:fill="FFFFFF"/>
        <w:spacing w:line="240" w:lineRule="auto"/>
        <w:rPr>
          <w:color w:val="1B1B1B"/>
          <w:sz w:val="20"/>
          <w:szCs w:val="20"/>
        </w:rPr>
      </w:pPr>
      <w:r>
        <w:rPr>
          <w:color w:val="1B1B1B"/>
          <w:sz w:val="20"/>
          <w:szCs w:val="20"/>
        </w:rPr>
        <w:t xml:space="preserve">Dr. </w:t>
      </w:r>
      <w:proofErr w:type="spellStart"/>
      <w:r>
        <w:rPr>
          <w:color w:val="1B1B1B"/>
          <w:sz w:val="20"/>
          <w:szCs w:val="20"/>
        </w:rPr>
        <w:t>Zerefos</w:t>
      </w:r>
      <w:proofErr w:type="spellEnd"/>
      <w:r>
        <w:rPr>
          <w:color w:val="1B1B1B"/>
          <w:sz w:val="20"/>
          <w:szCs w:val="20"/>
        </w:rPr>
        <w:t xml:space="preserve"> performed the literature review and guided the entire project. Dr. Marulanda wrote the first draft of the manuscript. Drs. </w:t>
      </w:r>
      <w:proofErr w:type="spellStart"/>
      <w:r>
        <w:rPr>
          <w:color w:val="1B1B1B"/>
          <w:sz w:val="20"/>
          <w:szCs w:val="20"/>
        </w:rPr>
        <w:t>Zerefos</w:t>
      </w:r>
      <w:proofErr w:type="spellEnd"/>
      <w:r>
        <w:rPr>
          <w:color w:val="1B1B1B"/>
          <w:sz w:val="20"/>
          <w:szCs w:val="20"/>
        </w:rPr>
        <w:t xml:space="preserve"> and </w:t>
      </w:r>
      <w:proofErr w:type="spellStart"/>
      <w:r>
        <w:rPr>
          <w:color w:val="1B1B1B"/>
          <w:sz w:val="20"/>
          <w:szCs w:val="20"/>
        </w:rPr>
        <w:t>Marulanda</w:t>
      </w:r>
      <w:proofErr w:type="spellEnd"/>
      <w:r>
        <w:rPr>
          <w:color w:val="1B1B1B"/>
          <w:sz w:val="20"/>
          <w:szCs w:val="20"/>
        </w:rPr>
        <w:t xml:space="preserve"> collaborated on the subsequent drafts and editing processes. All authors read and approved the final manuscript.</w:t>
      </w:r>
    </w:p>
    <w:p w14:paraId="6330EDEC" w14:textId="77777777" w:rsidR="00C33854" w:rsidRDefault="00C33854">
      <w:pPr>
        <w:shd w:val="clear" w:color="auto" w:fill="FFFFFF"/>
        <w:spacing w:line="240" w:lineRule="auto"/>
        <w:rPr>
          <w:b/>
          <w:color w:val="1B1B1B"/>
        </w:rPr>
      </w:pPr>
    </w:p>
    <w:p w14:paraId="672456F1" w14:textId="77777777" w:rsidR="00C33854" w:rsidRDefault="00200D3B">
      <w:pPr>
        <w:shd w:val="clear" w:color="auto" w:fill="FFFFFF"/>
        <w:spacing w:line="240" w:lineRule="auto"/>
        <w:rPr>
          <w:b/>
          <w:color w:val="1B1B1B"/>
        </w:rPr>
      </w:pPr>
      <w:r>
        <w:rPr>
          <w:b/>
          <w:color w:val="1B1B1B"/>
        </w:rPr>
        <w:t>CONSENT</w:t>
      </w:r>
    </w:p>
    <w:p w14:paraId="78283E14" w14:textId="77777777" w:rsidR="00C33854" w:rsidRDefault="00C33854">
      <w:pPr>
        <w:shd w:val="clear" w:color="auto" w:fill="FFFFFF"/>
        <w:spacing w:line="240" w:lineRule="auto"/>
        <w:rPr>
          <w:b/>
          <w:color w:val="1B1B1B"/>
        </w:rPr>
      </w:pPr>
    </w:p>
    <w:p w14:paraId="3AE28000" w14:textId="77777777" w:rsidR="00C33854" w:rsidRDefault="00200D3B">
      <w:pPr>
        <w:shd w:val="clear" w:color="auto" w:fill="FFFFFF"/>
        <w:spacing w:line="240" w:lineRule="auto"/>
        <w:rPr>
          <w:color w:val="1B1B1B"/>
          <w:sz w:val="20"/>
          <w:szCs w:val="20"/>
        </w:rPr>
      </w:pPr>
      <w:r>
        <w:rPr>
          <w:color w:val="1B1B1B"/>
          <w:sz w:val="20"/>
          <w:szCs w:val="20"/>
        </w:rPr>
        <w:t>Written informed consent was obtained from the patient’s guardians for publication of this case report.</w:t>
      </w:r>
    </w:p>
    <w:p w14:paraId="1E5547DC" w14:textId="77777777" w:rsidR="00C33854" w:rsidRDefault="00C33854">
      <w:pPr>
        <w:shd w:val="clear" w:color="auto" w:fill="FFFFFF"/>
        <w:spacing w:line="240" w:lineRule="auto"/>
        <w:rPr>
          <w:b/>
          <w:color w:val="1B1B1B"/>
        </w:rPr>
      </w:pPr>
    </w:p>
    <w:p w14:paraId="48B27DD1" w14:textId="77777777" w:rsidR="00C33854" w:rsidRDefault="00200D3B">
      <w:pPr>
        <w:shd w:val="clear" w:color="auto" w:fill="FFFFFF"/>
        <w:spacing w:line="240" w:lineRule="auto"/>
        <w:rPr>
          <w:b/>
          <w:color w:val="1B1B1B"/>
        </w:rPr>
      </w:pPr>
      <w:r>
        <w:rPr>
          <w:b/>
          <w:color w:val="1B1B1B"/>
        </w:rPr>
        <w:t>ETHICAL APPROVAL</w:t>
      </w:r>
    </w:p>
    <w:p w14:paraId="02918BED" w14:textId="77777777" w:rsidR="00C33854" w:rsidRDefault="00C33854">
      <w:pPr>
        <w:shd w:val="clear" w:color="auto" w:fill="FFFFFF"/>
        <w:spacing w:line="240" w:lineRule="auto"/>
        <w:rPr>
          <w:b/>
          <w:color w:val="1B1B1B"/>
        </w:rPr>
      </w:pPr>
    </w:p>
    <w:p w14:paraId="24B1C423" w14:textId="77777777" w:rsidR="00C33854" w:rsidRDefault="00200D3B">
      <w:pPr>
        <w:shd w:val="clear" w:color="auto" w:fill="FFFFFF"/>
        <w:spacing w:line="240" w:lineRule="auto"/>
        <w:jc w:val="both"/>
        <w:rPr>
          <w:color w:val="1B1B1B"/>
          <w:sz w:val="20"/>
          <w:szCs w:val="20"/>
        </w:rPr>
      </w:pPr>
      <w:r>
        <w:rPr>
          <w:color w:val="1B1B1B"/>
          <w:sz w:val="20"/>
          <w:szCs w:val="20"/>
        </w:rPr>
        <w:t>All procedures performed in this study are in accordance with the ethical standards of the institutional and/ or national research committee.</w:t>
      </w:r>
    </w:p>
    <w:p w14:paraId="52BE3FAB" w14:textId="77777777" w:rsidR="00C33854" w:rsidRDefault="00C33854">
      <w:pPr>
        <w:shd w:val="clear" w:color="auto" w:fill="FFFFFF"/>
        <w:spacing w:line="240" w:lineRule="auto"/>
        <w:rPr>
          <w:color w:val="1B1B1B"/>
        </w:rPr>
      </w:pPr>
    </w:p>
    <w:p w14:paraId="65EAAE82" w14:textId="77777777" w:rsidR="00200D3B" w:rsidRPr="00200D3B" w:rsidRDefault="00200D3B" w:rsidP="00200D3B">
      <w:pPr>
        <w:shd w:val="clear" w:color="auto" w:fill="FFFFFF"/>
        <w:spacing w:line="240" w:lineRule="auto"/>
        <w:rPr>
          <w:b/>
          <w:color w:val="1B1B1B"/>
        </w:rPr>
      </w:pPr>
      <w:r w:rsidRPr="00200D3B">
        <w:rPr>
          <w:b/>
          <w:color w:val="1B1B1B"/>
        </w:rPr>
        <w:t>COMPETING INTERESTS</w:t>
      </w:r>
    </w:p>
    <w:p w14:paraId="679D6281" w14:textId="7735B193" w:rsidR="00C33854" w:rsidRDefault="00200D3B" w:rsidP="00200D3B">
      <w:pPr>
        <w:shd w:val="clear" w:color="auto" w:fill="FFFFFF"/>
        <w:spacing w:line="240" w:lineRule="auto"/>
        <w:rPr>
          <w:color w:val="1B1B1B"/>
        </w:rPr>
      </w:pPr>
      <w:r w:rsidRPr="00200D3B">
        <w:rPr>
          <w:color w:val="1B1B1B"/>
        </w:rPr>
        <w:t>Authors have declared that they have no known competing financial interests OR non-financial interests OR personal relationships that could have appeared to influence the work reported in this paper.</w:t>
      </w:r>
    </w:p>
    <w:p w14:paraId="110E600A" w14:textId="77777777" w:rsidR="00200D3B" w:rsidRDefault="00200D3B" w:rsidP="00D43D51">
      <w:pPr>
        <w:rPr>
          <w:b/>
          <w:highlight w:val="yellow"/>
        </w:rPr>
      </w:pPr>
    </w:p>
    <w:p w14:paraId="2FDD3DD7" w14:textId="77777777" w:rsidR="00200D3B" w:rsidRDefault="00200D3B" w:rsidP="00D43D51">
      <w:pPr>
        <w:rPr>
          <w:b/>
          <w:highlight w:val="yellow"/>
        </w:rPr>
      </w:pPr>
    </w:p>
    <w:p w14:paraId="155F805F" w14:textId="6F872D2E" w:rsidR="00D43D51" w:rsidRPr="00200D3B" w:rsidRDefault="00D43D51" w:rsidP="00D43D51">
      <w:pPr>
        <w:rPr>
          <w:b/>
          <w:highlight w:val="yellow"/>
        </w:rPr>
      </w:pPr>
      <w:r w:rsidRPr="00200D3B">
        <w:rPr>
          <w:b/>
          <w:highlight w:val="yellow"/>
        </w:rPr>
        <w:t>Disclaimer (Artificial intelligence)</w:t>
      </w:r>
    </w:p>
    <w:p w14:paraId="0BCC874B" w14:textId="77777777" w:rsidR="00D43D51" w:rsidRPr="00D43D51" w:rsidRDefault="00D43D51" w:rsidP="00D43D51">
      <w:pPr>
        <w:rPr>
          <w:highlight w:val="yellow"/>
        </w:rPr>
      </w:pPr>
      <w:r w:rsidRPr="00D43D51">
        <w:rPr>
          <w:highlight w:val="yellow"/>
        </w:rPr>
        <w:t xml:space="preserve">Option 1: </w:t>
      </w:r>
    </w:p>
    <w:p w14:paraId="406F065D" w14:textId="77777777" w:rsidR="00D43D51" w:rsidRPr="00D43D51" w:rsidRDefault="00D43D51" w:rsidP="00D43D51">
      <w:pPr>
        <w:rPr>
          <w:highlight w:val="yellow"/>
        </w:rPr>
      </w:pPr>
      <w:r w:rsidRPr="00D43D51">
        <w:rPr>
          <w:highlight w:val="yellow"/>
        </w:rPr>
        <w:t xml:space="preserve">Author(s) hereby declare that NO generative AI technologies such as Large Language Models (ChatGPT, COPILOT, etc.) and text-to-image generators have been used during the writing or editing of this manuscript. </w:t>
      </w:r>
    </w:p>
    <w:p w14:paraId="7E53E783" w14:textId="77777777" w:rsidR="00D43D51" w:rsidRPr="00D43D51" w:rsidRDefault="00D43D51" w:rsidP="00D43D51">
      <w:pPr>
        <w:rPr>
          <w:highlight w:val="yellow"/>
        </w:rPr>
      </w:pPr>
      <w:r w:rsidRPr="00D43D51">
        <w:rPr>
          <w:highlight w:val="yellow"/>
        </w:rPr>
        <w:t xml:space="preserve">Option 2: </w:t>
      </w:r>
    </w:p>
    <w:p w14:paraId="73E58299" w14:textId="77777777" w:rsidR="00D43D51" w:rsidRPr="00D43D51" w:rsidRDefault="00D43D51" w:rsidP="00D43D51">
      <w:pPr>
        <w:rPr>
          <w:highlight w:val="yellow"/>
        </w:rPr>
      </w:pPr>
      <w:r w:rsidRPr="00D43D51">
        <w:rPr>
          <w:highlight w:val="yellow"/>
        </w:rPr>
        <w:t xml:space="preserve">Author(s) hereby declare that generative AI technologies such as Large Language Models, etc. have been used during the writing or editing of manuscripts. This explanation will include the </w:t>
      </w:r>
      <w:r w:rsidRPr="00D43D51">
        <w:rPr>
          <w:highlight w:val="yellow"/>
        </w:rPr>
        <w:lastRenderedPageBreak/>
        <w:t>name, version, model, and source of the generative AI technology and as well as all input prompts provided to the generative AI technology</w:t>
      </w:r>
    </w:p>
    <w:p w14:paraId="46D02B15" w14:textId="77777777" w:rsidR="00D43D51" w:rsidRPr="00D43D51" w:rsidRDefault="00D43D51" w:rsidP="00D43D51">
      <w:pPr>
        <w:rPr>
          <w:highlight w:val="yellow"/>
        </w:rPr>
      </w:pPr>
      <w:r w:rsidRPr="00D43D51">
        <w:rPr>
          <w:highlight w:val="yellow"/>
        </w:rPr>
        <w:t>Details of the AI usage are given below:</w:t>
      </w:r>
    </w:p>
    <w:p w14:paraId="3B119614" w14:textId="77777777" w:rsidR="00D43D51" w:rsidRPr="00D43D51" w:rsidRDefault="00D43D51" w:rsidP="00D43D51">
      <w:pPr>
        <w:rPr>
          <w:highlight w:val="yellow"/>
        </w:rPr>
      </w:pPr>
      <w:r w:rsidRPr="00D43D51">
        <w:rPr>
          <w:highlight w:val="yellow"/>
        </w:rPr>
        <w:t>1.</w:t>
      </w:r>
    </w:p>
    <w:p w14:paraId="2CB741C0" w14:textId="77777777" w:rsidR="00D43D51" w:rsidRPr="00D43D51" w:rsidRDefault="00D43D51" w:rsidP="00D43D51">
      <w:pPr>
        <w:rPr>
          <w:highlight w:val="yellow"/>
        </w:rPr>
      </w:pPr>
      <w:r w:rsidRPr="00D43D51">
        <w:rPr>
          <w:highlight w:val="yellow"/>
        </w:rPr>
        <w:t>2.</w:t>
      </w:r>
    </w:p>
    <w:p w14:paraId="0D623D57" w14:textId="77777777" w:rsidR="00D43D51" w:rsidRPr="0053103C" w:rsidRDefault="00D43D51" w:rsidP="00D43D51">
      <w:r w:rsidRPr="00D43D51">
        <w:rPr>
          <w:highlight w:val="yellow"/>
        </w:rPr>
        <w:t>3.</w:t>
      </w:r>
    </w:p>
    <w:p w14:paraId="1BD8D179" w14:textId="77777777" w:rsidR="00C33854" w:rsidRDefault="00C33854">
      <w:pPr>
        <w:shd w:val="clear" w:color="auto" w:fill="FFFFFF"/>
        <w:spacing w:line="240" w:lineRule="auto"/>
        <w:rPr>
          <w:color w:val="1B1B1B"/>
        </w:rPr>
      </w:pPr>
    </w:p>
    <w:p w14:paraId="67E8C3EE" w14:textId="77777777" w:rsidR="00C33854" w:rsidRDefault="00C33854">
      <w:pPr>
        <w:shd w:val="clear" w:color="auto" w:fill="FFFFFF"/>
        <w:spacing w:line="240" w:lineRule="auto"/>
        <w:rPr>
          <w:color w:val="1B1B1B"/>
        </w:rPr>
      </w:pPr>
    </w:p>
    <w:p w14:paraId="67B16B68" w14:textId="77777777" w:rsidR="00C33854" w:rsidRDefault="00C33854">
      <w:pPr>
        <w:shd w:val="clear" w:color="auto" w:fill="FFFFFF"/>
        <w:spacing w:line="240" w:lineRule="auto"/>
        <w:rPr>
          <w:color w:val="1B1B1B"/>
        </w:rPr>
      </w:pPr>
    </w:p>
    <w:p w14:paraId="1C726ED8" w14:textId="77777777" w:rsidR="00C33854" w:rsidRDefault="00200D3B">
      <w:pPr>
        <w:shd w:val="clear" w:color="auto" w:fill="FFFFFF"/>
        <w:spacing w:line="240" w:lineRule="auto"/>
        <w:rPr>
          <w:b/>
          <w:color w:val="1B1B1B"/>
          <w:sz w:val="24"/>
          <w:szCs w:val="24"/>
        </w:rPr>
      </w:pPr>
      <w:r>
        <w:rPr>
          <w:b/>
          <w:color w:val="1B1B1B"/>
          <w:sz w:val="24"/>
          <w:szCs w:val="24"/>
        </w:rPr>
        <w:t>References:</w:t>
      </w:r>
    </w:p>
    <w:p w14:paraId="6D1303D2" w14:textId="77777777" w:rsidR="00C33854" w:rsidRDefault="00200D3B">
      <w:pPr>
        <w:numPr>
          <w:ilvl w:val="0"/>
          <w:numId w:val="1"/>
        </w:numPr>
        <w:shd w:val="clear" w:color="auto" w:fill="FFFFFF"/>
        <w:spacing w:line="240" w:lineRule="auto"/>
        <w:rPr>
          <w:color w:val="1B1B1B"/>
          <w:sz w:val="24"/>
          <w:szCs w:val="24"/>
        </w:rPr>
      </w:pPr>
      <w:r w:rsidRPr="009D26E3">
        <w:rPr>
          <w:color w:val="1B1B1B"/>
          <w:sz w:val="24"/>
          <w:szCs w:val="24"/>
          <w:lang w:val="nl-BE"/>
        </w:rPr>
        <w:t xml:space="preserve">Al Nasser Y, Muco E, Alsaad AJ. </w:t>
      </w:r>
      <w:r>
        <w:rPr>
          <w:color w:val="1B1B1B"/>
          <w:sz w:val="24"/>
          <w:szCs w:val="24"/>
        </w:rPr>
        <w:t xml:space="preserve">Pica. [Updated 2023 Jun 26]. In: </w:t>
      </w:r>
      <w:proofErr w:type="spellStart"/>
      <w:r>
        <w:rPr>
          <w:color w:val="1B1B1B"/>
          <w:sz w:val="24"/>
          <w:szCs w:val="24"/>
        </w:rPr>
        <w:t>StatPearls</w:t>
      </w:r>
      <w:proofErr w:type="spellEnd"/>
      <w:r>
        <w:rPr>
          <w:color w:val="1B1B1B"/>
          <w:sz w:val="24"/>
          <w:szCs w:val="24"/>
        </w:rPr>
        <w:t xml:space="preserve"> [Internet]. Treasure Island (FL): </w:t>
      </w:r>
      <w:proofErr w:type="spellStart"/>
      <w:r>
        <w:rPr>
          <w:color w:val="1B1B1B"/>
          <w:sz w:val="24"/>
          <w:szCs w:val="24"/>
        </w:rPr>
        <w:t>StatPearls</w:t>
      </w:r>
      <w:proofErr w:type="spellEnd"/>
      <w:r>
        <w:rPr>
          <w:color w:val="1B1B1B"/>
          <w:sz w:val="24"/>
          <w:szCs w:val="24"/>
        </w:rPr>
        <w:t xml:space="preserve"> Publishing; 2024 Jan-. Available from: https://www.ncbi.nlm.nih.gov/books/NBK532242/</w:t>
      </w:r>
    </w:p>
    <w:p w14:paraId="0D8687B4"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Brown, M. J., &amp; Margolis, S. (2012). Lead in drinking water and human blood lead levels in the United States. MMWR Supplements, 61(4), 1-9.</w:t>
      </w:r>
    </w:p>
    <w:p w14:paraId="7D10B3F7"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Clark, O. M., &amp; Williams, R. (2020). Pica behaviors in pediatric patients with sickle cell disease: a scoping review protocol. JBI evidence synthesis, 18(9), 2018–2024. https://doi.org/10.11124/JBISRIR-D-19-00241</w:t>
      </w:r>
    </w:p>
    <w:p w14:paraId="04D5180D"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Gaitens, J. M., Dixon, S. L., Jacobs, D. E., Nagaraja, J., Strauss, W., Wilson, J., &amp; Ashley, P. J. (2009). Exposure of U.S. children to residential dust lead, 1999–2004: II. The contribution of lead-contaminated dust to children’s blood lead levels. Environmental Health Perspectives, 117(3), 468–474. https://doi.org/10.1289/ehp.11846</w:t>
      </w:r>
    </w:p>
    <w:p w14:paraId="7E084E03"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 xml:space="preserve">Gibson JL. A plea for painted railings and painted rooms as the source of lead poisoning amongst Queensland children. Australasian Med Gazette </w:t>
      </w:r>
      <w:proofErr w:type="gramStart"/>
      <w:r>
        <w:rPr>
          <w:color w:val="1B1B1B"/>
          <w:sz w:val="24"/>
          <w:szCs w:val="24"/>
        </w:rPr>
        <w:t>1904;23:149</w:t>
      </w:r>
      <w:proofErr w:type="gramEnd"/>
      <w:r>
        <w:rPr>
          <w:color w:val="1B1B1B"/>
          <w:sz w:val="24"/>
          <w:szCs w:val="24"/>
        </w:rPr>
        <w:t xml:space="preserve">–53. </w:t>
      </w:r>
    </w:p>
    <w:p w14:paraId="1FA5B823"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Johnson, N. E., &amp; Tenuta, K. (1979). Diets and lead blood levels of children who practice pica. Environmental Research, 18(2), 369–376. https://doi.org/10.1016/0013-9351(79)90113-0</w:t>
      </w:r>
    </w:p>
    <w:p w14:paraId="3395D1AF"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Karwowski, M. P., Mason, R. J., Godbold, J. H., &amp; Hwang, S. A. (2021). Childhood lead poisoning from ingestion of paint chips: A case report and literature review. Journal of Pediatric Health Care, 35(1), 80–85. https://doi.org/10.1016/j.pedhc.2020.08.001</w:t>
      </w:r>
    </w:p>
    <w:p w14:paraId="1599FE8B"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Khosravi M. (2021). Pica behaviors in schizophrenia: a call for further research. Journal of eating disorders, 9(1), 117. https://doi.org/10.1186/s40337-021-00472-y</w:t>
      </w:r>
    </w:p>
    <w:p w14:paraId="4FC6D76A" w14:textId="77777777" w:rsidR="00C33854" w:rsidRDefault="00200D3B">
      <w:pPr>
        <w:numPr>
          <w:ilvl w:val="0"/>
          <w:numId w:val="1"/>
        </w:numPr>
        <w:shd w:val="clear" w:color="auto" w:fill="FFFFFF"/>
        <w:spacing w:line="240" w:lineRule="auto"/>
        <w:rPr>
          <w:color w:val="1B1B1B"/>
          <w:sz w:val="24"/>
          <w:szCs w:val="24"/>
        </w:rPr>
      </w:pPr>
      <w:r w:rsidRPr="009D26E3">
        <w:rPr>
          <w:color w:val="1B1B1B"/>
          <w:sz w:val="24"/>
          <w:szCs w:val="24"/>
          <w:lang w:val="nl-BE"/>
        </w:rPr>
        <w:t xml:space="preserve">Koterba EA, Leezenbaum NB, Iverson JM. </w:t>
      </w:r>
      <w:r>
        <w:rPr>
          <w:color w:val="1B1B1B"/>
          <w:sz w:val="24"/>
          <w:szCs w:val="24"/>
        </w:rPr>
        <w:t xml:space="preserve">Object exploration at 6 and 9 months in infants with and without risk for autism. Autism. 2014 Feb;18(2):97-105. </w:t>
      </w:r>
      <w:proofErr w:type="spellStart"/>
      <w:r>
        <w:rPr>
          <w:color w:val="1B1B1B"/>
          <w:sz w:val="24"/>
          <w:szCs w:val="24"/>
        </w:rPr>
        <w:t>doi</w:t>
      </w:r>
      <w:proofErr w:type="spellEnd"/>
      <w:r>
        <w:rPr>
          <w:color w:val="1B1B1B"/>
          <w:sz w:val="24"/>
          <w:szCs w:val="24"/>
        </w:rPr>
        <w:t xml:space="preserve">: 10.1177/1362361312464826. </w:t>
      </w:r>
      <w:proofErr w:type="spellStart"/>
      <w:r>
        <w:rPr>
          <w:color w:val="1B1B1B"/>
          <w:sz w:val="24"/>
          <w:szCs w:val="24"/>
        </w:rPr>
        <w:t>Epub</w:t>
      </w:r>
      <w:proofErr w:type="spellEnd"/>
      <w:r>
        <w:rPr>
          <w:color w:val="1B1B1B"/>
          <w:sz w:val="24"/>
          <w:szCs w:val="24"/>
        </w:rPr>
        <w:t xml:space="preserve"> 2012 Nov 22. PMID: 23175749; PMCID: PMC3773524.</w:t>
      </w:r>
    </w:p>
    <w:p w14:paraId="1A42CAD6"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 xml:space="preserve">Kwong WT, Friello P, Semba RD. Interactions between iron deficiency and lead poisoning: epidemiology and pathogenesis. Sci Total Environ </w:t>
      </w:r>
      <w:proofErr w:type="gramStart"/>
      <w:r>
        <w:rPr>
          <w:color w:val="1B1B1B"/>
          <w:sz w:val="24"/>
          <w:szCs w:val="24"/>
        </w:rPr>
        <w:t>2004;330:21</w:t>
      </w:r>
      <w:proofErr w:type="gramEnd"/>
      <w:r>
        <w:rPr>
          <w:color w:val="1B1B1B"/>
          <w:sz w:val="24"/>
          <w:szCs w:val="24"/>
        </w:rPr>
        <w:t>–37. Search PubMed</w:t>
      </w:r>
    </w:p>
    <w:p w14:paraId="0F6C389B"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 xml:space="preserve">Lanphear, B. P., Hornung, R., Khoury, J., Yolton, K., </w:t>
      </w:r>
      <w:proofErr w:type="spellStart"/>
      <w:r>
        <w:rPr>
          <w:color w:val="1B1B1B"/>
          <w:sz w:val="24"/>
          <w:szCs w:val="24"/>
        </w:rPr>
        <w:t>Baghurst</w:t>
      </w:r>
      <w:proofErr w:type="spellEnd"/>
      <w:r>
        <w:rPr>
          <w:color w:val="1B1B1B"/>
          <w:sz w:val="24"/>
          <w:szCs w:val="24"/>
        </w:rPr>
        <w:t xml:space="preserve">, P., Bellinger, D. C., ... &amp; Roberts, R. (2005). Low-level environmental lead exposure and </w:t>
      </w:r>
      <w:r>
        <w:rPr>
          <w:color w:val="1B1B1B"/>
          <w:sz w:val="24"/>
          <w:szCs w:val="24"/>
        </w:rPr>
        <w:lastRenderedPageBreak/>
        <w:t>children's intellectual function: an international pooled analysis. Environmental Health Perspectives, 113(7), 894–899.</w:t>
      </w:r>
    </w:p>
    <w:p w14:paraId="45C44303" w14:textId="77777777" w:rsidR="00C33854" w:rsidRDefault="00200D3B">
      <w:pPr>
        <w:numPr>
          <w:ilvl w:val="0"/>
          <w:numId w:val="1"/>
        </w:numPr>
        <w:shd w:val="clear" w:color="auto" w:fill="FFFFFF"/>
        <w:spacing w:line="240" w:lineRule="auto"/>
        <w:rPr>
          <w:color w:val="1B1B1B"/>
          <w:sz w:val="24"/>
          <w:szCs w:val="24"/>
        </w:rPr>
      </w:pPr>
      <w:r>
        <w:rPr>
          <w:color w:val="1B1B1B"/>
          <w:sz w:val="24"/>
          <w:szCs w:val="24"/>
          <w:highlight w:val="white"/>
        </w:rPr>
        <w:t xml:space="preserve">Margolis KG, Cryan JF, Mayer EA. The Microbiota-Gut-Brain Axis: From Motility to Mood. Gastroenterology. 2021 Apr;160(5):1486-1501. </w:t>
      </w:r>
      <w:proofErr w:type="spellStart"/>
      <w:r>
        <w:rPr>
          <w:color w:val="1B1B1B"/>
          <w:sz w:val="24"/>
          <w:szCs w:val="24"/>
          <w:highlight w:val="white"/>
        </w:rPr>
        <w:t>doi</w:t>
      </w:r>
      <w:proofErr w:type="spellEnd"/>
      <w:r>
        <w:rPr>
          <w:color w:val="1B1B1B"/>
          <w:sz w:val="24"/>
          <w:szCs w:val="24"/>
          <w:highlight w:val="white"/>
        </w:rPr>
        <w:t xml:space="preserve">: 10.1053/j.gastro.2020.10.066. </w:t>
      </w:r>
      <w:proofErr w:type="spellStart"/>
      <w:r>
        <w:rPr>
          <w:color w:val="1B1B1B"/>
          <w:sz w:val="24"/>
          <w:szCs w:val="24"/>
          <w:highlight w:val="white"/>
        </w:rPr>
        <w:t>Epub</w:t>
      </w:r>
      <w:proofErr w:type="spellEnd"/>
      <w:r>
        <w:rPr>
          <w:color w:val="1B1B1B"/>
          <w:sz w:val="24"/>
          <w:szCs w:val="24"/>
          <w:highlight w:val="white"/>
        </w:rPr>
        <w:t xml:space="preserve"> 2021 Jan 22. PMID: 33493503; PMCID: PMC8634751.</w:t>
      </w:r>
    </w:p>
    <w:p w14:paraId="154BA67B" w14:textId="77777777" w:rsidR="00C33854" w:rsidRDefault="00200D3B">
      <w:pPr>
        <w:numPr>
          <w:ilvl w:val="0"/>
          <w:numId w:val="1"/>
        </w:numPr>
        <w:shd w:val="clear" w:color="auto" w:fill="FFFFFF"/>
        <w:spacing w:line="240" w:lineRule="auto"/>
        <w:rPr>
          <w:color w:val="1B1B1B"/>
          <w:sz w:val="24"/>
          <w:szCs w:val="24"/>
        </w:rPr>
      </w:pPr>
      <w:r>
        <w:rPr>
          <w:color w:val="1B1B1B"/>
          <w:sz w:val="24"/>
          <w:szCs w:val="24"/>
          <w:highlight w:val="white"/>
        </w:rPr>
        <w:t xml:space="preserve">McNaughten, B., Bourke, T., &amp; Thompson, A. (2017). Fifteen-minute consultation: the child with pica. Archives of disease in childhood. </w:t>
      </w:r>
      <w:r>
        <w:rPr>
          <w:i/>
          <w:color w:val="1B1B1B"/>
          <w:sz w:val="24"/>
          <w:szCs w:val="24"/>
          <w:highlight w:val="white"/>
        </w:rPr>
        <w:t>Education and practice edition</w:t>
      </w:r>
      <w:r>
        <w:rPr>
          <w:color w:val="1B1B1B"/>
          <w:sz w:val="24"/>
          <w:szCs w:val="24"/>
          <w:highlight w:val="white"/>
        </w:rPr>
        <w:t>, 102(5), 226–229. https://doi.org/10.1136/archdischild-2016-312121</w:t>
      </w:r>
    </w:p>
    <w:p w14:paraId="123E6EBD"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 xml:space="preserve">Schnitzler E. The Neurology and Psychopathology of Pica. </w:t>
      </w:r>
      <w:proofErr w:type="spellStart"/>
      <w:r>
        <w:rPr>
          <w:color w:val="1B1B1B"/>
          <w:sz w:val="24"/>
          <w:szCs w:val="24"/>
        </w:rPr>
        <w:t>Curr</w:t>
      </w:r>
      <w:proofErr w:type="spellEnd"/>
      <w:r>
        <w:rPr>
          <w:color w:val="1B1B1B"/>
          <w:sz w:val="24"/>
          <w:szCs w:val="24"/>
        </w:rPr>
        <w:t xml:space="preserve"> Neurol </w:t>
      </w:r>
      <w:proofErr w:type="spellStart"/>
      <w:r>
        <w:rPr>
          <w:color w:val="1B1B1B"/>
          <w:sz w:val="24"/>
          <w:szCs w:val="24"/>
        </w:rPr>
        <w:t>Neurosci</w:t>
      </w:r>
      <w:proofErr w:type="spellEnd"/>
      <w:r>
        <w:rPr>
          <w:color w:val="1B1B1B"/>
          <w:sz w:val="24"/>
          <w:szCs w:val="24"/>
        </w:rPr>
        <w:t xml:space="preserve"> Rep. 2022 Aug;22(8):531-536. </w:t>
      </w:r>
      <w:proofErr w:type="spellStart"/>
      <w:r>
        <w:rPr>
          <w:color w:val="1B1B1B"/>
          <w:sz w:val="24"/>
          <w:szCs w:val="24"/>
        </w:rPr>
        <w:t>doi</w:t>
      </w:r>
      <w:proofErr w:type="spellEnd"/>
      <w:r>
        <w:rPr>
          <w:color w:val="1B1B1B"/>
          <w:sz w:val="24"/>
          <w:szCs w:val="24"/>
        </w:rPr>
        <w:t xml:space="preserve">: 10.1007/s11910-022-01218-2. </w:t>
      </w:r>
      <w:proofErr w:type="spellStart"/>
      <w:r>
        <w:rPr>
          <w:color w:val="1B1B1B"/>
          <w:sz w:val="24"/>
          <w:szCs w:val="24"/>
        </w:rPr>
        <w:t>Epub</w:t>
      </w:r>
      <w:proofErr w:type="spellEnd"/>
      <w:r>
        <w:rPr>
          <w:color w:val="1B1B1B"/>
          <w:sz w:val="24"/>
          <w:szCs w:val="24"/>
        </w:rPr>
        <w:t xml:space="preserve"> 2022 Jun 8. PMID: 35674869.</w:t>
      </w:r>
    </w:p>
    <w:p w14:paraId="002B0907"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Singer, M., Mohan, S., &amp; Sood, A. (2018). Lead poisoning presenting with pica in an adolescent without developmental delay: A case report. Clinical Pediatrics, 57(7), 854–857. https://doi.org/10.1177/0009922818759836</w:t>
      </w:r>
    </w:p>
    <w:p w14:paraId="0E060625" w14:textId="77777777" w:rsidR="00C33854" w:rsidRDefault="00200D3B">
      <w:pPr>
        <w:numPr>
          <w:ilvl w:val="0"/>
          <w:numId w:val="1"/>
        </w:numPr>
        <w:shd w:val="clear" w:color="auto" w:fill="FFFFFF"/>
        <w:spacing w:line="240" w:lineRule="auto"/>
        <w:rPr>
          <w:color w:val="1B1B1B"/>
          <w:sz w:val="24"/>
          <w:szCs w:val="24"/>
        </w:rPr>
      </w:pPr>
      <w:r>
        <w:rPr>
          <w:color w:val="1B1B1B"/>
          <w:sz w:val="24"/>
          <w:szCs w:val="24"/>
        </w:rPr>
        <w:t xml:space="preserve">Snowdon, C. T. (1977). A nutritional basis for lead pica. Physiology &amp; Behavior, 18(5), 885–893. </w:t>
      </w:r>
      <w:hyperlink r:id="rId5">
        <w:r>
          <w:rPr>
            <w:color w:val="1155CC"/>
            <w:sz w:val="24"/>
            <w:szCs w:val="24"/>
            <w:u w:val="single"/>
          </w:rPr>
          <w:t>https://doi.org/10.1016/0031-9384(77)90198-6</w:t>
        </w:r>
      </w:hyperlink>
    </w:p>
    <w:p w14:paraId="1826808D" w14:textId="77777777" w:rsidR="00C33854" w:rsidRDefault="00200D3B">
      <w:pPr>
        <w:numPr>
          <w:ilvl w:val="0"/>
          <w:numId w:val="1"/>
        </w:numPr>
        <w:shd w:val="clear" w:color="auto" w:fill="FFFFFF"/>
        <w:spacing w:line="240" w:lineRule="auto"/>
        <w:rPr>
          <w:color w:val="1B1B1B"/>
          <w:sz w:val="24"/>
          <w:szCs w:val="24"/>
        </w:rPr>
      </w:pPr>
      <w:r w:rsidRPr="009D26E3">
        <w:rPr>
          <w:color w:val="1B1B1B"/>
          <w:sz w:val="24"/>
          <w:szCs w:val="24"/>
          <w:lang w:val="nl-BE"/>
        </w:rPr>
        <w:t xml:space="preserve">Wielgosz-Grochowska, K., et al. </w:t>
      </w:r>
      <w:r>
        <w:rPr>
          <w:color w:val="1B1B1B"/>
          <w:sz w:val="24"/>
          <w:szCs w:val="24"/>
        </w:rPr>
        <w:t>(2024). The gut-brain axis in pediatric eating disorders. Frontiers in Psychiatry, 15, 112345.</w:t>
      </w:r>
    </w:p>
    <w:p w14:paraId="181E7188" w14:textId="77777777" w:rsidR="00C33854" w:rsidRDefault="00C33854">
      <w:pPr>
        <w:spacing w:line="240" w:lineRule="auto"/>
        <w:rPr>
          <w:sz w:val="24"/>
          <w:szCs w:val="24"/>
        </w:rPr>
      </w:pPr>
    </w:p>
    <w:sectPr w:rsidR="00C338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D30E6"/>
    <w:multiLevelType w:val="multilevel"/>
    <w:tmpl w:val="4F587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zsDQxNTA1NzYyMjBV0lEKTi0uzszPAykwqgUAI+Xr1iwAAAA="/>
  </w:docVars>
  <w:rsids>
    <w:rsidRoot w:val="00C33854"/>
    <w:rsid w:val="00200D3B"/>
    <w:rsid w:val="006C46F0"/>
    <w:rsid w:val="007A1520"/>
    <w:rsid w:val="009D26E3"/>
    <w:rsid w:val="00B01BE3"/>
    <w:rsid w:val="00C33854"/>
    <w:rsid w:val="00CC6A79"/>
    <w:rsid w:val="00D21503"/>
    <w:rsid w:val="00D43D51"/>
    <w:rsid w:val="00D942E1"/>
    <w:rsid w:val="00E65AA6"/>
    <w:rsid w:val="00F5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E105"/>
  <w15:docId w15:val="{E2EDDBE6-48A0-425B-89FC-71FAB4EC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0031-9384(77)901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3285</Words>
  <Characters>18728</Characters>
  <Application>Microsoft Office Word</Application>
  <DocSecurity>0</DocSecurity>
  <Lines>156</Lines>
  <Paragraphs>43</Paragraphs>
  <ScaleCrop>false</ScaleCrop>
  <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11</cp:revision>
  <dcterms:created xsi:type="dcterms:W3CDTF">2025-08-01T06:20:00Z</dcterms:created>
  <dcterms:modified xsi:type="dcterms:W3CDTF">2025-08-02T12:00:00Z</dcterms:modified>
</cp:coreProperties>
</file>