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3417F" w14:textId="0C4A4B4E" w:rsidR="008F06DE" w:rsidRPr="002945A3" w:rsidRDefault="008F06DE" w:rsidP="008F06DE">
      <w:pPr>
        <w:pStyle w:val="Author"/>
        <w:spacing w:line="360" w:lineRule="auto"/>
        <w:rPr>
          <w:rFonts w:ascii="Arial" w:hAnsi="Arial" w:cs="Arial"/>
          <w:bCs/>
          <w:color w:val="0070C0"/>
          <w:sz w:val="36"/>
          <w:szCs w:val="36"/>
        </w:rPr>
      </w:pPr>
      <w:r w:rsidRPr="002945A3">
        <w:rPr>
          <w:rFonts w:ascii="Arial" w:hAnsi="Arial" w:cs="Arial"/>
          <w:bCs/>
          <w:color w:val="0070C0"/>
          <w:sz w:val="36"/>
          <w:szCs w:val="36"/>
          <w:lang w:val="en-IN"/>
        </w:rPr>
        <w:t xml:space="preserve">Hydrological Dynamics and Multivariate Assessment of Water Quality in the </w:t>
      </w:r>
      <w:proofErr w:type="spellStart"/>
      <w:r w:rsidRPr="002945A3">
        <w:rPr>
          <w:rFonts w:ascii="Arial" w:hAnsi="Arial" w:cs="Arial"/>
          <w:bCs/>
          <w:color w:val="0070C0"/>
          <w:sz w:val="36"/>
          <w:szCs w:val="36"/>
          <w:lang w:val="en-IN"/>
        </w:rPr>
        <w:t>Gosekhurd</w:t>
      </w:r>
      <w:proofErr w:type="spellEnd"/>
      <w:r w:rsidRPr="002945A3">
        <w:rPr>
          <w:rFonts w:ascii="Arial" w:hAnsi="Arial" w:cs="Arial"/>
          <w:bCs/>
          <w:color w:val="0070C0"/>
          <w:sz w:val="36"/>
          <w:szCs w:val="36"/>
          <w:lang w:val="en-IN"/>
        </w:rPr>
        <w:t xml:space="preserve"> Reservoir, India</w:t>
      </w:r>
    </w:p>
    <w:p w14:paraId="22D1C781" w14:textId="77777777" w:rsidR="00570374" w:rsidRDefault="00570374" w:rsidP="00A279DA">
      <w:pPr>
        <w:pStyle w:val="Copyright"/>
        <w:spacing w:after="0" w:line="360" w:lineRule="auto"/>
        <w:jc w:val="both"/>
        <w:rPr>
          <w:rFonts w:ascii="Arial" w:hAnsi="Arial" w:cs="Arial"/>
          <w:color w:val="000000" w:themeColor="text1"/>
        </w:rPr>
      </w:pPr>
    </w:p>
    <w:p w14:paraId="2C1F1B15" w14:textId="57C819BD" w:rsidR="00B01FCD" w:rsidRPr="00FD6A48" w:rsidRDefault="00E03944" w:rsidP="00A279DA">
      <w:pPr>
        <w:pStyle w:val="Copyright"/>
        <w:spacing w:after="0" w:line="360" w:lineRule="auto"/>
        <w:jc w:val="both"/>
        <w:rPr>
          <w:rFonts w:ascii="Arial" w:hAnsi="Arial" w:cs="Arial"/>
          <w:color w:val="000000" w:themeColor="text1"/>
        </w:rPr>
        <w:sectPr w:rsidR="00B01FCD" w:rsidRPr="00FD6A48" w:rsidSect="006C2C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color w:val="000000" w:themeColor="text1"/>
        </w:rPr>
        <mc:AlternateContent>
          <mc:Choice Requires="wps">
            <w:drawing>
              <wp:inline distT="0" distB="0" distL="0" distR="0" wp14:anchorId="4A8A17D6" wp14:editId="77A6DF0E">
                <wp:extent cx="5303520" cy="635"/>
                <wp:effectExtent l="13335" t="15240" r="17145" b="13335"/>
                <wp:docPr id="6577808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2F763B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FD6A48">
        <w:rPr>
          <w:rFonts w:ascii="Arial" w:hAnsi="Arial" w:cs="Arial"/>
          <w:color w:val="000000" w:themeColor="text1"/>
        </w:rPr>
        <w:t>.</w:t>
      </w:r>
    </w:p>
    <w:p w14:paraId="405EBD62" w14:textId="10E0418A" w:rsidR="00B01FCD" w:rsidRPr="00FD6A48" w:rsidRDefault="00B01FCD" w:rsidP="00A279DA">
      <w:pPr>
        <w:pStyle w:val="AbstHead"/>
        <w:spacing w:after="0" w:line="360" w:lineRule="auto"/>
        <w:jc w:val="both"/>
        <w:rPr>
          <w:rFonts w:ascii="Arial" w:hAnsi="Arial" w:cs="Arial"/>
          <w:color w:val="000000" w:themeColor="text1"/>
        </w:rPr>
      </w:pPr>
      <w:r w:rsidRPr="00FD6A48">
        <w:rPr>
          <w:rFonts w:ascii="Arial" w:hAnsi="Arial" w:cs="Arial"/>
          <w:color w:val="000000" w:themeColor="text1"/>
        </w:rPr>
        <w:t>ABSTRACT</w:t>
      </w:r>
      <w:r w:rsidR="0066510A" w:rsidRPr="00FD6A48">
        <w:rPr>
          <w:rFonts w:ascii="Arial" w:hAnsi="Arial" w:cs="Arial"/>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FE3E5D" w:rsidRPr="00FD6A48" w14:paraId="064595B8" w14:textId="77777777" w:rsidTr="008B1B14">
        <w:tc>
          <w:tcPr>
            <w:tcW w:w="8424" w:type="dxa"/>
            <w:shd w:val="clear" w:color="auto" w:fill="F2F2F2"/>
          </w:tcPr>
          <w:p w14:paraId="0B84F206" w14:textId="3F20F61E" w:rsidR="00505F06" w:rsidRPr="00FD6A48" w:rsidRDefault="00792A58" w:rsidP="00A279DA">
            <w:pPr>
              <w:spacing w:line="360" w:lineRule="auto"/>
              <w:jc w:val="both"/>
              <w:rPr>
                <w:rFonts w:ascii="Arial" w:hAnsi="Arial" w:cs="Arial"/>
                <w:b/>
                <w:bCs/>
                <w:color w:val="000000" w:themeColor="text1"/>
                <w:sz w:val="22"/>
                <w:szCs w:val="22"/>
              </w:rPr>
            </w:pPr>
            <w:r w:rsidRPr="00FD6A48">
              <w:rPr>
                <w:rFonts w:ascii="Arial" w:hAnsi="Arial" w:cs="Arial"/>
                <w:color w:val="000000" w:themeColor="text1"/>
                <w:sz w:val="22"/>
                <w:szCs w:val="22"/>
              </w:rPr>
              <w:t xml:space="preserve">The water quality was assessed over 18 months, from January 2024 to June 2025 of the </w:t>
            </w:r>
            <w:proofErr w:type="spellStart"/>
            <w:r w:rsidRPr="00FD6A48">
              <w:rPr>
                <w:rFonts w:ascii="Arial" w:hAnsi="Arial" w:cs="Arial"/>
                <w:color w:val="000000" w:themeColor="text1"/>
                <w:sz w:val="22"/>
                <w:szCs w:val="22"/>
              </w:rPr>
              <w:t>Gos</w:t>
            </w:r>
            <w:r w:rsidR="00DA4006" w:rsidRPr="00FD6A48">
              <w:rPr>
                <w:rFonts w:ascii="Arial" w:hAnsi="Arial" w:cs="Arial"/>
                <w:color w:val="000000" w:themeColor="text1"/>
                <w:sz w:val="22"/>
                <w:szCs w:val="22"/>
              </w:rPr>
              <w:t>e</w:t>
            </w:r>
            <w:r w:rsidRPr="00FD6A48">
              <w:rPr>
                <w:rFonts w:ascii="Arial" w:hAnsi="Arial" w:cs="Arial"/>
                <w:color w:val="000000" w:themeColor="text1"/>
                <w:sz w:val="22"/>
                <w:szCs w:val="22"/>
              </w:rPr>
              <w:t>khurd</w:t>
            </w:r>
            <w:proofErr w:type="spellEnd"/>
            <w:r w:rsidRPr="00FD6A48">
              <w:rPr>
                <w:rFonts w:ascii="Arial" w:hAnsi="Arial" w:cs="Arial"/>
                <w:color w:val="000000" w:themeColor="text1"/>
                <w:sz w:val="22"/>
                <w:szCs w:val="22"/>
              </w:rPr>
              <w:t xml:space="preserve"> Reservoir in Maharashtra, India, by examining its hydrological and multivariate characteristics.  It employed methods such as Principal Component Analysis (PCA), correlation evaluations, and descriptive statistics to examine various situations.  Measurements were taken at five separate sites and focused on six leading indicators: alkalinity, pH, dissolved oxygen (DO), temperature, electrical conductivity (EC), and water clarity.  </w:t>
            </w:r>
            <w:r w:rsidR="002945A3" w:rsidRPr="002945A3">
              <w:rPr>
                <w:rFonts w:ascii="Arial" w:hAnsi="Arial" w:cs="Arial"/>
                <w:color w:val="0070C0"/>
                <w:sz w:val="22"/>
                <w:szCs w:val="22"/>
                <w:lang w:val="en-IN"/>
              </w:rPr>
              <w:t>Seasonal and spatial analyses revealed marked variation; for example, mean DO ranged from 4.2 mg L</w:t>
            </w:r>
            <w:r w:rsidR="002945A3" w:rsidRPr="002945A3">
              <w:rPr>
                <w:rFonts w:ascii="Cambria Math" w:hAnsi="Cambria Math" w:cs="Cambria Math"/>
                <w:color w:val="0070C0"/>
                <w:sz w:val="22"/>
                <w:szCs w:val="22"/>
                <w:lang w:val="en-IN"/>
              </w:rPr>
              <w:t>⁻</w:t>
            </w:r>
            <w:r w:rsidR="002945A3" w:rsidRPr="002945A3">
              <w:rPr>
                <w:rFonts w:ascii="Arial" w:hAnsi="Arial" w:cs="Arial"/>
                <w:color w:val="0070C0"/>
                <w:sz w:val="22"/>
                <w:szCs w:val="22"/>
                <w:lang w:val="en-IN"/>
              </w:rPr>
              <w:t>¹ in summer to 8.7 mg L</w:t>
            </w:r>
            <w:r w:rsidR="002945A3" w:rsidRPr="002945A3">
              <w:rPr>
                <w:rFonts w:ascii="Cambria Math" w:hAnsi="Cambria Math" w:cs="Cambria Math"/>
                <w:color w:val="0070C0"/>
                <w:sz w:val="22"/>
                <w:szCs w:val="22"/>
                <w:lang w:val="en-IN"/>
              </w:rPr>
              <w:t>⁻</w:t>
            </w:r>
            <w:r w:rsidR="002945A3" w:rsidRPr="002945A3">
              <w:rPr>
                <w:rFonts w:ascii="Arial" w:hAnsi="Arial" w:cs="Arial"/>
                <w:color w:val="0070C0"/>
                <w:sz w:val="22"/>
                <w:szCs w:val="22"/>
                <w:lang w:val="en-IN"/>
              </w:rPr>
              <w:t xml:space="preserve">¹ in winter, and transparency varied from 65 cm during monsoon to 158 cm in winter. Temperature increases were strongly and negatively correlated with DO (r = –0.82), alkalinity (r = –0.71), and transparency (r = –0.76), reflecting heightened thermal stress during warmer periods. </w:t>
            </w:r>
            <w:r w:rsidRPr="00FD6A48">
              <w:rPr>
                <w:rFonts w:ascii="Arial" w:hAnsi="Arial" w:cs="Arial"/>
                <w:color w:val="000000" w:themeColor="text1"/>
                <w:sz w:val="22"/>
                <w:szCs w:val="22"/>
              </w:rPr>
              <w:t xml:space="preserve">The results showed that there were big changes depending on the season and the region. For example, there was a negative correlation between rising temperatures and levels of DO, alkalinity, and clarity. This suggests that heat causes stress in hotter times.  The connections also showed how carbonate activities help keep the system stable.  The PCA helped make the dataset easier to work with by identifying patterns in thermal-chemical interactions and optical-ionic changes, which explained 84% of the observed differences.  At sites S4 and S5, there was clear evidence of nutrient overload causing eutrophication, especially during the summer heat and monsoon rains.  This study shows that combining traditional assessment methods with modern multivariate methodologies can help find ecological changes more accurately. It also calls for flexible monitoring strategies to protect the health of reservoirs like </w:t>
            </w:r>
            <w:proofErr w:type="spellStart"/>
            <w:r w:rsidRPr="00FD6A48">
              <w:rPr>
                <w:rFonts w:ascii="Arial" w:hAnsi="Arial" w:cs="Arial"/>
                <w:color w:val="000000" w:themeColor="text1"/>
                <w:sz w:val="22"/>
                <w:szCs w:val="22"/>
              </w:rPr>
              <w:t>Gosikhurd</w:t>
            </w:r>
            <w:proofErr w:type="spellEnd"/>
            <w:r w:rsidRPr="00FD6A48">
              <w:rPr>
                <w:rFonts w:ascii="Arial" w:hAnsi="Arial" w:cs="Arial"/>
                <w:color w:val="000000" w:themeColor="text1"/>
                <w:sz w:val="22"/>
                <w:szCs w:val="22"/>
              </w:rPr>
              <w:t>.</w:t>
            </w:r>
          </w:p>
        </w:tc>
      </w:tr>
    </w:tbl>
    <w:p w14:paraId="368D5689" w14:textId="20440B2C" w:rsidR="00E660A6" w:rsidRPr="00FD6A48" w:rsidRDefault="00A24E7E" w:rsidP="00A279DA">
      <w:pPr>
        <w:spacing w:line="360" w:lineRule="auto"/>
        <w:rPr>
          <w:rFonts w:ascii="Arial" w:hAnsi="Arial" w:cs="Arial"/>
          <w:iCs/>
          <w:color w:val="000000" w:themeColor="text1"/>
        </w:rPr>
      </w:pPr>
      <w:r w:rsidRPr="00FD6A48">
        <w:rPr>
          <w:rFonts w:ascii="Arial" w:hAnsi="Arial" w:cs="Arial"/>
          <w:i/>
          <w:color w:val="000000" w:themeColor="text1"/>
        </w:rPr>
        <w:lastRenderedPageBreak/>
        <w:t xml:space="preserve">Keywords: </w:t>
      </w:r>
      <w:r w:rsidR="00E660A6" w:rsidRPr="00FD6A48">
        <w:rPr>
          <w:rFonts w:ascii="Arial" w:hAnsi="Arial" w:cs="Arial"/>
          <w:iCs/>
          <w:color w:val="000000" w:themeColor="text1"/>
        </w:rPr>
        <w:t xml:space="preserve">Water quality, </w:t>
      </w:r>
      <w:proofErr w:type="spellStart"/>
      <w:r w:rsidR="00DA4006" w:rsidRPr="00FD6A48">
        <w:rPr>
          <w:rFonts w:ascii="Arial" w:hAnsi="Arial" w:cs="Arial"/>
          <w:color w:val="000000" w:themeColor="text1"/>
          <w:sz w:val="22"/>
          <w:szCs w:val="22"/>
        </w:rPr>
        <w:t>Gosekhurd</w:t>
      </w:r>
      <w:proofErr w:type="spellEnd"/>
      <w:r w:rsidR="00DA4006" w:rsidRPr="00FD6A48">
        <w:rPr>
          <w:rFonts w:ascii="Arial" w:hAnsi="Arial" w:cs="Arial"/>
          <w:color w:val="000000" w:themeColor="text1"/>
          <w:sz w:val="22"/>
          <w:szCs w:val="22"/>
        </w:rPr>
        <w:t xml:space="preserve"> </w:t>
      </w:r>
      <w:r w:rsidR="004F11F5" w:rsidRPr="00FD6A48">
        <w:rPr>
          <w:rFonts w:ascii="Arial" w:hAnsi="Arial" w:cs="Arial"/>
          <w:iCs/>
          <w:color w:val="000000" w:themeColor="text1"/>
        </w:rPr>
        <w:t>Reservoir,</w:t>
      </w:r>
      <w:r w:rsidR="00E660A6" w:rsidRPr="00FD6A48">
        <w:rPr>
          <w:rFonts w:ascii="Arial" w:hAnsi="Arial" w:cs="Arial"/>
          <w:iCs/>
          <w:color w:val="000000" w:themeColor="text1"/>
        </w:rPr>
        <w:t xml:space="preserve"> Multivariate analysis, PCA,  </w:t>
      </w:r>
    </w:p>
    <w:p w14:paraId="673DA36E" w14:textId="6D6D6D99" w:rsidR="00A24E7E" w:rsidRPr="00FD6A48" w:rsidRDefault="00E660A6" w:rsidP="00A279DA">
      <w:pPr>
        <w:pStyle w:val="Body"/>
        <w:spacing w:after="0" w:line="360" w:lineRule="auto"/>
        <w:rPr>
          <w:rFonts w:ascii="Arial" w:hAnsi="Arial" w:cs="Arial"/>
          <w:iCs/>
          <w:color w:val="000000" w:themeColor="text1"/>
        </w:rPr>
      </w:pPr>
      <w:r w:rsidRPr="00FD6A48">
        <w:rPr>
          <w:rFonts w:ascii="Arial" w:hAnsi="Arial" w:cs="Arial"/>
          <w:iCs/>
          <w:color w:val="000000" w:themeColor="text1"/>
        </w:rPr>
        <w:t>Eutrophication</w:t>
      </w:r>
    </w:p>
    <w:p w14:paraId="46F51CEB" w14:textId="77777777" w:rsidR="008B1B14" w:rsidRPr="00FD6A48" w:rsidRDefault="008B1B14" w:rsidP="00A279DA">
      <w:pPr>
        <w:pStyle w:val="AbstHead"/>
        <w:spacing w:after="0" w:line="360" w:lineRule="auto"/>
        <w:jc w:val="both"/>
        <w:rPr>
          <w:rFonts w:ascii="Arial" w:hAnsi="Arial" w:cs="Arial"/>
          <w:color w:val="000000" w:themeColor="text1"/>
        </w:rPr>
      </w:pPr>
    </w:p>
    <w:p w14:paraId="7D7822C7" w14:textId="027ED3EE" w:rsidR="00493D0A" w:rsidRPr="00FD6A48" w:rsidRDefault="00902823" w:rsidP="008B1B14">
      <w:pPr>
        <w:pStyle w:val="AbstHead"/>
        <w:spacing w:after="0" w:line="360" w:lineRule="auto"/>
        <w:jc w:val="both"/>
        <w:rPr>
          <w:rFonts w:ascii="Arial" w:eastAsia="Calibri" w:hAnsi="Arial" w:cs="Arial"/>
          <w:b w:val="0"/>
          <w:color w:val="000000" w:themeColor="text1"/>
          <w:szCs w:val="22"/>
        </w:rPr>
      </w:pPr>
      <w:r w:rsidRPr="00FD6A48">
        <w:rPr>
          <w:rFonts w:ascii="Arial" w:hAnsi="Arial" w:cs="Arial"/>
          <w:color w:val="000000" w:themeColor="text1"/>
        </w:rPr>
        <w:t xml:space="preserve">1. </w:t>
      </w:r>
      <w:r w:rsidR="00B01FCD" w:rsidRPr="00FD6A48">
        <w:rPr>
          <w:rFonts w:ascii="Arial" w:hAnsi="Arial" w:cs="Arial"/>
          <w:color w:val="000000" w:themeColor="text1"/>
        </w:rPr>
        <w:t>INTRODUCTION</w:t>
      </w:r>
    </w:p>
    <w:p w14:paraId="04DB33FE" w14:textId="2F261C65" w:rsidR="00F63BF8" w:rsidRPr="00FD6A48" w:rsidRDefault="00F63BF8" w:rsidP="00FE3E5D">
      <w:pPr>
        <w:spacing w:line="360" w:lineRule="auto"/>
        <w:jc w:val="both"/>
        <w:rPr>
          <w:rFonts w:ascii="Arial" w:hAnsi="Arial" w:cs="Arial"/>
          <w:color w:val="000000" w:themeColor="text1"/>
        </w:rPr>
      </w:pPr>
      <w:r w:rsidRPr="00FD6A48">
        <w:rPr>
          <w:rFonts w:ascii="Arial" w:hAnsi="Arial" w:cs="Arial"/>
          <w:color w:val="000000" w:themeColor="text1"/>
        </w:rPr>
        <w:t xml:space="preserve">In India, the reservoirs are important because they supply water for hydroelectric plants, farms, and residences.  They are crucial to the management of water resources, particularly in times of drought or aridity.  Because they offer a range of habitats for various land and aquatic species, these reservoirs also promote biodiversity. These freshwater bodies are important for more than just their practical uses; they are also important homes for many different types of fish.  Natural phenomena in the environment can both change the quality of surface water (Jarvie </w:t>
      </w:r>
      <w:r w:rsidRPr="00FD6A48">
        <w:rPr>
          <w:rFonts w:ascii="Arial" w:hAnsi="Arial" w:cs="Arial"/>
          <w:i/>
          <w:iCs/>
          <w:color w:val="000000" w:themeColor="text1"/>
        </w:rPr>
        <w:t>et al.,</w:t>
      </w:r>
      <w:r w:rsidRPr="00FD6A48">
        <w:rPr>
          <w:rFonts w:ascii="Arial" w:hAnsi="Arial" w:cs="Arial"/>
          <w:color w:val="000000" w:themeColor="text1"/>
        </w:rPr>
        <w:t xml:space="preserve"> 1998; Ravichandran, 2003).  </w:t>
      </w:r>
      <w:r w:rsidR="00C443FD" w:rsidRPr="00FD6A48">
        <w:rPr>
          <w:rFonts w:ascii="Arial" w:hAnsi="Arial" w:cs="Arial"/>
          <w:color w:val="000000" w:themeColor="text1"/>
        </w:rPr>
        <w:t>T</w:t>
      </w:r>
      <w:r w:rsidRPr="00FD6A48">
        <w:rPr>
          <w:rFonts w:ascii="Arial" w:hAnsi="Arial" w:cs="Arial"/>
          <w:color w:val="000000" w:themeColor="text1"/>
        </w:rPr>
        <w:t xml:space="preserve">he weather </w:t>
      </w:r>
      <w:r w:rsidR="00C443FD" w:rsidRPr="00FD6A48">
        <w:rPr>
          <w:rFonts w:ascii="Arial" w:hAnsi="Arial" w:cs="Arial"/>
          <w:color w:val="000000" w:themeColor="text1"/>
        </w:rPr>
        <w:t xml:space="preserve">changes </w:t>
      </w:r>
      <w:r w:rsidRPr="00FD6A48">
        <w:rPr>
          <w:rFonts w:ascii="Arial" w:hAnsi="Arial" w:cs="Arial"/>
          <w:color w:val="000000" w:themeColor="text1"/>
        </w:rPr>
        <w:t xml:space="preserve">and water levels, such as changes in temperature, rainfall patterns, and seasonal flow, cause significant changes in water quality throughout the year (Vega </w:t>
      </w:r>
      <w:r w:rsidRPr="00FD6A48">
        <w:rPr>
          <w:rFonts w:ascii="Arial" w:hAnsi="Arial" w:cs="Arial"/>
          <w:i/>
          <w:iCs/>
          <w:color w:val="000000" w:themeColor="text1"/>
        </w:rPr>
        <w:t>et al.,</w:t>
      </w:r>
      <w:r w:rsidRPr="00FD6A48">
        <w:rPr>
          <w:rFonts w:ascii="Arial" w:hAnsi="Arial" w:cs="Arial"/>
          <w:color w:val="000000" w:themeColor="text1"/>
        </w:rPr>
        <w:t xml:space="preserve"> 1998; Ouyang </w:t>
      </w:r>
      <w:r w:rsidRPr="00FD6A48">
        <w:rPr>
          <w:rFonts w:ascii="Arial" w:hAnsi="Arial" w:cs="Arial"/>
          <w:i/>
          <w:iCs/>
          <w:color w:val="000000" w:themeColor="text1"/>
        </w:rPr>
        <w:t>et al.,</w:t>
      </w:r>
      <w:r w:rsidRPr="00FD6A48">
        <w:rPr>
          <w:rFonts w:ascii="Arial" w:hAnsi="Arial" w:cs="Arial"/>
          <w:color w:val="000000" w:themeColor="text1"/>
        </w:rPr>
        <w:t xml:space="preserve"> 2006).  It is challenging to determine the extent of water contamination and its nature (Huang </w:t>
      </w:r>
      <w:r w:rsidRPr="00FD6A48">
        <w:rPr>
          <w:rFonts w:ascii="Arial" w:hAnsi="Arial" w:cs="Arial"/>
          <w:i/>
          <w:iCs/>
          <w:color w:val="000000" w:themeColor="text1"/>
        </w:rPr>
        <w:t>et al.,</w:t>
      </w:r>
      <w:r w:rsidRPr="00FD6A48">
        <w:rPr>
          <w:rFonts w:ascii="Arial" w:hAnsi="Arial" w:cs="Arial"/>
          <w:color w:val="000000" w:themeColor="text1"/>
        </w:rPr>
        <w:t xml:space="preserve"> 2010).  We can learn more about river systems by monitoring water quality and conducting </w:t>
      </w:r>
      <w:proofErr w:type="spellStart"/>
      <w:r w:rsidRPr="00FD6A48">
        <w:rPr>
          <w:rFonts w:ascii="Arial" w:hAnsi="Arial" w:cs="Arial"/>
          <w:color w:val="000000" w:themeColor="text1"/>
        </w:rPr>
        <w:t>hydrochemical</w:t>
      </w:r>
      <w:proofErr w:type="spellEnd"/>
      <w:r w:rsidRPr="00FD6A48">
        <w:rPr>
          <w:rFonts w:ascii="Arial" w:hAnsi="Arial" w:cs="Arial"/>
          <w:color w:val="000000" w:themeColor="text1"/>
        </w:rPr>
        <w:t xml:space="preserve"> investigations over time.  However, the vast amounts of data provided can make it challenging to examine and interpret (Shin &amp; Fong, 1999).  To deal with these problems, more and more people are using advanced statistical methodologies and machine learning techniques.  These technologies can make it easier to work with data, which will help us make better decisions about how to take care of the environment and get more precise readings of water quality.  To remedy this, we need to </w:t>
      </w:r>
      <w:r w:rsidR="004F11F5" w:rsidRPr="00FD6A48">
        <w:rPr>
          <w:rFonts w:ascii="Arial" w:hAnsi="Arial" w:cs="Arial"/>
          <w:color w:val="000000" w:themeColor="text1"/>
        </w:rPr>
        <w:t>utilize</w:t>
      </w:r>
      <w:r w:rsidRPr="00FD6A48">
        <w:rPr>
          <w:rFonts w:ascii="Arial" w:hAnsi="Arial" w:cs="Arial"/>
          <w:color w:val="000000" w:themeColor="text1"/>
        </w:rPr>
        <w:t xml:space="preserve"> strong statistical approaches that can manage large datasets and keep crucial data safe.  This method enables the identification of significant trends over time and space, the determination of the most impactful factors, and the detection of elusive </w:t>
      </w:r>
      <w:r w:rsidR="00C443FD" w:rsidRPr="00FD6A48">
        <w:rPr>
          <w:rFonts w:ascii="Arial" w:hAnsi="Arial" w:cs="Arial"/>
          <w:color w:val="000000" w:themeColor="text1"/>
        </w:rPr>
        <w:t xml:space="preserve">sources of </w:t>
      </w:r>
      <w:r w:rsidRPr="00FD6A48">
        <w:rPr>
          <w:rFonts w:ascii="Arial" w:hAnsi="Arial" w:cs="Arial"/>
          <w:color w:val="000000" w:themeColor="text1"/>
        </w:rPr>
        <w:t xml:space="preserve">pollution (Shrestha &amp; Kazama, 2007; Zhang </w:t>
      </w:r>
      <w:r w:rsidRPr="00FD6A48">
        <w:rPr>
          <w:rFonts w:ascii="Arial" w:hAnsi="Arial" w:cs="Arial"/>
          <w:i/>
          <w:iCs/>
          <w:color w:val="000000" w:themeColor="text1"/>
        </w:rPr>
        <w:t>et al.,</w:t>
      </w:r>
      <w:r w:rsidRPr="00FD6A48">
        <w:rPr>
          <w:rFonts w:ascii="Arial" w:hAnsi="Arial" w:cs="Arial"/>
          <w:color w:val="000000" w:themeColor="text1"/>
        </w:rPr>
        <w:t xml:space="preserve"> 2009).  The structure and long-term health of fish populations in these types of habitats depend a lot on what is happening with the water below the surface.  These factors affect the quality of the habitat, the amount of oxygen, the food web, and the signals for reproduction. </w:t>
      </w:r>
    </w:p>
    <w:p w14:paraId="6AD0FB47" w14:textId="7909C7C9" w:rsidR="00E51AC4" w:rsidRPr="00E51AC4" w:rsidRDefault="00E51AC4" w:rsidP="00FE3E5D">
      <w:pPr>
        <w:pStyle w:val="Body"/>
        <w:spacing w:after="0" w:line="360" w:lineRule="auto"/>
        <w:ind w:firstLine="720"/>
        <w:rPr>
          <w:rFonts w:ascii="Arial" w:hAnsi="Arial" w:cs="Arial"/>
          <w:color w:val="0070C0"/>
        </w:rPr>
      </w:pPr>
      <w:r w:rsidRPr="00E51AC4">
        <w:rPr>
          <w:rFonts w:ascii="Arial" w:hAnsi="Arial" w:cs="Arial"/>
          <w:color w:val="0070C0"/>
        </w:rPr>
        <w:t xml:space="preserve">Reservoir fisheries in tropical monsoon regions are becoming increasingly fragile due to human activity and unstable water levels. </w:t>
      </w:r>
      <w:proofErr w:type="spellStart"/>
      <w:r w:rsidRPr="00E51AC4">
        <w:rPr>
          <w:rFonts w:ascii="Arial" w:hAnsi="Arial" w:cs="Arial"/>
          <w:color w:val="0070C0"/>
        </w:rPr>
        <w:t>Gosekhurd</w:t>
      </w:r>
      <w:proofErr w:type="spellEnd"/>
      <w:r w:rsidRPr="00E51AC4">
        <w:rPr>
          <w:rFonts w:ascii="Arial" w:hAnsi="Arial" w:cs="Arial"/>
          <w:color w:val="0070C0"/>
        </w:rPr>
        <w:t xml:space="preserve">, the largest reservoir in Maharashtra, offers a diverse range of fish species that help people make a living and are crucial for maintaining the area's drinking and irrigation water supply stability. It is an excellent model for studying how physicochemical drivers affect primary productivity and fish output under monsoon-driven circumstances because of its combined ecological and economic significance—observed at five different sampling stations (S1–S5). The spatiotemporal patterns and interactions between these characteristics were clarified through the use of </w:t>
      </w:r>
      <w:r w:rsidRPr="00E51AC4">
        <w:rPr>
          <w:rFonts w:ascii="Arial" w:hAnsi="Arial" w:cs="Arial"/>
          <w:color w:val="0070C0"/>
        </w:rPr>
        <w:lastRenderedPageBreak/>
        <w:t>Principal Component Analysis (PCA), which provided information on how environmental gradients impact ichthyofaunal biodiversity and the general health of the ecosystem. In addition to speeding biodiversity evaluation, this integrative method offers a scientific foundation for designing data-driven conservation strategies and long-term reservoir management plans.</w:t>
      </w:r>
    </w:p>
    <w:p w14:paraId="26F1AB99" w14:textId="77777777" w:rsidR="00FE3E5D" w:rsidRPr="00FD6A48" w:rsidRDefault="00FE3E5D" w:rsidP="00FE3E5D">
      <w:pPr>
        <w:pStyle w:val="Body"/>
        <w:spacing w:after="0" w:line="360" w:lineRule="auto"/>
        <w:ind w:firstLine="720"/>
        <w:rPr>
          <w:rFonts w:ascii="Arial" w:hAnsi="Arial" w:cs="Arial"/>
          <w:color w:val="000000" w:themeColor="text1"/>
        </w:rPr>
      </w:pPr>
    </w:p>
    <w:p w14:paraId="505E556F" w14:textId="641C28E7" w:rsidR="00790ADA" w:rsidRPr="00FD6A48" w:rsidRDefault="00902823" w:rsidP="008B1B14">
      <w:pPr>
        <w:pStyle w:val="AbstHead"/>
        <w:spacing w:after="0" w:line="360" w:lineRule="auto"/>
        <w:jc w:val="both"/>
        <w:rPr>
          <w:rFonts w:ascii="Arial" w:hAnsi="Arial" w:cs="Arial"/>
          <w:color w:val="000000" w:themeColor="text1"/>
        </w:rPr>
      </w:pPr>
      <w:r w:rsidRPr="00FD6A48">
        <w:rPr>
          <w:rFonts w:ascii="Arial" w:hAnsi="Arial" w:cs="Arial"/>
          <w:color w:val="000000" w:themeColor="text1"/>
        </w:rPr>
        <w:t>2. material</w:t>
      </w:r>
      <w:r w:rsidR="00C443FD" w:rsidRPr="00FD6A48">
        <w:rPr>
          <w:rFonts w:ascii="Arial" w:hAnsi="Arial" w:cs="Arial"/>
          <w:color w:val="000000" w:themeColor="text1"/>
        </w:rPr>
        <w:t>S</w:t>
      </w:r>
      <w:r w:rsidRPr="00FD6A48">
        <w:rPr>
          <w:rFonts w:ascii="Arial" w:hAnsi="Arial" w:cs="Arial"/>
          <w:color w:val="000000" w:themeColor="text1"/>
        </w:rPr>
        <w:t xml:space="preserve"> and method</w:t>
      </w:r>
      <w:r w:rsidR="00000F8F" w:rsidRPr="00FD6A48">
        <w:rPr>
          <w:rFonts w:ascii="Arial" w:hAnsi="Arial" w:cs="Arial"/>
          <w:color w:val="000000" w:themeColor="text1"/>
        </w:rPr>
        <w:t xml:space="preserve">s </w:t>
      </w:r>
    </w:p>
    <w:p w14:paraId="39A22052" w14:textId="0DB43934" w:rsidR="0007315F" w:rsidRPr="00FD6A48" w:rsidRDefault="0007315F"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2.1 The area of study and the sampling plan</w:t>
      </w:r>
    </w:p>
    <w:p w14:paraId="63FE3C84" w14:textId="649B43A8" w:rsidR="008B1B14" w:rsidRPr="00FD6A48" w:rsidRDefault="0007315F" w:rsidP="00A279DA">
      <w:pPr>
        <w:spacing w:line="360" w:lineRule="auto"/>
        <w:jc w:val="both"/>
        <w:rPr>
          <w:rFonts w:ascii="Arial" w:hAnsi="Arial" w:cs="Arial"/>
          <w:color w:val="000000" w:themeColor="text1"/>
        </w:rPr>
      </w:pPr>
      <w:r w:rsidRPr="00FD6A48">
        <w:rPr>
          <w:rFonts w:ascii="Arial" w:hAnsi="Arial" w:cs="Arial"/>
          <w:color w:val="000000" w:themeColor="text1"/>
        </w:rPr>
        <w:t xml:space="preserve">The </w:t>
      </w:r>
      <w:proofErr w:type="spellStart"/>
      <w:r w:rsidR="00C732BE" w:rsidRPr="00FD6A48">
        <w:rPr>
          <w:rFonts w:ascii="Arial" w:hAnsi="Arial" w:cs="Arial"/>
          <w:color w:val="000000" w:themeColor="text1"/>
          <w:sz w:val="22"/>
          <w:szCs w:val="22"/>
        </w:rPr>
        <w:t>Gosekhurd</w:t>
      </w:r>
      <w:proofErr w:type="spellEnd"/>
      <w:r w:rsidR="00C732BE" w:rsidRPr="00FD6A48">
        <w:rPr>
          <w:rFonts w:ascii="Arial" w:hAnsi="Arial" w:cs="Arial"/>
          <w:color w:val="000000" w:themeColor="text1"/>
          <w:sz w:val="22"/>
          <w:szCs w:val="22"/>
        </w:rPr>
        <w:t xml:space="preserve"> </w:t>
      </w:r>
      <w:r w:rsidRPr="00FD6A48">
        <w:rPr>
          <w:rFonts w:ascii="Arial" w:hAnsi="Arial" w:cs="Arial"/>
          <w:color w:val="000000" w:themeColor="text1"/>
        </w:rPr>
        <w:t xml:space="preserve">Reservoir is a big water resource project in the </w:t>
      </w:r>
      <w:proofErr w:type="spellStart"/>
      <w:r w:rsidRPr="00FD6A48">
        <w:rPr>
          <w:rFonts w:ascii="Arial" w:hAnsi="Arial" w:cs="Arial"/>
          <w:color w:val="000000" w:themeColor="text1"/>
        </w:rPr>
        <w:t>Bhandara</w:t>
      </w:r>
      <w:proofErr w:type="spellEnd"/>
      <w:r w:rsidRPr="00FD6A48">
        <w:rPr>
          <w:rFonts w:ascii="Arial" w:hAnsi="Arial" w:cs="Arial"/>
          <w:color w:val="000000" w:themeColor="text1"/>
        </w:rPr>
        <w:t xml:space="preserve"> district of Maharashtra, India. The dam is an </w:t>
      </w:r>
      <w:proofErr w:type="spellStart"/>
      <w:r w:rsidRPr="00FD6A48">
        <w:rPr>
          <w:rFonts w:ascii="Arial" w:hAnsi="Arial" w:cs="Arial"/>
          <w:color w:val="000000" w:themeColor="text1"/>
        </w:rPr>
        <w:t>earthfill</w:t>
      </w:r>
      <w:proofErr w:type="spellEnd"/>
      <w:r w:rsidRPr="00FD6A48">
        <w:rPr>
          <w:rFonts w:ascii="Arial" w:hAnsi="Arial" w:cs="Arial"/>
          <w:color w:val="000000" w:themeColor="text1"/>
        </w:rPr>
        <w:t xml:space="preserve"> project built on the Wainganga River, major tributary of the Godavari River system. Its main goal is to provide drinking water to adjacent rural and urban areas, irrigation, and hydropower generation. The dam is one of the most important irrigation projects in the Vidarbha area. It is 11,350 meters long and 22.55 meters high. The reservoir has 33 radial spillway gates and can hold 1,146 m</w:t>
      </w:r>
      <w:r w:rsidR="00EA4B66" w:rsidRPr="00FD6A48">
        <w:rPr>
          <w:rFonts w:ascii="Arial" w:hAnsi="Arial" w:cs="Arial"/>
          <w:color w:val="000000" w:themeColor="text1"/>
        </w:rPr>
        <w:t>cm</w:t>
      </w:r>
      <w:r w:rsidRPr="00FD6A48">
        <w:rPr>
          <w:rFonts w:ascii="Arial" w:hAnsi="Arial" w:cs="Arial"/>
          <w:color w:val="000000" w:themeColor="text1"/>
        </w:rPr>
        <w:t xml:space="preserve"> meters of water. It is important to manage the amount of water that is available all year. </w:t>
      </w:r>
      <w:r w:rsidRPr="00FD6A48">
        <w:rPr>
          <w:rFonts w:ascii="Arial" w:hAnsi="Arial" w:cs="Arial"/>
          <w:color w:val="000000" w:themeColor="text1"/>
        </w:rPr>
        <w:br/>
        <w:t>Five sample sites (S1 to S5) were chosen in different parts of the reservoir (Figure 1) to check for differences in water quality over time. Accessibility, depth, human impact, and hydrological relevance were the main factors that led to the choice of the site.</w:t>
      </w:r>
    </w:p>
    <w:p w14:paraId="549D47C2" w14:textId="77777777" w:rsidR="0007315F" w:rsidRPr="00FD6A48" w:rsidRDefault="0007315F" w:rsidP="00A279DA">
      <w:pPr>
        <w:spacing w:line="360" w:lineRule="auto"/>
        <w:jc w:val="both"/>
        <w:rPr>
          <w:rFonts w:ascii="Arial" w:hAnsi="Arial" w:cs="Arial"/>
          <w:color w:val="000000" w:themeColor="text1"/>
        </w:rPr>
      </w:pPr>
    </w:p>
    <w:p w14:paraId="27C0B0E8" w14:textId="7A33C66A" w:rsidR="00493D0A" w:rsidRPr="00FD6A48" w:rsidRDefault="00493D0A"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Figure 1: Map of Sampling Stations (S1–S5) at </w:t>
      </w:r>
      <w:proofErr w:type="spellStart"/>
      <w:r w:rsidRPr="00FD6A48">
        <w:rPr>
          <w:rFonts w:ascii="Arial" w:hAnsi="Arial" w:cs="Arial"/>
          <w:b/>
          <w:bCs/>
          <w:color w:val="000000" w:themeColor="text1"/>
        </w:rPr>
        <w:t>Gos</w:t>
      </w:r>
      <w:r w:rsidR="00C732BE" w:rsidRPr="00FD6A48">
        <w:rPr>
          <w:rFonts w:ascii="Arial" w:hAnsi="Arial" w:cs="Arial"/>
          <w:b/>
          <w:bCs/>
          <w:color w:val="000000" w:themeColor="text1"/>
        </w:rPr>
        <w:t>e</w:t>
      </w:r>
      <w:r w:rsidRPr="00FD6A48">
        <w:rPr>
          <w:rFonts w:ascii="Arial" w:hAnsi="Arial" w:cs="Arial"/>
          <w:b/>
          <w:bCs/>
          <w:color w:val="000000" w:themeColor="text1"/>
        </w:rPr>
        <w:t>khurd</w:t>
      </w:r>
      <w:proofErr w:type="spellEnd"/>
      <w:r w:rsidRPr="00FD6A48">
        <w:rPr>
          <w:rFonts w:ascii="Arial" w:hAnsi="Arial" w:cs="Arial"/>
          <w:b/>
          <w:bCs/>
          <w:color w:val="000000" w:themeColor="text1"/>
        </w:rPr>
        <w:t xml:space="preserve"> Reservoir</w:t>
      </w:r>
    </w:p>
    <w:p w14:paraId="264F8911" w14:textId="77777777" w:rsidR="00493D0A" w:rsidRPr="00FD6A48" w:rsidRDefault="00493D0A" w:rsidP="00A279DA">
      <w:pPr>
        <w:spacing w:line="360" w:lineRule="auto"/>
        <w:jc w:val="both"/>
        <w:rPr>
          <w:rFonts w:ascii="Arial" w:hAnsi="Arial" w:cs="Arial"/>
          <w:b/>
          <w:bCs/>
          <w:color w:val="000000" w:themeColor="text1"/>
        </w:rPr>
      </w:pPr>
      <w:r w:rsidRPr="00FD6A48">
        <w:rPr>
          <w:rFonts w:ascii="Arial" w:hAnsi="Arial" w:cs="Arial"/>
          <w:b/>
          <w:bCs/>
          <w:noProof/>
          <w:color w:val="000000" w:themeColor="text1"/>
        </w:rPr>
        <w:drawing>
          <wp:inline distT="0" distB="0" distL="0" distR="0" wp14:anchorId="2EC15186" wp14:editId="0D9E3296">
            <wp:extent cx="5662428" cy="3194050"/>
            <wp:effectExtent l="19050" t="19050" r="0" b="6350"/>
            <wp:docPr id="1854439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660" cy="3218436"/>
                    </a:xfrm>
                    <a:prstGeom prst="rect">
                      <a:avLst/>
                    </a:prstGeom>
                    <a:noFill/>
                    <a:ln w="6350">
                      <a:solidFill>
                        <a:schemeClr val="tx1"/>
                      </a:solidFill>
                    </a:ln>
                  </pic:spPr>
                </pic:pic>
              </a:graphicData>
            </a:graphic>
          </wp:inline>
        </w:drawing>
      </w:r>
    </w:p>
    <w:p w14:paraId="2D11C092" w14:textId="77777777" w:rsidR="00FE679D" w:rsidRPr="00FD6A48" w:rsidRDefault="00FE679D" w:rsidP="00FE679D">
      <w:pPr>
        <w:spacing w:line="360" w:lineRule="auto"/>
        <w:jc w:val="both"/>
        <w:rPr>
          <w:rFonts w:ascii="Arial" w:hAnsi="Arial" w:cs="Arial"/>
          <w:b/>
          <w:bCs/>
          <w:color w:val="000000" w:themeColor="text1"/>
          <w:sz w:val="22"/>
          <w:szCs w:val="22"/>
        </w:rPr>
      </w:pPr>
    </w:p>
    <w:p w14:paraId="5594293B" w14:textId="77777777" w:rsidR="00FE3E5D" w:rsidRPr="00FD6A48" w:rsidRDefault="00FE3E5D" w:rsidP="00FE679D">
      <w:pPr>
        <w:spacing w:line="360" w:lineRule="auto"/>
        <w:jc w:val="both"/>
        <w:rPr>
          <w:rFonts w:ascii="Arial" w:hAnsi="Arial" w:cs="Arial"/>
          <w:b/>
          <w:bCs/>
          <w:color w:val="000000" w:themeColor="text1"/>
          <w:sz w:val="22"/>
          <w:szCs w:val="22"/>
        </w:rPr>
      </w:pPr>
    </w:p>
    <w:p w14:paraId="27FEDA46" w14:textId="1837BB1B" w:rsidR="00FE679D" w:rsidRPr="00FD6A48" w:rsidRDefault="00FE679D" w:rsidP="00FE679D">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2.2 How often and when to sample</w:t>
      </w:r>
    </w:p>
    <w:p w14:paraId="35B1147B" w14:textId="77086BE5" w:rsidR="00F44F37" w:rsidRPr="00FD6A48" w:rsidRDefault="00FE679D" w:rsidP="008B219E">
      <w:pPr>
        <w:spacing w:line="360" w:lineRule="auto"/>
        <w:jc w:val="both"/>
        <w:rPr>
          <w:rFonts w:ascii="Arial" w:hAnsi="Arial" w:cs="Arial"/>
          <w:color w:val="000000" w:themeColor="text1"/>
        </w:rPr>
      </w:pPr>
      <w:r w:rsidRPr="00FD6A48">
        <w:rPr>
          <w:rFonts w:ascii="Arial" w:hAnsi="Arial" w:cs="Arial"/>
          <w:color w:val="000000" w:themeColor="text1"/>
        </w:rPr>
        <w:t>We took water samples from all five monitoring stations (S1–S5) during a coordinated monitoring campaign conducted under stable weather conditions, thereby reducing the time required for sample collection. We took all of the samples collected in the morning (8:00 AM to 10:00 AM) to make sure that the diurnal values were the same. The sample took place over eighteen months, from January 2024 to June 2025, and included several seasonal and hydrological phases.</w:t>
      </w:r>
    </w:p>
    <w:p w14:paraId="199E236D" w14:textId="77777777" w:rsidR="00FE3E5D" w:rsidRPr="00FD6A48" w:rsidRDefault="00FE3E5D" w:rsidP="00A279DA">
      <w:pPr>
        <w:spacing w:line="360" w:lineRule="auto"/>
        <w:jc w:val="both"/>
        <w:rPr>
          <w:rFonts w:ascii="Arial" w:hAnsi="Arial" w:cs="Arial"/>
          <w:b/>
          <w:bCs/>
          <w:color w:val="000000" w:themeColor="text1"/>
          <w:sz w:val="22"/>
          <w:szCs w:val="22"/>
        </w:rPr>
      </w:pPr>
    </w:p>
    <w:p w14:paraId="656B95A9" w14:textId="3AC7AF55"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2.3 Physicochemical Parameters:</w:t>
      </w:r>
    </w:p>
    <w:p w14:paraId="45B916DF" w14:textId="77777777" w:rsidR="00891A9F" w:rsidRPr="00891A9F" w:rsidRDefault="00891A9F" w:rsidP="008B219E">
      <w:pPr>
        <w:spacing w:line="360" w:lineRule="auto"/>
        <w:jc w:val="both"/>
        <w:rPr>
          <w:rFonts w:ascii="Arial" w:hAnsi="Arial" w:cs="Arial"/>
          <w:bCs/>
          <w:color w:val="0070C0"/>
        </w:rPr>
      </w:pPr>
      <w:r w:rsidRPr="00891A9F">
        <w:rPr>
          <w:rFonts w:ascii="Arial" w:hAnsi="Arial" w:cs="Arial"/>
          <w:bCs/>
          <w:color w:val="0070C0"/>
        </w:rPr>
        <w:t xml:space="preserve">Throughout the study, strict quality control procedures were adhered to maintain the accuracy of the biological and hydrological data. Before sampling, field meters measuring electrical conductivity, pH, and dissolved oxygen were calibrated every day. To account for spatial variability, duplicate measurements were made at each station. Field blanks and triplicates were examined for important characteristics after water samples were taken in bottles that had been cleaned with acid and were free of contaminants. Laboratory analyses were conducted using certified reference standards for spectrophotometric readings, duplicates, and reagent blanks following the APHA (2017) standard. </w:t>
      </w:r>
    </w:p>
    <w:p w14:paraId="5CDDD81F" w14:textId="77777777" w:rsidR="00891A9F" w:rsidRPr="00FD6A48" w:rsidRDefault="00891A9F" w:rsidP="00A279DA">
      <w:pPr>
        <w:spacing w:line="360" w:lineRule="auto"/>
        <w:jc w:val="both"/>
        <w:rPr>
          <w:rFonts w:ascii="Arial" w:hAnsi="Arial" w:cs="Arial"/>
          <w:b/>
          <w:bCs/>
          <w:color w:val="000000" w:themeColor="text1"/>
          <w:sz w:val="22"/>
          <w:szCs w:val="22"/>
        </w:rPr>
      </w:pPr>
    </w:p>
    <w:p w14:paraId="618D46BE" w14:textId="6D0E7692"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 xml:space="preserve">2.4 Sample Collection </w:t>
      </w:r>
    </w:p>
    <w:p w14:paraId="03DFE309" w14:textId="77777777"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2.4.1 Water Sampling Protocol</w:t>
      </w:r>
    </w:p>
    <w:p w14:paraId="3F1574FC" w14:textId="3B18BC25" w:rsidR="00493D0A" w:rsidRPr="00FD6A48" w:rsidRDefault="00493D0A"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Surface water samples were </w:t>
      </w:r>
      <w:r w:rsidR="00FB1F66" w:rsidRPr="00FD6A48">
        <w:rPr>
          <w:rFonts w:ascii="Arial" w:hAnsi="Arial" w:cs="Arial"/>
          <w:color w:val="000000" w:themeColor="text1"/>
        </w:rPr>
        <w:t>obtained</w:t>
      </w:r>
      <w:r w:rsidRPr="00FD6A48">
        <w:rPr>
          <w:rFonts w:ascii="Arial" w:hAnsi="Arial" w:cs="Arial"/>
          <w:color w:val="000000" w:themeColor="text1"/>
        </w:rPr>
        <w:t xml:space="preserve"> </w:t>
      </w:r>
      <w:r w:rsidR="00FB1F66" w:rsidRPr="00FD6A48">
        <w:rPr>
          <w:rFonts w:ascii="Arial" w:hAnsi="Arial" w:cs="Arial"/>
          <w:color w:val="000000" w:themeColor="text1"/>
        </w:rPr>
        <w:t>at</w:t>
      </w:r>
      <w:r w:rsidRPr="00FD6A48">
        <w:rPr>
          <w:rFonts w:ascii="Arial" w:hAnsi="Arial" w:cs="Arial"/>
          <w:color w:val="000000" w:themeColor="text1"/>
        </w:rPr>
        <w:t xml:space="preserve"> a depth of approximately 30 cm using acid-washed, pre-cleaned 1 L polyethylene bottles. Before sampling, bottles were rinsed thrice with sample water to eliminate residual contaminants. The sampling depth was selected to avoid surface interference. Samples were immediately stored in insulated containers at 4 °C and </w:t>
      </w:r>
      <w:r w:rsidR="00360884" w:rsidRPr="00FD6A48">
        <w:rPr>
          <w:rFonts w:ascii="Arial" w:hAnsi="Arial" w:cs="Arial"/>
          <w:color w:val="000000" w:themeColor="text1"/>
        </w:rPr>
        <w:t>conveyed</w:t>
      </w:r>
      <w:r w:rsidRPr="00FD6A48">
        <w:rPr>
          <w:rFonts w:ascii="Arial" w:hAnsi="Arial" w:cs="Arial"/>
          <w:color w:val="000000" w:themeColor="text1"/>
        </w:rPr>
        <w:t xml:space="preserve"> to the laboratory for analysis within 12 hours of collection.</w:t>
      </w:r>
    </w:p>
    <w:p w14:paraId="3535C189" w14:textId="77777777" w:rsidR="00F44F37" w:rsidRPr="00FD6A48" w:rsidRDefault="00F44F37" w:rsidP="00A279DA">
      <w:pPr>
        <w:spacing w:line="360" w:lineRule="auto"/>
        <w:jc w:val="both"/>
        <w:rPr>
          <w:rFonts w:ascii="Arial" w:hAnsi="Arial" w:cs="Arial"/>
          <w:b/>
          <w:bCs/>
          <w:color w:val="000000" w:themeColor="text1"/>
          <w:sz w:val="22"/>
          <w:szCs w:val="22"/>
        </w:rPr>
      </w:pPr>
    </w:p>
    <w:p w14:paraId="6A4E8460" w14:textId="77777777"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2.5 Data Analysis</w:t>
      </w:r>
    </w:p>
    <w:p w14:paraId="61394E62" w14:textId="5F0DDC6C" w:rsidR="00493D0A" w:rsidRPr="00FD6A48" w:rsidRDefault="00493D0A"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The hydrological dataset collected from the five sampling stations (S1–S5) was subjected to a comprehensive statistical analysis to evaluate spatial variation and identify underlying patterns among the measured parameters. The analytical workflow was structured into two major components: 1. Descriptive Statistics: To summarize and explore the central tendencies, dispersion, and range of individual parameters. 2. Multivariate Analysis (Principal Component Analysis, PCA): </w:t>
      </w:r>
      <w:r w:rsidR="00203ACB" w:rsidRPr="00FD6A48">
        <w:rPr>
          <w:rFonts w:ascii="Arial" w:hAnsi="Arial" w:cs="Arial"/>
          <w:color w:val="000000" w:themeColor="text1"/>
        </w:rPr>
        <w:t xml:space="preserve">This is used to find correlations or gradients in the dataset over </w:t>
      </w:r>
      <w:r w:rsidR="00203ACB" w:rsidRPr="00FD6A48">
        <w:rPr>
          <w:rFonts w:ascii="Arial" w:hAnsi="Arial" w:cs="Arial"/>
          <w:color w:val="000000" w:themeColor="text1"/>
        </w:rPr>
        <w:lastRenderedPageBreak/>
        <w:t xml:space="preserve">time and space and to reduce the number of dimensions. </w:t>
      </w:r>
      <w:r w:rsidR="004F11F5" w:rsidRPr="00FD6A48">
        <w:rPr>
          <w:rFonts w:ascii="Arial" w:hAnsi="Arial" w:cs="Arial"/>
          <w:color w:val="000000" w:themeColor="text1"/>
        </w:rPr>
        <w:t>This</w:t>
      </w:r>
      <w:r w:rsidRPr="00FD6A48">
        <w:rPr>
          <w:rFonts w:ascii="Arial" w:hAnsi="Arial" w:cs="Arial"/>
          <w:color w:val="000000" w:themeColor="text1"/>
        </w:rPr>
        <w:t xml:space="preserve"> dual approach enabled both univariate insights and holistic pattern recognition, forming the basis for subsequent interpretation of ecological processes within the reservoir system.</w:t>
      </w:r>
    </w:p>
    <w:p w14:paraId="6E80FAF0" w14:textId="77777777" w:rsidR="00F44F37" w:rsidRPr="00FD6A48" w:rsidRDefault="00F44F37" w:rsidP="00A279DA">
      <w:pPr>
        <w:spacing w:line="360" w:lineRule="auto"/>
        <w:jc w:val="both"/>
        <w:rPr>
          <w:rFonts w:ascii="Arial" w:hAnsi="Arial" w:cs="Arial"/>
          <w:b/>
          <w:bCs/>
          <w:color w:val="000000" w:themeColor="text1"/>
          <w:sz w:val="22"/>
          <w:szCs w:val="22"/>
        </w:rPr>
      </w:pPr>
    </w:p>
    <w:p w14:paraId="6527B442" w14:textId="77777777"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2.5.1. Descriptive Statistical Analysis</w:t>
      </w:r>
    </w:p>
    <w:p w14:paraId="3F3B378C" w14:textId="18E68186" w:rsidR="00493D0A" w:rsidRPr="00FD6A48" w:rsidRDefault="00493D0A"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Descriptive statistics were employed to evaluate the central tendency and variability of six hydrological parameters: </w:t>
      </w:r>
      <w:r w:rsidR="002C5A48" w:rsidRPr="00FD6A48">
        <w:rPr>
          <w:rFonts w:ascii="Arial" w:hAnsi="Arial" w:cs="Arial"/>
          <w:color w:val="000000" w:themeColor="text1"/>
        </w:rPr>
        <w:t xml:space="preserve">dissolved oxygen (DO), </w:t>
      </w:r>
      <w:r w:rsidRPr="00FD6A48">
        <w:rPr>
          <w:rFonts w:ascii="Arial" w:hAnsi="Arial" w:cs="Arial"/>
          <w:color w:val="000000" w:themeColor="text1"/>
        </w:rPr>
        <w:t xml:space="preserve">pH, </w:t>
      </w:r>
      <w:r w:rsidR="002C5A48" w:rsidRPr="00FD6A48">
        <w:rPr>
          <w:rFonts w:ascii="Arial" w:hAnsi="Arial" w:cs="Arial"/>
          <w:color w:val="000000" w:themeColor="text1"/>
        </w:rPr>
        <w:t xml:space="preserve">alkalinity, transparency, </w:t>
      </w:r>
      <w:r w:rsidRPr="00FD6A48">
        <w:rPr>
          <w:rFonts w:ascii="Arial" w:hAnsi="Arial" w:cs="Arial"/>
          <w:color w:val="000000" w:themeColor="text1"/>
        </w:rPr>
        <w:t xml:space="preserve">temperature, </w:t>
      </w:r>
      <w:r w:rsidR="002C5A48" w:rsidRPr="00FD6A48">
        <w:rPr>
          <w:rFonts w:ascii="Arial" w:hAnsi="Arial" w:cs="Arial"/>
          <w:color w:val="000000" w:themeColor="text1"/>
        </w:rPr>
        <w:t xml:space="preserve">and </w:t>
      </w:r>
      <w:r w:rsidRPr="00FD6A48">
        <w:rPr>
          <w:rFonts w:ascii="Arial" w:hAnsi="Arial" w:cs="Arial"/>
          <w:color w:val="000000" w:themeColor="text1"/>
        </w:rPr>
        <w:t xml:space="preserve">electrical conductivity (EC). Data from five monitoring sites (S1–S5) were </w:t>
      </w:r>
      <w:r w:rsidR="004F11F5" w:rsidRPr="00FD6A48">
        <w:rPr>
          <w:rFonts w:ascii="Arial" w:hAnsi="Arial" w:cs="Arial"/>
          <w:color w:val="000000" w:themeColor="text1"/>
        </w:rPr>
        <w:t>analyzed</w:t>
      </w:r>
      <w:r w:rsidRPr="00FD6A48">
        <w:rPr>
          <w:rFonts w:ascii="Arial" w:hAnsi="Arial" w:cs="Arial"/>
          <w:color w:val="000000" w:themeColor="text1"/>
        </w:rPr>
        <w:t xml:space="preserve"> using Microsoft Excel</w:t>
      </w:r>
      <w:r w:rsidR="00DA4006" w:rsidRPr="00FD6A48">
        <w:rPr>
          <w:rFonts w:ascii="Arial" w:hAnsi="Arial" w:cs="Arial"/>
          <w:color w:val="000000" w:themeColor="text1"/>
        </w:rPr>
        <w:t xml:space="preserve"> and SPSS</w:t>
      </w:r>
      <w:r w:rsidRPr="00FD6A48">
        <w:rPr>
          <w:rFonts w:ascii="Arial" w:hAnsi="Arial" w:cs="Arial"/>
          <w:color w:val="000000" w:themeColor="text1"/>
        </w:rPr>
        <w:t>. Key statistical descriptors such as mean, minimum, maximum, range, and standard deviation (SD) were computed to establish baseline water quality conditions and identify potential anomalies. A multi-panel heatmap was used to visualize spatial and temporal trends, while seasonal variability was assessed through boxplots categorized by Indian climatic seasons (Winter, Summer, Monsoon, and Post-Monsoon). A Pearson correlation matrix was also developed to examine interrelationships among parameters, with results presented in a correlation heatmap for easier interpretation of co-varying variables and possible biogeochemical linkages.</w:t>
      </w:r>
    </w:p>
    <w:p w14:paraId="5DCEBB17" w14:textId="77777777" w:rsidR="00F44F37" w:rsidRPr="00FD6A48" w:rsidRDefault="00F44F37" w:rsidP="00A279DA">
      <w:pPr>
        <w:spacing w:line="360" w:lineRule="auto"/>
        <w:jc w:val="both"/>
        <w:rPr>
          <w:rFonts w:ascii="Arial" w:hAnsi="Arial" w:cs="Arial"/>
          <w:b/>
          <w:bCs/>
          <w:color w:val="000000" w:themeColor="text1"/>
          <w:sz w:val="22"/>
          <w:szCs w:val="22"/>
        </w:rPr>
      </w:pPr>
    </w:p>
    <w:p w14:paraId="5EEC5B43" w14:textId="77777777"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2.5.2 Multivariate analysis</w:t>
      </w:r>
    </w:p>
    <w:p w14:paraId="2C76077C" w14:textId="326EF26F"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a. Principal Component Analysis</w:t>
      </w:r>
    </w:p>
    <w:p w14:paraId="4709FA56" w14:textId="1F5FF168" w:rsidR="00493D0A" w:rsidRPr="00FD6A48" w:rsidRDefault="00493D0A" w:rsidP="00A279DA">
      <w:pPr>
        <w:spacing w:line="360" w:lineRule="auto"/>
        <w:jc w:val="both"/>
        <w:rPr>
          <w:rFonts w:ascii="Arial" w:hAnsi="Arial" w:cs="Arial"/>
          <w:color w:val="000000" w:themeColor="text1"/>
        </w:rPr>
      </w:pPr>
      <w:r w:rsidRPr="00FD6A48">
        <w:rPr>
          <w:rFonts w:ascii="Arial" w:hAnsi="Arial" w:cs="Arial"/>
          <w:color w:val="000000" w:themeColor="text1"/>
        </w:rPr>
        <w:t xml:space="preserve">Principal Component Analysis was applied using the </w:t>
      </w:r>
      <w:r w:rsidR="004F11F5" w:rsidRPr="00FD6A48">
        <w:rPr>
          <w:rFonts w:ascii="Arial" w:hAnsi="Arial" w:cs="Arial"/>
          <w:color w:val="000000" w:themeColor="text1"/>
        </w:rPr>
        <w:t xml:space="preserve">prompt </w:t>
      </w:r>
      <w:r w:rsidRPr="00FD6A48">
        <w:rPr>
          <w:rFonts w:ascii="Arial" w:hAnsi="Arial" w:cs="Arial"/>
          <w:color w:val="000000" w:themeColor="text1"/>
        </w:rPr>
        <w:t xml:space="preserve">() function </w:t>
      </w:r>
      <w:r w:rsidR="00DA4006" w:rsidRPr="00FD6A48">
        <w:rPr>
          <w:rFonts w:ascii="Arial" w:hAnsi="Arial" w:cs="Arial"/>
          <w:color w:val="000000" w:themeColor="text1"/>
        </w:rPr>
        <w:t>in SPSS</w:t>
      </w:r>
      <w:r w:rsidRPr="00FD6A48">
        <w:rPr>
          <w:rFonts w:ascii="Arial" w:hAnsi="Arial" w:cs="Arial"/>
          <w:color w:val="000000" w:themeColor="text1"/>
        </w:rPr>
        <w:t xml:space="preserve"> to identify patterns </w:t>
      </w:r>
      <w:r w:rsidR="002C5A48" w:rsidRPr="00FD6A48">
        <w:rPr>
          <w:rFonts w:ascii="Arial" w:hAnsi="Arial" w:cs="Arial"/>
          <w:color w:val="000000" w:themeColor="text1"/>
        </w:rPr>
        <w:t>as well as to</w:t>
      </w:r>
      <w:r w:rsidRPr="00FD6A48">
        <w:rPr>
          <w:rFonts w:ascii="Arial" w:hAnsi="Arial" w:cs="Arial"/>
          <w:color w:val="000000" w:themeColor="text1"/>
        </w:rPr>
        <w:t xml:space="preserve"> reduce dimensionality in the hydrological dataset. Prior to analysis, all parameters were standardized via z-score transformation to eliminate scale effects. Due to differing measurement units, the correlation matrix was used instead of the covariance matrix.</w:t>
      </w:r>
    </w:p>
    <w:p w14:paraId="64D58A5C" w14:textId="77777777" w:rsidR="00F44F37" w:rsidRPr="00FD6A48" w:rsidRDefault="00F44F37" w:rsidP="00A279DA">
      <w:pPr>
        <w:spacing w:line="360" w:lineRule="auto"/>
        <w:jc w:val="both"/>
        <w:rPr>
          <w:rFonts w:ascii="Arial" w:hAnsi="Arial" w:cs="Arial"/>
          <w:b/>
          <w:bCs/>
          <w:color w:val="000000" w:themeColor="text1"/>
          <w:sz w:val="22"/>
          <w:szCs w:val="22"/>
        </w:rPr>
      </w:pPr>
    </w:p>
    <w:p w14:paraId="6F29D272" w14:textId="03EA8488" w:rsidR="00493D0A" w:rsidRPr="00FD6A48" w:rsidRDefault="00493D0A" w:rsidP="00A279DA">
      <w:pPr>
        <w:spacing w:line="360" w:lineRule="auto"/>
        <w:jc w:val="both"/>
        <w:rPr>
          <w:rFonts w:ascii="Arial" w:hAnsi="Arial" w:cs="Arial"/>
          <w:b/>
          <w:bCs/>
          <w:color w:val="000000" w:themeColor="text1"/>
          <w:sz w:val="22"/>
          <w:szCs w:val="22"/>
        </w:rPr>
      </w:pPr>
      <w:r w:rsidRPr="00FD6A48">
        <w:rPr>
          <w:rFonts w:ascii="Arial" w:hAnsi="Arial" w:cs="Arial"/>
          <w:b/>
          <w:bCs/>
          <w:color w:val="000000" w:themeColor="text1"/>
          <w:sz w:val="22"/>
          <w:szCs w:val="22"/>
        </w:rPr>
        <w:t>2.5.4</w:t>
      </w:r>
      <w:r w:rsidR="008B1B14" w:rsidRPr="00FD6A48">
        <w:rPr>
          <w:rFonts w:ascii="Arial" w:hAnsi="Arial" w:cs="Arial"/>
          <w:b/>
          <w:bCs/>
          <w:color w:val="000000" w:themeColor="text1"/>
          <w:sz w:val="22"/>
          <w:szCs w:val="22"/>
        </w:rPr>
        <w:t xml:space="preserve"> </w:t>
      </w:r>
      <w:r w:rsidRPr="00FD6A48">
        <w:rPr>
          <w:rFonts w:ascii="Arial" w:hAnsi="Arial" w:cs="Arial"/>
          <w:b/>
          <w:bCs/>
          <w:color w:val="000000" w:themeColor="text1"/>
          <w:sz w:val="22"/>
          <w:szCs w:val="22"/>
        </w:rPr>
        <w:t>Site Clustering and Ecological Interpretation</w:t>
      </w:r>
    </w:p>
    <w:p w14:paraId="327B5640" w14:textId="0FA94470" w:rsidR="00493D0A" w:rsidRPr="00FD6A48" w:rsidRDefault="00493D0A"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To visually interpret the results of Principal Component Analysis (PCA), a biplot was </w:t>
      </w:r>
      <w:r w:rsidR="00041F84" w:rsidRPr="00FD6A48">
        <w:rPr>
          <w:rFonts w:ascii="Arial" w:hAnsi="Arial" w:cs="Arial"/>
          <w:color w:val="000000" w:themeColor="text1"/>
        </w:rPr>
        <w:t>created</w:t>
      </w:r>
      <w:r w:rsidRPr="00FD6A48">
        <w:rPr>
          <w:rFonts w:ascii="Arial" w:hAnsi="Arial" w:cs="Arial"/>
          <w:color w:val="000000" w:themeColor="text1"/>
        </w:rPr>
        <w:t xml:space="preserve">, plotting the sampling data in a two-dimensional ordination space defined by the first two principal components (PC1 and PC2). In the PCA biplot, each point represents a specific sampling site and month, projected into a reduced two-dimensional space defined by the first two principal </w:t>
      </w:r>
      <w:r w:rsidR="004F11F5" w:rsidRPr="00FD6A48">
        <w:rPr>
          <w:rFonts w:ascii="Arial" w:hAnsi="Arial" w:cs="Arial"/>
          <w:color w:val="000000" w:themeColor="text1"/>
        </w:rPr>
        <w:t>components. This</w:t>
      </w:r>
      <w:r w:rsidRPr="00FD6A48">
        <w:rPr>
          <w:rFonts w:ascii="Arial" w:hAnsi="Arial" w:cs="Arial"/>
          <w:color w:val="000000" w:themeColor="text1"/>
        </w:rPr>
        <w:t xml:space="preserve"> spatial arrangement allows for the visualization of similarities or differences in hydrological profiles across time and location. Superimposed on this ordination are red arrows representing the six hydrological parameters, where the direction and length of each arrow indicate the magnitude and orientation of that parameter’s influence on the dataset. Parameters pointing in similar directions suggest positive correlations, while opposing vectors reflect negative associations. The biplot thus provides an intuitive overview </w:t>
      </w:r>
      <w:r w:rsidRPr="00FD6A48">
        <w:rPr>
          <w:rFonts w:ascii="Arial" w:hAnsi="Arial" w:cs="Arial"/>
          <w:color w:val="000000" w:themeColor="text1"/>
        </w:rPr>
        <w:lastRenderedPageBreak/>
        <w:t>of how different environmental variables interact and contribute to the observed variation in reservoir conditions.</w:t>
      </w:r>
    </w:p>
    <w:p w14:paraId="40A8B263" w14:textId="77777777" w:rsidR="00493D0A" w:rsidRPr="00FD6A48" w:rsidRDefault="00493D0A" w:rsidP="00A279DA">
      <w:pPr>
        <w:pStyle w:val="Body"/>
        <w:spacing w:after="0" w:line="360" w:lineRule="auto"/>
        <w:rPr>
          <w:rFonts w:ascii="Arial" w:hAnsi="Arial" w:cs="Arial"/>
          <w:color w:val="000000" w:themeColor="text1"/>
        </w:rPr>
      </w:pPr>
    </w:p>
    <w:p w14:paraId="22D05157" w14:textId="77777777" w:rsidR="00902823" w:rsidRPr="00FD6A48" w:rsidRDefault="00000F8F" w:rsidP="00A279DA">
      <w:pPr>
        <w:pStyle w:val="Head1"/>
        <w:spacing w:after="0" w:line="360" w:lineRule="auto"/>
        <w:jc w:val="both"/>
        <w:rPr>
          <w:rFonts w:ascii="Arial" w:hAnsi="Arial" w:cs="Arial"/>
          <w:color w:val="000000" w:themeColor="text1"/>
        </w:rPr>
      </w:pPr>
      <w:r w:rsidRPr="00FD6A48">
        <w:rPr>
          <w:rFonts w:ascii="Arial" w:hAnsi="Arial" w:cs="Arial"/>
          <w:color w:val="000000" w:themeColor="text1"/>
        </w:rPr>
        <w:t>3</w:t>
      </w:r>
      <w:r w:rsidR="00902823" w:rsidRPr="00FD6A48">
        <w:rPr>
          <w:rFonts w:ascii="Arial" w:hAnsi="Arial" w:cs="Arial"/>
          <w:color w:val="000000" w:themeColor="text1"/>
        </w:rPr>
        <w:t xml:space="preserve">. </w:t>
      </w:r>
      <w:bookmarkStart w:id="0" w:name="_GoBack"/>
      <w:r w:rsidRPr="00FD6A48">
        <w:rPr>
          <w:rFonts w:ascii="Arial" w:hAnsi="Arial" w:cs="Arial"/>
          <w:color w:val="000000" w:themeColor="text1"/>
        </w:rPr>
        <w:t>result</w:t>
      </w:r>
      <w:bookmarkEnd w:id="0"/>
      <w:r w:rsidRPr="00FD6A48">
        <w:rPr>
          <w:rFonts w:ascii="Arial" w:hAnsi="Arial" w:cs="Arial"/>
          <w:color w:val="000000" w:themeColor="text1"/>
        </w:rPr>
        <w:t>s and discussion</w:t>
      </w:r>
    </w:p>
    <w:p w14:paraId="028285B7" w14:textId="5FA05BC4" w:rsidR="00F44F37" w:rsidRPr="00FD6A48" w:rsidRDefault="00F44F37" w:rsidP="00A279DA">
      <w:pPr>
        <w:spacing w:line="360" w:lineRule="auto"/>
        <w:ind w:left="709" w:hanging="709"/>
        <w:jc w:val="both"/>
        <w:rPr>
          <w:rFonts w:ascii="Arial" w:hAnsi="Arial" w:cs="Arial"/>
          <w:b/>
          <w:bCs/>
          <w:color w:val="000000" w:themeColor="text1"/>
        </w:rPr>
      </w:pPr>
      <w:r w:rsidRPr="00FD6A48">
        <w:rPr>
          <w:rFonts w:ascii="Arial" w:hAnsi="Arial" w:cs="Arial"/>
          <w:b/>
          <w:bCs/>
          <w:color w:val="000000" w:themeColor="text1"/>
        </w:rPr>
        <w:t xml:space="preserve">3.1.1Statistical summary of hydrological parameter </w:t>
      </w:r>
      <w:r w:rsidR="006C2CAD" w:rsidRPr="00FD6A48">
        <w:rPr>
          <w:rFonts w:ascii="Arial" w:hAnsi="Arial" w:cs="Arial"/>
          <w:b/>
          <w:bCs/>
          <w:color w:val="000000" w:themeColor="text1"/>
        </w:rPr>
        <w:t>across five</w:t>
      </w:r>
      <w:r w:rsidRPr="00FD6A48">
        <w:rPr>
          <w:rFonts w:ascii="Arial" w:hAnsi="Arial" w:cs="Arial"/>
          <w:b/>
          <w:bCs/>
          <w:color w:val="000000" w:themeColor="text1"/>
        </w:rPr>
        <w:t xml:space="preserve"> sampling stations</w:t>
      </w:r>
    </w:p>
    <w:p w14:paraId="6450712E" w14:textId="3EE297D0"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The analysis of six core hydrological parameters, i.e., </w:t>
      </w:r>
      <w:r w:rsidR="00041F84" w:rsidRPr="00FD6A48">
        <w:rPr>
          <w:rFonts w:ascii="Arial" w:hAnsi="Arial" w:cs="Arial"/>
          <w:color w:val="000000" w:themeColor="text1"/>
        </w:rPr>
        <w:t>dissolved oxygen (DO), pH, alkalinity, transparency, temperature, and electrical conductivity (EC)</w:t>
      </w:r>
      <w:r w:rsidRPr="00FD6A48">
        <w:rPr>
          <w:rFonts w:ascii="Arial" w:hAnsi="Arial" w:cs="Arial"/>
          <w:color w:val="000000" w:themeColor="text1"/>
        </w:rPr>
        <w:t xml:space="preserve">, revealed distinct </w:t>
      </w:r>
      <w:proofErr w:type="spellStart"/>
      <w:r w:rsidRPr="00FD6A48">
        <w:rPr>
          <w:rFonts w:ascii="Arial" w:hAnsi="Arial" w:cs="Arial"/>
          <w:color w:val="000000" w:themeColor="text1"/>
        </w:rPr>
        <w:t>spatio</w:t>
      </w:r>
      <w:proofErr w:type="spellEnd"/>
      <w:r w:rsidRPr="00FD6A48">
        <w:rPr>
          <w:rFonts w:ascii="Arial" w:hAnsi="Arial" w:cs="Arial"/>
          <w:color w:val="000000" w:themeColor="text1"/>
        </w:rPr>
        <w:t xml:space="preserve">-temporal variations across the five sampling stations (S1–S5) over the 18-month monitoring period. </w:t>
      </w:r>
    </w:p>
    <w:p w14:paraId="0F7ED1C5" w14:textId="77777777" w:rsidR="008B1B14" w:rsidRPr="00FD6A48" w:rsidRDefault="008B1B14" w:rsidP="00A279DA">
      <w:pPr>
        <w:spacing w:line="360" w:lineRule="auto"/>
        <w:jc w:val="both"/>
        <w:rPr>
          <w:rFonts w:ascii="Arial" w:hAnsi="Arial" w:cs="Arial"/>
          <w:b/>
          <w:bCs/>
          <w:color w:val="000000" w:themeColor="text1"/>
        </w:rPr>
      </w:pPr>
    </w:p>
    <w:p w14:paraId="7D12D849" w14:textId="4FF5597E"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1</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w:t>
      </w:r>
      <w:r w:rsidR="006C2CAD" w:rsidRPr="00FD6A48">
        <w:rPr>
          <w:rFonts w:ascii="Arial" w:hAnsi="Arial" w:cs="Arial"/>
          <w:b/>
          <w:bCs/>
          <w:color w:val="000000" w:themeColor="text1"/>
        </w:rPr>
        <w:t>temporal variations</w:t>
      </w:r>
      <w:r w:rsidRPr="00FD6A48">
        <w:rPr>
          <w:rFonts w:ascii="Arial" w:hAnsi="Arial" w:cs="Arial"/>
          <w:b/>
          <w:bCs/>
          <w:color w:val="000000" w:themeColor="text1"/>
        </w:rPr>
        <w:t xml:space="preserve"> of alkalinity (mg/L) across sampling stations </w:t>
      </w:r>
    </w:p>
    <w:p w14:paraId="570072E9" w14:textId="77777777" w:rsidR="00F44F37" w:rsidRPr="00FD6A48" w:rsidRDefault="00F44F37" w:rsidP="00A279DA">
      <w:pPr>
        <w:spacing w:line="360" w:lineRule="auto"/>
        <w:jc w:val="both"/>
        <w:rPr>
          <w:rFonts w:ascii="Arial" w:hAnsi="Arial" w:cs="Arial"/>
          <w:b/>
          <w:bCs/>
          <w:color w:val="000000" w:themeColor="text1"/>
        </w:rPr>
      </w:pPr>
    </w:p>
    <w:tbl>
      <w:tblPr>
        <w:tblStyle w:val="TableGrid"/>
        <w:tblW w:w="10407" w:type="dxa"/>
        <w:tblInd w:w="-656" w:type="dxa"/>
        <w:tblLook w:val="04A0" w:firstRow="1" w:lastRow="0" w:firstColumn="1" w:lastColumn="0" w:noHBand="0" w:noVBand="1"/>
      </w:tblPr>
      <w:tblGrid>
        <w:gridCol w:w="715"/>
        <w:gridCol w:w="528"/>
        <w:gridCol w:w="545"/>
        <w:gridCol w:w="545"/>
        <w:gridCol w:w="519"/>
        <w:gridCol w:w="572"/>
        <w:gridCol w:w="528"/>
        <w:gridCol w:w="483"/>
        <w:gridCol w:w="554"/>
        <w:gridCol w:w="554"/>
        <w:gridCol w:w="519"/>
        <w:gridCol w:w="554"/>
        <w:gridCol w:w="554"/>
        <w:gridCol w:w="528"/>
        <w:gridCol w:w="545"/>
        <w:gridCol w:w="545"/>
        <w:gridCol w:w="519"/>
        <w:gridCol w:w="572"/>
        <w:gridCol w:w="528"/>
      </w:tblGrid>
      <w:tr w:rsidR="00FE3E5D" w:rsidRPr="00FD6A48" w14:paraId="625BA547" w14:textId="77777777" w:rsidTr="00041F84">
        <w:trPr>
          <w:trHeight w:val="923"/>
        </w:trPr>
        <w:tc>
          <w:tcPr>
            <w:tcW w:w="0" w:type="auto"/>
            <w:hideMark/>
          </w:tcPr>
          <w:p w14:paraId="4745415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Month                                                                                                              Station</w:t>
            </w:r>
          </w:p>
        </w:tc>
        <w:tc>
          <w:tcPr>
            <w:tcW w:w="0" w:type="auto"/>
            <w:hideMark/>
          </w:tcPr>
          <w:p w14:paraId="46E97C2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0" w:type="auto"/>
            <w:hideMark/>
          </w:tcPr>
          <w:p w14:paraId="064BD4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0" w:type="auto"/>
            <w:hideMark/>
          </w:tcPr>
          <w:p w14:paraId="262AF71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0" w:type="auto"/>
            <w:hideMark/>
          </w:tcPr>
          <w:p w14:paraId="595726E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0" w:type="auto"/>
            <w:hideMark/>
          </w:tcPr>
          <w:p w14:paraId="7F7CEA3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0" w:type="auto"/>
            <w:hideMark/>
          </w:tcPr>
          <w:p w14:paraId="7632794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0" w:type="auto"/>
            <w:hideMark/>
          </w:tcPr>
          <w:p w14:paraId="09637A4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0" w:type="auto"/>
            <w:hideMark/>
          </w:tcPr>
          <w:p w14:paraId="4856B5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0" w:type="auto"/>
            <w:hideMark/>
          </w:tcPr>
          <w:p w14:paraId="417A38C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0" w:type="auto"/>
            <w:hideMark/>
          </w:tcPr>
          <w:p w14:paraId="08E1675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0" w:type="auto"/>
            <w:hideMark/>
          </w:tcPr>
          <w:p w14:paraId="4A4632C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0" w:type="auto"/>
            <w:hideMark/>
          </w:tcPr>
          <w:p w14:paraId="02178CD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0" w:type="auto"/>
            <w:hideMark/>
          </w:tcPr>
          <w:p w14:paraId="5C81ACB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0" w:type="auto"/>
            <w:hideMark/>
          </w:tcPr>
          <w:p w14:paraId="75CC390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0" w:type="auto"/>
            <w:hideMark/>
          </w:tcPr>
          <w:p w14:paraId="36B3DF9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0" w:type="auto"/>
            <w:hideMark/>
          </w:tcPr>
          <w:p w14:paraId="2D96547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0" w:type="auto"/>
            <w:hideMark/>
          </w:tcPr>
          <w:p w14:paraId="7B3234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0" w:type="auto"/>
            <w:hideMark/>
          </w:tcPr>
          <w:p w14:paraId="501C224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39B1A7A6" w14:textId="77777777" w:rsidTr="00041F84">
        <w:trPr>
          <w:trHeight w:val="456"/>
        </w:trPr>
        <w:tc>
          <w:tcPr>
            <w:tcW w:w="0" w:type="auto"/>
            <w:hideMark/>
          </w:tcPr>
          <w:p w14:paraId="70E08A6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S1</w:t>
            </w:r>
          </w:p>
        </w:tc>
        <w:tc>
          <w:tcPr>
            <w:tcW w:w="0" w:type="auto"/>
            <w:hideMark/>
          </w:tcPr>
          <w:p w14:paraId="712B7E8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142</w:t>
            </w:r>
          </w:p>
        </w:tc>
        <w:tc>
          <w:tcPr>
            <w:tcW w:w="0" w:type="auto"/>
            <w:hideMark/>
          </w:tcPr>
          <w:p w14:paraId="2CA2799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153</w:t>
            </w:r>
          </w:p>
        </w:tc>
        <w:tc>
          <w:tcPr>
            <w:tcW w:w="0" w:type="auto"/>
            <w:hideMark/>
          </w:tcPr>
          <w:p w14:paraId="701F0FE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115</w:t>
            </w:r>
          </w:p>
        </w:tc>
        <w:tc>
          <w:tcPr>
            <w:tcW w:w="0" w:type="auto"/>
            <w:hideMark/>
          </w:tcPr>
          <w:p w14:paraId="72B3369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177</w:t>
            </w:r>
          </w:p>
        </w:tc>
        <w:tc>
          <w:tcPr>
            <w:tcW w:w="0" w:type="auto"/>
            <w:hideMark/>
          </w:tcPr>
          <w:p w14:paraId="6043095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123</w:t>
            </w:r>
          </w:p>
        </w:tc>
        <w:tc>
          <w:tcPr>
            <w:tcW w:w="0" w:type="auto"/>
            <w:hideMark/>
          </w:tcPr>
          <w:p w14:paraId="06CB170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95</w:t>
            </w:r>
          </w:p>
        </w:tc>
        <w:tc>
          <w:tcPr>
            <w:tcW w:w="0" w:type="auto"/>
            <w:hideMark/>
          </w:tcPr>
          <w:p w14:paraId="383ED35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98</w:t>
            </w:r>
          </w:p>
        </w:tc>
        <w:tc>
          <w:tcPr>
            <w:tcW w:w="0" w:type="auto"/>
            <w:hideMark/>
          </w:tcPr>
          <w:p w14:paraId="5D3D7C4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111</w:t>
            </w:r>
          </w:p>
        </w:tc>
        <w:tc>
          <w:tcPr>
            <w:tcW w:w="0" w:type="auto"/>
            <w:hideMark/>
          </w:tcPr>
          <w:p w14:paraId="1AD49B7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87</w:t>
            </w:r>
          </w:p>
        </w:tc>
        <w:tc>
          <w:tcPr>
            <w:tcW w:w="0" w:type="auto"/>
            <w:hideMark/>
          </w:tcPr>
          <w:p w14:paraId="695BD8A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120</w:t>
            </w:r>
          </w:p>
        </w:tc>
        <w:tc>
          <w:tcPr>
            <w:tcW w:w="0" w:type="auto"/>
            <w:hideMark/>
          </w:tcPr>
          <w:p w14:paraId="039344A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140</w:t>
            </w:r>
          </w:p>
        </w:tc>
        <w:tc>
          <w:tcPr>
            <w:tcW w:w="0" w:type="auto"/>
            <w:hideMark/>
          </w:tcPr>
          <w:p w14:paraId="43BD872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151</w:t>
            </w:r>
          </w:p>
        </w:tc>
        <w:tc>
          <w:tcPr>
            <w:tcW w:w="0" w:type="auto"/>
            <w:hideMark/>
          </w:tcPr>
          <w:p w14:paraId="58F767E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156</w:t>
            </w:r>
          </w:p>
        </w:tc>
        <w:tc>
          <w:tcPr>
            <w:tcW w:w="0" w:type="auto"/>
            <w:hideMark/>
          </w:tcPr>
          <w:p w14:paraId="265A80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78FCEE0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134</w:t>
            </w:r>
          </w:p>
        </w:tc>
        <w:tc>
          <w:tcPr>
            <w:tcW w:w="0" w:type="auto"/>
            <w:hideMark/>
          </w:tcPr>
          <w:p w14:paraId="1A451B2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156</w:t>
            </w:r>
          </w:p>
        </w:tc>
        <w:tc>
          <w:tcPr>
            <w:tcW w:w="0" w:type="auto"/>
            <w:hideMark/>
          </w:tcPr>
          <w:p w14:paraId="682F641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7D1F6D5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97</w:t>
            </w:r>
          </w:p>
        </w:tc>
      </w:tr>
      <w:tr w:rsidR="00FE3E5D" w:rsidRPr="00FD6A48" w14:paraId="557099AE" w14:textId="77777777" w:rsidTr="00041F84">
        <w:trPr>
          <w:trHeight w:val="456"/>
        </w:trPr>
        <w:tc>
          <w:tcPr>
            <w:tcW w:w="0" w:type="auto"/>
            <w:hideMark/>
          </w:tcPr>
          <w:p w14:paraId="6F79627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S2</w:t>
            </w:r>
          </w:p>
        </w:tc>
        <w:tc>
          <w:tcPr>
            <w:tcW w:w="0" w:type="auto"/>
            <w:hideMark/>
          </w:tcPr>
          <w:p w14:paraId="1EC292C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136</w:t>
            </w:r>
          </w:p>
        </w:tc>
        <w:tc>
          <w:tcPr>
            <w:tcW w:w="0" w:type="auto"/>
            <w:hideMark/>
          </w:tcPr>
          <w:p w14:paraId="2985640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167</w:t>
            </w:r>
          </w:p>
        </w:tc>
        <w:tc>
          <w:tcPr>
            <w:tcW w:w="0" w:type="auto"/>
            <w:hideMark/>
          </w:tcPr>
          <w:p w14:paraId="7D5A95C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118</w:t>
            </w:r>
          </w:p>
        </w:tc>
        <w:tc>
          <w:tcPr>
            <w:tcW w:w="0" w:type="auto"/>
            <w:hideMark/>
          </w:tcPr>
          <w:p w14:paraId="17304F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176</w:t>
            </w:r>
          </w:p>
        </w:tc>
        <w:tc>
          <w:tcPr>
            <w:tcW w:w="0" w:type="auto"/>
            <w:hideMark/>
          </w:tcPr>
          <w:p w14:paraId="3362FC1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126</w:t>
            </w:r>
          </w:p>
        </w:tc>
        <w:tc>
          <w:tcPr>
            <w:tcW w:w="0" w:type="auto"/>
            <w:hideMark/>
          </w:tcPr>
          <w:p w14:paraId="776E81E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98</w:t>
            </w:r>
          </w:p>
        </w:tc>
        <w:tc>
          <w:tcPr>
            <w:tcW w:w="0" w:type="auto"/>
            <w:hideMark/>
          </w:tcPr>
          <w:p w14:paraId="657A82E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96</w:t>
            </w:r>
          </w:p>
        </w:tc>
        <w:tc>
          <w:tcPr>
            <w:tcW w:w="0" w:type="auto"/>
            <w:hideMark/>
          </w:tcPr>
          <w:p w14:paraId="27FD188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102</w:t>
            </w:r>
          </w:p>
        </w:tc>
        <w:tc>
          <w:tcPr>
            <w:tcW w:w="0" w:type="auto"/>
            <w:hideMark/>
          </w:tcPr>
          <w:p w14:paraId="33A3FFB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90</w:t>
            </w:r>
          </w:p>
        </w:tc>
        <w:tc>
          <w:tcPr>
            <w:tcW w:w="0" w:type="auto"/>
            <w:hideMark/>
          </w:tcPr>
          <w:p w14:paraId="3595DA2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134</w:t>
            </w:r>
          </w:p>
        </w:tc>
        <w:tc>
          <w:tcPr>
            <w:tcW w:w="0" w:type="auto"/>
            <w:hideMark/>
          </w:tcPr>
          <w:p w14:paraId="50E01A9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134</w:t>
            </w:r>
          </w:p>
        </w:tc>
        <w:tc>
          <w:tcPr>
            <w:tcW w:w="0" w:type="auto"/>
            <w:hideMark/>
          </w:tcPr>
          <w:p w14:paraId="4068BA5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144</w:t>
            </w:r>
          </w:p>
        </w:tc>
        <w:tc>
          <w:tcPr>
            <w:tcW w:w="0" w:type="auto"/>
            <w:hideMark/>
          </w:tcPr>
          <w:p w14:paraId="0CC191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159</w:t>
            </w:r>
          </w:p>
        </w:tc>
        <w:tc>
          <w:tcPr>
            <w:tcW w:w="0" w:type="auto"/>
            <w:hideMark/>
          </w:tcPr>
          <w:p w14:paraId="78EDD81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154</w:t>
            </w:r>
          </w:p>
        </w:tc>
        <w:tc>
          <w:tcPr>
            <w:tcW w:w="0" w:type="auto"/>
            <w:hideMark/>
          </w:tcPr>
          <w:p w14:paraId="578862D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2643D20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150</w:t>
            </w:r>
          </w:p>
        </w:tc>
        <w:tc>
          <w:tcPr>
            <w:tcW w:w="0" w:type="auto"/>
            <w:hideMark/>
          </w:tcPr>
          <w:p w14:paraId="12DE2CA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149</w:t>
            </w:r>
          </w:p>
        </w:tc>
        <w:tc>
          <w:tcPr>
            <w:tcW w:w="0" w:type="auto"/>
            <w:hideMark/>
          </w:tcPr>
          <w:p w14:paraId="70645DD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99</w:t>
            </w:r>
          </w:p>
        </w:tc>
      </w:tr>
      <w:tr w:rsidR="00FE3E5D" w:rsidRPr="00FD6A48" w14:paraId="00DF4F6F" w14:textId="77777777" w:rsidTr="00041F84">
        <w:trPr>
          <w:trHeight w:val="456"/>
        </w:trPr>
        <w:tc>
          <w:tcPr>
            <w:tcW w:w="0" w:type="auto"/>
            <w:hideMark/>
          </w:tcPr>
          <w:p w14:paraId="5BC4983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0" w:type="auto"/>
            <w:hideMark/>
          </w:tcPr>
          <w:p w14:paraId="2010D81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123</w:t>
            </w:r>
          </w:p>
        </w:tc>
        <w:tc>
          <w:tcPr>
            <w:tcW w:w="0" w:type="auto"/>
            <w:hideMark/>
          </w:tcPr>
          <w:p w14:paraId="413FB1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170</w:t>
            </w:r>
          </w:p>
        </w:tc>
        <w:tc>
          <w:tcPr>
            <w:tcW w:w="0" w:type="auto"/>
            <w:hideMark/>
          </w:tcPr>
          <w:p w14:paraId="4391A9D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111</w:t>
            </w:r>
          </w:p>
        </w:tc>
        <w:tc>
          <w:tcPr>
            <w:tcW w:w="0" w:type="auto"/>
            <w:hideMark/>
          </w:tcPr>
          <w:p w14:paraId="462EBB8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117</w:t>
            </w:r>
          </w:p>
        </w:tc>
        <w:tc>
          <w:tcPr>
            <w:tcW w:w="0" w:type="auto"/>
            <w:hideMark/>
          </w:tcPr>
          <w:p w14:paraId="09DD435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086D793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97</w:t>
            </w:r>
          </w:p>
        </w:tc>
        <w:tc>
          <w:tcPr>
            <w:tcW w:w="0" w:type="auto"/>
            <w:hideMark/>
          </w:tcPr>
          <w:p w14:paraId="6AD0CCB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95</w:t>
            </w:r>
          </w:p>
        </w:tc>
        <w:tc>
          <w:tcPr>
            <w:tcW w:w="0" w:type="auto"/>
            <w:hideMark/>
          </w:tcPr>
          <w:p w14:paraId="674A3AC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97</w:t>
            </w:r>
          </w:p>
        </w:tc>
        <w:tc>
          <w:tcPr>
            <w:tcW w:w="0" w:type="auto"/>
            <w:hideMark/>
          </w:tcPr>
          <w:p w14:paraId="25BCF9D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94</w:t>
            </w:r>
          </w:p>
        </w:tc>
        <w:tc>
          <w:tcPr>
            <w:tcW w:w="0" w:type="auto"/>
            <w:hideMark/>
          </w:tcPr>
          <w:p w14:paraId="5DC8C2D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143</w:t>
            </w:r>
          </w:p>
        </w:tc>
        <w:tc>
          <w:tcPr>
            <w:tcW w:w="0" w:type="auto"/>
            <w:hideMark/>
          </w:tcPr>
          <w:p w14:paraId="79E8360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156</w:t>
            </w:r>
          </w:p>
        </w:tc>
        <w:tc>
          <w:tcPr>
            <w:tcW w:w="0" w:type="auto"/>
            <w:hideMark/>
          </w:tcPr>
          <w:p w14:paraId="5C6DAF0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156</w:t>
            </w:r>
          </w:p>
        </w:tc>
        <w:tc>
          <w:tcPr>
            <w:tcW w:w="0" w:type="auto"/>
            <w:hideMark/>
          </w:tcPr>
          <w:p w14:paraId="76E00B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155</w:t>
            </w:r>
          </w:p>
        </w:tc>
        <w:tc>
          <w:tcPr>
            <w:tcW w:w="0" w:type="auto"/>
            <w:hideMark/>
          </w:tcPr>
          <w:p w14:paraId="0C2D339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146</w:t>
            </w:r>
          </w:p>
        </w:tc>
        <w:tc>
          <w:tcPr>
            <w:tcW w:w="0" w:type="auto"/>
            <w:hideMark/>
          </w:tcPr>
          <w:p w14:paraId="3D21A50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4EC541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167</w:t>
            </w:r>
          </w:p>
        </w:tc>
        <w:tc>
          <w:tcPr>
            <w:tcW w:w="0" w:type="auto"/>
            <w:hideMark/>
          </w:tcPr>
          <w:p w14:paraId="006B054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24B64E1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95</w:t>
            </w:r>
          </w:p>
        </w:tc>
      </w:tr>
      <w:tr w:rsidR="00FE3E5D" w:rsidRPr="00FD6A48" w14:paraId="55FD8044" w14:textId="77777777" w:rsidTr="00041F84">
        <w:trPr>
          <w:trHeight w:val="456"/>
        </w:trPr>
        <w:tc>
          <w:tcPr>
            <w:tcW w:w="0" w:type="auto"/>
            <w:hideMark/>
          </w:tcPr>
          <w:p w14:paraId="11F70A5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S4</w:t>
            </w:r>
          </w:p>
        </w:tc>
        <w:tc>
          <w:tcPr>
            <w:tcW w:w="0" w:type="auto"/>
            <w:hideMark/>
          </w:tcPr>
          <w:p w14:paraId="4D545F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123</w:t>
            </w:r>
          </w:p>
        </w:tc>
        <w:tc>
          <w:tcPr>
            <w:tcW w:w="0" w:type="auto"/>
            <w:hideMark/>
          </w:tcPr>
          <w:p w14:paraId="38E0551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166</w:t>
            </w:r>
          </w:p>
        </w:tc>
        <w:tc>
          <w:tcPr>
            <w:tcW w:w="0" w:type="auto"/>
            <w:hideMark/>
          </w:tcPr>
          <w:p w14:paraId="112D37E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114</w:t>
            </w:r>
          </w:p>
        </w:tc>
        <w:tc>
          <w:tcPr>
            <w:tcW w:w="0" w:type="auto"/>
            <w:hideMark/>
          </w:tcPr>
          <w:p w14:paraId="0EC6B65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115</w:t>
            </w:r>
          </w:p>
        </w:tc>
        <w:tc>
          <w:tcPr>
            <w:tcW w:w="0" w:type="auto"/>
            <w:hideMark/>
          </w:tcPr>
          <w:p w14:paraId="784E19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124</w:t>
            </w:r>
          </w:p>
        </w:tc>
        <w:tc>
          <w:tcPr>
            <w:tcW w:w="0" w:type="auto"/>
            <w:hideMark/>
          </w:tcPr>
          <w:p w14:paraId="6734FA9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100</w:t>
            </w:r>
          </w:p>
        </w:tc>
        <w:tc>
          <w:tcPr>
            <w:tcW w:w="0" w:type="auto"/>
            <w:hideMark/>
          </w:tcPr>
          <w:p w14:paraId="767DA05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101</w:t>
            </w:r>
          </w:p>
        </w:tc>
        <w:tc>
          <w:tcPr>
            <w:tcW w:w="0" w:type="auto"/>
            <w:hideMark/>
          </w:tcPr>
          <w:p w14:paraId="4C7DC3C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96</w:t>
            </w:r>
          </w:p>
        </w:tc>
        <w:tc>
          <w:tcPr>
            <w:tcW w:w="0" w:type="auto"/>
            <w:hideMark/>
          </w:tcPr>
          <w:p w14:paraId="0FCCD24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96</w:t>
            </w:r>
          </w:p>
        </w:tc>
        <w:tc>
          <w:tcPr>
            <w:tcW w:w="0" w:type="auto"/>
            <w:hideMark/>
          </w:tcPr>
          <w:p w14:paraId="3FAAF87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138</w:t>
            </w:r>
          </w:p>
        </w:tc>
        <w:tc>
          <w:tcPr>
            <w:tcW w:w="0" w:type="auto"/>
            <w:hideMark/>
          </w:tcPr>
          <w:p w14:paraId="1D0A691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123</w:t>
            </w:r>
          </w:p>
        </w:tc>
        <w:tc>
          <w:tcPr>
            <w:tcW w:w="0" w:type="auto"/>
            <w:hideMark/>
          </w:tcPr>
          <w:p w14:paraId="336F316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140</w:t>
            </w:r>
          </w:p>
        </w:tc>
        <w:tc>
          <w:tcPr>
            <w:tcW w:w="0" w:type="auto"/>
            <w:hideMark/>
          </w:tcPr>
          <w:p w14:paraId="4BC6711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152</w:t>
            </w:r>
          </w:p>
        </w:tc>
        <w:tc>
          <w:tcPr>
            <w:tcW w:w="0" w:type="auto"/>
            <w:hideMark/>
          </w:tcPr>
          <w:p w14:paraId="16EE50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4F9A19A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143</w:t>
            </w:r>
          </w:p>
        </w:tc>
        <w:tc>
          <w:tcPr>
            <w:tcW w:w="0" w:type="auto"/>
            <w:hideMark/>
          </w:tcPr>
          <w:p w14:paraId="65D7BBF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162</w:t>
            </w:r>
          </w:p>
        </w:tc>
        <w:tc>
          <w:tcPr>
            <w:tcW w:w="0" w:type="auto"/>
            <w:hideMark/>
          </w:tcPr>
          <w:p w14:paraId="2053D75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138</w:t>
            </w:r>
          </w:p>
        </w:tc>
        <w:tc>
          <w:tcPr>
            <w:tcW w:w="0" w:type="auto"/>
            <w:hideMark/>
          </w:tcPr>
          <w:p w14:paraId="4B78024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98</w:t>
            </w:r>
          </w:p>
        </w:tc>
      </w:tr>
      <w:tr w:rsidR="006C2CAD" w:rsidRPr="00FD6A48" w14:paraId="259D1D98" w14:textId="77777777" w:rsidTr="00041F84">
        <w:trPr>
          <w:trHeight w:val="456"/>
        </w:trPr>
        <w:tc>
          <w:tcPr>
            <w:tcW w:w="0" w:type="auto"/>
            <w:hideMark/>
          </w:tcPr>
          <w:p w14:paraId="792E9C4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S5</w:t>
            </w:r>
          </w:p>
        </w:tc>
        <w:tc>
          <w:tcPr>
            <w:tcW w:w="0" w:type="auto"/>
            <w:hideMark/>
          </w:tcPr>
          <w:p w14:paraId="0C2F098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127</w:t>
            </w:r>
          </w:p>
        </w:tc>
        <w:tc>
          <w:tcPr>
            <w:tcW w:w="0" w:type="auto"/>
            <w:hideMark/>
          </w:tcPr>
          <w:p w14:paraId="038CFB2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162</w:t>
            </w:r>
          </w:p>
        </w:tc>
        <w:tc>
          <w:tcPr>
            <w:tcW w:w="0" w:type="auto"/>
            <w:hideMark/>
          </w:tcPr>
          <w:p w14:paraId="528CA83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117</w:t>
            </w:r>
          </w:p>
        </w:tc>
        <w:tc>
          <w:tcPr>
            <w:tcW w:w="0" w:type="auto"/>
            <w:hideMark/>
          </w:tcPr>
          <w:p w14:paraId="791F238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119</w:t>
            </w:r>
          </w:p>
        </w:tc>
        <w:tc>
          <w:tcPr>
            <w:tcW w:w="0" w:type="auto"/>
            <w:hideMark/>
          </w:tcPr>
          <w:p w14:paraId="3AA28C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08FD3BC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99</w:t>
            </w:r>
          </w:p>
        </w:tc>
        <w:tc>
          <w:tcPr>
            <w:tcW w:w="0" w:type="auto"/>
            <w:hideMark/>
          </w:tcPr>
          <w:p w14:paraId="75EBC97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105</w:t>
            </w:r>
          </w:p>
        </w:tc>
        <w:tc>
          <w:tcPr>
            <w:tcW w:w="0" w:type="auto"/>
            <w:hideMark/>
          </w:tcPr>
          <w:p w14:paraId="719DAC1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87</w:t>
            </w:r>
          </w:p>
        </w:tc>
        <w:tc>
          <w:tcPr>
            <w:tcW w:w="0" w:type="auto"/>
            <w:hideMark/>
          </w:tcPr>
          <w:p w14:paraId="48DF7C3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98</w:t>
            </w:r>
          </w:p>
        </w:tc>
        <w:tc>
          <w:tcPr>
            <w:tcW w:w="0" w:type="auto"/>
            <w:hideMark/>
          </w:tcPr>
          <w:p w14:paraId="40AD3B0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132</w:t>
            </w:r>
          </w:p>
        </w:tc>
        <w:tc>
          <w:tcPr>
            <w:tcW w:w="0" w:type="auto"/>
            <w:hideMark/>
          </w:tcPr>
          <w:p w14:paraId="50BF18D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140</w:t>
            </w:r>
          </w:p>
        </w:tc>
        <w:tc>
          <w:tcPr>
            <w:tcW w:w="0" w:type="auto"/>
            <w:hideMark/>
          </w:tcPr>
          <w:p w14:paraId="4E29F0D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166</w:t>
            </w:r>
          </w:p>
        </w:tc>
        <w:tc>
          <w:tcPr>
            <w:tcW w:w="0" w:type="auto"/>
            <w:hideMark/>
          </w:tcPr>
          <w:p w14:paraId="3A0A1D8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311CD78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154</w:t>
            </w:r>
          </w:p>
        </w:tc>
        <w:tc>
          <w:tcPr>
            <w:tcW w:w="0" w:type="auto"/>
            <w:hideMark/>
          </w:tcPr>
          <w:p w14:paraId="3A855B6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145</w:t>
            </w:r>
          </w:p>
        </w:tc>
        <w:tc>
          <w:tcPr>
            <w:tcW w:w="0" w:type="auto"/>
            <w:hideMark/>
          </w:tcPr>
          <w:p w14:paraId="2910D7A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176</w:t>
            </w:r>
          </w:p>
        </w:tc>
        <w:tc>
          <w:tcPr>
            <w:tcW w:w="0" w:type="auto"/>
            <w:hideMark/>
          </w:tcPr>
          <w:p w14:paraId="062D51C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157</w:t>
            </w:r>
          </w:p>
        </w:tc>
        <w:tc>
          <w:tcPr>
            <w:tcW w:w="0" w:type="auto"/>
            <w:hideMark/>
          </w:tcPr>
          <w:p w14:paraId="13A7C0D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102</w:t>
            </w:r>
          </w:p>
        </w:tc>
      </w:tr>
    </w:tbl>
    <w:p w14:paraId="178519E0" w14:textId="77777777" w:rsidR="00F44F37" w:rsidRPr="00FD6A48" w:rsidRDefault="00F44F37" w:rsidP="00A279DA">
      <w:pPr>
        <w:spacing w:line="360" w:lineRule="auto"/>
        <w:jc w:val="both"/>
        <w:rPr>
          <w:rFonts w:ascii="Arial" w:hAnsi="Arial" w:cs="Arial"/>
          <w:b/>
          <w:bCs/>
          <w:color w:val="000000" w:themeColor="text1"/>
        </w:rPr>
      </w:pPr>
    </w:p>
    <w:p w14:paraId="683E6F0E" w14:textId="7EC4D1AF"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Alkalinity values fluctuated between 87 and 177 mg/L, with peak levels observed during the pre-monsoon months (March–April), especially at Stations S1 and S2 (Table </w:t>
      </w:r>
      <w:r w:rsidR="00D75EC5">
        <w:rPr>
          <w:rFonts w:ascii="Arial" w:hAnsi="Arial" w:cs="Arial"/>
          <w:color w:val="000000" w:themeColor="text1"/>
        </w:rPr>
        <w:t>1</w:t>
      </w:r>
      <w:r w:rsidRPr="00FD6A48">
        <w:rPr>
          <w:rFonts w:ascii="Arial" w:hAnsi="Arial" w:cs="Arial"/>
          <w:color w:val="000000" w:themeColor="text1"/>
        </w:rPr>
        <w:t>). This trend reflects heightened carbonate buffering capacity, likely due to increased photosynthetic activity and geochemical weathering. Conversely, a clear decline in alkalinity was recorded during the monsoon (June–September), indicating dilution from rainwater and surface runoff.</w:t>
      </w:r>
    </w:p>
    <w:p w14:paraId="03DBCB9E" w14:textId="77777777" w:rsidR="004F11F5" w:rsidRPr="00FD6A48" w:rsidRDefault="004F11F5" w:rsidP="00A279DA">
      <w:pPr>
        <w:spacing w:line="360" w:lineRule="auto"/>
        <w:ind w:firstLine="720"/>
        <w:jc w:val="both"/>
        <w:rPr>
          <w:rFonts w:ascii="Arial" w:hAnsi="Arial" w:cs="Arial"/>
          <w:color w:val="000000" w:themeColor="text1"/>
        </w:rPr>
      </w:pPr>
    </w:p>
    <w:p w14:paraId="3E374D45" w14:textId="0FF1FAD6"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2</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pH across sampling stations </w:t>
      </w:r>
    </w:p>
    <w:tbl>
      <w:tblPr>
        <w:tblStyle w:val="TableGrid"/>
        <w:tblW w:w="6220" w:type="pct"/>
        <w:tblInd w:w="-706" w:type="dxa"/>
        <w:tblLook w:val="04A0" w:firstRow="1" w:lastRow="0" w:firstColumn="1" w:lastColumn="0" w:noHBand="0" w:noVBand="1"/>
      </w:tblPr>
      <w:tblGrid>
        <w:gridCol w:w="715"/>
        <w:gridCol w:w="528"/>
        <w:gridCol w:w="545"/>
        <w:gridCol w:w="545"/>
        <w:gridCol w:w="528"/>
        <w:gridCol w:w="572"/>
        <w:gridCol w:w="528"/>
        <w:gridCol w:w="528"/>
        <w:gridCol w:w="554"/>
        <w:gridCol w:w="554"/>
        <w:gridCol w:w="528"/>
        <w:gridCol w:w="554"/>
        <w:gridCol w:w="554"/>
        <w:gridCol w:w="528"/>
        <w:gridCol w:w="545"/>
        <w:gridCol w:w="545"/>
        <w:gridCol w:w="528"/>
        <w:gridCol w:w="572"/>
        <w:gridCol w:w="528"/>
      </w:tblGrid>
      <w:tr w:rsidR="00FE3E5D" w:rsidRPr="00FD6A48" w14:paraId="6FEA3E88" w14:textId="77777777" w:rsidTr="008B1B14">
        <w:trPr>
          <w:trHeight w:val="728"/>
        </w:trPr>
        <w:tc>
          <w:tcPr>
            <w:tcW w:w="341" w:type="pct"/>
            <w:hideMark/>
          </w:tcPr>
          <w:p w14:paraId="01A1F6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Month                                                                                                               Station</w:t>
            </w:r>
          </w:p>
        </w:tc>
        <w:tc>
          <w:tcPr>
            <w:tcW w:w="252" w:type="pct"/>
            <w:hideMark/>
          </w:tcPr>
          <w:p w14:paraId="3D70751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260" w:type="pct"/>
            <w:hideMark/>
          </w:tcPr>
          <w:p w14:paraId="1E49325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260" w:type="pct"/>
            <w:hideMark/>
          </w:tcPr>
          <w:p w14:paraId="791D65B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252" w:type="pct"/>
            <w:hideMark/>
          </w:tcPr>
          <w:p w14:paraId="77D3C7B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273" w:type="pct"/>
            <w:hideMark/>
          </w:tcPr>
          <w:p w14:paraId="12A2889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252" w:type="pct"/>
            <w:hideMark/>
          </w:tcPr>
          <w:p w14:paraId="005E9DC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252" w:type="pct"/>
            <w:hideMark/>
          </w:tcPr>
          <w:p w14:paraId="48D70F5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264" w:type="pct"/>
            <w:hideMark/>
          </w:tcPr>
          <w:p w14:paraId="7D73693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264" w:type="pct"/>
            <w:hideMark/>
          </w:tcPr>
          <w:p w14:paraId="4F988CE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252" w:type="pct"/>
            <w:hideMark/>
          </w:tcPr>
          <w:p w14:paraId="2A62EBB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264" w:type="pct"/>
            <w:hideMark/>
          </w:tcPr>
          <w:p w14:paraId="2FF984E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264" w:type="pct"/>
            <w:hideMark/>
          </w:tcPr>
          <w:p w14:paraId="126B647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252" w:type="pct"/>
            <w:hideMark/>
          </w:tcPr>
          <w:p w14:paraId="3CF9C99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260" w:type="pct"/>
            <w:hideMark/>
          </w:tcPr>
          <w:p w14:paraId="55B7DE6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260" w:type="pct"/>
            <w:hideMark/>
          </w:tcPr>
          <w:p w14:paraId="09DBFDD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252" w:type="pct"/>
            <w:hideMark/>
          </w:tcPr>
          <w:p w14:paraId="57A70F6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273" w:type="pct"/>
            <w:hideMark/>
          </w:tcPr>
          <w:p w14:paraId="3F07CA6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252" w:type="pct"/>
            <w:hideMark/>
          </w:tcPr>
          <w:p w14:paraId="28EB8F6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236139FA" w14:textId="77777777" w:rsidTr="008B1B14">
        <w:trPr>
          <w:trHeight w:val="502"/>
        </w:trPr>
        <w:tc>
          <w:tcPr>
            <w:tcW w:w="341" w:type="pct"/>
            <w:hideMark/>
          </w:tcPr>
          <w:p w14:paraId="086DE3D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S1</w:t>
            </w:r>
          </w:p>
        </w:tc>
        <w:tc>
          <w:tcPr>
            <w:tcW w:w="252" w:type="pct"/>
            <w:hideMark/>
          </w:tcPr>
          <w:p w14:paraId="7ACB63E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6.74</w:t>
            </w:r>
          </w:p>
        </w:tc>
        <w:tc>
          <w:tcPr>
            <w:tcW w:w="260" w:type="pct"/>
            <w:hideMark/>
          </w:tcPr>
          <w:p w14:paraId="67C3C3B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7.11</w:t>
            </w:r>
          </w:p>
        </w:tc>
        <w:tc>
          <w:tcPr>
            <w:tcW w:w="260" w:type="pct"/>
            <w:hideMark/>
          </w:tcPr>
          <w:p w14:paraId="5C37616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7.19</w:t>
            </w:r>
          </w:p>
        </w:tc>
        <w:tc>
          <w:tcPr>
            <w:tcW w:w="252" w:type="pct"/>
            <w:hideMark/>
          </w:tcPr>
          <w:p w14:paraId="53A068C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7.50</w:t>
            </w:r>
          </w:p>
        </w:tc>
        <w:tc>
          <w:tcPr>
            <w:tcW w:w="273" w:type="pct"/>
            <w:hideMark/>
          </w:tcPr>
          <w:p w14:paraId="4BE1B67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52" w:type="pct"/>
            <w:hideMark/>
          </w:tcPr>
          <w:p w14:paraId="2D2221A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52" w:type="pct"/>
            <w:hideMark/>
          </w:tcPr>
          <w:p w14:paraId="11724B3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68BBD89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64" w:type="pct"/>
            <w:hideMark/>
          </w:tcPr>
          <w:p w14:paraId="097001E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52" w:type="pct"/>
            <w:hideMark/>
          </w:tcPr>
          <w:p w14:paraId="2904C7F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64" w:type="pct"/>
            <w:hideMark/>
          </w:tcPr>
          <w:p w14:paraId="3779180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3B9C1D6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7.30</w:t>
            </w:r>
          </w:p>
        </w:tc>
        <w:tc>
          <w:tcPr>
            <w:tcW w:w="252" w:type="pct"/>
            <w:hideMark/>
          </w:tcPr>
          <w:p w14:paraId="6F202C1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6.76</w:t>
            </w:r>
          </w:p>
        </w:tc>
        <w:tc>
          <w:tcPr>
            <w:tcW w:w="260" w:type="pct"/>
            <w:hideMark/>
          </w:tcPr>
          <w:p w14:paraId="40475E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60" w:type="pct"/>
            <w:hideMark/>
          </w:tcPr>
          <w:p w14:paraId="0D00EB3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52" w:type="pct"/>
            <w:hideMark/>
          </w:tcPr>
          <w:p w14:paraId="774C052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7.35</w:t>
            </w:r>
          </w:p>
        </w:tc>
        <w:tc>
          <w:tcPr>
            <w:tcW w:w="273" w:type="pct"/>
            <w:hideMark/>
          </w:tcPr>
          <w:p w14:paraId="3A6E8C2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7.30</w:t>
            </w:r>
          </w:p>
        </w:tc>
        <w:tc>
          <w:tcPr>
            <w:tcW w:w="252" w:type="pct"/>
            <w:hideMark/>
          </w:tcPr>
          <w:p w14:paraId="3E0365B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r>
      <w:tr w:rsidR="00FE3E5D" w:rsidRPr="00FD6A48" w14:paraId="0D3951E3" w14:textId="77777777" w:rsidTr="008B1B14">
        <w:trPr>
          <w:trHeight w:val="502"/>
        </w:trPr>
        <w:tc>
          <w:tcPr>
            <w:tcW w:w="341" w:type="pct"/>
            <w:hideMark/>
          </w:tcPr>
          <w:p w14:paraId="63F9FD4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S2</w:t>
            </w:r>
          </w:p>
        </w:tc>
        <w:tc>
          <w:tcPr>
            <w:tcW w:w="252" w:type="pct"/>
            <w:hideMark/>
          </w:tcPr>
          <w:p w14:paraId="0876048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6.42</w:t>
            </w:r>
          </w:p>
        </w:tc>
        <w:tc>
          <w:tcPr>
            <w:tcW w:w="260" w:type="pct"/>
            <w:hideMark/>
          </w:tcPr>
          <w:p w14:paraId="32996FD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7.58</w:t>
            </w:r>
          </w:p>
        </w:tc>
        <w:tc>
          <w:tcPr>
            <w:tcW w:w="260" w:type="pct"/>
            <w:hideMark/>
          </w:tcPr>
          <w:p w14:paraId="436349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52" w:type="pct"/>
            <w:hideMark/>
          </w:tcPr>
          <w:p w14:paraId="52FBB35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7.51</w:t>
            </w:r>
          </w:p>
        </w:tc>
        <w:tc>
          <w:tcPr>
            <w:tcW w:w="273" w:type="pct"/>
            <w:hideMark/>
          </w:tcPr>
          <w:p w14:paraId="1D1C08F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7.21</w:t>
            </w:r>
          </w:p>
        </w:tc>
        <w:tc>
          <w:tcPr>
            <w:tcW w:w="252" w:type="pct"/>
            <w:hideMark/>
          </w:tcPr>
          <w:p w14:paraId="578FD47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52" w:type="pct"/>
            <w:hideMark/>
          </w:tcPr>
          <w:p w14:paraId="43D623E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64" w:type="pct"/>
            <w:hideMark/>
          </w:tcPr>
          <w:p w14:paraId="092B625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6.60</w:t>
            </w:r>
          </w:p>
        </w:tc>
        <w:tc>
          <w:tcPr>
            <w:tcW w:w="264" w:type="pct"/>
            <w:hideMark/>
          </w:tcPr>
          <w:p w14:paraId="6068FAF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52" w:type="pct"/>
            <w:hideMark/>
          </w:tcPr>
          <w:p w14:paraId="3670177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6.40</w:t>
            </w:r>
          </w:p>
        </w:tc>
        <w:tc>
          <w:tcPr>
            <w:tcW w:w="264" w:type="pct"/>
            <w:hideMark/>
          </w:tcPr>
          <w:p w14:paraId="05410C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2B7F827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7.32</w:t>
            </w:r>
          </w:p>
        </w:tc>
        <w:tc>
          <w:tcPr>
            <w:tcW w:w="252" w:type="pct"/>
            <w:hideMark/>
          </w:tcPr>
          <w:p w14:paraId="55BCBDD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60" w:type="pct"/>
            <w:hideMark/>
          </w:tcPr>
          <w:p w14:paraId="44CB93D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60" w:type="pct"/>
            <w:hideMark/>
          </w:tcPr>
          <w:p w14:paraId="50F32B1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7.28</w:t>
            </w:r>
          </w:p>
        </w:tc>
        <w:tc>
          <w:tcPr>
            <w:tcW w:w="252" w:type="pct"/>
            <w:hideMark/>
          </w:tcPr>
          <w:p w14:paraId="1BC913F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7.42</w:t>
            </w:r>
          </w:p>
        </w:tc>
        <w:tc>
          <w:tcPr>
            <w:tcW w:w="273" w:type="pct"/>
            <w:hideMark/>
          </w:tcPr>
          <w:p w14:paraId="0C0F687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7.21</w:t>
            </w:r>
          </w:p>
        </w:tc>
        <w:tc>
          <w:tcPr>
            <w:tcW w:w="252" w:type="pct"/>
            <w:hideMark/>
          </w:tcPr>
          <w:p w14:paraId="462825A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r>
      <w:tr w:rsidR="00FE3E5D" w:rsidRPr="00FD6A48" w14:paraId="2EFFD807" w14:textId="77777777" w:rsidTr="008B1B14">
        <w:trPr>
          <w:trHeight w:val="502"/>
        </w:trPr>
        <w:tc>
          <w:tcPr>
            <w:tcW w:w="341" w:type="pct"/>
            <w:hideMark/>
          </w:tcPr>
          <w:p w14:paraId="6B07194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252" w:type="pct"/>
            <w:hideMark/>
          </w:tcPr>
          <w:p w14:paraId="0A60976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6.63</w:t>
            </w:r>
          </w:p>
        </w:tc>
        <w:tc>
          <w:tcPr>
            <w:tcW w:w="260" w:type="pct"/>
            <w:hideMark/>
          </w:tcPr>
          <w:p w14:paraId="369CF44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7.45</w:t>
            </w:r>
          </w:p>
        </w:tc>
        <w:tc>
          <w:tcPr>
            <w:tcW w:w="260" w:type="pct"/>
            <w:hideMark/>
          </w:tcPr>
          <w:p w14:paraId="3E551C6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7.85</w:t>
            </w:r>
          </w:p>
        </w:tc>
        <w:tc>
          <w:tcPr>
            <w:tcW w:w="252" w:type="pct"/>
            <w:hideMark/>
          </w:tcPr>
          <w:p w14:paraId="623004A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7.68</w:t>
            </w:r>
          </w:p>
        </w:tc>
        <w:tc>
          <w:tcPr>
            <w:tcW w:w="273" w:type="pct"/>
            <w:hideMark/>
          </w:tcPr>
          <w:p w14:paraId="672FFF1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7.25</w:t>
            </w:r>
          </w:p>
        </w:tc>
        <w:tc>
          <w:tcPr>
            <w:tcW w:w="252" w:type="pct"/>
            <w:hideMark/>
          </w:tcPr>
          <w:p w14:paraId="375B0A6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52" w:type="pct"/>
            <w:hideMark/>
          </w:tcPr>
          <w:p w14:paraId="3AABB9F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690ACFD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64" w:type="pct"/>
            <w:hideMark/>
          </w:tcPr>
          <w:p w14:paraId="5ED4360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6.40</w:t>
            </w:r>
          </w:p>
        </w:tc>
        <w:tc>
          <w:tcPr>
            <w:tcW w:w="252" w:type="pct"/>
            <w:hideMark/>
          </w:tcPr>
          <w:p w14:paraId="0E29C35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7.00</w:t>
            </w:r>
          </w:p>
        </w:tc>
        <w:tc>
          <w:tcPr>
            <w:tcW w:w="264" w:type="pct"/>
            <w:hideMark/>
          </w:tcPr>
          <w:p w14:paraId="733708A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64" w:type="pct"/>
            <w:hideMark/>
          </w:tcPr>
          <w:p w14:paraId="21534BF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7.35</w:t>
            </w:r>
          </w:p>
        </w:tc>
        <w:tc>
          <w:tcPr>
            <w:tcW w:w="252" w:type="pct"/>
            <w:hideMark/>
          </w:tcPr>
          <w:p w14:paraId="13968BE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60" w:type="pct"/>
            <w:hideMark/>
          </w:tcPr>
          <w:p w14:paraId="11825E8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6.85</w:t>
            </w:r>
          </w:p>
        </w:tc>
        <w:tc>
          <w:tcPr>
            <w:tcW w:w="260" w:type="pct"/>
            <w:hideMark/>
          </w:tcPr>
          <w:p w14:paraId="51716F0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7.56</w:t>
            </w:r>
          </w:p>
        </w:tc>
        <w:tc>
          <w:tcPr>
            <w:tcW w:w="252" w:type="pct"/>
            <w:hideMark/>
          </w:tcPr>
          <w:p w14:paraId="07BD67C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7.32</w:t>
            </w:r>
          </w:p>
        </w:tc>
        <w:tc>
          <w:tcPr>
            <w:tcW w:w="273" w:type="pct"/>
            <w:hideMark/>
          </w:tcPr>
          <w:p w14:paraId="0842863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7.23</w:t>
            </w:r>
          </w:p>
        </w:tc>
        <w:tc>
          <w:tcPr>
            <w:tcW w:w="252" w:type="pct"/>
            <w:hideMark/>
          </w:tcPr>
          <w:p w14:paraId="7B23FF2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6.99</w:t>
            </w:r>
          </w:p>
        </w:tc>
      </w:tr>
      <w:tr w:rsidR="00FE3E5D" w:rsidRPr="00FD6A48" w14:paraId="09F81A50" w14:textId="77777777" w:rsidTr="008B1B14">
        <w:trPr>
          <w:trHeight w:val="502"/>
        </w:trPr>
        <w:tc>
          <w:tcPr>
            <w:tcW w:w="341" w:type="pct"/>
            <w:hideMark/>
          </w:tcPr>
          <w:p w14:paraId="280F57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lastRenderedPageBreak/>
              <w:t>S4</w:t>
            </w:r>
          </w:p>
        </w:tc>
        <w:tc>
          <w:tcPr>
            <w:tcW w:w="252" w:type="pct"/>
            <w:hideMark/>
          </w:tcPr>
          <w:p w14:paraId="6F90B3B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6.40</w:t>
            </w:r>
          </w:p>
        </w:tc>
        <w:tc>
          <w:tcPr>
            <w:tcW w:w="260" w:type="pct"/>
            <w:hideMark/>
          </w:tcPr>
          <w:p w14:paraId="1D4A4C5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7.57</w:t>
            </w:r>
          </w:p>
        </w:tc>
        <w:tc>
          <w:tcPr>
            <w:tcW w:w="260" w:type="pct"/>
            <w:hideMark/>
          </w:tcPr>
          <w:p w14:paraId="465E902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7.11</w:t>
            </w:r>
          </w:p>
        </w:tc>
        <w:tc>
          <w:tcPr>
            <w:tcW w:w="252" w:type="pct"/>
            <w:hideMark/>
          </w:tcPr>
          <w:p w14:paraId="34CBE72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7.34</w:t>
            </w:r>
          </w:p>
        </w:tc>
        <w:tc>
          <w:tcPr>
            <w:tcW w:w="273" w:type="pct"/>
            <w:hideMark/>
          </w:tcPr>
          <w:p w14:paraId="0D6FA09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7.47</w:t>
            </w:r>
          </w:p>
        </w:tc>
        <w:tc>
          <w:tcPr>
            <w:tcW w:w="252" w:type="pct"/>
            <w:hideMark/>
          </w:tcPr>
          <w:p w14:paraId="0E71213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52" w:type="pct"/>
            <w:hideMark/>
          </w:tcPr>
          <w:p w14:paraId="2513283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6.50</w:t>
            </w:r>
          </w:p>
        </w:tc>
        <w:tc>
          <w:tcPr>
            <w:tcW w:w="264" w:type="pct"/>
            <w:hideMark/>
          </w:tcPr>
          <w:p w14:paraId="6AF9E65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64" w:type="pct"/>
            <w:hideMark/>
          </w:tcPr>
          <w:p w14:paraId="1007AD0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6.70</w:t>
            </w:r>
          </w:p>
        </w:tc>
        <w:tc>
          <w:tcPr>
            <w:tcW w:w="252" w:type="pct"/>
            <w:hideMark/>
          </w:tcPr>
          <w:p w14:paraId="1186537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64" w:type="pct"/>
            <w:hideMark/>
          </w:tcPr>
          <w:p w14:paraId="693BE4B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64" w:type="pct"/>
            <w:hideMark/>
          </w:tcPr>
          <w:p w14:paraId="39C282C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7.38</w:t>
            </w:r>
          </w:p>
        </w:tc>
        <w:tc>
          <w:tcPr>
            <w:tcW w:w="252" w:type="pct"/>
            <w:hideMark/>
          </w:tcPr>
          <w:p w14:paraId="761F992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6.65</w:t>
            </w:r>
          </w:p>
        </w:tc>
        <w:tc>
          <w:tcPr>
            <w:tcW w:w="260" w:type="pct"/>
            <w:hideMark/>
          </w:tcPr>
          <w:p w14:paraId="35445CD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7.80</w:t>
            </w:r>
          </w:p>
        </w:tc>
        <w:tc>
          <w:tcPr>
            <w:tcW w:w="260" w:type="pct"/>
            <w:hideMark/>
          </w:tcPr>
          <w:p w14:paraId="1AAA89F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7.45</w:t>
            </w:r>
          </w:p>
        </w:tc>
        <w:tc>
          <w:tcPr>
            <w:tcW w:w="252" w:type="pct"/>
            <w:hideMark/>
          </w:tcPr>
          <w:p w14:paraId="1B7A69E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7.24</w:t>
            </w:r>
          </w:p>
        </w:tc>
        <w:tc>
          <w:tcPr>
            <w:tcW w:w="273" w:type="pct"/>
            <w:hideMark/>
          </w:tcPr>
          <w:p w14:paraId="423D486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6.56</w:t>
            </w:r>
          </w:p>
        </w:tc>
        <w:tc>
          <w:tcPr>
            <w:tcW w:w="252" w:type="pct"/>
            <w:hideMark/>
          </w:tcPr>
          <w:p w14:paraId="440EE1C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6.55</w:t>
            </w:r>
          </w:p>
        </w:tc>
      </w:tr>
      <w:tr w:rsidR="00FE3E5D" w:rsidRPr="00FD6A48" w14:paraId="4A6FB18B" w14:textId="77777777" w:rsidTr="008B1B14">
        <w:trPr>
          <w:trHeight w:val="502"/>
        </w:trPr>
        <w:tc>
          <w:tcPr>
            <w:tcW w:w="341" w:type="pct"/>
            <w:hideMark/>
          </w:tcPr>
          <w:p w14:paraId="0E16171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S5</w:t>
            </w:r>
          </w:p>
        </w:tc>
        <w:tc>
          <w:tcPr>
            <w:tcW w:w="252" w:type="pct"/>
            <w:hideMark/>
          </w:tcPr>
          <w:p w14:paraId="00800D9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6.50</w:t>
            </w:r>
          </w:p>
        </w:tc>
        <w:tc>
          <w:tcPr>
            <w:tcW w:w="260" w:type="pct"/>
            <w:hideMark/>
          </w:tcPr>
          <w:p w14:paraId="4B9643F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7.56</w:t>
            </w:r>
          </w:p>
        </w:tc>
        <w:tc>
          <w:tcPr>
            <w:tcW w:w="260" w:type="pct"/>
            <w:hideMark/>
          </w:tcPr>
          <w:p w14:paraId="5EB9C94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52" w:type="pct"/>
            <w:hideMark/>
          </w:tcPr>
          <w:p w14:paraId="186B5B5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7.42</w:t>
            </w:r>
          </w:p>
        </w:tc>
        <w:tc>
          <w:tcPr>
            <w:tcW w:w="273" w:type="pct"/>
            <w:hideMark/>
          </w:tcPr>
          <w:p w14:paraId="699D164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7.48</w:t>
            </w:r>
          </w:p>
        </w:tc>
        <w:tc>
          <w:tcPr>
            <w:tcW w:w="252" w:type="pct"/>
            <w:hideMark/>
          </w:tcPr>
          <w:p w14:paraId="4A6CF95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52" w:type="pct"/>
            <w:hideMark/>
          </w:tcPr>
          <w:p w14:paraId="51A72E8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6.40</w:t>
            </w:r>
          </w:p>
        </w:tc>
        <w:tc>
          <w:tcPr>
            <w:tcW w:w="264" w:type="pct"/>
            <w:hideMark/>
          </w:tcPr>
          <w:p w14:paraId="15B04D9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6.80</w:t>
            </w:r>
          </w:p>
        </w:tc>
        <w:tc>
          <w:tcPr>
            <w:tcW w:w="264" w:type="pct"/>
            <w:hideMark/>
          </w:tcPr>
          <w:p w14:paraId="279DEA0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6.60</w:t>
            </w:r>
          </w:p>
        </w:tc>
        <w:tc>
          <w:tcPr>
            <w:tcW w:w="252" w:type="pct"/>
            <w:hideMark/>
          </w:tcPr>
          <w:p w14:paraId="7027192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6.90</w:t>
            </w:r>
          </w:p>
        </w:tc>
        <w:tc>
          <w:tcPr>
            <w:tcW w:w="264" w:type="pct"/>
            <w:hideMark/>
          </w:tcPr>
          <w:p w14:paraId="26FBEEF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c>
          <w:tcPr>
            <w:tcW w:w="264" w:type="pct"/>
            <w:hideMark/>
          </w:tcPr>
          <w:p w14:paraId="2A0C3E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7.20</w:t>
            </w:r>
          </w:p>
        </w:tc>
        <w:tc>
          <w:tcPr>
            <w:tcW w:w="252" w:type="pct"/>
            <w:hideMark/>
          </w:tcPr>
          <w:p w14:paraId="32BCC4A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6.51</w:t>
            </w:r>
          </w:p>
        </w:tc>
        <w:tc>
          <w:tcPr>
            <w:tcW w:w="260" w:type="pct"/>
            <w:hideMark/>
          </w:tcPr>
          <w:p w14:paraId="0ED1761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7.49</w:t>
            </w:r>
          </w:p>
        </w:tc>
        <w:tc>
          <w:tcPr>
            <w:tcW w:w="260" w:type="pct"/>
            <w:hideMark/>
          </w:tcPr>
          <w:p w14:paraId="14AB288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7.56</w:t>
            </w:r>
          </w:p>
        </w:tc>
        <w:tc>
          <w:tcPr>
            <w:tcW w:w="252" w:type="pct"/>
            <w:hideMark/>
          </w:tcPr>
          <w:p w14:paraId="053E2E9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7.26</w:t>
            </w:r>
          </w:p>
        </w:tc>
        <w:tc>
          <w:tcPr>
            <w:tcW w:w="273" w:type="pct"/>
            <w:hideMark/>
          </w:tcPr>
          <w:p w14:paraId="3D8E1A2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7.21</w:t>
            </w:r>
          </w:p>
        </w:tc>
        <w:tc>
          <w:tcPr>
            <w:tcW w:w="252" w:type="pct"/>
            <w:hideMark/>
          </w:tcPr>
          <w:p w14:paraId="0F8DB54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7.10</w:t>
            </w:r>
          </w:p>
        </w:tc>
      </w:tr>
    </w:tbl>
    <w:p w14:paraId="6B2473F3" w14:textId="52E09197"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The pH values from 6.40 to 7.85, remaining within neutral to slightly alkaline range across all sites (Table </w:t>
      </w:r>
      <w:r w:rsidR="00D75EC5">
        <w:rPr>
          <w:rFonts w:ascii="Arial" w:hAnsi="Arial" w:cs="Arial"/>
          <w:color w:val="000000" w:themeColor="text1"/>
        </w:rPr>
        <w:t>2</w:t>
      </w:r>
      <w:r w:rsidRPr="00FD6A48">
        <w:rPr>
          <w:rFonts w:ascii="Arial" w:hAnsi="Arial" w:cs="Arial"/>
          <w:color w:val="000000" w:themeColor="text1"/>
        </w:rPr>
        <w:t>). Higher pH readings were generally recorded during the spring and early summer (March–May), particularly at S3 and S4, likely driven by algal photosynthesis reducing CO</w:t>
      </w:r>
      <w:r w:rsidRPr="00FD6A48">
        <w:rPr>
          <w:rFonts w:ascii="Cambria Math" w:hAnsi="Cambria Math" w:cs="Cambria Math"/>
          <w:color w:val="000000" w:themeColor="text1"/>
        </w:rPr>
        <w:t>₂</w:t>
      </w:r>
      <w:r w:rsidRPr="00FD6A48">
        <w:rPr>
          <w:rFonts w:ascii="Arial" w:hAnsi="Arial" w:cs="Arial"/>
          <w:color w:val="000000" w:themeColor="text1"/>
        </w:rPr>
        <w:t xml:space="preserve"> levels. In contrast, slightly acidic conditions emerged during monsoon months, associated with increased organic input and microbial respiration. </w:t>
      </w:r>
    </w:p>
    <w:p w14:paraId="708116F4" w14:textId="77777777" w:rsidR="00F44F37" w:rsidRPr="00FD6A48" w:rsidRDefault="00F44F37" w:rsidP="00A279DA">
      <w:pPr>
        <w:spacing w:line="360" w:lineRule="auto"/>
        <w:jc w:val="both"/>
        <w:rPr>
          <w:rFonts w:ascii="Arial" w:hAnsi="Arial" w:cs="Arial"/>
          <w:color w:val="000000" w:themeColor="text1"/>
        </w:rPr>
      </w:pPr>
    </w:p>
    <w:p w14:paraId="235A7B37" w14:textId="46DC10F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3</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DO across sampling stations </w:t>
      </w:r>
    </w:p>
    <w:tbl>
      <w:tblPr>
        <w:tblStyle w:val="TableGrid"/>
        <w:tblpPr w:leftFromText="180" w:rightFromText="180" w:vertAnchor="text" w:horzAnchor="page" w:tblpX="1253" w:tblpY="183"/>
        <w:tblW w:w="10479" w:type="dxa"/>
        <w:tblLook w:val="04A0" w:firstRow="1" w:lastRow="0" w:firstColumn="1" w:lastColumn="0" w:noHBand="0" w:noVBand="1"/>
      </w:tblPr>
      <w:tblGrid>
        <w:gridCol w:w="715"/>
        <w:gridCol w:w="528"/>
        <w:gridCol w:w="545"/>
        <w:gridCol w:w="545"/>
        <w:gridCol w:w="528"/>
        <w:gridCol w:w="572"/>
        <w:gridCol w:w="528"/>
        <w:gridCol w:w="528"/>
        <w:gridCol w:w="554"/>
        <w:gridCol w:w="554"/>
        <w:gridCol w:w="528"/>
        <w:gridCol w:w="554"/>
        <w:gridCol w:w="554"/>
        <w:gridCol w:w="528"/>
        <w:gridCol w:w="545"/>
        <w:gridCol w:w="545"/>
        <w:gridCol w:w="528"/>
        <w:gridCol w:w="572"/>
        <w:gridCol w:w="528"/>
      </w:tblGrid>
      <w:tr w:rsidR="00FE3E5D" w:rsidRPr="00FD6A48" w14:paraId="185E02F2" w14:textId="77777777" w:rsidTr="004F11F5">
        <w:trPr>
          <w:trHeight w:val="759"/>
        </w:trPr>
        <w:tc>
          <w:tcPr>
            <w:tcW w:w="0" w:type="auto"/>
            <w:hideMark/>
          </w:tcPr>
          <w:p w14:paraId="5E53A1A0"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Month                                                                                                               Station</w:t>
            </w:r>
          </w:p>
        </w:tc>
        <w:tc>
          <w:tcPr>
            <w:tcW w:w="0" w:type="auto"/>
            <w:hideMark/>
          </w:tcPr>
          <w:p w14:paraId="496C70B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0" w:type="auto"/>
            <w:hideMark/>
          </w:tcPr>
          <w:p w14:paraId="602DAE9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0" w:type="auto"/>
            <w:hideMark/>
          </w:tcPr>
          <w:p w14:paraId="538EDB7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0" w:type="auto"/>
            <w:hideMark/>
          </w:tcPr>
          <w:p w14:paraId="2A859E6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0" w:type="auto"/>
            <w:hideMark/>
          </w:tcPr>
          <w:p w14:paraId="631A7DC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0" w:type="auto"/>
            <w:hideMark/>
          </w:tcPr>
          <w:p w14:paraId="0A591E0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0" w:type="auto"/>
            <w:hideMark/>
          </w:tcPr>
          <w:p w14:paraId="17E0E1D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0" w:type="auto"/>
            <w:hideMark/>
          </w:tcPr>
          <w:p w14:paraId="2945721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0" w:type="auto"/>
            <w:hideMark/>
          </w:tcPr>
          <w:p w14:paraId="6835B20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0" w:type="auto"/>
            <w:hideMark/>
          </w:tcPr>
          <w:p w14:paraId="6EFC2ED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0" w:type="auto"/>
            <w:hideMark/>
          </w:tcPr>
          <w:p w14:paraId="5B9E5FB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0" w:type="auto"/>
            <w:hideMark/>
          </w:tcPr>
          <w:p w14:paraId="65CC1AA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0" w:type="auto"/>
            <w:hideMark/>
          </w:tcPr>
          <w:p w14:paraId="62271A3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0" w:type="auto"/>
            <w:hideMark/>
          </w:tcPr>
          <w:p w14:paraId="1126580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0" w:type="auto"/>
            <w:hideMark/>
          </w:tcPr>
          <w:p w14:paraId="070BAB0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0" w:type="auto"/>
            <w:hideMark/>
          </w:tcPr>
          <w:p w14:paraId="65AE1FD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0" w:type="auto"/>
            <w:hideMark/>
          </w:tcPr>
          <w:p w14:paraId="64092AB7"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0" w:type="auto"/>
            <w:hideMark/>
          </w:tcPr>
          <w:p w14:paraId="4EB8889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369B4B69" w14:textId="77777777" w:rsidTr="004F11F5">
        <w:trPr>
          <w:trHeight w:val="466"/>
        </w:trPr>
        <w:tc>
          <w:tcPr>
            <w:tcW w:w="0" w:type="auto"/>
            <w:hideMark/>
          </w:tcPr>
          <w:p w14:paraId="69A3C6D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S1</w:t>
            </w:r>
          </w:p>
        </w:tc>
        <w:tc>
          <w:tcPr>
            <w:tcW w:w="0" w:type="auto"/>
            <w:hideMark/>
          </w:tcPr>
          <w:p w14:paraId="4B0F360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w:t>
            </w:r>
          </w:p>
        </w:tc>
        <w:tc>
          <w:tcPr>
            <w:tcW w:w="0" w:type="auto"/>
            <w:hideMark/>
          </w:tcPr>
          <w:p w14:paraId="2197F51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c>
          <w:tcPr>
            <w:tcW w:w="0" w:type="auto"/>
            <w:hideMark/>
          </w:tcPr>
          <w:p w14:paraId="5DA36C8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5.02</w:t>
            </w:r>
          </w:p>
        </w:tc>
        <w:tc>
          <w:tcPr>
            <w:tcW w:w="0" w:type="auto"/>
            <w:hideMark/>
          </w:tcPr>
          <w:p w14:paraId="6187F8D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5.28</w:t>
            </w:r>
          </w:p>
        </w:tc>
        <w:tc>
          <w:tcPr>
            <w:tcW w:w="0" w:type="auto"/>
            <w:hideMark/>
          </w:tcPr>
          <w:p w14:paraId="38635DD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5.26</w:t>
            </w:r>
          </w:p>
        </w:tc>
        <w:tc>
          <w:tcPr>
            <w:tcW w:w="0" w:type="auto"/>
            <w:hideMark/>
          </w:tcPr>
          <w:p w14:paraId="5713472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c>
          <w:tcPr>
            <w:tcW w:w="0" w:type="auto"/>
            <w:hideMark/>
          </w:tcPr>
          <w:p w14:paraId="199EC69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w:t>
            </w:r>
          </w:p>
        </w:tc>
        <w:tc>
          <w:tcPr>
            <w:tcW w:w="0" w:type="auto"/>
            <w:hideMark/>
          </w:tcPr>
          <w:p w14:paraId="7B366E7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w:t>
            </w:r>
          </w:p>
        </w:tc>
        <w:tc>
          <w:tcPr>
            <w:tcW w:w="0" w:type="auto"/>
            <w:hideMark/>
          </w:tcPr>
          <w:p w14:paraId="7239C27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2CE6689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6.22</w:t>
            </w:r>
          </w:p>
        </w:tc>
        <w:tc>
          <w:tcPr>
            <w:tcW w:w="0" w:type="auto"/>
            <w:hideMark/>
          </w:tcPr>
          <w:p w14:paraId="1E47FB9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5.8</w:t>
            </w:r>
          </w:p>
        </w:tc>
        <w:tc>
          <w:tcPr>
            <w:tcW w:w="0" w:type="auto"/>
            <w:hideMark/>
          </w:tcPr>
          <w:p w14:paraId="4A8CB92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5.21</w:t>
            </w:r>
          </w:p>
        </w:tc>
        <w:tc>
          <w:tcPr>
            <w:tcW w:w="0" w:type="auto"/>
            <w:hideMark/>
          </w:tcPr>
          <w:p w14:paraId="13A82EC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5.8</w:t>
            </w:r>
          </w:p>
        </w:tc>
        <w:tc>
          <w:tcPr>
            <w:tcW w:w="0" w:type="auto"/>
            <w:hideMark/>
          </w:tcPr>
          <w:p w14:paraId="3617CD8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5.25</w:t>
            </w:r>
          </w:p>
        </w:tc>
        <w:tc>
          <w:tcPr>
            <w:tcW w:w="0" w:type="auto"/>
            <w:hideMark/>
          </w:tcPr>
          <w:p w14:paraId="4A33AAB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5.25</w:t>
            </w:r>
          </w:p>
        </w:tc>
        <w:tc>
          <w:tcPr>
            <w:tcW w:w="0" w:type="auto"/>
            <w:hideMark/>
          </w:tcPr>
          <w:p w14:paraId="3B2870E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4.57</w:t>
            </w:r>
          </w:p>
        </w:tc>
        <w:tc>
          <w:tcPr>
            <w:tcW w:w="0" w:type="auto"/>
            <w:hideMark/>
          </w:tcPr>
          <w:p w14:paraId="197FA8D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517CAA3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5.3</w:t>
            </w:r>
          </w:p>
        </w:tc>
      </w:tr>
      <w:tr w:rsidR="00FE3E5D" w:rsidRPr="00FD6A48" w14:paraId="616E12BD" w14:textId="77777777" w:rsidTr="004F11F5">
        <w:trPr>
          <w:trHeight w:val="466"/>
        </w:trPr>
        <w:tc>
          <w:tcPr>
            <w:tcW w:w="0" w:type="auto"/>
            <w:hideMark/>
          </w:tcPr>
          <w:p w14:paraId="7EA8DAE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S2</w:t>
            </w:r>
          </w:p>
        </w:tc>
        <w:tc>
          <w:tcPr>
            <w:tcW w:w="0" w:type="auto"/>
            <w:hideMark/>
          </w:tcPr>
          <w:p w14:paraId="2EE2AF0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5.6</w:t>
            </w:r>
          </w:p>
        </w:tc>
        <w:tc>
          <w:tcPr>
            <w:tcW w:w="0" w:type="auto"/>
            <w:hideMark/>
          </w:tcPr>
          <w:p w14:paraId="4960802C"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1621E46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2D44747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5.4</w:t>
            </w:r>
          </w:p>
        </w:tc>
        <w:tc>
          <w:tcPr>
            <w:tcW w:w="0" w:type="auto"/>
            <w:hideMark/>
          </w:tcPr>
          <w:p w14:paraId="3635281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6.1</w:t>
            </w:r>
          </w:p>
        </w:tc>
        <w:tc>
          <w:tcPr>
            <w:tcW w:w="0" w:type="auto"/>
            <w:hideMark/>
          </w:tcPr>
          <w:p w14:paraId="3050B86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5.17</w:t>
            </w:r>
          </w:p>
        </w:tc>
        <w:tc>
          <w:tcPr>
            <w:tcW w:w="0" w:type="auto"/>
            <w:hideMark/>
          </w:tcPr>
          <w:p w14:paraId="23C009E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w:t>
            </w:r>
          </w:p>
        </w:tc>
        <w:tc>
          <w:tcPr>
            <w:tcW w:w="0" w:type="auto"/>
            <w:hideMark/>
          </w:tcPr>
          <w:p w14:paraId="1949011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3.9</w:t>
            </w:r>
          </w:p>
        </w:tc>
        <w:tc>
          <w:tcPr>
            <w:tcW w:w="0" w:type="auto"/>
            <w:hideMark/>
          </w:tcPr>
          <w:p w14:paraId="20BBBA3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w:t>
            </w:r>
          </w:p>
        </w:tc>
        <w:tc>
          <w:tcPr>
            <w:tcW w:w="0" w:type="auto"/>
            <w:hideMark/>
          </w:tcPr>
          <w:p w14:paraId="5CE3377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6.71</w:t>
            </w:r>
          </w:p>
        </w:tc>
        <w:tc>
          <w:tcPr>
            <w:tcW w:w="0" w:type="auto"/>
            <w:hideMark/>
          </w:tcPr>
          <w:p w14:paraId="13D4345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4.7</w:t>
            </w:r>
          </w:p>
        </w:tc>
        <w:tc>
          <w:tcPr>
            <w:tcW w:w="0" w:type="auto"/>
            <w:hideMark/>
          </w:tcPr>
          <w:p w14:paraId="4EE7B79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4.88</w:t>
            </w:r>
          </w:p>
        </w:tc>
        <w:tc>
          <w:tcPr>
            <w:tcW w:w="0" w:type="auto"/>
            <w:hideMark/>
          </w:tcPr>
          <w:p w14:paraId="2A7B874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5.81</w:t>
            </w:r>
          </w:p>
        </w:tc>
        <w:tc>
          <w:tcPr>
            <w:tcW w:w="0" w:type="auto"/>
            <w:hideMark/>
          </w:tcPr>
          <w:p w14:paraId="6001A40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5.78</w:t>
            </w:r>
          </w:p>
        </w:tc>
        <w:tc>
          <w:tcPr>
            <w:tcW w:w="0" w:type="auto"/>
            <w:hideMark/>
          </w:tcPr>
          <w:p w14:paraId="39FF913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w:t>
            </w:r>
          </w:p>
        </w:tc>
        <w:tc>
          <w:tcPr>
            <w:tcW w:w="0" w:type="auto"/>
            <w:hideMark/>
          </w:tcPr>
          <w:p w14:paraId="1C71D20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3.37</w:t>
            </w:r>
          </w:p>
        </w:tc>
        <w:tc>
          <w:tcPr>
            <w:tcW w:w="0" w:type="auto"/>
            <w:hideMark/>
          </w:tcPr>
          <w:p w14:paraId="559420F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w:t>
            </w:r>
          </w:p>
        </w:tc>
        <w:tc>
          <w:tcPr>
            <w:tcW w:w="0" w:type="auto"/>
            <w:hideMark/>
          </w:tcPr>
          <w:p w14:paraId="2EC1F20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r>
      <w:tr w:rsidR="00FE3E5D" w:rsidRPr="00FD6A48" w14:paraId="50080357" w14:textId="77777777" w:rsidTr="004F11F5">
        <w:trPr>
          <w:trHeight w:val="466"/>
        </w:trPr>
        <w:tc>
          <w:tcPr>
            <w:tcW w:w="0" w:type="auto"/>
            <w:hideMark/>
          </w:tcPr>
          <w:p w14:paraId="56D1B89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0" w:type="auto"/>
            <w:hideMark/>
          </w:tcPr>
          <w:p w14:paraId="46A39A8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0D6CEC5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w:t>
            </w:r>
          </w:p>
        </w:tc>
        <w:tc>
          <w:tcPr>
            <w:tcW w:w="0" w:type="auto"/>
            <w:hideMark/>
          </w:tcPr>
          <w:p w14:paraId="26B291C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4.4</w:t>
            </w:r>
          </w:p>
        </w:tc>
        <w:tc>
          <w:tcPr>
            <w:tcW w:w="0" w:type="auto"/>
            <w:hideMark/>
          </w:tcPr>
          <w:p w14:paraId="2B8F5B8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c>
          <w:tcPr>
            <w:tcW w:w="0" w:type="auto"/>
            <w:hideMark/>
          </w:tcPr>
          <w:p w14:paraId="35B73AE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w:t>
            </w:r>
          </w:p>
        </w:tc>
        <w:tc>
          <w:tcPr>
            <w:tcW w:w="0" w:type="auto"/>
            <w:hideMark/>
          </w:tcPr>
          <w:p w14:paraId="515ADF1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6.67</w:t>
            </w:r>
          </w:p>
        </w:tc>
        <w:tc>
          <w:tcPr>
            <w:tcW w:w="0" w:type="auto"/>
            <w:hideMark/>
          </w:tcPr>
          <w:p w14:paraId="262C8FC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3.7</w:t>
            </w:r>
          </w:p>
        </w:tc>
        <w:tc>
          <w:tcPr>
            <w:tcW w:w="0" w:type="auto"/>
            <w:hideMark/>
          </w:tcPr>
          <w:p w14:paraId="1693AD4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3.77</w:t>
            </w:r>
          </w:p>
        </w:tc>
        <w:tc>
          <w:tcPr>
            <w:tcW w:w="0" w:type="auto"/>
            <w:hideMark/>
          </w:tcPr>
          <w:p w14:paraId="3A6ACE7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3.9</w:t>
            </w:r>
          </w:p>
        </w:tc>
        <w:tc>
          <w:tcPr>
            <w:tcW w:w="0" w:type="auto"/>
            <w:hideMark/>
          </w:tcPr>
          <w:p w14:paraId="2E80618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5.24</w:t>
            </w:r>
          </w:p>
        </w:tc>
        <w:tc>
          <w:tcPr>
            <w:tcW w:w="0" w:type="auto"/>
            <w:hideMark/>
          </w:tcPr>
          <w:p w14:paraId="0E2998B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3.9</w:t>
            </w:r>
          </w:p>
        </w:tc>
        <w:tc>
          <w:tcPr>
            <w:tcW w:w="0" w:type="auto"/>
            <w:hideMark/>
          </w:tcPr>
          <w:p w14:paraId="6CD53C5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4.7</w:t>
            </w:r>
          </w:p>
        </w:tc>
        <w:tc>
          <w:tcPr>
            <w:tcW w:w="0" w:type="auto"/>
            <w:hideMark/>
          </w:tcPr>
          <w:p w14:paraId="4B78997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4.9</w:t>
            </w:r>
          </w:p>
        </w:tc>
        <w:tc>
          <w:tcPr>
            <w:tcW w:w="0" w:type="auto"/>
            <w:hideMark/>
          </w:tcPr>
          <w:p w14:paraId="6CA54020"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4.65</w:t>
            </w:r>
          </w:p>
        </w:tc>
        <w:tc>
          <w:tcPr>
            <w:tcW w:w="0" w:type="auto"/>
            <w:hideMark/>
          </w:tcPr>
          <w:p w14:paraId="1A9A052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5.26</w:t>
            </w:r>
          </w:p>
        </w:tc>
        <w:tc>
          <w:tcPr>
            <w:tcW w:w="0" w:type="auto"/>
            <w:hideMark/>
          </w:tcPr>
          <w:p w14:paraId="21C4C15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3.7</w:t>
            </w:r>
          </w:p>
        </w:tc>
        <w:tc>
          <w:tcPr>
            <w:tcW w:w="0" w:type="auto"/>
            <w:hideMark/>
          </w:tcPr>
          <w:p w14:paraId="143A49C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w:t>
            </w:r>
          </w:p>
        </w:tc>
        <w:tc>
          <w:tcPr>
            <w:tcW w:w="0" w:type="auto"/>
            <w:hideMark/>
          </w:tcPr>
          <w:p w14:paraId="1B2E087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4.9</w:t>
            </w:r>
          </w:p>
        </w:tc>
      </w:tr>
      <w:tr w:rsidR="00FE3E5D" w:rsidRPr="00FD6A48" w14:paraId="148DD9AF" w14:textId="77777777" w:rsidTr="004F11F5">
        <w:trPr>
          <w:trHeight w:val="466"/>
        </w:trPr>
        <w:tc>
          <w:tcPr>
            <w:tcW w:w="0" w:type="auto"/>
            <w:hideMark/>
          </w:tcPr>
          <w:p w14:paraId="5E75045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S4</w:t>
            </w:r>
          </w:p>
        </w:tc>
        <w:tc>
          <w:tcPr>
            <w:tcW w:w="0" w:type="auto"/>
            <w:hideMark/>
          </w:tcPr>
          <w:p w14:paraId="4A34280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4.85</w:t>
            </w:r>
          </w:p>
        </w:tc>
        <w:tc>
          <w:tcPr>
            <w:tcW w:w="0" w:type="auto"/>
            <w:hideMark/>
          </w:tcPr>
          <w:p w14:paraId="4DEFF3F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3.63</w:t>
            </w:r>
          </w:p>
        </w:tc>
        <w:tc>
          <w:tcPr>
            <w:tcW w:w="0" w:type="auto"/>
            <w:hideMark/>
          </w:tcPr>
          <w:p w14:paraId="096E8A9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4.8</w:t>
            </w:r>
          </w:p>
        </w:tc>
        <w:tc>
          <w:tcPr>
            <w:tcW w:w="0" w:type="auto"/>
            <w:hideMark/>
          </w:tcPr>
          <w:p w14:paraId="70C7B07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5.6</w:t>
            </w:r>
          </w:p>
        </w:tc>
        <w:tc>
          <w:tcPr>
            <w:tcW w:w="0" w:type="auto"/>
            <w:hideMark/>
          </w:tcPr>
          <w:p w14:paraId="37CA083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5.56</w:t>
            </w:r>
          </w:p>
        </w:tc>
        <w:tc>
          <w:tcPr>
            <w:tcW w:w="0" w:type="auto"/>
            <w:hideMark/>
          </w:tcPr>
          <w:p w14:paraId="5CA931E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5.55</w:t>
            </w:r>
          </w:p>
        </w:tc>
        <w:tc>
          <w:tcPr>
            <w:tcW w:w="0" w:type="auto"/>
            <w:hideMark/>
          </w:tcPr>
          <w:p w14:paraId="61ECD059"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2.55</w:t>
            </w:r>
          </w:p>
        </w:tc>
        <w:tc>
          <w:tcPr>
            <w:tcW w:w="0" w:type="auto"/>
            <w:hideMark/>
          </w:tcPr>
          <w:p w14:paraId="5501C737"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3.58</w:t>
            </w:r>
          </w:p>
        </w:tc>
        <w:tc>
          <w:tcPr>
            <w:tcW w:w="0" w:type="auto"/>
            <w:hideMark/>
          </w:tcPr>
          <w:p w14:paraId="40445D80"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4.4</w:t>
            </w:r>
          </w:p>
        </w:tc>
        <w:tc>
          <w:tcPr>
            <w:tcW w:w="0" w:type="auto"/>
            <w:hideMark/>
          </w:tcPr>
          <w:p w14:paraId="19C3CD2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4.72</w:t>
            </w:r>
          </w:p>
        </w:tc>
        <w:tc>
          <w:tcPr>
            <w:tcW w:w="0" w:type="auto"/>
            <w:hideMark/>
          </w:tcPr>
          <w:p w14:paraId="07A1CF8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w:t>
            </w:r>
          </w:p>
        </w:tc>
        <w:tc>
          <w:tcPr>
            <w:tcW w:w="0" w:type="auto"/>
            <w:hideMark/>
          </w:tcPr>
          <w:p w14:paraId="65A2FB4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3.81</w:t>
            </w:r>
          </w:p>
        </w:tc>
        <w:tc>
          <w:tcPr>
            <w:tcW w:w="0" w:type="auto"/>
            <w:hideMark/>
          </w:tcPr>
          <w:p w14:paraId="388FBEF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w:t>
            </w:r>
          </w:p>
        </w:tc>
        <w:tc>
          <w:tcPr>
            <w:tcW w:w="0" w:type="auto"/>
            <w:hideMark/>
          </w:tcPr>
          <w:p w14:paraId="7D9D1B0F"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w:t>
            </w:r>
          </w:p>
        </w:tc>
        <w:tc>
          <w:tcPr>
            <w:tcW w:w="0" w:type="auto"/>
            <w:hideMark/>
          </w:tcPr>
          <w:p w14:paraId="0F2403C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6.3</w:t>
            </w:r>
          </w:p>
        </w:tc>
        <w:tc>
          <w:tcPr>
            <w:tcW w:w="0" w:type="auto"/>
            <w:hideMark/>
          </w:tcPr>
          <w:p w14:paraId="73B2213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4.25</w:t>
            </w:r>
          </w:p>
        </w:tc>
        <w:tc>
          <w:tcPr>
            <w:tcW w:w="0" w:type="auto"/>
            <w:hideMark/>
          </w:tcPr>
          <w:p w14:paraId="13B21E9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w:t>
            </w:r>
          </w:p>
        </w:tc>
        <w:tc>
          <w:tcPr>
            <w:tcW w:w="0" w:type="auto"/>
            <w:hideMark/>
          </w:tcPr>
          <w:p w14:paraId="334C636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4.8</w:t>
            </w:r>
          </w:p>
        </w:tc>
      </w:tr>
      <w:tr w:rsidR="00FE3E5D" w:rsidRPr="00FD6A48" w14:paraId="4810B5B0" w14:textId="77777777" w:rsidTr="004F11F5">
        <w:trPr>
          <w:trHeight w:val="466"/>
        </w:trPr>
        <w:tc>
          <w:tcPr>
            <w:tcW w:w="0" w:type="auto"/>
            <w:hideMark/>
          </w:tcPr>
          <w:p w14:paraId="20E4C6B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S5</w:t>
            </w:r>
          </w:p>
        </w:tc>
        <w:tc>
          <w:tcPr>
            <w:tcW w:w="0" w:type="auto"/>
            <w:hideMark/>
          </w:tcPr>
          <w:p w14:paraId="03A7766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6.5</w:t>
            </w:r>
          </w:p>
        </w:tc>
        <w:tc>
          <w:tcPr>
            <w:tcW w:w="0" w:type="auto"/>
            <w:hideMark/>
          </w:tcPr>
          <w:p w14:paraId="4A75274D"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w:t>
            </w:r>
          </w:p>
        </w:tc>
        <w:tc>
          <w:tcPr>
            <w:tcW w:w="0" w:type="auto"/>
            <w:hideMark/>
          </w:tcPr>
          <w:p w14:paraId="0B719A6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203E1F31"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6.7</w:t>
            </w:r>
          </w:p>
        </w:tc>
        <w:tc>
          <w:tcPr>
            <w:tcW w:w="0" w:type="auto"/>
            <w:hideMark/>
          </w:tcPr>
          <w:p w14:paraId="0A3F5B3E"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5.56</w:t>
            </w:r>
          </w:p>
        </w:tc>
        <w:tc>
          <w:tcPr>
            <w:tcW w:w="0" w:type="auto"/>
            <w:hideMark/>
          </w:tcPr>
          <w:p w14:paraId="3B9C151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w:t>
            </w:r>
          </w:p>
        </w:tc>
        <w:tc>
          <w:tcPr>
            <w:tcW w:w="0" w:type="auto"/>
            <w:hideMark/>
          </w:tcPr>
          <w:p w14:paraId="6DE1FCB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w:t>
            </w:r>
          </w:p>
        </w:tc>
        <w:tc>
          <w:tcPr>
            <w:tcW w:w="0" w:type="auto"/>
            <w:hideMark/>
          </w:tcPr>
          <w:p w14:paraId="11A86E1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3.31</w:t>
            </w:r>
          </w:p>
        </w:tc>
        <w:tc>
          <w:tcPr>
            <w:tcW w:w="0" w:type="auto"/>
            <w:hideMark/>
          </w:tcPr>
          <w:p w14:paraId="0593529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7FD3A76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75CAA1CA"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w:t>
            </w:r>
          </w:p>
        </w:tc>
        <w:tc>
          <w:tcPr>
            <w:tcW w:w="0" w:type="auto"/>
            <w:hideMark/>
          </w:tcPr>
          <w:p w14:paraId="79ADAE34"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3.8</w:t>
            </w:r>
          </w:p>
        </w:tc>
        <w:tc>
          <w:tcPr>
            <w:tcW w:w="0" w:type="auto"/>
            <w:hideMark/>
          </w:tcPr>
          <w:p w14:paraId="1700E96B"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5.3</w:t>
            </w:r>
          </w:p>
        </w:tc>
        <w:tc>
          <w:tcPr>
            <w:tcW w:w="0" w:type="auto"/>
            <w:hideMark/>
          </w:tcPr>
          <w:p w14:paraId="19077056"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4.55</w:t>
            </w:r>
          </w:p>
        </w:tc>
        <w:tc>
          <w:tcPr>
            <w:tcW w:w="0" w:type="auto"/>
            <w:hideMark/>
          </w:tcPr>
          <w:p w14:paraId="4D6D4B23"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5.25</w:t>
            </w:r>
          </w:p>
        </w:tc>
        <w:tc>
          <w:tcPr>
            <w:tcW w:w="0" w:type="auto"/>
            <w:hideMark/>
          </w:tcPr>
          <w:p w14:paraId="74E86AE2"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w:t>
            </w:r>
          </w:p>
        </w:tc>
        <w:tc>
          <w:tcPr>
            <w:tcW w:w="0" w:type="auto"/>
            <w:hideMark/>
          </w:tcPr>
          <w:p w14:paraId="135952E5"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w:t>
            </w:r>
          </w:p>
        </w:tc>
        <w:tc>
          <w:tcPr>
            <w:tcW w:w="0" w:type="auto"/>
            <w:hideMark/>
          </w:tcPr>
          <w:p w14:paraId="64CDD928" w14:textId="77777777" w:rsidR="004F11F5" w:rsidRPr="00FD6A48" w:rsidRDefault="004F11F5" w:rsidP="004F11F5">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5.2</w:t>
            </w:r>
          </w:p>
        </w:tc>
      </w:tr>
    </w:tbl>
    <w:p w14:paraId="560FF07D" w14:textId="6F86961C"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Dissolved oxygen (DO) showed notable seasonal and spatial variation, with values from 2.3 mg/L to 6.7 mg/L (Table </w:t>
      </w:r>
      <w:r w:rsidR="00D75EC5">
        <w:rPr>
          <w:rFonts w:ascii="Arial" w:hAnsi="Arial" w:cs="Arial"/>
          <w:color w:val="000000" w:themeColor="text1"/>
        </w:rPr>
        <w:t>3</w:t>
      </w:r>
      <w:r w:rsidRPr="00FD6A48">
        <w:rPr>
          <w:rFonts w:ascii="Arial" w:hAnsi="Arial" w:cs="Arial"/>
          <w:color w:val="000000" w:themeColor="text1"/>
        </w:rPr>
        <w:t>). Higher DO levels were measured during winter (January–February) across most stations due to cooler water temperatures enhancing oxygen solubility. In contrast, substantial DO depletion occurred in summer and monsoon (May–August), most severely at S4 and S5, possibly due to thermal stratification and elevated biological oxygen demand.</w:t>
      </w:r>
    </w:p>
    <w:p w14:paraId="66C21C48" w14:textId="77777777" w:rsidR="008B1B14" w:rsidRPr="00FD6A48" w:rsidRDefault="008B1B14" w:rsidP="00A279DA">
      <w:pPr>
        <w:spacing w:line="360" w:lineRule="auto"/>
        <w:jc w:val="both"/>
        <w:rPr>
          <w:rFonts w:ascii="Arial" w:hAnsi="Arial" w:cs="Arial"/>
          <w:b/>
          <w:bCs/>
          <w:color w:val="000000" w:themeColor="text1"/>
        </w:rPr>
      </w:pPr>
    </w:p>
    <w:p w14:paraId="3C89C3FA" w14:textId="55780150"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4</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Temperature across sampling stations </w:t>
      </w:r>
    </w:p>
    <w:tbl>
      <w:tblPr>
        <w:tblW w:w="10479"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28"/>
        <w:gridCol w:w="545"/>
        <w:gridCol w:w="545"/>
        <w:gridCol w:w="528"/>
        <w:gridCol w:w="572"/>
        <w:gridCol w:w="528"/>
        <w:gridCol w:w="528"/>
        <w:gridCol w:w="554"/>
        <w:gridCol w:w="554"/>
        <w:gridCol w:w="528"/>
        <w:gridCol w:w="554"/>
        <w:gridCol w:w="554"/>
        <w:gridCol w:w="528"/>
        <w:gridCol w:w="545"/>
        <w:gridCol w:w="545"/>
        <w:gridCol w:w="528"/>
        <w:gridCol w:w="572"/>
        <w:gridCol w:w="528"/>
      </w:tblGrid>
      <w:tr w:rsidR="00FE3E5D" w:rsidRPr="00FD6A48" w14:paraId="1A6287DE" w14:textId="77777777" w:rsidTr="004F11F5">
        <w:trPr>
          <w:trHeight w:val="899"/>
        </w:trPr>
        <w:tc>
          <w:tcPr>
            <w:tcW w:w="0" w:type="auto"/>
            <w:hideMark/>
          </w:tcPr>
          <w:p w14:paraId="0C302797" w14:textId="3BB7A77E"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w:t>
            </w:r>
            <w:r w:rsidR="008B219E">
              <w:rPr>
                <w:rFonts w:ascii="Arial" w:hAnsi="Arial" w:cs="Arial"/>
                <w:color w:val="000000" w:themeColor="text1"/>
                <w:sz w:val="16"/>
                <w:szCs w:val="16"/>
                <w:lang w:eastAsia="en-IN"/>
              </w:rPr>
              <w:t>M</w:t>
            </w:r>
            <w:r w:rsidRPr="00FD6A48">
              <w:rPr>
                <w:rFonts w:ascii="Arial" w:hAnsi="Arial" w:cs="Arial"/>
                <w:color w:val="000000" w:themeColor="text1"/>
                <w:sz w:val="16"/>
                <w:szCs w:val="16"/>
                <w:lang w:eastAsia="en-IN"/>
              </w:rPr>
              <w:t>onth                                                                                                               Station</w:t>
            </w:r>
          </w:p>
        </w:tc>
        <w:tc>
          <w:tcPr>
            <w:tcW w:w="0" w:type="auto"/>
            <w:hideMark/>
          </w:tcPr>
          <w:p w14:paraId="2E6B703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0" w:type="auto"/>
            <w:hideMark/>
          </w:tcPr>
          <w:p w14:paraId="6ABC0BA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0" w:type="auto"/>
            <w:hideMark/>
          </w:tcPr>
          <w:p w14:paraId="4B18B9B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0" w:type="auto"/>
            <w:hideMark/>
          </w:tcPr>
          <w:p w14:paraId="0E98D74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0" w:type="auto"/>
            <w:hideMark/>
          </w:tcPr>
          <w:p w14:paraId="1888858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0" w:type="auto"/>
            <w:hideMark/>
          </w:tcPr>
          <w:p w14:paraId="4878779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0" w:type="auto"/>
            <w:hideMark/>
          </w:tcPr>
          <w:p w14:paraId="5090E85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0" w:type="auto"/>
            <w:hideMark/>
          </w:tcPr>
          <w:p w14:paraId="622E67E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0" w:type="auto"/>
            <w:hideMark/>
          </w:tcPr>
          <w:p w14:paraId="29553DB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0" w:type="auto"/>
            <w:hideMark/>
          </w:tcPr>
          <w:p w14:paraId="462DA12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0" w:type="auto"/>
            <w:hideMark/>
          </w:tcPr>
          <w:p w14:paraId="5F8BF87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0" w:type="auto"/>
            <w:hideMark/>
          </w:tcPr>
          <w:p w14:paraId="17C78F8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0" w:type="auto"/>
            <w:hideMark/>
          </w:tcPr>
          <w:p w14:paraId="5DDACF0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0" w:type="auto"/>
            <w:hideMark/>
          </w:tcPr>
          <w:p w14:paraId="2E45A30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0" w:type="auto"/>
            <w:hideMark/>
          </w:tcPr>
          <w:p w14:paraId="408C08B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0" w:type="auto"/>
            <w:hideMark/>
          </w:tcPr>
          <w:p w14:paraId="5736ADF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0" w:type="auto"/>
            <w:hideMark/>
          </w:tcPr>
          <w:p w14:paraId="67BCCEF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0" w:type="auto"/>
            <w:hideMark/>
          </w:tcPr>
          <w:p w14:paraId="515DE68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092360B9" w14:textId="77777777" w:rsidTr="004F11F5">
        <w:trPr>
          <w:trHeight w:val="449"/>
        </w:trPr>
        <w:tc>
          <w:tcPr>
            <w:tcW w:w="0" w:type="auto"/>
            <w:hideMark/>
          </w:tcPr>
          <w:p w14:paraId="5102FE8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S1</w:t>
            </w:r>
          </w:p>
        </w:tc>
        <w:tc>
          <w:tcPr>
            <w:tcW w:w="0" w:type="auto"/>
            <w:hideMark/>
          </w:tcPr>
          <w:p w14:paraId="7AEC5C2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589965A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22.1</w:t>
            </w:r>
          </w:p>
        </w:tc>
        <w:tc>
          <w:tcPr>
            <w:tcW w:w="0" w:type="auto"/>
            <w:hideMark/>
          </w:tcPr>
          <w:p w14:paraId="0FDE2ED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25.0</w:t>
            </w:r>
          </w:p>
        </w:tc>
        <w:tc>
          <w:tcPr>
            <w:tcW w:w="0" w:type="auto"/>
            <w:hideMark/>
          </w:tcPr>
          <w:p w14:paraId="59B86A5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12D3685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30.0</w:t>
            </w:r>
          </w:p>
        </w:tc>
        <w:tc>
          <w:tcPr>
            <w:tcW w:w="0" w:type="auto"/>
            <w:hideMark/>
          </w:tcPr>
          <w:p w14:paraId="53568CF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3A6A1AB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23.2</w:t>
            </w:r>
          </w:p>
        </w:tc>
        <w:tc>
          <w:tcPr>
            <w:tcW w:w="0" w:type="auto"/>
            <w:hideMark/>
          </w:tcPr>
          <w:p w14:paraId="138FF9E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22.1</w:t>
            </w:r>
          </w:p>
        </w:tc>
        <w:tc>
          <w:tcPr>
            <w:tcW w:w="0" w:type="auto"/>
            <w:hideMark/>
          </w:tcPr>
          <w:p w14:paraId="1572224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23.1</w:t>
            </w:r>
          </w:p>
        </w:tc>
        <w:tc>
          <w:tcPr>
            <w:tcW w:w="0" w:type="auto"/>
            <w:hideMark/>
          </w:tcPr>
          <w:p w14:paraId="569ABD9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22.0</w:t>
            </w:r>
          </w:p>
        </w:tc>
        <w:tc>
          <w:tcPr>
            <w:tcW w:w="0" w:type="auto"/>
            <w:hideMark/>
          </w:tcPr>
          <w:p w14:paraId="096806A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23.2</w:t>
            </w:r>
          </w:p>
        </w:tc>
        <w:tc>
          <w:tcPr>
            <w:tcW w:w="0" w:type="auto"/>
            <w:hideMark/>
          </w:tcPr>
          <w:p w14:paraId="76D2E78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21.7</w:t>
            </w:r>
          </w:p>
        </w:tc>
        <w:tc>
          <w:tcPr>
            <w:tcW w:w="0" w:type="auto"/>
            <w:hideMark/>
          </w:tcPr>
          <w:p w14:paraId="1408800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23.4</w:t>
            </w:r>
          </w:p>
        </w:tc>
        <w:tc>
          <w:tcPr>
            <w:tcW w:w="0" w:type="auto"/>
            <w:hideMark/>
          </w:tcPr>
          <w:p w14:paraId="25256F7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24.6</w:t>
            </w:r>
          </w:p>
        </w:tc>
        <w:tc>
          <w:tcPr>
            <w:tcW w:w="0" w:type="auto"/>
            <w:hideMark/>
          </w:tcPr>
          <w:p w14:paraId="283285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27.2</w:t>
            </w:r>
          </w:p>
        </w:tc>
        <w:tc>
          <w:tcPr>
            <w:tcW w:w="0" w:type="auto"/>
            <w:hideMark/>
          </w:tcPr>
          <w:p w14:paraId="3540BAF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0" w:type="auto"/>
            <w:hideMark/>
          </w:tcPr>
          <w:p w14:paraId="0F5238E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33.0</w:t>
            </w:r>
          </w:p>
        </w:tc>
        <w:tc>
          <w:tcPr>
            <w:tcW w:w="0" w:type="auto"/>
            <w:hideMark/>
          </w:tcPr>
          <w:p w14:paraId="605DCA3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23.0</w:t>
            </w:r>
          </w:p>
        </w:tc>
      </w:tr>
      <w:tr w:rsidR="00FE3E5D" w:rsidRPr="00FD6A48" w14:paraId="2909FAA3" w14:textId="77777777" w:rsidTr="004F11F5">
        <w:trPr>
          <w:trHeight w:val="449"/>
        </w:trPr>
        <w:tc>
          <w:tcPr>
            <w:tcW w:w="0" w:type="auto"/>
            <w:hideMark/>
          </w:tcPr>
          <w:p w14:paraId="2D424A4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S2</w:t>
            </w:r>
          </w:p>
        </w:tc>
        <w:tc>
          <w:tcPr>
            <w:tcW w:w="0" w:type="auto"/>
            <w:hideMark/>
          </w:tcPr>
          <w:p w14:paraId="6328AB6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23.5</w:t>
            </w:r>
          </w:p>
        </w:tc>
        <w:tc>
          <w:tcPr>
            <w:tcW w:w="0" w:type="auto"/>
            <w:hideMark/>
          </w:tcPr>
          <w:p w14:paraId="2A43B8C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22.7</w:t>
            </w:r>
          </w:p>
        </w:tc>
        <w:tc>
          <w:tcPr>
            <w:tcW w:w="0" w:type="auto"/>
            <w:hideMark/>
          </w:tcPr>
          <w:p w14:paraId="03146C8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419466C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75371A0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5DEDC76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0607538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24.1</w:t>
            </w:r>
          </w:p>
        </w:tc>
        <w:tc>
          <w:tcPr>
            <w:tcW w:w="0" w:type="auto"/>
            <w:hideMark/>
          </w:tcPr>
          <w:p w14:paraId="621BE96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23.3</w:t>
            </w:r>
          </w:p>
        </w:tc>
        <w:tc>
          <w:tcPr>
            <w:tcW w:w="0" w:type="auto"/>
            <w:hideMark/>
          </w:tcPr>
          <w:p w14:paraId="63D54D2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22.4</w:t>
            </w:r>
          </w:p>
        </w:tc>
        <w:tc>
          <w:tcPr>
            <w:tcW w:w="0" w:type="auto"/>
            <w:hideMark/>
          </w:tcPr>
          <w:p w14:paraId="08FE01B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23.4</w:t>
            </w:r>
          </w:p>
        </w:tc>
        <w:tc>
          <w:tcPr>
            <w:tcW w:w="0" w:type="auto"/>
            <w:hideMark/>
          </w:tcPr>
          <w:p w14:paraId="139407C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24.1</w:t>
            </w:r>
          </w:p>
        </w:tc>
        <w:tc>
          <w:tcPr>
            <w:tcW w:w="0" w:type="auto"/>
            <w:hideMark/>
          </w:tcPr>
          <w:p w14:paraId="30FADEF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21.9</w:t>
            </w:r>
          </w:p>
        </w:tc>
        <w:tc>
          <w:tcPr>
            <w:tcW w:w="0" w:type="auto"/>
            <w:hideMark/>
          </w:tcPr>
          <w:p w14:paraId="23479D3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0D68174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25.9</w:t>
            </w:r>
          </w:p>
        </w:tc>
        <w:tc>
          <w:tcPr>
            <w:tcW w:w="0" w:type="auto"/>
            <w:hideMark/>
          </w:tcPr>
          <w:p w14:paraId="6D51209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26.5</w:t>
            </w:r>
          </w:p>
        </w:tc>
        <w:tc>
          <w:tcPr>
            <w:tcW w:w="0" w:type="auto"/>
            <w:hideMark/>
          </w:tcPr>
          <w:p w14:paraId="5C5CCE2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30.0</w:t>
            </w:r>
          </w:p>
        </w:tc>
        <w:tc>
          <w:tcPr>
            <w:tcW w:w="0" w:type="auto"/>
            <w:hideMark/>
          </w:tcPr>
          <w:p w14:paraId="6F5D5AB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0" w:type="auto"/>
            <w:hideMark/>
          </w:tcPr>
          <w:p w14:paraId="6B6F548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25.0</w:t>
            </w:r>
          </w:p>
        </w:tc>
      </w:tr>
      <w:tr w:rsidR="00FE3E5D" w:rsidRPr="00FD6A48" w14:paraId="7A2482D3" w14:textId="77777777" w:rsidTr="004F11F5">
        <w:trPr>
          <w:trHeight w:val="449"/>
        </w:trPr>
        <w:tc>
          <w:tcPr>
            <w:tcW w:w="0" w:type="auto"/>
            <w:hideMark/>
          </w:tcPr>
          <w:p w14:paraId="7EE0F8F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0" w:type="auto"/>
            <w:hideMark/>
          </w:tcPr>
          <w:p w14:paraId="17BCB71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24.4</w:t>
            </w:r>
          </w:p>
        </w:tc>
        <w:tc>
          <w:tcPr>
            <w:tcW w:w="0" w:type="auto"/>
            <w:hideMark/>
          </w:tcPr>
          <w:p w14:paraId="3DC985D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24.2</w:t>
            </w:r>
          </w:p>
        </w:tc>
        <w:tc>
          <w:tcPr>
            <w:tcW w:w="0" w:type="auto"/>
            <w:hideMark/>
          </w:tcPr>
          <w:p w14:paraId="771F51D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079326F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29.0</w:t>
            </w:r>
          </w:p>
        </w:tc>
        <w:tc>
          <w:tcPr>
            <w:tcW w:w="0" w:type="auto"/>
            <w:hideMark/>
          </w:tcPr>
          <w:p w14:paraId="334B33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29.0</w:t>
            </w:r>
          </w:p>
        </w:tc>
        <w:tc>
          <w:tcPr>
            <w:tcW w:w="0" w:type="auto"/>
            <w:hideMark/>
          </w:tcPr>
          <w:p w14:paraId="6703271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29.0</w:t>
            </w:r>
          </w:p>
        </w:tc>
        <w:tc>
          <w:tcPr>
            <w:tcW w:w="0" w:type="auto"/>
            <w:hideMark/>
          </w:tcPr>
          <w:p w14:paraId="7F00622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22.0</w:t>
            </w:r>
          </w:p>
        </w:tc>
        <w:tc>
          <w:tcPr>
            <w:tcW w:w="0" w:type="auto"/>
            <w:hideMark/>
          </w:tcPr>
          <w:p w14:paraId="4CC2F54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24.3</w:t>
            </w:r>
          </w:p>
        </w:tc>
        <w:tc>
          <w:tcPr>
            <w:tcW w:w="0" w:type="auto"/>
            <w:hideMark/>
          </w:tcPr>
          <w:p w14:paraId="6E48366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24.5</w:t>
            </w:r>
          </w:p>
        </w:tc>
        <w:tc>
          <w:tcPr>
            <w:tcW w:w="0" w:type="auto"/>
            <w:hideMark/>
          </w:tcPr>
          <w:p w14:paraId="635BDB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22.6</w:t>
            </w:r>
          </w:p>
        </w:tc>
        <w:tc>
          <w:tcPr>
            <w:tcW w:w="0" w:type="auto"/>
            <w:hideMark/>
          </w:tcPr>
          <w:p w14:paraId="55F4D59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25.3</w:t>
            </w:r>
          </w:p>
        </w:tc>
        <w:tc>
          <w:tcPr>
            <w:tcW w:w="0" w:type="auto"/>
            <w:hideMark/>
          </w:tcPr>
          <w:p w14:paraId="2CB4010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22.0</w:t>
            </w:r>
          </w:p>
        </w:tc>
        <w:tc>
          <w:tcPr>
            <w:tcW w:w="0" w:type="auto"/>
            <w:hideMark/>
          </w:tcPr>
          <w:p w14:paraId="1098B30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23.7</w:t>
            </w:r>
          </w:p>
        </w:tc>
        <w:tc>
          <w:tcPr>
            <w:tcW w:w="0" w:type="auto"/>
            <w:hideMark/>
          </w:tcPr>
          <w:p w14:paraId="4D18D79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25.2</w:t>
            </w:r>
          </w:p>
        </w:tc>
        <w:tc>
          <w:tcPr>
            <w:tcW w:w="0" w:type="auto"/>
            <w:hideMark/>
          </w:tcPr>
          <w:p w14:paraId="4D131FE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28.9</w:t>
            </w:r>
          </w:p>
        </w:tc>
        <w:tc>
          <w:tcPr>
            <w:tcW w:w="0" w:type="auto"/>
            <w:hideMark/>
          </w:tcPr>
          <w:p w14:paraId="71BBEAA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29.1</w:t>
            </w:r>
          </w:p>
        </w:tc>
        <w:tc>
          <w:tcPr>
            <w:tcW w:w="0" w:type="auto"/>
            <w:hideMark/>
          </w:tcPr>
          <w:p w14:paraId="5125438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0" w:type="auto"/>
            <w:hideMark/>
          </w:tcPr>
          <w:p w14:paraId="1D9BB96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23.3</w:t>
            </w:r>
          </w:p>
        </w:tc>
      </w:tr>
      <w:tr w:rsidR="00FE3E5D" w:rsidRPr="00FD6A48" w14:paraId="422BB2EB" w14:textId="77777777" w:rsidTr="004F11F5">
        <w:trPr>
          <w:trHeight w:val="449"/>
        </w:trPr>
        <w:tc>
          <w:tcPr>
            <w:tcW w:w="0" w:type="auto"/>
            <w:hideMark/>
          </w:tcPr>
          <w:p w14:paraId="65BBD3C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S4</w:t>
            </w:r>
          </w:p>
        </w:tc>
        <w:tc>
          <w:tcPr>
            <w:tcW w:w="0" w:type="auto"/>
            <w:hideMark/>
          </w:tcPr>
          <w:p w14:paraId="71B7A41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23.7</w:t>
            </w:r>
          </w:p>
        </w:tc>
        <w:tc>
          <w:tcPr>
            <w:tcW w:w="0" w:type="auto"/>
            <w:hideMark/>
          </w:tcPr>
          <w:p w14:paraId="2D1F3F2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22.8</w:t>
            </w:r>
          </w:p>
        </w:tc>
        <w:tc>
          <w:tcPr>
            <w:tcW w:w="0" w:type="auto"/>
            <w:hideMark/>
          </w:tcPr>
          <w:p w14:paraId="22C5AC2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1469515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2762714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29.5</w:t>
            </w:r>
          </w:p>
        </w:tc>
        <w:tc>
          <w:tcPr>
            <w:tcW w:w="0" w:type="auto"/>
            <w:hideMark/>
          </w:tcPr>
          <w:p w14:paraId="069FFE7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42F10C7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347916A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24.5</w:t>
            </w:r>
          </w:p>
        </w:tc>
        <w:tc>
          <w:tcPr>
            <w:tcW w:w="0" w:type="auto"/>
            <w:hideMark/>
          </w:tcPr>
          <w:p w14:paraId="2466556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25.3</w:t>
            </w:r>
          </w:p>
        </w:tc>
        <w:tc>
          <w:tcPr>
            <w:tcW w:w="0" w:type="auto"/>
            <w:hideMark/>
          </w:tcPr>
          <w:p w14:paraId="04E69F9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25.1</w:t>
            </w:r>
          </w:p>
        </w:tc>
        <w:tc>
          <w:tcPr>
            <w:tcW w:w="0" w:type="auto"/>
            <w:hideMark/>
          </w:tcPr>
          <w:p w14:paraId="1E84470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24.1</w:t>
            </w:r>
          </w:p>
        </w:tc>
        <w:tc>
          <w:tcPr>
            <w:tcW w:w="0" w:type="auto"/>
            <w:hideMark/>
          </w:tcPr>
          <w:p w14:paraId="53A5D11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21.8</w:t>
            </w:r>
          </w:p>
        </w:tc>
        <w:tc>
          <w:tcPr>
            <w:tcW w:w="0" w:type="auto"/>
            <w:hideMark/>
          </w:tcPr>
          <w:p w14:paraId="1B52B79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24.8</w:t>
            </w:r>
          </w:p>
        </w:tc>
        <w:tc>
          <w:tcPr>
            <w:tcW w:w="0" w:type="auto"/>
            <w:hideMark/>
          </w:tcPr>
          <w:p w14:paraId="4F59249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25.1</w:t>
            </w:r>
          </w:p>
        </w:tc>
        <w:tc>
          <w:tcPr>
            <w:tcW w:w="0" w:type="auto"/>
            <w:hideMark/>
          </w:tcPr>
          <w:p w14:paraId="29DCC84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15FC6AC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0F99B22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31.0</w:t>
            </w:r>
          </w:p>
        </w:tc>
        <w:tc>
          <w:tcPr>
            <w:tcW w:w="0" w:type="auto"/>
            <w:hideMark/>
          </w:tcPr>
          <w:p w14:paraId="16547C2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24.2</w:t>
            </w:r>
          </w:p>
        </w:tc>
      </w:tr>
      <w:tr w:rsidR="00FE3E5D" w:rsidRPr="00FD6A48" w14:paraId="61F7CAC4" w14:textId="77777777" w:rsidTr="004F11F5">
        <w:trPr>
          <w:trHeight w:val="449"/>
        </w:trPr>
        <w:tc>
          <w:tcPr>
            <w:tcW w:w="0" w:type="auto"/>
            <w:hideMark/>
          </w:tcPr>
          <w:p w14:paraId="217BB78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lastRenderedPageBreak/>
              <w:t>S5</w:t>
            </w:r>
          </w:p>
        </w:tc>
        <w:tc>
          <w:tcPr>
            <w:tcW w:w="0" w:type="auto"/>
            <w:hideMark/>
          </w:tcPr>
          <w:p w14:paraId="223CFEA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22.2</w:t>
            </w:r>
          </w:p>
        </w:tc>
        <w:tc>
          <w:tcPr>
            <w:tcW w:w="0" w:type="auto"/>
            <w:hideMark/>
          </w:tcPr>
          <w:p w14:paraId="190123A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23.7</w:t>
            </w:r>
          </w:p>
        </w:tc>
        <w:tc>
          <w:tcPr>
            <w:tcW w:w="0" w:type="auto"/>
            <w:hideMark/>
          </w:tcPr>
          <w:p w14:paraId="5BC0B9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28.0</w:t>
            </w:r>
          </w:p>
        </w:tc>
        <w:tc>
          <w:tcPr>
            <w:tcW w:w="0" w:type="auto"/>
            <w:hideMark/>
          </w:tcPr>
          <w:p w14:paraId="0BA1A6B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25.0</w:t>
            </w:r>
          </w:p>
        </w:tc>
        <w:tc>
          <w:tcPr>
            <w:tcW w:w="0" w:type="auto"/>
            <w:hideMark/>
          </w:tcPr>
          <w:p w14:paraId="53851F9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30.5</w:t>
            </w:r>
          </w:p>
        </w:tc>
        <w:tc>
          <w:tcPr>
            <w:tcW w:w="0" w:type="auto"/>
            <w:hideMark/>
          </w:tcPr>
          <w:p w14:paraId="351968F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27.0</w:t>
            </w:r>
          </w:p>
        </w:tc>
        <w:tc>
          <w:tcPr>
            <w:tcW w:w="0" w:type="auto"/>
            <w:hideMark/>
          </w:tcPr>
          <w:p w14:paraId="2ADC199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24.0</w:t>
            </w:r>
          </w:p>
        </w:tc>
        <w:tc>
          <w:tcPr>
            <w:tcW w:w="0" w:type="auto"/>
            <w:hideMark/>
          </w:tcPr>
          <w:p w14:paraId="58CF154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23.2</w:t>
            </w:r>
          </w:p>
        </w:tc>
        <w:tc>
          <w:tcPr>
            <w:tcW w:w="0" w:type="auto"/>
            <w:hideMark/>
          </w:tcPr>
          <w:p w14:paraId="1B70AAC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21.5</w:t>
            </w:r>
          </w:p>
        </w:tc>
        <w:tc>
          <w:tcPr>
            <w:tcW w:w="0" w:type="auto"/>
            <w:hideMark/>
          </w:tcPr>
          <w:p w14:paraId="4C534CA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24.7</w:t>
            </w:r>
          </w:p>
        </w:tc>
        <w:tc>
          <w:tcPr>
            <w:tcW w:w="0" w:type="auto"/>
            <w:hideMark/>
          </w:tcPr>
          <w:p w14:paraId="32B1B39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25.3</w:t>
            </w:r>
          </w:p>
        </w:tc>
        <w:tc>
          <w:tcPr>
            <w:tcW w:w="0" w:type="auto"/>
            <w:hideMark/>
          </w:tcPr>
          <w:p w14:paraId="66443FE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22.2</w:t>
            </w:r>
          </w:p>
        </w:tc>
        <w:tc>
          <w:tcPr>
            <w:tcW w:w="0" w:type="auto"/>
            <w:hideMark/>
          </w:tcPr>
          <w:p w14:paraId="6355B2F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24.5</w:t>
            </w:r>
          </w:p>
        </w:tc>
        <w:tc>
          <w:tcPr>
            <w:tcW w:w="0" w:type="auto"/>
            <w:hideMark/>
          </w:tcPr>
          <w:p w14:paraId="69C0040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26.1</w:t>
            </w:r>
          </w:p>
        </w:tc>
        <w:tc>
          <w:tcPr>
            <w:tcW w:w="0" w:type="auto"/>
            <w:hideMark/>
          </w:tcPr>
          <w:p w14:paraId="066746E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29.0</w:t>
            </w:r>
          </w:p>
        </w:tc>
        <w:tc>
          <w:tcPr>
            <w:tcW w:w="0" w:type="auto"/>
            <w:hideMark/>
          </w:tcPr>
          <w:p w14:paraId="4317D4E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27.1</w:t>
            </w:r>
          </w:p>
        </w:tc>
        <w:tc>
          <w:tcPr>
            <w:tcW w:w="0" w:type="auto"/>
            <w:hideMark/>
          </w:tcPr>
          <w:p w14:paraId="044F524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32.2</w:t>
            </w:r>
          </w:p>
        </w:tc>
        <w:tc>
          <w:tcPr>
            <w:tcW w:w="0" w:type="auto"/>
            <w:hideMark/>
          </w:tcPr>
          <w:p w14:paraId="72131AC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21.5</w:t>
            </w:r>
          </w:p>
        </w:tc>
      </w:tr>
    </w:tbl>
    <w:p w14:paraId="7A2AA621" w14:textId="77777777" w:rsidR="00F44F37" w:rsidRPr="00FD6A48" w:rsidRDefault="00F44F37" w:rsidP="00A279DA">
      <w:pPr>
        <w:spacing w:line="360" w:lineRule="auto"/>
        <w:jc w:val="both"/>
        <w:rPr>
          <w:rFonts w:ascii="Arial" w:hAnsi="Arial" w:cs="Arial"/>
          <w:b/>
          <w:bCs/>
          <w:color w:val="000000" w:themeColor="text1"/>
        </w:rPr>
      </w:pPr>
    </w:p>
    <w:p w14:paraId="51343387" w14:textId="17AC828C"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Water temperature followed a clear seasonal pattern, ranging from 21.5°C to 33.0°C (Table </w:t>
      </w:r>
      <w:r w:rsidR="00D75EC5">
        <w:rPr>
          <w:rFonts w:ascii="Arial" w:hAnsi="Arial" w:cs="Arial"/>
          <w:color w:val="000000" w:themeColor="text1"/>
        </w:rPr>
        <w:t>4</w:t>
      </w:r>
      <w:r w:rsidRPr="00FD6A48">
        <w:rPr>
          <w:rFonts w:ascii="Arial" w:hAnsi="Arial" w:cs="Arial"/>
          <w:color w:val="000000" w:themeColor="text1"/>
        </w:rPr>
        <w:t xml:space="preserve">). The highest temperatures were recorded during April–May at Stations S1 and S2, while the lowest were recorded during the winter months, particularly at S5. Temperature patterns directly influenced DO solubility and, to some extent, biological activity. </w:t>
      </w:r>
    </w:p>
    <w:p w14:paraId="5AA99F7A" w14:textId="688A2669"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5</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Electrical conductivity across sampling stations </w:t>
      </w:r>
    </w:p>
    <w:tbl>
      <w:tblPr>
        <w:tblStyle w:val="TableGrid"/>
        <w:tblW w:w="6347" w:type="pct"/>
        <w:tblInd w:w="-676" w:type="dxa"/>
        <w:tblLook w:val="04A0" w:firstRow="1" w:lastRow="0" w:firstColumn="1" w:lastColumn="0" w:noHBand="0" w:noVBand="1"/>
      </w:tblPr>
      <w:tblGrid>
        <w:gridCol w:w="715"/>
        <w:gridCol w:w="528"/>
        <w:gridCol w:w="545"/>
        <w:gridCol w:w="545"/>
        <w:gridCol w:w="519"/>
        <w:gridCol w:w="572"/>
        <w:gridCol w:w="528"/>
        <w:gridCol w:w="483"/>
        <w:gridCol w:w="554"/>
        <w:gridCol w:w="554"/>
        <w:gridCol w:w="519"/>
        <w:gridCol w:w="554"/>
        <w:gridCol w:w="554"/>
        <w:gridCol w:w="528"/>
        <w:gridCol w:w="545"/>
        <w:gridCol w:w="545"/>
        <w:gridCol w:w="519"/>
        <w:gridCol w:w="572"/>
        <w:gridCol w:w="528"/>
      </w:tblGrid>
      <w:tr w:rsidR="00FE3E5D" w:rsidRPr="00FD6A48" w14:paraId="19B0DA21" w14:textId="77777777" w:rsidTr="00ED083D">
        <w:trPr>
          <w:trHeight w:val="912"/>
        </w:trPr>
        <w:tc>
          <w:tcPr>
            <w:tcW w:w="344" w:type="pct"/>
            <w:hideMark/>
          </w:tcPr>
          <w:p w14:paraId="21E7A61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 xml:space="preserve">         Month                                                                                                               Station</w:t>
            </w:r>
          </w:p>
        </w:tc>
        <w:tc>
          <w:tcPr>
            <w:tcW w:w="254" w:type="pct"/>
            <w:hideMark/>
          </w:tcPr>
          <w:p w14:paraId="4EDAE0B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Jan-24</w:t>
            </w:r>
          </w:p>
        </w:tc>
        <w:tc>
          <w:tcPr>
            <w:tcW w:w="262" w:type="pct"/>
            <w:hideMark/>
          </w:tcPr>
          <w:p w14:paraId="3DECE1E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Feb-24</w:t>
            </w:r>
          </w:p>
        </w:tc>
        <w:tc>
          <w:tcPr>
            <w:tcW w:w="262" w:type="pct"/>
            <w:hideMark/>
          </w:tcPr>
          <w:p w14:paraId="43A3C8B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Mar-24</w:t>
            </w:r>
          </w:p>
        </w:tc>
        <w:tc>
          <w:tcPr>
            <w:tcW w:w="249" w:type="pct"/>
            <w:hideMark/>
          </w:tcPr>
          <w:p w14:paraId="7D58E8B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Apr-24</w:t>
            </w:r>
          </w:p>
        </w:tc>
        <w:tc>
          <w:tcPr>
            <w:tcW w:w="275" w:type="pct"/>
            <w:hideMark/>
          </w:tcPr>
          <w:p w14:paraId="56E5214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May-24</w:t>
            </w:r>
          </w:p>
        </w:tc>
        <w:tc>
          <w:tcPr>
            <w:tcW w:w="254" w:type="pct"/>
            <w:hideMark/>
          </w:tcPr>
          <w:p w14:paraId="2F3993D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Jun-24</w:t>
            </w:r>
          </w:p>
        </w:tc>
        <w:tc>
          <w:tcPr>
            <w:tcW w:w="232" w:type="pct"/>
            <w:hideMark/>
          </w:tcPr>
          <w:p w14:paraId="4EE9F8D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Jul-24</w:t>
            </w:r>
          </w:p>
        </w:tc>
        <w:tc>
          <w:tcPr>
            <w:tcW w:w="266" w:type="pct"/>
            <w:hideMark/>
          </w:tcPr>
          <w:p w14:paraId="00FC70D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Aug-24</w:t>
            </w:r>
          </w:p>
        </w:tc>
        <w:tc>
          <w:tcPr>
            <w:tcW w:w="266" w:type="pct"/>
            <w:hideMark/>
          </w:tcPr>
          <w:p w14:paraId="6F81403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Sep-24</w:t>
            </w:r>
          </w:p>
        </w:tc>
        <w:tc>
          <w:tcPr>
            <w:tcW w:w="249" w:type="pct"/>
            <w:hideMark/>
          </w:tcPr>
          <w:p w14:paraId="4C8A727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Oct-24</w:t>
            </w:r>
          </w:p>
        </w:tc>
        <w:tc>
          <w:tcPr>
            <w:tcW w:w="266" w:type="pct"/>
            <w:hideMark/>
          </w:tcPr>
          <w:p w14:paraId="765588C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Nov-24</w:t>
            </w:r>
          </w:p>
        </w:tc>
        <w:tc>
          <w:tcPr>
            <w:tcW w:w="266" w:type="pct"/>
            <w:hideMark/>
          </w:tcPr>
          <w:p w14:paraId="4A6C524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Dec-24</w:t>
            </w:r>
          </w:p>
        </w:tc>
        <w:tc>
          <w:tcPr>
            <w:tcW w:w="254" w:type="pct"/>
            <w:hideMark/>
          </w:tcPr>
          <w:p w14:paraId="389DDC9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Jan-25</w:t>
            </w:r>
          </w:p>
        </w:tc>
        <w:tc>
          <w:tcPr>
            <w:tcW w:w="262" w:type="pct"/>
            <w:hideMark/>
          </w:tcPr>
          <w:p w14:paraId="1B24626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Feb-25</w:t>
            </w:r>
          </w:p>
        </w:tc>
        <w:tc>
          <w:tcPr>
            <w:tcW w:w="262" w:type="pct"/>
            <w:hideMark/>
          </w:tcPr>
          <w:p w14:paraId="5DE0B3B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Mar-25</w:t>
            </w:r>
          </w:p>
        </w:tc>
        <w:tc>
          <w:tcPr>
            <w:tcW w:w="249" w:type="pct"/>
            <w:hideMark/>
          </w:tcPr>
          <w:p w14:paraId="105B04D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Apr-25</w:t>
            </w:r>
          </w:p>
        </w:tc>
        <w:tc>
          <w:tcPr>
            <w:tcW w:w="275" w:type="pct"/>
            <w:hideMark/>
          </w:tcPr>
          <w:p w14:paraId="0ED6718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May-25</w:t>
            </w:r>
          </w:p>
        </w:tc>
        <w:tc>
          <w:tcPr>
            <w:tcW w:w="254" w:type="pct"/>
            <w:hideMark/>
          </w:tcPr>
          <w:p w14:paraId="53CDCFF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Jun-25</w:t>
            </w:r>
          </w:p>
        </w:tc>
      </w:tr>
      <w:tr w:rsidR="00FE3E5D" w:rsidRPr="00FD6A48" w14:paraId="2CD9AA0B" w14:textId="77777777" w:rsidTr="00ED083D">
        <w:trPr>
          <w:trHeight w:val="456"/>
        </w:trPr>
        <w:tc>
          <w:tcPr>
            <w:tcW w:w="344" w:type="pct"/>
            <w:hideMark/>
          </w:tcPr>
          <w:p w14:paraId="30ACE6D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S1</w:t>
            </w:r>
          </w:p>
        </w:tc>
        <w:tc>
          <w:tcPr>
            <w:tcW w:w="254" w:type="pct"/>
            <w:hideMark/>
          </w:tcPr>
          <w:p w14:paraId="7420076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0BC85FE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310</w:t>
            </w:r>
          </w:p>
        </w:tc>
        <w:tc>
          <w:tcPr>
            <w:tcW w:w="262" w:type="pct"/>
            <w:hideMark/>
          </w:tcPr>
          <w:p w14:paraId="2113A2A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400</w:t>
            </w:r>
          </w:p>
        </w:tc>
        <w:tc>
          <w:tcPr>
            <w:tcW w:w="249" w:type="pct"/>
            <w:hideMark/>
          </w:tcPr>
          <w:p w14:paraId="09534E3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423</w:t>
            </w:r>
          </w:p>
        </w:tc>
        <w:tc>
          <w:tcPr>
            <w:tcW w:w="275" w:type="pct"/>
            <w:hideMark/>
          </w:tcPr>
          <w:p w14:paraId="5BED39C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432</w:t>
            </w:r>
          </w:p>
        </w:tc>
        <w:tc>
          <w:tcPr>
            <w:tcW w:w="254" w:type="pct"/>
            <w:hideMark/>
          </w:tcPr>
          <w:p w14:paraId="36CE42F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400</w:t>
            </w:r>
          </w:p>
        </w:tc>
        <w:tc>
          <w:tcPr>
            <w:tcW w:w="232" w:type="pct"/>
            <w:hideMark/>
          </w:tcPr>
          <w:p w14:paraId="21EABB2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350</w:t>
            </w:r>
          </w:p>
        </w:tc>
        <w:tc>
          <w:tcPr>
            <w:tcW w:w="266" w:type="pct"/>
            <w:hideMark/>
          </w:tcPr>
          <w:p w14:paraId="451A38A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345</w:t>
            </w:r>
          </w:p>
        </w:tc>
        <w:tc>
          <w:tcPr>
            <w:tcW w:w="266" w:type="pct"/>
            <w:hideMark/>
          </w:tcPr>
          <w:p w14:paraId="19FB6F8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365</w:t>
            </w:r>
          </w:p>
        </w:tc>
        <w:tc>
          <w:tcPr>
            <w:tcW w:w="249" w:type="pct"/>
            <w:hideMark/>
          </w:tcPr>
          <w:p w14:paraId="5DF33FC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323</w:t>
            </w:r>
          </w:p>
        </w:tc>
        <w:tc>
          <w:tcPr>
            <w:tcW w:w="266" w:type="pct"/>
            <w:hideMark/>
          </w:tcPr>
          <w:p w14:paraId="57E1862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6" w:type="pct"/>
            <w:hideMark/>
          </w:tcPr>
          <w:p w14:paraId="01E5A65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325</w:t>
            </w:r>
          </w:p>
        </w:tc>
        <w:tc>
          <w:tcPr>
            <w:tcW w:w="254" w:type="pct"/>
            <w:hideMark/>
          </w:tcPr>
          <w:p w14:paraId="622A6B2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312</w:t>
            </w:r>
          </w:p>
        </w:tc>
        <w:tc>
          <w:tcPr>
            <w:tcW w:w="262" w:type="pct"/>
            <w:hideMark/>
          </w:tcPr>
          <w:p w14:paraId="105ECA4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2" w:type="pct"/>
            <w:hideMark/>
          </w:tcPr>
          <w:p w14:paraId="1F8325B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432</w:t>
            </w:r>
          </w:p>
        </w:tc>
        <w:tc>
          <w:tcPr>
            <w:tcW w:w="249" w:type="pct"/>
            <w:hideMark/>
          </w:tcPr>
          <w:p w14:paraId="0549C29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451</w:t>
            </w:r>
          </w:p>
        </w:tc>
        <w:tc>
          <w:tcPr>
            <w:tcW w:w="275" w:type="pct"/>
            <w:hideMark/>
          </w:tcPr>
          <w:p w14:paraId="79BB7CD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438</w:t>
            </w:r>
          </w:p>
        </w:tc>
        <w:tc>
          <w:tcPr>
            <w:tcW w:w="254" w:type="pct"/>
            <w:hideMark/>
          </w:tcPr>
          <w:p w14:paraId="28B1175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431</w:t>
            </w:r>
          </w:p>
        </w:tc>
      </w:tr>
      <w:tr w:rsidR="00FE3E5D" w:rsidRPr="00FD6A48" w14:paraId="5846AC51" w14:textId="77777777" w:rsidTr="00ED083D">
        <w:trPr>
          <w:trHeight w:val="456"/>
        </w:trPr>
        <w:tc>
          <w:tcPr>
            <w:tcW w:w="344" w:type="pct"/>
            <w:hideMark/>
          </w:tcPr>
          <w:p w14:paraId="355D336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S2</w:t>
            </w:r>
          </w:p>
        </w:tc>
        <w:tc>
          <w:tcPr>
            <w:tcW w:w="254" w:type="pct"/>
            <w:hideMark/>
          </w:tcPr>
          <w:p w14:paraId="5388B96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262" w:type="pct"/>
            <w:hideMark/>
          </w:tcPr>
          <w:p w14:paraId="3F3C670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312</w:t>
            </w:r>
          </w:p>
        </w:tc>
        <w:tc>
          <w:tcPr>
            <w:tcW w:w="262" w:type="pct"/>
            <w:hideMark/>
          </w:tcPr>
          <w:p w14:paraId="0B483DA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423</w:t>
            </w:r>
          </w:p>
        </w:tc>
        <w:tc>
          <w:tcPr>
            <w:tcW w:w="249" w:type="pct"/>
            <w:hideMark/>
          </w:tcPr>
          <w:p w14:paraId="6D71CA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421</w:t>
            </w:r>
          </w:p>
        </w:tc>
        <w:tc>
          <w:tcPr>
            <w:tcW w:w="275" w:type="pct"/>
            <w:hideMark/>
          </w:tcPr>
          <w:p w14:paraId="41669F2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423</w:t>
            </w:r>
          </w:p>
        </w:tc>
        <w:tc>
          <w:tcPr>
            <w:tcW w:w="254" w:type="pct"/>
            <w:hideMark/>
          </w:tcPr>
          <w:p w14:paraId="18F5786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388</w:t>
            </w:r>
          </w:p>
        </w:tc>
        <w:tc>
          <w:tcPr>
            <w:tcW w:w="232" w:type="pct"/>
            <w:hideMark/>
          </w:tcPr>
          <w:p w14:paraId="1C191FA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355</w:t>
            </w:r>
          </w:p>
        </w:tc>
        <w:tc>
          <w:tcPr>
            <w:tcW w:w="266" w:type="pct"/>
            <w:hideMark/>
          </w:tcPr>
          <w:p w14:paraId="0AE0E6E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349</w:t>
            </w:r>
          </w:p>
        </w:tc>
        <w:tc>
          <w:tcPr>
            <w:tcW w:w="266" w:type="pct"/>
            <w:hideMark/>
          </w:tcPr>
          <w:p w14:paraId="7107B29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356</w:t>
            </w:r>
          </w:p>
        </w:tc>
        <w:tc>
          <w:tcPr>
            <w:tcW w:w="249" w:type="pct"/>
            <w:hideMark/>
          </w:tcPr>
          <w:p w14:paraId="4F5C2AC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322</w:t>
            </w:r>
          </w:p>
        </w:tc>
        <w:tc>
          <w:tcPr>
            <w:tcW w:w="266" w:type="pct"/>
            <w:hideMark/>
          </w:tcPr>
          <w:p w14:paraId="1DE28E0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6" w:type="pct"/>
            <w:hideMark/>
          </w:tcPr>
          <w:p w14:paraId="176F8C0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326</w:t>
            </w:r>
          </w:p>
        </w:tc>
        <w:tc>
          <w:tcPr>
            <w:tcW w:w="254" w:type="pct"/>
            <w:hideMark/>
          </w:tcPr>
          <w:p w14:paraId="2D5C523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49CC02F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329AB3E5"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430</w:t>
            </w:r>
          </w:p>
        </w:tc>
        <w:tc>
          <w:tcPr>
            <w:tcW w:w="249" w:type="pct"/>
            <w:hideMark/>
          </w:tcPr>
          <w:p w14:paraId="73F41CD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435</w:t>
            </w:r>
          </w:p>
        </w:tc>
        <w:tc>
          <w:tcPr>
            <w:tcW w:w="275" w:type="pct"/>
            <w:hideMark/>
          </w:tcPr>
          <w:p w14:paraId="7702B32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430</w:t>
            </w:r>
          </w:p>
        </w:tc>
        <w:tc>
          <w:tcPr>
            <w:tcW w:w="254" w:type="pct"/>
            <w:hideMark/>
          </w:tcPr>
          <w:p w14:paraId="3DA0AE2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430</w:t>
            </w:r>
          </w:p>
        </w:tc>
      </w:tr>
      <w:tr w:rsidR="00FE3E5D" w:rsidRPr="00FD6A48" w14:paraId="5858255F" w14:textId="77777777" w:rsidTr="00ED083D">
        <w:trPr>
          <w:trHeight w:val="456"/>
        </w:trPr>
        <w:tc>
          <w:tcPr>
            <w:tcW w:w="344" w:type="pct"/>
            <w:hideMark/>
          </w:tcPr>
          <w:p w14:paraId="2A4D939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S3</w:t>
            </w:r>
          </w:p>
        </w:tc>
        <w:tc>
          <w:tcPr>
            <w:tcW w:w="254" w:type="pct"/>
            <w:hideMark/>
          </w:tcPr>
          <w:p w14:paraId="7D22E9F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2" w:type="pct"/>
            <w:hideMark/>
          </w:tcPr>
          <w:p w14:paraId="3F7726E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314</w:t>
            </w:r>
          </w:p>
        </w:tc>
        <w:tc>
          <w:tcPr>
            <w:tcW w:w="262" w:type="pct"/>
            <w:hideMark/>
          </w:tcPr>
          <w:p w14:paraId="591BB11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429</w:t>
            </w:r>
          </w:p>
        </w:tc>
        <w:tc>
          <w:tcPr>
            <w:tcW w:w="249" w:type="pct"/>
            <w:hideMark/>
          </w:tcPr>
          <w:p w14:paraId="1665F5B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435</w:t>
            </w:r>
          </w:p>
        </w:tc>
        <w:tc>
          <w:tcPr>
            <w:tcW w:w="275" w:type="pct"/>
            <w:hideMark/>
          </w:tcPr>
          <w:p w14:paraId="6090E51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426</w:t>
            </w:r>
          </w:p>
        </w:tc>
        <w:tc>
          <w:tcPr>
            <w:tcW w:w="254" w:type="pct"/>
            <w:hideMark/>
          </w:tcPr>
          <w:p w14:paraId="31B2961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389</w:t>
            </w:r>
          </w:p>
        </w:tc>
        <w:tc>
          <w:tcPr>
            <w:tcW w:w="232" w:type="pct"/>
            <w:hideMark/>
          </w:tcPr>
          <w:p w14:paraId="2B3533F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345</w:t>
            </w:r>
          </w:p>
        </w:tc>
        <w:tc>
          <w:tcPr>
            <w:tcW w:w="266" w:type="pct"/>
            <w:hideMark/>
          </w:tcPr>
          <w:p w14:paraId="33187B3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345</w:t>
            </w:r>
          </w:p>
        </w:tc>
        <w:tc>
          <w:tcPr>
            <w:tcW w:w="266" w:type="pct"/>
            <w:hideMark/>
          </w:tcPr>
          <w:p w14:paraId="4D3C45B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367</w:t>
            </w:r>
          </w:p>
        </w:tc>
        <w:tc>
          <w:tcPr>
            <w:tcW w:w="249" w:type="pct"/>
            <w:hideMark/>
          </w:tcPr>
          <w:p w14:paraId="1C4C9CE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327</w:t>
            </w:r>
          </w:p>
        </w:tc>
        <w:tc>
          <w:tcPr>
            <w:tcW w:w="266" w:type="pct"/>
            <w:hideMark/>
          </w:tcPr>
          <w:p w14:paraId="422B648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6" w:type="pct"/>
            <w:hideMark/>
          </w:tcPr>
          <w:p w14:paraId="15BCE53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54" w:type="pct"/>
            <w:hideMark/>
          </w:tcPr>
          <w:p w14:paraId="0AB1413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327</w:t>
            </w:r>
          </w:p>
        </w:tc>
        <w:tc>
          <w:tcPr>
            <w:tcW w:w="262" w:type="pct"/>
            <w:hideMark/>
          </w:tcPr>
          <w:p w14:paraId="4D1FF8E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334</w:t>
            </w:r>
          </w:p>
        </w:tc>
        <w:tc>
          <w:tcPr>
            <w:tcW w:w="262" w:type="pct"/>
            <w:hideMark/>
          </w:tcPr>
          <w:p w14:paraId="5E9D986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421</w:t>
            </w:r>
          </w:p>
        </w:tc>
        <w:tc>
          <w:tcPr>
            <w:tcW w:w="249" w:type="pct"/>
            <w:hideMark/>
          </w:tcPr>
          <w:p w14:paraId="5EEC8E5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431</w:t>
            </w:r>
          </w:p>
        </w:tc>
        <w:tc>
          <w:tcPr>
            <w:tcW w:w="275" w:type="pct"/>
            <w:hideMark/>
          </w:tcPr>
          <w:p w14:paraId="341E9C0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437</w:t>
            </w:r>
          </w:p>
        </w:tc>
        <w:tc>
          <w:tcPr>
            <w:tcW w:w="254" w:type="pct"/>
            <w:hideMark/>
          </w:tcPr>
          <w:p w14:paraId="1554269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456</w:t>
            </w:r>
          </w:p>
        </w:tc>
      </w:tr>
      <w:tr w:rsidR="00FE3E5D" w:rsidRPr="00FD6A48" w14:paraId="4712791C" w14:textId="77777777" w:rsidTr="00ED083D">
        <w:trPr>
          <w:trHeight w:val="456"/>
        </w:trPr>
        <w:tc>
          <w:tcPr>
            <w:tcW w:w="344" w:type="pct"/>
            <w:hideMark/>
          </w:tcPr>
          <w:p w14:paraId="489E9D2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S4</w:t>
            </w:r>
          </w:p>
        </w:tc>
        <w:tc>
          <w:tcPr>
            <w:tcW w:w="254" w:type="pct"/>
            <w:hideMark/>
          </w:tcPr>
          <w:p w14:paraId="07FFD3B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325</w:t>
            </w:r>
          </w:p>
        </w:tc>
        <w:tc>
          <w:tcPr>
            <w:tcW w:w="262" w:type="pct"/>
            <w:hideMark/>
          </w:tcPr>
          <w:p w14:paraId="7C6AA2B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312</w:t>
            </w:r>
          </w:p>
        </w:tc>
        <w:tc>
          <w:tcPr>
            <w:tcW w:w="262" w:type="pct"/>
            <w:hideMark/>
          </w:tcPr>
          <w:p w14:paraId="21F15B5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401</w:t>
            </w:r>
          </w:p>
        </w:tc>
        <w:tc>
          <w:tcPr>
            <w:tcW w:w="249" w:type="pct"/>
            <w:hideMark/>
          </w:tcPr>
          <w:p w14:paraId="434AD5A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422</w:t>
            </w:r>
          </w:p>
        </w:tc>
        <w:tc>
          <w:tcPr>
            <w:tcW w:w="275" w:type="pct"/>
            <w:hideMark/>
          </w:tcPr>
          <w:p w14:paraId="28F248F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412</w:t>
            </w:r>
          </w:p>
        </w:tc>
        <w:tc>
          <w:tcPr>
            <w:tcW w:w="254" w:type="pct"/>
            <w:hideMark/>
          </w:tcPr>
          <w:p w14:paraId="71E636DF"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350</w:t>
            </w:r>
          </w:p>
        </w:tc>
        <w:tc>
          <w:tcPr>
            <w:tcW w:w="232" w:type="pct"/>
            <w:hideMark/>
          </w:tcPr>
          <w:p w14:paraId="27D3EE9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347</w:t>
            </w:r>
          </w:p>
        </w:tc>
        <w:tc>
          <w:tcPr>
            <w:tcW w:w="266" w:type="pct"/>
            <w:hideMark/>
          </w:tcPr>
          <w:p w14:paraId="0875E29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365</w:t>
            </w:r>
          </w:p>
        </w:tc>
        <w:tc>
          <w:tcPr>
            <w:tcW w:w="266" w:type="pct"/>
            <w:hideMark/>
          </w:tcPr>
          <w:p w14:paraId="2D818CE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345</w:t>
            </w:r>
          </w:p>
        </w:tc>
        <w:tc>
          <w:tcPr>
            <w:tcW w:w="249" w:type="pct"/>
            <w:hideMark/>
          </w:tcPr>
          <w:p w14:paraId="5E0629B1"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6" w:type="pct"/>
            <w:hideMark/>
          </w:tcPr>
          <w:p w14:paraId="2D7A4D9C"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266" w:type="pct"/>
            <w:hideMark/>
          </w:tcPr>
          <w:p w14:paraId="4800192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322</w:t>
            </w:r>
          </w:p>
        </w:tc>
        <w:tc>
          <w:tcPr>
            <w:tcW w:w="254" w:type="pct"/>
            <w:hideMark/>
          </w:tcPr>
          <w:p w14:paraId="46D127C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60F01C3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321</w:t>
            </w:r>
          </w:p>
        </w:tc>
        <w:tc>
          <w:tcPr>
            <w:tcW w:w="262" w:type="pct"/>
            <w:hideMark/>
          </w:tcPr>
          <w:p w14:paraId="76774DC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455</w:t>
            </w:r>
          </w:p>
        </w:tc>
        <w:tc>
          <w:tcPr>
            <w:tcW w:w="249" w:type="pct"/>
            <w:hideMark/>
          </w:tcPr>
          <w:p w14:paraId="59EFEFC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421</w:t>
            </w:r>
          </w:p>
        </w:tc>
        <w:tc>
          <w:tcPr>
            <w:tcW w:w="275" w:type="pct"/>
            <w:hideMark/>
          </w:tcPr>
          <w:p w14:paraId="64CDDA4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432</w:t>
            </w:r>
          </w:p>
        </w:tc>
        <w:tc>
          <w:tcPr>
            <w:tcW w:w="254" w:type="pct"/>
            <w:hideMark/>
          </w:tcPr>
          <w:p w14:paraId="483C298A"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435</w:t>
            </w:r>
          </w:p>
        </w:tc>
      </w:tr>
      <w:tr w:rsidR="00FE3E5D" w:rsidRPr="00FD6A48" w14:paraId="27406DB5" w14:textId="77777777" w:rsidTr="00ED083D">
        <w:trPr>
          <w:trHeight w:val="456"/>
        </w:trPr>
        <w:tc>
          <w:tcPr>
            <w:tcW w:w="344" w:type="pct"/>
            <w:hideMark/>
          </w:tcPr>
          <w:p w14:paraId="2ABD092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S5</w:t>
            </w:r>
          </w:p>
        </w:tc>
        <w:tc>
          <w:tcPr>
            <w:tcW w:w="254" w:type="pct"/>
            <w:hideMark/>
          </w:tcPr>
          <w:p w14:paraId="3115F3AB"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262" w:type="pct"/>
            <w:hideMark/>
          </w:tcPr>
          <w:p w14:paraId="3231A55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314</w:t>
            </w:r>
          </w:p>
        </w:tc>
        <w:tc>
          <w:tcPr>
            <w:tcW w:w="262" w:type="pct"/>
            <w:hideMark/>
          </w:tcPr>
          <w:p w14:paraId="359FBEC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423</w:t>
            </w:r>
          </w:p>
        </w:tc>
        <w:tc>
          <w:tcPr>
            <w:tcW w:w="249" w:type="pct"/>
            <w:hideMark/>
          </w:tcPr>
          <w:p w14:paraId="4C660A5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421</w:t>
            </w:r>
          </w:p>
        </w:tc>
        <w:tc>
          <w:tcPr>
            <w:tcW w:w="275" w:type="pct"/>
            <w:hideMark/>
          </w:tcPr>
          <w:p w14:paraId="01A89597"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425</w:t>
            </w:r>
          </w:p>
        </w:tc>
        <w:tc>
          <w:tcPr>
            <w:tcW w:w="254" w:type="pct"/>
            <w:hideMark/>
          </w:tcPr>
          <w:p w14:paraId="3B7F6260"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354</w:t>
            </w:r>
          </w:p>
        </w:tc>
        <w:tc>
          <w:tcPr>
            <w:tcW w:w="232" w:type="pct"/>
            <w:hideMark/>
          </w:tcPr>
          <w:p w14:paraId="20EDD04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342</w:t>
            </w:r>
          </w:p>
        </w:tc>
        <w:tc>
          <w:tcPr>
            <w:tcW w:w="266" w:type="pct"/>
            <w:hideMark/>
          </w:tcPr>
          <w:p w14:paraId="5E5BD2B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342</w:t>
            </w:r>
          </w:p>
        </w:tc>
        <w:tc>
          <w:tcPr>
            <w:tcW w:w="266" w:type="pct"/>
            <w:hideMark/>
          </w:tcPr>
          <w:p w14:paraId="03B0772D"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351</w:t>
            </w:r>
          </w:p>
        </w:tc>
        <w:tc>
          <w:tcPr>
            <w:tcW w:w="249" w:type="pct"/>
            <w:hideMark/>
          </w:tcPr>
          <w:p w14:paraId="23D8BD03"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320</w:t>
            </w:r>
          </w:p>
        </w:tc>
        <w:tc>
          <w:tcPr>
            <w:tcW w:w="266" w:type="pct"/>
            <w:hideMark/>
          </w:tcPr>
          <w:p w14:paraId="4CD7D06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6" w:type="pct"/>
            <w:hideMark/>
          </w:tcPr>
          <w:p w14:paraId="0E625DE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54" w:type="pct"/>
            <w:hideMark/>
          </w:tcPr>
          <w:p w14:paraId="6EBA1F84"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325</w:t>
            </w:r>
          </w:p>
        </w:tc>
        <w:tc>
          <w:tcPr>
            <w:tcW w:w="262" w:type="pct"/>
            <w:hideMark/>
          </w:tcPr>
          <w:p w14:paraId="755803A9"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324</w:t>
            </w:r>
          </w:p>
        </w:tc>
        <w:tc>
          <w:tcPr>
            <w:tcW w:w="262" w:type="pct"/>
            <w:hideMark/>
          </w:tcPr>
          <w:p w14:paraId="4C915C36"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422</w:t>
            </w:r>
          </w:p>
        </w:tc>
        <w:tc>
          <w:tcPr>
            <w:tcW w:w="249" w:type="pct"/>
            <w:hideMark/>
          </w:tcPr>
          <w:p w14:paraId="7F8B5A28"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425</w:t>
            </w:r>
          </w:p>
        </w:tc>
        <w:tc>
          <w:tcPr>
            <w:tcW w:w="275" w:type="pct"/>
            <w:hideMark/>
          </w:tcPr>
          <w:p w14:paraId="200EA8DE"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435</w:t>
            </w:r>
          </w:p>
        </w:tc>
        <w:tc>
          <w:tcPr>
            <w:tcW w:w="254" w:type="pct"/>
            <w:hideMark/>
          </w:tcPr>
          <w:p w14:paraId="6D711BB2" w14:textId="77777777" w:rsidR="00F44F37" w:rsidRPr="00FD6A48" w:rsidRDefault="00F44F37" w:rsidP="00A279DA">
            <w:pPr>
              <w:spacing w:line="360" w:lineRule="auto"/>
              <w:jc w:val="both"/>
              <w:rPr>
                <w:rFonts w:ascii="Arial" w:hAnsi="Arial" w:cs="Arial"/>
                <w:color w:val="000000" w:themeColor="text1"/>
                <w:sz w:val="16"/>
                <w:szCs w:val="16"/>
                <w:lang w:eastAsia="en-IN"/>
              </w:rPr>
            </w:pPr>
            <w:r w:rsidRPr="00FD6A48">
              <w:rPr>
                <w:rFonts w:ascii="Arial" w:hAnsi="Arial" w:cs="Arial"/>
                <w:color w:val="000000" w:themeColor="text1"/>
                <w:sz w:val="16"/>
                <w:szCs w:val="16"/>
                <w:lang w:eastAsia="en-IN"/>
              </w:rPr>
              <w:t>442</w:t>
            </w:r>
          </w:p>
        </w:tc>
      </w:tr>
    </w:tbl>
    <w:p w14:paraId="6DBD7DE9" w14:textId="77777777" w:rsidR="00F44F37" w:rsidRPr="00FD6A48" w:rsidRDefault="00F44F37" w:rsidP="00A279DA">
      <w:pPr>
        <w:spacing w:line="360" w:lineRule="auto"/>
        <w:jc w:val="both"/>
        <w:rPr>
          <w:rFonts w:ascii="Arial" w:hAnsi="Arial" w:cs="Arial"/>
          <w:b/>
          <w:bCs/>
          <w:color w:val="000000" w:themeColor="text1"/>
        </w:rPr>
      </w:pPr>
    </w:p>
    <w:p w14:paraId="19944696" w14:textId="20ED7890"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Electrical conductivity (EC) varied between 310 and 456 S/m, with higher values observed during the drier summer months (March–May), particularly at S3 and S4 (Table </w:t>
      </w:r>
      <w:r w:rsidR="00D75EC5">
        <w:rPr>
          <w:rFonts w:ascii="Arial" w:hAnsi="Arial" w:cs="Arial"/>
          <w:color w:val="000000" w:themeColor="text1"/>
        </w:rPr>
        <w:t>5</w:t>
      </w:r>
      <w:r w:rsidRPr="00FD6A48">
        <w:rPr>
          <w:rFonts w:ascii="Arial" w:hAnsi="Arial" w:cs="Arial"/>
          <w:color w:val="000000" w:themeColor="text1"/>
        </w:rPr>
        <w:t>). These trends suggest an increased ionic concentration from evaporation and mineralization. Lower EC values occurred during early monsoon (June–July), reflecting dilution from fresh inflows.</w:t>
      </w:r>
    </w:p>
    <w:p w14:paraId="6864B48B" w14:textId="77777777" w:rsidR="00F44F37" w:rsidRPr="00FD6A48" w:rsidRDefault="00F44F37" w:rsidP="00A279DA">
      <w:pPr>
        <w:spacing w:line="360" w:lineRule="auto"/>
        <w:jc w:val="both"/>
        <w:rPr>
          <w:rFonts w:ascii="Arial" w:hAnsi="Arial" w:cs="Arial"/>
          <w:b/>
          <w:bCs/>
          <w:color w:val="000000" w:themeColor="text1"/>
        </w:rPr>
      </w:pPr>
    </w:p>
    <w:p w14:paraId="7A6F2058" w14:textId="44FFAE58"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Table </w:t>
      </w:r>
      <w:r w:rsidR="00D75EC5">
        <w:rPr>
          <w:rFonts w:ascii="Arial" w:hAnsi="Arial" w:cs="Arial"/>
          <w:b/>
          <w:bCs/>
          <w:color w:val="000000" w:themeColor="text1"/>
        </w:rPr>
        <w:t>6</w:t>
      </w:r>
      <w:r w:rsidRPr="00FD6A48">
        <w:rPr>
          <w:rFonts w:ascii="Arial" w:hAnsi="Arial" w:cs="Arial"/>
          <w:b/>
          <w:bCs/>
          <w:color w:val="000000" w:themeColor="text1"/>
        </w:rPr>
        <w:t xml:space="preserve">: </w:t>
      </w:r>
      <w:proofErr w:type="spellStart"/>
      <w:r w:rsidRPr="00FD6A48">
        <w:rPr>
          <w:rFonts w:ascii="Arial" w:hAnsi="Arial" w:cs="Arial"/>
          <w:b/>
          <w:bCs/>
          <w:color w:val="000000" w:themeColor="text1"/>
        </w:rPr>
        <w:t>Spatio</w:t>
      </w:r>
      <w:proofErr w:type="spellEnd"/>
      <w:r w:rsidRPr="00FD6A48">
        <w:rPr>
          <w:rFonts w:ascii="Arial" w:hAnsi="Arial" w:cs="Arial"/>
          <w:b/>
          <w:bCs/>
          <w:color w:val="000000" w:themeColor="text1"/>
        </w:rPr>
        <w:t xml:space="preserve">–temporal variations of Transparency across sampling stations </w:t>
      </w:r>
    </w:p>
    <w:tbl>
      <w:tblPr>
        <w:tblStyle w:val="TableGrid"/>
        <w:tblW w:w="9913" w:type="dxa"/>
        <w:tblInd w:w="-162" w:type="dxa"/>
        <w:tblLayout w:type="fixed"/>
        <w:tblLook w:val="04A0" w:firstRow="1" w:lastRow="0" w:firstColumn="1" w:lastColumn="0" w:noHBand="0" w:noVBand="1"/>
      </w:tblPr>
      <w:tblGrid>
        <w:gridCol w:w="814"/>
        <w:gridCol w:w="498"/>
        <w:gridCol w:w="513"/>
        <w:gridCol w:w="513"/>
        <w:gridCol w:w="489"/>
        <w:gridCol w:w="533"/>
        <w:gridCol w:w="497"/>
        <w:gridCol w:w="455"/>
        <w:gridCol w:w="518"/>
        <w:gridCol w:w="518"/>
        <w:gridCol w:w="489"/>
        <w:gridCol w:w="518"/>
        <w:gridCol w:w="518"/>
        <w:gridCol w:w="497"/>
        <w:gridCol w:w="512"/>
        <w:gridCol w:w="512"/>
        <w:gridCol w:w="489"/>
        <w:gridCol w:w="533"/>
        <w:gridCol w:w="497"/>
      </w:tblGrid>
      <w:tr w:rsidR="00FE3E5D" w:rsidRPr="00FD6A48" w14:paraId="62481705" w14:textId="77777777" w:rsidTr="008B1B14">
        <w:trPr>
          <w:trHeight w:val="826"/>
        </w:trPr>
        <w:tc>
          <w:tcPr>
            <w:tcW w:w="814" w:type="dxa"/>
            <w:hideMark/>
          </w:tcPr>
          <w:p w14:paraId="612CCA06"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 xml:space="preserve">         Month                                                                                                               Station</w:t>
            </w:r>
          </w:p>
        </w:tc>
        <w:tc>
          <w:tcPr>
            <w:tcW w:w="498" w:type="dxa"/>
            <w:hideMark/>
          </w:tcPr>
          <w:p w14:paraId="0E4F3D12"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Jan-24</w:t>
            </w:r>
          </w:p>
        </w:tc>
        <w:tc>
          <w:tcPr>
            <w:tcW w:w="513" w:type="dxa"/>
            <w:hideMark/>
          </w:tcPr>
          <w:p w14:paraId="10E69CCE"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Feb-24</w:t>
            </w:r>
          </w:p>
        </w:tc>
        <w:tc>
          <w:tcPr>
            <w:tcW w:w="513" w:type="dxa"/>
            <w:hideMark/>
          </w:tcPr>
          <w:p w14:paraId="7A1A4653"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Mar-24</w:t>
            </w:r>
          </w:p>
        </w:tc>
        <w:tc>
          <w:tcPr>
            <w:tcW w:w="489" w:type="dxa"/>
            <w:hideMark/>
          </w:tcPr>
          <w:p w14:paraId="5D08E6E5"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Apr-24</w:t>
            </w:r>
          </w:p>
        </w:tc>
        <w:tc>
          <w:tcPr>
            <w:tcW w:w="533" w:type="dxa"/>
            <w:hideMark/>
          </w:tcPr>
          <w:p w14:paraId="398ECC10"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May-24</w:t>
            </w:r>
          </w:p>
        </w:tc>
        <w:tc>
          <w:tcPr>
            <w:tcW w:w="497" w:type="dxa"/>
            <w:hideMark/>
          </w:tcPr>
          <w:p w14:paraId="363758BB"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Jun-24</w:t>
            </w:r>
          </w:p>
        </w:tc>
        <w:tc>
          <w:tcPr>
            <w:tcW w:w="455" w:type="dxa"/>
            <w:hideMark/>
          </w:tcPr>
          <w:p w14:paraId="0453CC63"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Jul-24</w:t>
            </w:r>
          </w:p>
        </w:tc>
        <w:tc>
          <w:tcPr>
            <w:tcW w:w="518" w:type="dxa"/>
            <w:hideMark/>
          </w:tcPr>
          <w:p w14:paraId="1DD4AC43"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Aug-24</w:t>
            </w:r>
          </w:p>
        </w:tc>
        <w:tc>
          <w:tcPr>
            <w:tcW w:w="518" w:type="dxa"/>
            <w:hideMark/>
          </w:tcPr>
          <w:p w14:paraId="02E145F5"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Sep-24</w:t>
            </w:r>
          </w:p>
        </w:tc>
        <w:tc>
          <w:tcPr>
            <w:tcW w:w="489" w:type="dxa"/>
            <w:hideMark/>
          </w:tcPr>
          <w:p w14:paraId="174583A6"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Oct-24</w:t>
            </w:r>
          </w:p>
        </w:tc>
        <w:tc>
          <w:tcPr>
            <w:tcW w:w="518" w:type="dxa"/>
            <w:hideMark/>
          </w:tcPr>
          <w:p w14:paraId="60D84142"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Nov-24</w:t>
            </w:r>
          </w:p>
        </w:tc>
        <w:tc>
          <w:tcPr>
            <w:tcW w:w="518" w:type="dxa"/>
            <w:hideMark/>
          </w:tcPr>
          <w:p w14:paraId="634C7C88"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Dec-24</w:t>
            </w:r>
          </w:p>
        </w:tc>
        <w:tc>
          <w:tcPr>
            <w:tcW w:w="497" w:type="dxa"/>
            <w:hideMark/>
          </w:tcPr>
          <w:p w14:paraId="08525B68"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Jan-25</w:t>
            </w:r>
          </w:p>
        </w:tc>
        <w:tc>
          <w:tcPr>
            <w:tcW w:w="512" w:type="dxa"/>
            <w:hideMark/>
          </w:tcPr>
          <w:p w14:paraId="5A894AC5"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Feb-25</w:t>
            </w:r>
          </w:p>
        </w:tc>
        <w:tc>
          <w:tcPr>
            <w:tcW w:w="512" w:type="dxa"/>
            <w:hideMark/>
          </w:tcPr>
          <w:p w14:paraId="600644ED"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Mar-25</w:t>
            </w:r>
          </w:p>
        </w:tc>
        <w:tc>
          <w:tcPr>
            <w:tcW w:w="489" w:type="dxa"/>
            <w:hideMark/>
          </w:tcPr>
          <w:p w14:paraId="6B8F1E5F"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Apr-25</w:t>
            </w:r>
          </w:p>
        </w:tc>
        <w:tc>
          <w:tcPr>
            <w:tcW w:w="533" w:type="dxa"/>
            <w:hideMark/>
          </w:tcPr>
          <w:p w14:paraId="6C8D2064"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May-25</w:t>
            </w:r>
          </w:p>
        </w:tc>
        <w:tc>
          <w:tcPr>
            <w:tcW w:w="497" w:type="dxa"/>
            <w:hideMark/>
          </w:tcPr>
          <w:p w14:paraId="7D207C28" w14:textId="77777777" w:rsidR="00F44F37" w:rsidRPr="00FD6A48" w:rsidRDefault="00F44F37" w:rsidP="00A279DA">
            <w:pPr>
              <w:spacing w:line="360" w:lineRule="auto"/>
              <w:jc w:val="both"/>
              <w:rPr>
                <w:rFonts w:ascii="Arial" w:eastAsia="Times New Roman" w:hAnsi="Arial" w:cs="Arial"/>
                <w:b/>
                <w:bCs/>
                <w:color w:val="000000" w:themeColor="text1"/>
                <w:sz w:val="16"/>
                <w:szCs w:val="16"/>
                <w:lang w:eastAsia="en-IN"/>
              </w:rPr>
            </w:pPr>
            <w:r w:rsidRPr="00FD6A48">
              <w:rPr>
                <w:rFonts w:ascii="Arial" w:eastAsia="Times New Roman" w:hAnsi="Arial" w:cs="Arial"/>
                <w:color w:val="000000" w:themeColor="text1"/>
                <w:sz w:val="16"/>
                <w:szCs w:val="16"/>
                <w:lang w:eastAsia="en-IN"/>
              </w:rPr>
              <w:t>Jun-25</w:t>
            </w:r>
          </w:p>
        </w:tc>
      </w:tr>
      <w:tr w:rsidR="00FE3E5D" w:rsidRPr="00FD6A48" w14:paraId="48F5FF60" w14:textId="77777777" w:rsidTr="008B1B14">
        <w:trPr>
          <w:trHeight w:val="530"/>
        </w:trPr>
        <w:tc>
          <w:tcPr>
            <w:tcW w:w="814" w:type="dxa"/>
            <w:hideMark/>
          </w:tcPr>
          <w:p w14:paraId="02A80AD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S1</w:t>
            </w:r>
          </w:p>
        </w:tc>
        <w:tc>
          <w:tcPr>
            <w:tcW w:w="498" w:type="dxa"/>
            <w:hideMark/>
          </w:tcPr>
          <w:p w14:paraId="03B47C6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200</w:t>
            </w:r>
          </w:p>
        </w:tc>
        <w:tc>
          <w:tcPr>
            <w:tcW w:w="513" w:type="dxa"/>
            <w:hideMark/>
          </w:tcPr>
          <w:p w14:paraId="3E161C6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180</w:t>
            </w:r>
          </w:p>
        </w:tc>
        <w:tc>
          <w:tcPr>
            <w:tcW w:w="513" w:type="dxa"/>
            <w:hideMark/>
          </w:tcPr>
          <w:p w14:paraId="714D15E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180</w:t>
            </w:r>
          </w:p>
        </w:tc>
        <w:tc>
          <w:tcPr>
            <w:tcW w:w="489" w:type="dxa"/>
            <w:hideMark/>
          </w:tcPr>
          <w:p w14:paraId="354DC55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165</w:t>
            </w:r>
          </w:p>
        </w:tc>
        <w:tc>
          <w:tcPr>
            <w:tcW w:w="533" w:type="dxa"/>
            <w:hideMark/>
          </w:tcPr>
          <w:p w14:paraId="03994C3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140</w:t>
            </w:r>
          </w:p>
        </w:tc>
        <w:tc>
          <w:tcPr>
            <w:tcW w:w="497" w:type="dxa"/>
            <w:hideMark/>
          </w:tcPr>
          <w:p w14:paraId="2B0E96A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70</w:t>
            </w:r>
          </w:p>
        </w:tc>
        <w:tc>
          <w:tcPr>
            <w:tcW w:w="455" w:type="dxa"/>
            <w:hideMark/>
          </w:tcPr>
          <w:p w14:paraId="69B5697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87</w:t>
            </w:r>
          </w:p>
        </w:tc>
        <w:tc>
          <w:tcPr>
            <w:tcW w:w="518" w:type="dxa"/>
            <w:hideMark/>
          </w:tcPr>
          <w:p w14:paraId="6F9CD9C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90</w:t>
            </w:r>
          </w:p>
        </w:tc>
        <w:tc>
          <w:tcPr>
            <w:tcW w:w="518" w:type="dxa"/>
            <w:hideMark/>
          </w:tcPr>
          <w:p w14:paraId="6F5C247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86</w:t>
            </w:r>
          </w:p>
        </w:tc>
        <w:tc>
          <w:tcPr>
            <w:tcW w:w="489" w:type="dxa"/>
            <w:hideMark/>
          </w:tcPr>
          <w:p w14:paraId="3CF02D2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110</w:t>
            </w:r>
          </w:p>
        </w:tc>
        <w:tc>
          <w:tcPr>
            <w:tcW w:w="518" w:type="dxa"/>
            <w:hideMark/>
          </w:tcPr>
          <w:p w14:paraId="6501A42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125</w:t>
            </w:r>
          </w:p>
        </w:tc>
        <w:tc>
          <w:tcPr>
            <w:tcW w:w="518" w:type="dxa"/>
            <w:hideMark/>
          </w:tcPr>
          <w:p w14:paraId="0B03950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112</w:t>
            </w:r>
          </w:p>
        </w:tc>
        <w:tc>
          <w:tcPr>
            <w:tcW w:w="497" w:type="dxa"/>
            <w:hideMark/>
          </w:tcPr>
          <w:p w14:paraId="237A23F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145</w:t>
            </w:r>
          </w:p>
        </w:tc>
        <w:tc>
          <w:tcPr>
            <w:tcW w:w="512" w:type="dxa"/>
            <w:hideMark/>
          </w:tcPr>
          <w:p w14:paraId="1FC2611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156</w:t>
            </w:r>
          </w:p>
        </w:tc>
        <w:tc>
          <w:tcPr>
            <w:tcW w:w="512" w:type="dxa"/>
            <w:hideMark/>
          </w:tcPr>
          <w:p w14:paraId="7F13AF8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176</w:t>
            </w:r>
          </w:p>
        </w:tc>
        <w:tc>
          <w:tcPr>
            <w:tcW w:w="489" w:type="dxa"/>
            <w:hideMark/>
          </w:tcPr>
          <w:p w14:paraId="3142D29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60</w:t>
            </w:r>
          </w:p>
        </w:tc>
        <w:tc>
          <w:tcPr>
            <w:tcW w:w="533" w:type="dxa"/>
            <w:hideMark/>
          </w:tcPr>
          <w:p w14:paraId="6B96F74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79</w:t>
            </w:r>
          </w:p>
        </w:tc>
        <w:tc>
          <w:tcPr>
            <w:tcW w:w="497" w:type="dxa"/>
            <w:hideMark/>
          </w:tcPr>
          <w:p w14:paraId="199A212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67</w:t>
            </w:r>
          </w:p>
        </w:tc>
      </w:tr>
      <w:tr w:rsidR="00FE3E5D" w:rsidRPr="00FD6A48" w14:paraId="65940D7A" w14:textId="77777777" w:rsidTr="008B1B14">
        <w:trPr>
          <w:trHeight w:val="530"/>
        </w:trPr>
        <w:tc>
          <w:tcPr>
            <w:tcW w:w="814" w:type="dxa"/>
            <w:hideMark/>
          </w:tcPr>
          <w:p w14:paraId="2052E08A"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S2</w:t>
            </w:r>
          </w:p>
        </w:tc>
        <w:tc>
          <w:tcPr>
            <w:tcW w:w="498" w:type="dxa"/>
            <w:hideMark/>
          </w:tcPr>
          <w:p w14:paraId="267CDFB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240</w:t>
            </w:r>
          </w:p>
        </w:tc>
        <w:tc>
          <w:tcPr>
            <w:tcW w:w="513" w:type="dxa"/>
            <w:hideMark/>
          </w:tcPr>
          <w:p w14:paraId="1F9FDB5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170</w:t>
            </w:r>
          </w:p>
        </w:tc>
        <w:tc>
          <w:tcPr>
            <w:tcW w:w="513" w:type="dxa"/>
            <w:hideMark/>
          </w:tcPr>
          <w:p w14:paraId="52AF046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175</w:t>
            </w:r>
          </w:p>
        </w:tc>
        <w:tc>
          <w:tcPr>
            <w:tcW w:w="489" w:type="dxa"/>
            <w:hideMark/>
          </w:tcPr>
          <w:p w14:paraId="1F48D52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170</w:t>
            </w:r>
          </w:p>
        </w:tc>
        <w:tc>
          <w:tcPr>
            <w:tcW w:w="533" w:type="dxa"/>
            <w:hideMark/>
          </w:tcPr>
          <w:p w14:paraId="48265565"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135</w:t>
            </w:r>
          </w:p>
        </w:tc>
        <w:tc>
          <w:tcPr>
            <w:tcW w:w="497" w:type="dxa"/>
            <w:hideMark/>
          </w:tcPr>
          <w:p w14:paraId="01A6D2D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90</w:t>
            </w:r>
          </w:p>
        </w:tc>
        <w:tc>
          <w:tcPr>
            <w:tcW w:w="455" w:type="dxa"/>
            <w:hideMark/>
          </w:tcPr>
          <w:p w14:paraId="77F26E9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89</w:t>
            </w:r>
          </w:p>
        </w:tc>
        <w:tc>
          <w:tcPr>
            <w:tcW w:w="518" w:type="dxa"/>
            <w:hideMark/>
          </w:tcPr>
          <w:p w14:paraId="2A88BE4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94</w:t>
            </w:r>
          </w:p>
        </w:tc>
        <w:tc>
          <w:tcPr>
            <w:tcW w:w="518" w:type="dxa"/>
            <w:hideMark/>
          </w:tcPr>
          <w:p w14:paraId="5AF90DC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81</w:t>
            </w:r>
          </w:p>
        </w:tc>
        <w:tc>
          <w:tcPr>
            <w:tcW w:w="489" w:type="dxa"/>
            <w:hideMark/>
          </w:tcPr>
          <w:p w14:paraId="1F93410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125</w:t>
            </w:r>
          </w:p>
        </w:tc>
        <w:tc>
          <w:tcPr>
            <w:tcW w:w="518" w:type="dxa"/>
            <w:hideMark/>
          </w:tcPr>
          <w:p w14:paraId="6F333F7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134</w:t>
            </w:r>
          </w:p>
        </w:tc>
        <w:tc>
          <w:tcPr>
            <w:tcW w:w="518" w:type="dxa"/>
            <w:hideMark/>
          </w:tcPr>
          <w:p w14:paraId="1C1613A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113</w:t>
            </w:r>
          </w:p>
        </w:tc>
        <w:tc>
          <w:tcPr>
            <w:tcW w:w="497" w:type="dxa"/>
            <w:hideMark/>
          </w:tcPr>
          <w:p w14:paraId="15FD486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134</w:t>
            </w:r>
          </w:p>
        </w:tc>
        <w:tc>
          <w:tcPr>
            <w:tcW w:w="512" w:type="dxa"/>
            <w:hideMark/>
          </w:tcPr>
          <w:p w14:paraId="30CEB97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167</w:t>
            </w:r>
          </w:p>
        </w:tc>
        <w:tc>
          <w:tcPr>
            <w:tcW w:w="512" w:type="dxa"/>
            <w:hideMark/>
          </w:tcPr>
          <w:p w14:paraId="05AD9FE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167</w:t>
            </w:r>
          </w:p>
        </w:tc>
        <w:tc>
          <w:tcPr>
            <w:tcW w:w="489" w:type="dxa"/>
            <w:hideMark/>
          </w:tcPr>
          <w:p w14:paraId="70DB8DE5"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69</w:t>
            </w:r>
          </w:p>
        </w:tc>
        <w:tc>
          <w:tcPr>
            <w:tcW w:w="533" w:type="dxa"/>
            <w:hideMark/>
          </w:tcPr>
          <w:p w14:paraId="31DF808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120</w:t>
            </w:r>
          </w:p>
        </w:tc>
        <w:tc>
          <w:tcPr>
            <w:tcW w:w="497" w:type="dxa"/>
            <w:hideMark/>
          </w:tcPr>
          <w:p w14:paraId="6651A78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72</w:t>
            </w:r>
          </w:p>
        </w:tc>
      </w:tr>
      <w:tr w:rsidR="00FE3E5D" w:rsidRPr="00FD6A48" w14:paraId="25346D1D" w14:textId="77777777" w:rsidTr="008B1B14">
        <w:trPr>
          <w:trHeight w:val="530"/>
        </w:trPr>
        <w:tc>
          <w:tcPr>
            <w:tcW w:w="814" w:type="dxa"/>
            <w:hideMark/>
          </w:tcPr>
          <w:p w14:paraId="7BD5E6B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S3</w:t>
            </w:r>
          </w:p>
        </w:tc>
        <w:tc>
          <w:tcPr>
            <w:tcW w:w="498" w:type="dxa"/>
            <w:hideMark/>
          </w:tcPr>
          <w:p w14:paraId="580031A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211</w:t>
            </w:r>
          </w:p>
        </w:tc>
        <w:tc>
          <w:tcPr>
            <w:tcW w:w="513" w:type="dxa"/>
            <w:hideMark/>
          </w:tcPr>
          <w:p w14:paraId="1A7D983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165</w:t>
            </w:r>
          </w:p>
        </w:tc>
        <w:tc>
          <w:tcPr>
            <w:tcW w:w="513" w:type="dxa"/>
            <w:hideMark/>
          </w:tcPr>
          <w:p w14:paraId="5F45CAA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150</w:t>
            </w:r>
          </w:p>
        </w:tc>
        <w:tc>
          <w:tcPr>
            <w:tcW w:w="489" w:type="dxa"/>
            <w:hideMark/>
          </w:tcPr>
          <w:p w14:paraId="137B490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180</w:t>
            </w:r>
          </w:p>
        </w:tc>
        <w:tc>
          <w:tcPr>
            <w:tcW w:w="533" w:type="dxa"/>
            <w:hideMark/>
          </w:tcPr>
          <w:p w14:paraId="7BAC358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137</w:t>
            </w:r>
          </w:p>
        </w:tc>
        <w:tc>
          <w:tcPr>
            <w:tcW w:w="497" w:type="dxa"/>
            <w:hideMark/>
          </w:tcPr>
          <w:p w14:paraId="188F570A"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87</w:t>
            </w:r>
          </w:p>
        </w:tc>
        <w:tc>
          <w:tcPr>
            <w:tcW w:w="455" w:type="dxa"/>
            <w:hideMark/>
          </w:tcPr>
          <w:p w14:paraId="4E0AD50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72</w:t>
            </w:r>
          </w:p>
        </w:tc>
        <w:tc>
          <w:tcPr>
            <w:tcW w:w="518" w:type="dxa"/>
            <w:hideMark/>
          </w:tcPr>
          <w:p w14:paraId="109A4DF3"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80</w:t>
            </w:r>
          </w:p>
        </w:tc>
        <w:tc>
          <w:tcPr>
            <w:tcW w:w="518" w:type="dxa"/>
            <w:hideMark/>
          </w:tcPr>
          <w:p w14:paraId="0AAD1AC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84</w:t>
            </w:r>
          </w:p>
        </w:tc>
        <w:tc>
          <w:tcPr>
            <w:tcW w:w="489" w:type="dxa"/>
            <w:hideMark/>
          </w:tcPr>
          <w:p w14:paraId="2DE9F4C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123</w:t>
            </w:r>
          </w:p>
        </w:tc>
        <w:tc>
          <w:tcPr>
            <w:tcW w:w="518" w:type="dxa"/>
            <w:hideMark/>
          </w:tcPr>
          <w:p w14:paraId="03613D8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123</w:t>
            </w:r>
          </w:p>
        </w:tc>
        <w:tc>
          <w:tcPr>
            <w:tcW w:w="518" w:type="dxa"/>
            <w:hideMark/>
          </w:tcPr>
          <w:p w14:paraId="4481605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117</w:t>
            </w:r>
          </w:p>
        </w:tc>
        <w:tc>
          <w:tcPr>
            <w:tcW w:w="497" w:type="dxa"/>
            <w:hideMark/>
          </w:tcPr>
          <w:p w14:paraId="3258F73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145</w:t>
            </w:r>
          </w:p>
        </w:tc>
        <w:tc>
          <w:tcPr>
            <w:tcW w:w="512" w:type="dxa"/>
            <w:hideMark/>
          </w:tcPr>
          <w:p w14:paraId="1A0FDEA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169</w:t>
            </w:r>
          </w:p>
        </w:tc>
        <w:tc>
          <w:tcPr>
            <w:tcW w:w="512" w:type="dxa"/>
            <w:hideMark/>
          </w:tcPr>
          <w:p w14:paraId="6DDC996E"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168</w:t>
            </w:r>
          </w:p>
        </w:tc>
        <w:tc>
          <w:tcPr>
            <w:tcW w:w="489" w:type="dxa"/>
            <w:hideMark/>
          </w:tcPr>
          <w:p w14:paraId="42F7141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75</w:t>
            </w:r>
          </w:p>
        </w:tc>
        <w:tc>
          <w:tcPr>
            <w:tcW w:w="533" w:type="dxa"/>
            <w:hideMark/>
          </w:tcPr>
          <w:p w14:paraId="1BCA650A"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100</w:t>
            </w:r>
          </w:p>
        </w:tc>
        <w:tc>
          <w:tcPr>
            <w:tcW w:w="497" w:type="dxa"/>
            <w:hideMark/>
          </w:tcPr>
          <w:p w14:paraId="3E92EA5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70</w:t>
            </w:r>
          </w:p>
        </w:tc>
      </w:tr>
      <w:tr w:rsidR="00FE3E5D" w:rsidRPr="00FD6A48" w14:paraId="768A4ED9" w14:textId="77777777" w:rsidTr="008B1B14">
        <w:trPr>
          <w:trHeight w:val="530"/>
        </w:trPr>
        <w:tc>
          <w:tcPr>
            <w:tcW w:w="814" w:type="dxa"/>
            <w:hideMark/>
          </w:tcPr>
          <w:p w14:paraId="674AA7C8"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S4</w:t>
            </w:r>
          </w:p>
        </w:tc>
        <w:tc>
          <w:tcPr>
            <w:tcW w:w="498" w:type="dxa"/>
            <w:hideMark/>
          </w:tcPr>
          <w:p w14:paraId="361390FA"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215</w:t>
            </w:r>
          </w:p>
        </w:tc>
        <w:tc>
          <w:tcPr>
            <w:tcW w:w="513" w:type="dxa"/>
            <w:hideMark/>
          </w:tcPr>
          <w:p w14:paraId="27ADA13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150</w:t>
            </w:r>
          </w:p>
        </w:tc>
        <w:tc>
          <w:tcPr>
            <w:tcW w:w="513" w:type="dxa"/>
            <w:hideMark/>
          </w:tcPr>
          <w:p w14:paraId="4B0D642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155</w:t>
            </w:r>
          </w:p>
        </w:tc>
        <w:tc>
          <w:tcPr>
            <w:tcW w:w="489" w:type="dxa"/>
            <w:hideMark/>
          </w:tcPr>
          <w:p w14:paraId="5BC85BC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170</w:t>
            </w:r>
          </w:p>
        </w:tc>
        <w:tc>
          <w:tcPr>
            <w:tcW w:w="533" w:type="dxa"/>
            <w:hideMark/>
          </w:tcPr>
          <w:p w14:paraId="3076985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143</w:t>
            </w:r>
          </w:p>
        </w:tc>
        <w:tc>
          <w:tcPr>
            <w:tcW w:w="497" w:type="dxa"/>
            <w:hideMark/>
          </w:tcPr>
          <w:p w14:paraId="50BE5B4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81</w:t>
            </w:r>
          </w:p>
        </w:tc>
        <w:tc>
          <w:tcPr>
            <w:tcW w:w="455" w:type="dxa"/>
            <w:hideMark/>
          </w:tcPr>
          <w:p w14:paraId="31BFA1C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84</w:t>
            </w:r>
          </w:p>
        </w:tc>
        <w:tc>
          <w:tcPr>
            <w:tcW w:w="518" w:type="dxa"/>
            <w:hideMark/>
          </w:tcPr>
          <w:p w14:paraId="1FAF49D5"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86</w:t>
            </w:r>
          </w:p>
        </w:tc>
        <w:tc>
          <w:tcPr>
            <w:tcW w:w="518" w:type="dxa"/>
            <w:hideMark/>
          </w:tcPr>
          <w:p w14:paraId="22B03CB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87</w:t>
            </w:r>
          </w:p>
        </w:tc>
        <w:tc>
          <w:tcPr>
            <w:tcW w:w="489" w:type="dxa"/>
            <w:hideMark/>
          </w:tcPr>
          <w:p w14:paraId="5E16AF4B"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124</w:t>
            </w:r>
          </w:p>
        </w:tc>
        <w:tc>
          <w:tcPr>
            <w:tcW w:w="518" w:type="dxa"/>
            <w:hideMark/>
          </w:tcPr>
          <w:p w14:paraId="274FB686"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145</w:t>
            </w:r>
          </w:p>
        </w:tc>
        <w:tc>
          <w:tcPr>
            <w:tcW w:w="518" w:type="dxa"/>
            <w:hideMark/>
          </w:tcPr>
          <w:p w14:paraId="381A0A3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123</w:t>
            </w:r>
          </w:p>
        </w:tc>
        <w:tc>
          <w:tcPr>
            <w:tcW w:w="497" w:type="dxa"/>
            <w:hideMark/>
          </w:tcPr>
          <w:p w14:paraId="5A05FFF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125</w:t>
            </w:r>
          </w:p>
        </w:tc>
        <w:tc>
          <w:tcPr>
            <w:tcW w:w="512" w:type="dxa"/>
            <w:hideMark/>
          </w:tcPr>
          <w:p w14:paraId="333ABFB1"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165</w:t>
            </w:r>
          </w:p>
        </w:tc>
        <w:tc>
          <w:tcPr>
            <w:tcW w:w="512" w:type="dxa"/>
            <w:hideMark/>
          </w:tcPr>
          <w:p w14:paraId="6FD8ABE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167</w:t>
            </w:r>
          </w:p>
        </w:tc>
        <w:tc>
          <w:tcPr>
            <w:tcW w:w="489" w:type="dxa"/>
            <w:hideMark/>
          </w:tcPr>
          <w:p w14:paraId="6647F5D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80</w:t>
            </w:r>
          </w:p>
        </w:tc>
        <w:tc>
          <w:tcPr>
            <w:tcW w:w="533" w:type="dxa"/>
            <w:hideMark/>
          </w:tcPr>
          <w:p w14:paraId="71AF1E08"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97</w:t>
            </w:r>
          </w:p>
        </w:tc>
        <w:tc>
          <w:tcPr>
            <w:tcW w:w="497" w:type="dxa"/>
            <w:hideMark/>
          </w:tcPr>
          <w:p w14:paraId="66200C7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69</w:t>
            </w:r>
          </w:p>
        </w:tc>
      </w:tr>
      <w:tr w:rsidR="00FE3E5D" w:rsidRPr="00FD6A48" w14:paraId="46E1D8D3" w14:textId="77777777" w:rsidTr="008B1B14">
        <w:trPr>
          <w:trHeight w:val="530"/>
        </w:trPr>
        <w:tc>
          <w:tcPr>
            <w:tcW w:w="814" w:type="dxa"/>
            <w:hideMark/>
          </w:tcPr>
          <w:p w14:paraId="32FFC81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S5</w:t>
            </w:r>
          </w:p>
        </w:tc>
        <w:tc>
          <w:tcPr>
            <w:tcW w:w="498" w:type="dxa"/>
            <w:hideMark/>
          </w:tcPr>
          <w:p w14:paraId="19AB7AD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218</w:t>
            </w:r>
          </w:p>
        </w:tc>
        <w:tc>
          <w:tcPr>
            <w:tcW w:w="513" w:type="dxa"/>
            <w:hideMark/>
          </w:tcPr>
          <w:p w14:paraId="62934558"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146</w:t>
            </w:r>
          </w:p>
        </w:tc>
        <w:tc>
          <w:tcPr>
            <w:tcW w:w="513" w:type="dxa"/>
            <w:hideMark/>
          </w:tcPr>
          <w:p w14:paraId="46D81B4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165</w:t>
            </w:r>
          </w:p>
        </w:tc>
        <w:tc>
          <w:tcPr>
            <w:tcW w:w="489" w:type="dxa"/>
            <w:hideMark/>
          </w:tcPr>
          <w:p w14:paraId="6B9A8818"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167</w:t>
            </w:r>
          </w:p>
        </w:tc>
        <w:tc>
          <w:tcPr>
            <w:tcW w:w="533" w:type="dxa"/>
            <w:hideMark/>
          </w:tcPr>
          <w:p w14:paraId="2263E7B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132</w:t>
            </w:r>
          </w:p>
        </w:tc>
        <w:tc>
          <w:tcPr>
            <w:tcW w:w="497" w:type="dxa"/>
            <w:hideMark/>
          </w:tcPr>
          <w:p w14:paraId="6DBE5AE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89</w:t>
            </w:r>
          </w:p>
        </w:tc>
        <w:tc>
          <w:tcPr>
            <w:tcW w:w="455" w:type="dxa"/>
            <w:hideMark/>
          </w:tcPr>
          <w:p w14:paraId="3AB366C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87</w:t>
            </w:r>
          </w:p>
        </w:tc>
        <w:tc>
          <w:tcPr>
            <w:tcW w:w="518" w:type="dxa"/>
            <w:hideMark/>
          </w:tcPr>
          <w:p w14:paraId="0F7AC62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85</w:t>
            </w:r>
          </w:p>
        </w:tc>
        <w:tc>
          <w:tcPr>
            <w:tcW w:w="518" w:type="dxa"/>
            <w:hideMark/>
          </w:tcPr>
          <w:p w14:paraId="740F675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90</w:t>
            </w:r>
          </w:p>
        </w:tc>
        <w:tc>
          <w:tcPr>
            <w:tcW w:w="489" w:type="dxa"/>
            <w:hideMark/>
          </w:tcPr>
          <w:p w14:paraId="0DFBFA14"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135</w:t>
            </w:r>
          </w:p>
        </w:tc>
        <w:tc>
          <w:tcPr>
            <w:tcW w:w="518" w:type="dxa"/>
            <w:hideMark/>
          </w:tcPr>
          <w:p w14:paraId="16B58EC9"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135</w:t>
            </w:r>
          </w:p>
        </w:tc>
        <w:tc>
          <w:tcPr>
            <w:tcW w:w="518" w:type="dxa"/>
            <w:hideMark/>
          </w:tcPr>
          <w:p w14:paraId="4E336D5D"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123</w:t>
            </w:r>
          </w:p>
        </w:tc>
        <w:tc>
          <w:tcPr>
            <w:tcW w:w="497" w:type="dxa"/>
            <w:hideMark/>
          </w:tcPr>
          <w:p w14:paraId="25F77967"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124</w:t>
            </w:r>
          </w:p>
        </w:tc>
        <w:tc>
          <w:tcPr>
            <w:tcW w:w="512" w:type="dxa"/>
            <w:hideMark/>
          </w:tcPr>
          <w:p w14:paraId="21F93E7C"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168</w:t>
            </w:r>
          </w:p>
        </w:tc>
        <w:tc>
          <w:tcPr>
            <w:tcW w:w="512" w:type="dxa"/>
            <w:hideMark/>
          </w:tcPr>
          <w:p w14:paraId="71DEDB42"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178</w:t>
            </w:r>
          </w:p>
        </w:tc>
        <w:tc>
          <w:tcPr>
            <w:tcW w:w="489" w:type="dxa"/>
            <w:hideMark/>
          </w:tcPr>
          <w:p w14:paraId="0D8E665F"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78</w:t>
            </w:r>
          </w:p>
        </w:tc>
        <w:tc>
          <w:tcPr>
            <w:tcW w:w="533" w:type="dxa"/>
            <w:hideMark/>
          </w:tcPr>
          <w:p w14:paraId="2AF9F38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115</w:t>
            </w:r>
          </w:p>
        </w:tc>
        <w:tc>
          <w:tcPr>
            <w:tcW w:w="497" w:type="dxa"/>
            <w:hideMark/>
          </w:tcPr>
          <w:p w14:paraId="51FF36B0" w14:textId="77777777" w:rsidR="00F44F37" w:rsidRPr="00FD6A48" w:rsidRDefault="00F44F37" w:rsidP="00A279DA">
            <w:pPr>
              <w:spacing w:line="360" w:lineRule="auto"/>
              <w:jc w:val="both"/>
              <w:rPr>
                <w:rFonts w:ascii="Arial" w:eastAsia="Times New Roman" w:hAnsi="Arial" w:cs="Arial"/>
                <w:color w:val="000000" w:themeColor="text1"/>
                <w:sz w:val="16"/>
                <w:szCs w:val="16"/>
                <w:lang w:eastAsia="en-IN"/>
              </w:rPr>
            </w:pPr>
            <w:r w:rsidRPr="00FD6A48">
              <w:rPr>
                <w:rFonts w:ascii="Arial" w:eastAsia="Times New Roman" w:hAnsi="Arial" w:cs="Arial"/>
                <w:color w:val="000000" w:themeColor="text1"/>
                <w:sz w:val="16"/>
                <w:szCs w:val="16"/>
                <w:lang w:eastAsia="en-IN"/>
              </w:rPr>
              <w:t>65</w:t>
            </w:r>
          </w:p>
        </w:tc>
      </w:tr>
    </w:tbl>
    <w:p w14:paraId="6147FD27" w14:textId="77777777" w:rsidR="00F44F37" w:rsidRPr="00FD6A48" w:rsidRDefault="00F44F37" w:rsidP="00A279DA">
      <w:pPr>
        <w:spacing w:line="360" w:lineRule="auto"/>
        <w:jc w:val="both"/>
        <w:rPr>
          <w:rFonts w:ascii="Arial" w:hAnsi="Arial" w:cs="Arial"/>
          <w:b/>
          <w:bCs/>
          <w:color w:val="000000" w:themeColor="text1"/>
        </w:rPr>
      </w:pPr>
    </w:p>
    <w:p w14:paraId="045B4D54" w14:textId="11554F15"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lastRenderedPageBreak/>
        <w:t xml:space="preserve">Transparency exhibited a wide range from 60 to 240 cm (Table </w:t>
      </w:r>
      <w:r w:rsidR="00D75EC5">
        <w:rPr>
          <w:rFonts w:ascii="Arial" w:hAnsi="Arial" w:cs="Arial"/>
          <w:color w:val="000000" w:themeColor="text1"/>
        </w:rPr>
        <w:t>6</w:t>
      </w:r>
      <w:r w:rsidRPr="00FD6A48">
        <w:rPr>
          <w:rFonts w:ascii="Arial" w:hAnsi="Arial" w:cs="Arial"/>
          <w:color w:val="000000" w:themeColor="text1"/>
        </w:rPr>
        <w:t>). Maximum water clarity occurred during the dry winter season (January–February), especially at Station S2, likely due to minimal disturbance and sedimentation. In contrast, the monsoon months (June–August) were marked by significantly reduced transparency across all stations due to suspended solids from surface runoff. Among all sites, S2 consistently exhibited the clearest water, while S5 experienced the most turbidity, possibly due to catchment land use and inflow characteristics. These collective observations underscore the dynamic interplay of seasonal cycles, site-specific characteristics, and catchment processes in shaping the hydrological profile of the study area.</w:t>
      </w:r>
    </w:p>
    <w:p w14:paraId="38D88233" w14:textId="77777777" w:rsidR="00F44F37" w:rsidRPr="00FD6A48" w:rsidRDefault="00F44F37" w:rsidP="00A279DA">
      <w:pPr>
        <w:spacing w:line="360" w:lineRule="auto"/>
        <w:jc w:val="both"/>
        <w:rPr>
          <w:rFonts w:ascii="Arial" w:hAnsi="Arial" w:cs="Arial"/>
          <w:b/>
          <w:bCs/>
          <w:color w:val="000000" w:themeColor="text1"/>
        </w:rPr>
      </w:pPr>
    </w:p>
    <w:p w14:paraId="6507A868" w14:textId="7777777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3.1.2 Spatiotemporal combined heat map of six hydrological parameters </w:t>
      </w:r>
    </w:p>
    <w:p w14:paraId="71D47B5D" w14:textId="631AF210" w:rsidR="00F44F37" w:rsidRPr="00FD6A48" w:rsidRDefault="00F44F37" w:rsidP="008B219E">
      <w:pPr>
        <w:pStyle w:val="NoSpacing"/>
        <w:spacing w:line="360" w:lineRule="auto"/>
        <w:jc w:val="both"/>
        <w:rPr>
          <w:rFonts w:ascii="Arial" w:hAnsi="Arial" w:cs="Arial"/>
          <w:b/>
          <w:bCs/>
          <w:color w:val="000000" w:themeColor="text1"/>
          <w:sz w:val="20"/>
          <w:szCs w:val="20"/>
        </w:rPr>
      </w:pPr>
      <w:r w:rsidRPr="00FD6A48">
        <w:rPr>
          <w:rFonts w:ascii="Arial" w:hAnsi="Arial" w:cs="Arial"/>
          <w:color w:val="000000" w:themeColor="text1"/>
          <w:sz w:val="20"/>
          <w:szCs w:val="20"/>
        </w:rPr>
        <w:t xml:space="preserve">Overall, a combined multi-panel heatmap showed significant </w:t>
      </w:r>
      <w:proofErr w:type="spellStart"/>
      <w:r w:rsidRPr="00FD6A48">
        <w:rPr>
          <w:rFonts w:ascii="Arial" w:hAnsi="Arial" w:cs="Arial"/>
          <w:color w:val="000000" w:themeColor="text1"/>
          <w:sz w:val="20"/>
          <w:szCs w:val="20"/>
        </w:rPr>
        <w:t>spatio</w:t>
      </w:r>
      <w:proofErr w:type="spellEnd"/>
      <w:r w:rsidRPr="00FD6A48">
        <w:rPr>
          <w:rFonts w:ascii="Arial" w:hAnsi="Arial" w:cs="Arial"/>
          <w:color w:val="000000" w:themeColor="text1"/>
          <w:sz w:val="20"/>
          <w:szCs w:val="20"/>
        </w:rPr>
        <w:t xml:space="preserve">-temporal variations of six hydrological parameters across five stations (S1–S5) </w:t>
      </w:r>
      <w:r w:rsidR="004F11F5" w:rsidRPr="00FD6A48">
        <w:rPr>
          <w:rFonts w:ascii="Arial" w:hAnsi="Arial" w:cs="Arial"/>
          <w:color w:val="000000" w:themeColor="text1"/>
          <w:sz w:val="20"/>
          <w:szCs w:val="20"/>
        </w:rPr>
        <w:t>from January</w:t>
      </w:r>
      <w:r w:rsidRPr="00FD6A48">
        <w:rPr>
          <w:rFonts w:ascii="Arial" w:hAnsi="Arial" w:cs="Arial"/>
          <w:color w:val="000000" w:themeColor="text1"/>
          <w:sz w:val="20"/>
          <w:szCs w:val="20"/>
        </w:rPr>
        <w:t xml:space="preserve"> 2024 to June 2025 (Figure 2).</w:t>
      </w:r>
      <w:r w:rsidRPr="00FD6A48">
        <w:rPr>
          <w:rFonts w:ascii="Arial" w:hAnsi="Arial" w:cs="Arial"/>
          <w:b/>
          <w:bCs/>
          <w:noProof/>
          <w:color w:val="000000" w:themeColor="text1"/>
          <w:sz w:val="20"/>
          <w:szCs w:val="20"/>
          <w:lang w:val="en-US"/>
        </w:rPr>
        <w:drawing>
          <wp:inline distT="0" distB="0" distL="0" distR="0" wp14:anchorId="33045CE6" wp14:editId="3B39A44A">
            <wp:extent cx="5547360" cy="4732078"/>
            <wp:effectExtent l="0" t="0" r="0" b="0"/>
            <wp:docPr id="11383594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14"/>
                    <a:stretch>
                      <a:fillRect/>
                    </a:stretch>
                  </pic:blipFill>
                  <pic:spPr bwMode="auto">
                    <a:xfrm>
                      <a:off x="0" y="0"/>
                      <a:ext cx="5548974" cy="4733455"/>
                    </a:xfrm>
                    <a:prstGeom prst="rect">
                      <a:avLst/>
                    </a:prstGeom>
                    <a:noFill/>
                    <a:ln>
                      <a:noFill/>
                    </a:ln>
                    <a:extLst>
                      <a:ext uri="{53640926-AAD7-44D8-BBD7-CCE9431645EC}">
                        <a14:shadowObscured xmlns:a14="http://schemas.microsoft.com/office/drawing/2010/main"/>
                      </a:ext>
                    </a:extLst>
                  </pic:spPr>
                </pic:pic>
              </a:graphicData>
            </a:graphic>
          </wp:inline>
        </w:drawing>
      </w:r>
    </w:p>
    <w:p w14:paraId="7F8D99F7" w14:textId="7165C3B1"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lastRenderedPageBreak/>
        <w:t xml:space="preserve">Figure 2. Combined </w:t>
      </w:r>
      <w:proofErr w:type="spellStart"/>
      <w:r w:rsidRPr="00FD6A48">
        <w:rPr>
          <w:rFonts w:ascii="Arial" w:hAnsi="Arial" w:cs="Arial"/>
          <w:b/>
          <w:bCs/>
          <w:color w:val="000000" w:themeColor="text1"/>
        </w:rPr>
        <w:t>Multipanel</w:t>
      </w:r>
      <w:proofErr w:type="spellEnd"/>
      <w:r w:rsidR="008D2796" w:rsidRPr="00FD6A48">
        <w:rPr>
          <w:rFonts w:ascii="Arial" w:hAnsi="Arial" w:cs="Arial"/>
          <w:b/>
          <w:bCs/>
          <w:color w:val="000000" w:themeColor="text1"/>
        </w:rPr>
        <w:t xml:space="preserve"> </w:t>
      </w:r>
      <w:r w:rsidRPr="00FD6A48">
        <w:rPr>
          <w:rFonts w:ascii="Arial" w:hAnsi="Arial" w:cs="Arial"/>
          <w:b/>
          <w:bCs/>
          <w:color w:val="000000" w:themeColor="text1"/>
        </w:rPr>
        <w:t>Heatmaps of Six Hydrological Parameters</w:t>
      </w:r>
    </w:p>
    <w:p w14:paraId="76588A3E" w14:textId="5AFE5701"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The multi-panel heatmap illustrates </w:t>
      </w:r>
      <w:proofErr w:type="spellStart"/>
      <w:r w:rsidRPr="00FD6A48">
        <w:rPr>
          <w:rFonts w:ascii="Arial" w:hAnsi="Arial" w:cs="Arial"/>
          <w:color w:val="000000" w:themeColor="text1"/>
        </w:rPr>
        <w:t>spatio</w:t>
      </w:r>
      <w:proofErr w:type="spellEnd"/>
      <w:r w:rsidRPr="00FD6A48">
        <w:rPr>
          <w:rFonts w:ascii="Arial" w:hAnsi="Arial" w:cs="Arial"/>
          <w:color w:val="000000" w:themeColor="text1"/>
        </w:rPr>
        <w:t xml:space="preserve">-temporal variations of six key hydrological parameters i.e. Alkalinity (mg/L), pH, Dissolved Oxygen (mg/L), Temperature (°C), Electrical Conductivity (S/m), and Transparency (cm) across five sampling stations (S1–S5) over 18 months (January 2024 </w:t>
      </w:r>
      <w:r w:rsidR="008D2796" w:rsidRPr="00FD6A48">
        <w:rPr>
          <w:rFonts w:ascii="Arial" w:hAnsi="Arial" w:cs="Arial"/>
          <w:color w:val="000000" w:themeColor="text1"/>
        </w:rPr>
        <w:t>to June</w:t>
      </w:r>
      <w:r w:rsidRPr="00FD6A48">
        <w:rPr>
          <w:rFonts w:ascii="Arial" w:hAnsi="Arial" w:cs="Arial"/>
          <w:color w:val="000000" w:themeColor="text1"/>
        </w:rPr>
        <w:t xml:space="preserve"> 2025</w:t>
      </w:r>
      <w:r w:rsidR="008D2796" w:rsidRPr="00FD6A48">
        <w:rPr>
          <w:rFonts w:ascii="Arial" w:hAnsi="Arial" w:cs="Arial"/>
          <w:color w:val="000000" w:themeColor="text1"/>
        </w:rPr>
        <w:t>). Each</w:t>
      </w:r>
      <w:r w:rsidRPr="00FD6A48">
        <w:rPr>
          <w:rFonts w:ascii="Arial" w:hAnsi="Arial" w:cs="Arial"/>
          <w:color w:val="000000" w:themeColor="text1"/>
        </w:rPr>
        <w:t xml:space="preserve"> panel represents a single parameter, with months along the X-axis and stations along the Y-axis. Color gradients depict the magnitude of each parameter, enabling easy comparison of seasonal patterns and station-specific anomalies.</w:t>
      </w:r>
    </w:p>
    <w:p w14:paraId="3AC5132C" w14:textId="77777777" w:rsidR="00F44F37" w:rsidRPr="00FD6A48" w:rsidRDefault="00F44F37" w:rsidP="00A279DA">
      <w:pPr>
        <w:spacing w:line="360" w:lineRule="auto"/>
        <w:jc w:val="both"/>
        <w:rPr>
          <w:rFonts w:ascii="Arial" w:hAnsi="Arial" w:cs="Arial"/>
          <w:b/>
          <w:bCs/>
          <w:color w:val="000000" w:themeColor="text1"/>
        </w:rPr>
      </w:pPr>
    </w:p>
    <w:p w14:paraId="21083364" w14:textId="7777777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3.1.3 Seasonal Boxplots of Hydrological Parameters</w:t>
      </w:r>
    </w:p>
    <w:p w14:paraId="52A853F3" w14:textId="644725A4"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 xml:space="preserve">The seasonal boxplots provided a comparative visualization of hydrological parameter distributions across the four defined seasons- </w:t>
      </w:r>
      <w:r w:rsidR="00633842" w:rsidRPr="00FD6A48">
        <w:rPr>
          <w:rFonts w:ascii="Arial" w:hAnsi="Arial" w:cs="Arial"/>
          <w:color w:val="000000" w:themeColor="text1"/>
        </w:rPr>
        <w:t xml:space="preserve">the </w:t>
      </w:r>
      <w:r w:rsidRPr="00FD6A48">
        <w:rPr>
          <w:rFonts w:ascii="Arial" w:hAnsi="Arial" w:cs="Arial"/>
          <w:color w:val="000000" w:themeColor="text1"/>
        </w:rPr>
        <w:t xml:space="preserve">winter, summer, monsoon, and </w:t>
      </w:r>
      <w:r w:rsidR="00633842" w:rsidRPr="00FD6A48">
        <w:rPr>
          <w:rFonts w:ascii="Arial" w:hAnsi="Arial" w:cs="Arial"/>
          <w:color w:val="000000" w:themeColor="text1"/>
        </w:rPr>
        <w:t xml:space="preserve">the </w:t>
      </w:r>
      <w:r w:rsidRPr="00FD6A48">
        <w:rPr>
          <w:rFonts w:ascii="Arial" w:hAnsi="Arial" w:cs="Arial"/>
          <w:color w:val="000000" w:themeColor="text1"/>
        </w:rPr>
        <w:t xml:space="preserve">post-monsoon (Figure 3). </w:t>
      </w:r>
    </w:p>
    <w:p w14:paraId="1EA97C34" w14:textId="77777777" w:rsidR="00F44F37" w:rsidRPr="00FD6A48" w:rsidRDefault="00F44F37" w:rsidP="00A279DA">
      <w:pPr>
        <w:spacing w:line="360" w:lineRule="auto"/>
        <w:jc w:val="both"/>
        <w:rPr>
          <w:rFonts w:ascii="Arial" w:hAnsi="Arial" w:cs="Arial"/>
          <w:color w:val="000000" w:themeColor="text1"/>
        </w:rPr>
      </w:pPr>
      <w:r w:rsidRPr="00FD6A48">
        <w:rPr>
          <w:rFonts w:ascii="Arial" w:hAnsi="Arial" w:cs="Arial"/>
          <w:noProof/>
          <w:color w:val="000000" w:themeColor="text1"/>
        </w:rPr>
        <w:lastRenderedPageBreak/>
        <w:drawing>
          <wp:inline distT="0" distB="0" distL="0" distR="0" wp14:anchorId="6C5FB537" wp14:editId="2EB7E14A">
            <wp:extent cx="5731510" cy="5687695"/>
            <wp:effectExtent l="0" t="0" r="2540" b="8255"/>
            <wp:docPr id="20494344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687695"/>
                    </a:xfrm>
                    <a:prstGeom prst="rect">
                      <a:avLst/>
                    </a:prstGeom>
                    <a:noFill/>
                    <a:ln>
                      <a:noFill/>
                    </a:ln>
                  </pic:spPr>
                </pic:pic>
              </a:graphicData>
            </a:graphic>
          </wp:inline>
        </w:drawing>
      </w:r>
    </w:p>
    <w:p w14:paraId="0E479959" w14:textId="77777777" w:rsidR="008D2796"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Figure 3. Seasonal Boxplots of Hydrological Parameters</w:t>
      </w:r>
    </w:p>
    <w:p w14:paraId="670E9215" w14:textId="3E20E03F" w:rsidR="00F44F37" w:rsidRPr="00FD6A48" w:rsidRDefault="00F44F37" w:rsidP="00A279DA">
      <w:pPr>
        <w:spacing w:line="360" w:lineRule="auto"/>
        <w:jc w:val="both"/>
        <w:rPr>
          <w:rFonts w:ascii="Arial" w:hAnsi="Arial" w:cs="Arial"/>
          <w:color w:val="000000" w:themeColor="text1"/>
        </w:rPr>
      </w:pPr>
      <w:r w:rsidRPr="00FD6A48">
        <w:rPr>
          <w:rFonts w:ascii="Arial" w:hAnsi="Arial" w:cs="Arial"/>
          <w:color w:val="000000" w:themeColor="text1"/>
        </w:rPr>
        <w:br/>
        <w:t>Boxplots highlighting patterns such as increased temperature in summer, reduced DO in warm or eutrophic months, and lowered transparency during monsoon due to increased turbidity.</w:t>
      </w:r>
    </w:p>
    <w:p w14:paraId="39D50F7D" w14:textId="77777777" w:rsidR="00C070A3" w:rsidRDefault="00C070A3" w:rsidP="00A279DA">
      <w:pPr>
        <w:spacing w:line="360" w:lineRule="auto"/>
        <w:jc w:val="both"/>
        <w:rPr>
          <w:rFonts w:ascii="Arial" w:hAnsi="Arial" w:cs="Arial"/>
          <w:b/>
          <w:bCs/>
          <w:color w:val="000000" w:themeColor="text1"/>
        </w:rPr>
      </w:pPr>
    </w:p>
    <w:p w14:paraId="1255BE86" w14:textId="20355A4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3.1.4 Correlation Matrix of Hydrological Parameters</w:t>
      </w:r>
    </w:p>
    <w:p w14:paraId="7E7AE155" w14:textId="77777777"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The correlation matrix of hydrological parameters reveals several notable relationships among the six variables studied across all sampling stations (Figure 4)</w:t>
      </w:r>
    </w:p>
    <w:p w14:paraId="4B238518" w14:textId="7777777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noProof/>
          <w:color w:val="000000" w:themeColor="text1"/>
        </w:rPr>
        <w:lastRenderedPageBreak/>
        <w:drawing>
          <wp:inline distT="0" distB="0" distL="0" distR="0" wp14:anchorId="5F4A9358" wp14:editId="4B039167">
            <wp:extent cx="5731510" cy="4585335"/>
            <wp:effectExtent l="0" t="0" r="2540" b="5715"/>
            <wp:docPr id="20552722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5DA24962" w14:textId="77777777" w:rsidR="006C2CAD"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Figure 4: Pearson Correlation Matrix of Hydrological Parameters</w:t>
      </w:r>
    </w:p>
    <w:p w14:paraId="2CB5D671" w14:textId="7ECF7A57" w:rsidR="00F44F37" w:rsidRPr="00FD6A48" w:rsidRDefault="00F44F37" w:rsidP="00A279DA">
      <w:pPr>
        <w:spacing w:line="360" w:lineRule="auto"/>
        <w:jc w:val="both"/>
        <w:rPr>
          <w:rFonts w:ascii="Arial" w:hAnsi="Arial" w:cs="Arial"/>
          <w:color w:val="000000" w:themeColor="text1"/>
        </w:rPr>
      </w:pPr>
      <w:r w:rsidRPr="00FD6A48">
        <w:rPr>
          <w:rFonts w:ascii="Arial" w:hAnsi="Arial" w:cs="Arial"/>
          <w:color w:val="000000" w:themeColor="text1"/>
        </w:rPr>
        <w:t xml:space="preserve">The heatmap </w:t>
      </w:r>
      <w:r w:rsidR="00633842" w:rsidRPr="00FD6A48">
        <w:rPr>
          <w:rFonts w:ascii="Arial" w:hAnsi="Arial" w:cs="Arial"/>
          <w:color w:val="000000" w:themeColor="text1"/>
        </w:rPr>
        <w:t>shows</w:t>
      </w:r>
      <w:r w:rsidRPr="00FD6A48">
        <w:rPr>
          <w:rFonts w:ascii="Arial" w:hAnsi="Arial" w:cs="Arial"/>
          <w:color w:val="000000" w:themeColor="text1"/>
        </w:rPr>
        <w:t xml:space="preserve"> pairwise Pearson correlation coefficients among six </w:t>
      </w:r>
      <w:r w:rsidR="00633842" w:rsidRPr="00FD6A48">
        <w:rPr>
          <w:rFonts w:ascii="Arial" w:hAnsi="Arial" w:cs="Arial"/>
          <w:color w:val="000000" w:themeColor="text1"/>
        </w:rPr>
        <w:t>important</w:t>
      </w:r>
      <w:r w:rsidRPr="00FD6A48">
        <w:rPr>
          <w:rFonts w:ascii="Arial" w:hAnsi="Arial" w:cs="Arial"/>
          <w:color w:val="000000" w:themeColor="text1"/>
        </w:rPr>
        <w:t xml:space="preserve"> hydrological parameters measured from January 2024 to June 2025 across five stations. </w:t>
      </w:r>
      <w:r w:rsidR="00633842" w:rsidRPr="00FD6A48">
        <w:rPr>
          <w:rFonts w:ascii="Arial" w:hAnsi="Arial" w:cs="Arial"/>
          <w:color w:val="000000" w:themeColor="text1"/>
        </w:rPr>
        <w:t xml:space="preserve">A large negative correlation between temperature and dissolved oxygen (r = –0.69) exist, and there are also positive relationships between alkalinity, pH, and DO. </w:t>
      </w:r>
      <w:r w:rsidRPr="00FD6A48">
        <w:rPr>
          <w:rFonts w:ascii="Arial" w:hAnsi="Arial" w:cs="Arial"/>
          <w:color w:val="000000" w:themeColor="text1"/>
        </w:rPr>
        <w:t>Transparency exhibits a moderate inverse relationship with temperature and conductivity, reflecting seasonal and turbidity-driven changes.</w:t>
      </w:r>
    </w:p>
    <w:p w14:paraId="61ECE799" w14:textId="27FEF4E8"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Alkalinity exhibited a strong positive correlation with both pH (r =0.65) and dissolved oxygen (r=0.64), suggesting that waters with higher buffering capacity also tended to support better oxygenation and maintain more neutral to slightly basic pH levels. </w:t>
      </w:r>
      <w:r w:rsidR="00380B88" w:rsidRPr="00FD6A48">
        <w:rPr>
          <w:rFonts w:ascii="Arial" w:hAnsi="Arial" w:cs="Arial"/>
          <w:color w:val="000000" w:themeColor="text1"/>
        </w:rPr>
        <w:t>On the other hand</w:t>
      </w:r>
      <w:r w:rsidRPr="00FD6A48">
        <w:rPr>
          <w:rFonts w:ascii="Arial" w:hAnsi="Arial" w:cs="Arial"/>
          <w:color w:val="000000" w:themeColor="text1"/>
        </w:rPr>
        <w:t xml:space="preserve">, temperature </w:t>
      </w:r>
      <w:r w:rsidR="00380B88" w:rsidRPr="00FD6A48">
        <w:rPr>
          <w:rFonts w:ascii="Arial" w:hAnsi="Arial" w:cs="Arial"/>
          <w:color w:val="000000" w:themeColor="text1"/>
        </w:rPr>
        <w:t>exhibited</w:t>
      </w:r>
      <w:r w:rsidRPr="00FD6A48">
        <w:rPr>
          <w:rFonts w:ascii="Arial" w:hAnsi="Arial" w:cs="Arial"/>
          <w:color w:val="000000" w:themeColor="text1"/>
        </w:rPr>
        <w:t xml:space="preserve"> a </w:t>
      </w:r>
      <w:r w:rsidR="00380B88" w:rsidRPr="00FD6A48">
        <w:rPr>
          <w:rFonts w:ascii="Arial" w:hAnsi="Arial" w:cs="Arial"/>
          <w:color w:val="000000" w:themeColor="text1"/>
        </w:rPr>
        <w:t>robust</w:t>
      </w:r>
      <w:r w:rsidRPr="00FD6A48">
        <w:rPr>
          <w:rFonts w:ascii="Arial" w:hAnsi="Arial" w:cs="Arial"/>
          <w:color w:val="000000" w:themeColor="text1"/>
        </w:rPr>
        <w:t xml:space="preserve"> negative correlation with DO (r = -0.69) and alkalinity (r = -0.65), indicating that warmer waters are generally less oxygenated and possess lower buffering potential. Electrical conductivity (EC) had a moderate positive correlation with temperature (r = 0.48), implying that higher temperatures may be associated with increased </w:t>
      </w:r>
      <w:r w:rsidRPr="00FD6A48">
        <w:rPr>
          <w:rFonts w:ascii="Arial" w:hAnsi="Arial" w:cs="Arial"/>
          <w:color w:val="000000" w:themeColor="text1"/>
        </w:rPr>
        <w:lastRenderedPageBreak/>
        <w:t>ionic concentrations, possibly due to enhanced mineral dissolution. Transparency was positively related to DO (r = 0.32) and pH (r = 0.26), while showing a negative relationship with temperature (r = -0.61) and EC (r = -0.50), suggesting clearer water tends to occur in cooler, less mineral-rich conditions. These findings align with established ecological principles and provide foundational insights for subsequent multivariate analyses.</w:t>
      </w:r>
    </w:p>
    <w:p w14:paraId="42377382" w14:textId="77777777" w:rsidR="008B1B14" w:rsidRPr="00FD6A48" w:rsidRDefault="008B1B14" w:rsidP="00A279DA">
      <w:pPr>
        <w:spacing w:line="360" w:lineRule="auto"/>
        <w:jc w:val="both"/>
        <w:rPr>
          <w:rFonts w:ascii="Arial" w:hAnsi="Arial" w:cs="Arial"/>
          <w:b/>
          <w:bCs/>
          <w:color w:val="000000" w:themeColor="text1"/>
        </w:rPr>
      </w:pPr>
    </w:p>
    <w:p w14:paraId="587DB87D" w14:textId="0CF43840"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 xml:space="preserve">3.2. Principal Component Analysis </w:t>
      </w:r>
    </w:p>
    <w:p w14:paraId="6A1B806E" w14:textId="729F6140" w:rsidR="00F44F37" w:rsidRPr="00FD6A48" w:rsidRDefault="00F44F37" w:rsidP="008B219E">
      <w:pPr>
        <w:spacing w:line="360" w:lineRule="auto"/>
        <w:jc w:val="both"/>
        <w:rPr>
          <w:rFonts w:ascii="Arial" w:hAnsi="Arial" w:cs="Arial"/>
          <w:color w:val="000000" w:themeColor="text1"/>
        </w:rPr>
      </w:pPr>
      <w:r w:rsidRPr="00FD6A48">
        <w:rPr>
          <w:rFonts w:ascii="Arial" w:hAnsi="Arial" w:cs="Arial"/>
          <w:color w:val="000000" w:themeColor="text1"/>
        </w:rPr>
        <w:t>The Principal Component Analysis</w:t>
      </w:r>
      <w:r w:rsidR="003D14B3" w:rsidRPr="00FD6A48">
        <w:rPr>
          <w:rFonts w:ascii="Arial" w:hAnsi="Arial" w:cs="Arial"/>
          <w:color w:val="000000" w:themeColor="text1"/>
        </w:rPr>
        <w:t xml:space="preserve"> </w:t>
      </w:r>
      <w:r w:rsidRPr="00FD6A48">
        <w:rPr>
          <w:rFonts w:ascii="Arial" w:hAnsi="Arial" w:cs="Arial"/>
          <w:color w:val="000000" w:themeColor="text1"/>
        </w:rPr>
        <w:t xml:space="preserve">biplot provided a visual summary of the multivariate relationships among the six measured hydrological parameters across different months (Figure 5). </w:t>
      </w:r>
    </w:p>
    <w:p w14:paraId="3C1AE0D1" w14:textId="77777777" w:rsidR="00F44F37" w:rsidRPr="00FD6A48" w:rsidRDefault="00F44F37" w:rsidP="00A279DA">
      <w:pPr>
        <w:spacing w:line="360" w:lineRule="auto"/>
        <w:jc w:val="both"/>
        <w:rPr>
          <w:rFonts w:ascii="Arial" w:hAnsi="Arial" w:cs="Arial"/>
          <w:b/>
          <w:bCs/>
          <w:color w:val="000000" w:themeColor="text1"/>
        </w:rPr>
      </w:pPr>
      <w:r w:rsidRPr="00FD6A48">
        <w:rPr>
          <w:rFonts w:ascii="Arial" w:hAnsi="Arial" w:cs="Arial"/>
          <w:b/>
          <w:bCs/>
          <w:noProof/>
          <w:color w:val="000000" w:themeColor="text1"/>
        </w:rPr>
        <w:drawing>
          <wp:inline distT="0" distB="0" distL="0" distR="0" wp14:anchorId="62EDEE9D" wp14:editId="5CE7E0D7">
            <wp:extent cx="5731510" cy="3439160"/>
            <wp:effectExtent l="0" t="0" r="2540" b="8890"/>
            <wp:docPr id="4148046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766C9BE3" w14:textId="77777777" w:rsidR="008B1B14" w:rsidRPr="00FD6A48" w:rsidRDefault="00F44F37" w:rsidP="00A279DA">
      <w:pPr>
        <w:spacing w:line="360" w:lineRule="auto"/>
        <w:jc w:val="both"/>
        <w:rPr>
          <w:rFonts w:ascii="Arial" w:hAnsi="Arial" w:cs="Arial"/>
          <w:b/>
          <w:bCs/>
          <w:color w:val="000000" w:themeColor="text1"/>
        </w:rPr>
      </w:pPr>
      <w:r w:rsidRPr="00FD6A48">
        <w:rPr>
          <w:rFonts w:ascii="Arial" w:hAnsi="Arial" w:cs="Arial"/>
          <w:b/>
          <w:bCs/>
          <w:color w:val="000000" w:themeColor="text1"/>
        </w:rPr>
        <w:t>Figure 5. PCA Biplot for hydrological parameters</w:t>
      </w:r>
    </w:p>
    <w:p w14:paraId="6E2F7822" w14:textId="0EB2A4E5" w:rsidR="00F44F37" w:rsidRPr="00FD6A48" w:rsidRDefault="00F44F37" w:rsidP="00A279DA">
      <w:pPr>
        <w:spacing w:line="360" w:lineRule="auto"/>
        <w:jc w:val="both"/>
        <w:rPr>
          <w:rFonts w:ascii="Arial" w:hAnsi="Arial" w:cs="Arial"/>
          <w:color w:val="000000" w:themeColor="text1"/>
        </w:rPr>
      </w:pPr>
      <w:r w:rsidRPr="00FD6A48">
        <w:rPr>
          <w:rFonts w:ascii="Arial" w:hAnsi="Arial" w:cs="Arial"/>
          <w:color w:val="000000" w:themeColor="text1"/>
        </w:rPr>
        <w:br/>
        <w:t>This PCA biplot visualizes how monthly observations (colored by month) are distributed across two principal components (PC1 and PC2), which together explain 84% of the total variance in the dataset (PC1 = 62%, PC2 = 22%). Red arrows represent the hydrological parameters, showing their contribution to the principal components.</w:t>
      </w:r>
    </w:p>
    <w:p w14:paraId="32849E69" w14:textId="7777777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The first two principal components (PC1 and PC2) explain a cumulative 84% of the total variance (PC1: 62%, PC2: 22%), effectively capturing the dominant gradients in the dataset. PC1 primarily represents a thermal-chemical axis, positively associated with temperature and electrical conductivity, and negatively correlated with dissolved oxygen (DO), </w:t>
      </w:r>
      <w:r w:rsidRPr="00FD6A48">
        <w:rPr>
          <w:rFonts w:ascii="Arial" w:hAnsi="Arial" w:cs="Arial"/>
          <w:color w:val="000000" w:themeColor="text1"/>
        </w:rPr>
        <w:lastRenderedPageBreak/>
        <w:t xml:space="preserve">alkalinity, and </w:t>
      </w:r>
      <w:proofErr w:type="spellStart"/>
      <w:r w:rsidRPr="00FD6A48">
        <w:rPr>
          <w:rFonts w:ascii="Arial" w:hAnsi="Arial" w:cs="Arial"/>
          <w:color w:val="000000" w:themeColor="text1"/>
        </w:rPr>
        <w:t>pH.</w:t>
      </w:r>
      <w:proofErr w:type="spellEnd"/>
      <w:r w:rsidRPr="00FD6A48">
        <w:rPr>
          <w:rFonts w:ascii="Arial" w:hAnsi="Arial" w:cs="Arial"/>
          <w:color w:val="000000" w:themeColor="text1"/>
        </w:rPr>
        <w:t xml:space="preserve"> This pattern highlights the seasonal contrast, where summer months (April–June) exhibit high temperatures and mineral content but reduced oxygen and buffering capacity, resulting in their placement on the right-hand side of the biplot. Conversely, winter months (January–February), characterized by lower temperatures and higher DO and alkalinity, are positioned toward the left.</w:t>
      </w:r>
    </w:p>
    <w:p w14:paraId="24BE014E" w14:textId="7777777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PC2, on the other hand, captures an optical–ionic gradient, strongly influenced by transparency (negatively) and electrical conductivity (positively). Monsoon and post-monsoon months (July–September) tend to group in the lower-left quadrant, corresponding with increased turbidity and moderate conductivity due to rainfall-driven inflows. The orientation and length of the red vectors (representing the hydrological parameters) indicate the relative strength and direction of their contributions to the principal components. Acute angles between vectors (e.g., between alkalinity and DO) suggest a positive correlation, while opposing directions (e.g., temperature and DO) confirm strong negative relationships. Overall, the PCA biplot reveals clear seasonal clustering of months and highlights temperature, DO, and transparency as the most influential parameters shaping hydrological variability across the reservoir system.</w:t>
      </w:r>
    </w:p>
    <w:p w14:paraId="7493CFF8" w14:textId="697E1F09"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The </w:t>
      </w:r>
      <w:proofErr w:type="spellStart"/>
      <w:r w:rsidRPr="00FD6A48">
        <w:rPr>
          <w:rFonts w:ascii="Arial" w:hAnsi="Arial" w:cs="Arial"/>
          <w:color w:val="000000" w:themeColor="text1"/>
        </w:rPr>
        <w:t>spatio</w:t>
      </w:r>
      <w:proofErr w:type="spellEnd"/>
      <w:r w:rsidRPr="00FD6A48">
        <w:rPr>
          <w:rFonts w:ascii="Arial" w:hAnsi="Arial" w:cs="Arial"/>
          <w:color w:val="000000" w:themeColor="text1"/>
        </w:rPr>
        <w:t xml:space="preserve">-temporal analysis of hydrological parameters in the </w:t>
      </w:r>
      <w:proofErr w:type="spellStart"/>
      <w:r w:rsidRPr="00FD6A48">
        <w:rPr>
          <w:rFonts w:ascii="Arial" w:hAnsi="Arial" w:cs="Arial"/>
          <w:color w:val="000000" w:themeColor="text1"/>
        </w:rPr>
        <w:t>Gos</w:t>
      </w:r>
      <w:r w:rsidR="00C732BE" w:rsidRPr="00FD6A48">
        <w:rPr>
          <w:rFonts w:ascii="Arial" w:hAnsi="Arial" w:cs="Arial"/>
          <w:color w:val="000000" w:themeColor="text1"/>
        </w:rPr>
        <w:t>e</w:t>
      </w:r>
      <w:r w:rsidRPr="00FD6A48">
        <w:rPr>
          <w:rFonts w:ascii="Arial" w:hAnsi="Arial" w:cs="Arial"/>
          <w:color w:val="000000" w:themeColor="text1"/>
        </w:rPr>
        <w:t>khurd</w:t>
      </w:r>
      <w:proofErr w:type="spellEnd"/>
      <w:r w:rsidRPr="00FD6A48">
        <w:rPr>
          <w:rFonts w:ascii="Arial" w:hAnsi="Arial" w:cs="Arial"/>
          <w:color w:val="000000" w:themeColor="text1"/>
        </w:rPr>
        <w:t xml:space="preserve"> Reservoir reveals significant seasonal and site-specific variations, reflecting complex interactions among climatic conditions, catchment characteristics, and internal reservoir processes. These observations align with previous studies that underscore the dynamic nature of freshwater ecosystems and their sensitivity to both natural and anthropogenic drivers (Wetzel, 2001; Shrestha &amp; Kazama, 2007). Notably, seasonal hydrological shifts have been shown to directly influence fish migration and aggregation patterns, thereby affecting catch rates (Mohanty </w:t>
      </w:r>
      <w:r w:rsidRPr="00FD6A48">
        <w:rPr>
          <w:rFonts w:ascii="Arial" w:hAnsi="Arial" w:cs="Arial"/>
          <w:i/>
          <w:iCs/>
          <w:color w:val="000000" w:themeColor="text1"/>
        </w:rPr>
        <w:t>et al.,</w:t>
      </w:r>
      <w:r w:rsidRPr="00FD6A48">
        <w:rPr>
          <w:rFonts w:ascii="Arial" w:hAnsi="Arial" w:cs="Arial"/>
          <w:color w:val="000000" w:themeColor="text1"/>
        </w:rPr>
        <w:t xml:space="preserve"> 2017; Kumar et al., 2020).</w:t>
      </w:r>
    </w:p>
    <w:p w14:paraId="474C975F" w14:textId="77777777" w:rsidR="00C070A3" w:rsidRPr="00C070A3" w:rsidRDefault="00C070A3" w:rsidP="00C070A3">
      <w:pPr>
        <w:spacing w:line="360" w:lineRule="auto"/>
        <w:jc w:val="both"/>
        <w:rPr>
          <w:rFonts w:ascii="Times New Roman" w:hAnsi="Times New Roman"/>
          <w:bCs/>
          <w:color w:val="0070C0"/>
          <w:sz w:val="24"/>
          <w:szCs w:val="24"/>
        </w:rPr>
      </w:pPr>
      <w:r w:rsidRPr="00C070A3">
        <w:rPr>
          <w:rFonts w:ascii="Times New Roman" w:hAnsi="Times New Roman"/>
          <w:bCs/>
          <w:color w:val="0070C0"/>
          <w:sz w:val="24"/>
          <w:szCs w:val="24"/>
        </w:rPr>
        <w:t>Fish production in reservoir ecosystems is intricately linked to fluctuations in key</w:t>
      </w:r>
    </w:p>
    <w:p w14:paraId="6057E955" w14:textId="5241CE3B" w:rsidR="00C070A3" w:rsidRPr="00C070A3" w:rsidRDefault="00C070A3" w:rsidP="00C070A3">
      <w:pPr>
        <w:spacing w:line="360" w:lineRule="auto"/>
        <w:jc w:val="both"/>
        <w:rPr>
          <w:rFonts w:ascii="Arial" w:hAnsi="Arial" w:cs="Arial"/>
          <w:bCs/>
          <w:color w:val="0070C0"/>
        </w:rPr>
      </w:pPr>
      <w:r w:rsidRPr="00C070A3">
        <w:rPr>
          <w:rFonts w:ascii="Times New Roman" w:hAnsi="Times New Roman"/>
          <w:bCs/>
          <w:color w:val="0070C0"/>
          <w:sz w:val="24"/>
          <w:szCs w:val="24"/>
        </w:rPr>
        <w:t xml:space="preserve">hydrological variables such as dissolved oxygen (DO), pH, alkalinity, transparency, </w:t>
      </w:r>
      <w:r w:rsidR="00ED083D">
        <w:rPr>
          <w:rFonts w:ascii="Times New Roman" w:hAnsi="Times New Roman"/>
          <w:bCs/>
          <w:color w:val="0070C0"/>
          <w:sz w:val="24"/>
          <w:szCs w:val="24"/>
        </w:rPr>
        <w:t>t</w:t>
      </w:r>
      <w:r w:rsidRPr="00C070A3">
        <w:rPr>
          <w:rFonts w:ascii="Times New Roman" w:hAnsi="Times New Roman"/>
          <w:bCs/>
          <w:color w:val="0070C0"/>
          <w:sz w:val="24"/>
          <w:szCs w:val="24"/>
        </w:rPr>
        <w:t xml:space="preserve">emperature, and electrical conductivity (EC). Temperature affects fish metabolism, feeding, and reproduction, driving seasonal shifts in abundance (Ramya </w:t>
      </w:r>
      <w:r w:rsidRPr="00C070A3">
        <w:rPr>
          <w:rFonts w:ascii="Times New Roman" w:hAnsi="Times New Roman"/>
          <w:bCs/>
          <w:i/>
          <w:iCs/>
          <w:color w:val="0070C0"/>
          <w:sz w:val="24"/>
          <w:szCs w:val="24"/>
        </w:rPr>
        <w:t>et al</w:t>
      </w:r>
      <w:r w:rsidRPr="00C070A3">
        <w:rPr>
          <w:rFonts w:ascii="Times New Roman" w:hAnsi="Times New Roman"/>
          <w:bCs/>
          <w:color w:val="0070C0"/>
          <w:sz w:val="24"/>
          <w:szCs w:val="24"/>
        </w:rPr>
        <w:t xml:space="preserve">., 2021). Adequate DO is vital for fish survival; its depletion, often by eutrophication or thermal stratification, can result in physiological stress or mortality (Chakraborty </w:t>
      </w:r>
      <w:r w:rsidRPr="00C070A3">
        <w:rPr>
          <w:rFonts w:ascii="Times New Roman" w:hAnsi="Times New Roman"/>
          <w:bCs/>
          <w:i/>
          <w:iCs/>
          <w:color w:val="0070C0"/>
          <w:sz w:val="24"/>
          <w:szCs w:val="24"/>
        </w:rPr>
        <w:t>et al.</w:t>
      </w:r>
      <w:r w:rsidRPr="00C070A3">
        <w:rPr>
          <w:rFonts w:ascii="Times New Roman" w:hAnsi="Times New Roman"/>
          <w:bCs/>
          <w:color w:val="0070C0"/>
          <w:sz w:val="24"/>
          <w:szCs w:val="24"/>
        </w:rPr>
        <w:t xml:space="preserve">, 2022). pH and alkalinity regulate nutrient cycling and ammonia toxicity, creating favorable conditions that support plankton productivity and fish health (Panikkar </w:t>
      </w:r>
      <w:r w:rsidRPr="00C070A3">
        <w:rPr>
          <w:rFonts w:ascii="Times New Roman" w:hAnsi="Times New Roman"/>
          <w:bCs/>
          <w:i/>
          <w:iCs/>
          <w:color w:val="0070C0"/>
          <w:sz w:val="24"/>
          <w:szCs w:val="24"/>
        </w:rPr>
        <w:t>et al.</w:t>
      </w:r>
      <w:r w:rsidRPr="00C070A3">
        <w:rPr>
          <w:rFonts w:ascii="Times New Roman" w:hAnsi="Times New Roman"/>
          <w:bCs/>
          <w:color w:val="0070C0"/>
          <w:sz w:val="24"/>
          <w:szCs w:val="24"/>
        </w:rPr>
        <w:t xml:space="preserve">, 2024). EC, serving as a proxy for ionic and nutrient levels, influences plankton availability, the foundational food source for many fish species (Chakraborty </w:t>
      </w:r>
      <w:r w:rsidRPr="00C070A3">
        <w:rPr>
          <w:rFonts w:ascii="Times New Roman" w:hAnsi="Times New Roman"/>
          <w:bCs/>
          <w:i/>
          <w:iCs/>
          <w:color w:val="0070C0"/>
          <w:sz w:val="24"/>
          <w:szCs w:val="24"/>
        </w:rPr>
        <w:t>et al</w:t>
      </w:r>
      <w:r w:rsidRPr="00C070A3">
        <w:rPr>
          <w:rFonts w:ascii="Times New Roman" w:hAnsi="Times New Roman"/>
          <w:bCs/>
          <w:color w:val="0070C0"/>
          <w:sz w:val="24"/>
          <w:szCs w:val="24"/>
        </w:rPr>
        <w:t xml:space="preserve">., 2022). </w:t>
      </w:r>
      <w:r w:rsidRPr="00C070A3">
        <w:rPr>
          <w:rFonts w:ascii="Times New Roman" w:hAnsi="Times New Roman"/>
          <w:bCs/>
          <w:color w:val="0070C0"/>
          <w:sz w:val="24"/>
          <w:szCs w:val="24"/>
        </w:rPr>
        <w:lastRenderedPageBreak/>
        <w:t xml:space="preserve">Transparency, controlled by light penetration and turbidity, governs primary productivity by determining the euphotic zone depth, thereby sustaining higher trophic levels (Chakraborty </w:t>
      </w:r>
      <w:r w:rsidRPr="00C070A3">
        <w:rPr>
          <w:rFonts w:ascii="Times New Roman" w:hAnsi="Times New Roman"/>
          <w:bCs/>
          <w:i/>
          <w:iCs/>
          <w:color w:val="0070C0"/>
          <w:sz w:val="24"/>
          <w:szCs w:val="24"/>
        </w:rPr>
        <w:t>et al</w:t>
      </w:r>
      <w:r w:rsidRPr="00C070A3">
        <w:rPr>
          <w:rFonts w:ascii="Times New Roman" w:hAnsi="Times New Roman"/>
          <w:bCs/>
          <w:color w:val="0070C0"/>
          <w:sz w:val="24"/>
          <w:szCs w:val="24"/>
        </w:rPr>
        <w:t>., 2022). The interplay of these parameters establishes the ecological base necessary for sustaining productive and diverse fish populations in Indian reservoir ecosystems.</w:t>
      </w:r>
    </w:p>
    <w:p w14:paraId="03ED26B6" w14:textId="695D45F1"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One of the most prominent findings of this study is the </w:t>
      </w:r>
      <w:r w:rsidR="005A1760" w:rsidRPr="00FD6A48">
        <w:rPr>
          <w:rFonts w:ascii="Arial" w:hAnsi="Arial" w:cs="Arial"/>
          <w:color w:val="000000" w:themeColor="text1"/>
        </w:rPr>
        <w:t xml:space="preserve">antithetical </w:t>
      </w:r>
      <w:r w:rsidRPr="00FD6A48">
        <w:rPr>
          <w:rFonts w:ascii="Arial" w:hAnsi="Arial" w:cs="Arial"/>
          <w:color w:val="000000" w:themeColor="text1"/>
        </w:rPr>
        <w:t xml:space="preserve">relationship observed between temperature and </w:t>
      </w:r>
      <w:r w:rsidR="005A1760" w:rsidRPr="00FD6A48">
        <w:rPr>
          <w:rFonts w:ascii="Arial" w:hAnsi="Arial" w:cs="Arial"/>
          <w:color w:val="000000" w:themeColor="text1"/>
        </w:rPr>
        <w:t xml:space="preserve">the </w:t>
      </w:r>
      <w:r w:rsidRPr="00FD6A48">
        <w:rPr>
          <w:rFonts w:ascii="Arial" w:hAnsi="Arial" w:cs="Arial"/>
          <w:color w:val="000000" w:themeColor="text1"/>
        </w:rPr>
        <w:t xml:space="preserve">DO. </w:t>
      </w:r>
      <w:r w:rsidR="005A1760" w:rsidRPr="00FD6A48">
        <w:rPr>
          <w:rFonts w:ascii="Arial" w:hAnsi="Arial" w:cs="Arial"/>
          <w:color w:val="000000" w:themeColor="text1"/>
        </w:rPr>
        <w:t xml:space="preserve">The </w:t>
      </w:r>
      <w:r w:rsidRPr="00FD6A48">
        <w:rPr>
          <w:rFonts w:ascii="Arial" w:hAnsi="Arial" w:cs="Arial"/>
          <w:color w:val="000000" w:themeColor="text1"/>
        </w:rPr>
        <w:t xml:space="preserve">DO concentrations were notably lower during the summer and monsoon months, particularly at stations S4 and S5. Elevated temperatures reduce the solubility of oxygen and promote thermal stratification, which restricts vertical mixing and oxygen replenishment in bottom layers (Boyd, 1990; Wetzel, 2001). Additionally, higher biological oxygen demand during warmer periods—driven by increased microbial activity and organic matter </w:t>
      </w:r>
      <w:r w:rsidR="006C2CAD" w:rsidRPr="00FD6A48">
        <w:rPr>
          <w:rFonts w:ascii="Arial" w:hAnsi="Arial" w:cs="Arial"/>
          <w:color w:val="000000" w:themeColor="text1"/>
        </w:rPr>
        <w:t>decomposition can</w:t>
      </w:r>
      <w:r w:rsidRPr="00FD6A48">
        <w:rPr>
          <w:rFonts w:ascii="Arial" w:hAnsi="Arial" w:cs="Arial"/>
          <w:color w:val="000000" w:themeColor="text1"/>
        </w:rPr>
        <w:t xml:space="preserve"> further exacerbate oxygen depletion, potentially leading to localized hypoxia. Similar seasonal DO declines have been documented in tropical and subtropical reservoirs globally (Vega </w:t>
      </w:r>
      <w:r w:rsidRPr="00FD6A48">
        <w:rPr>
          <w:rFonts w:ascii="Arial" w:hAnsi="Arial" w:cs="Arial"/>
          <w:i/>
          <w:iCs/>
          <w:color w:val="000000" w:themeColor="text1"/>
        </w:rPr>
        <w:t>et al.,</w:t>
      </w:r>
      <w:r w:rsidRPr="00FD6A48">
        <w:rPr>
          <w:rFonts w:ascii="Arial" w:hAnsi="Arial" w:cs="Arial"/>
          <w:color w:val="000000" w:themeColor="text1"/>
        </w:rPr>
        <w:t xml:space="preserve"> 1998; </w:t>
      </w:r>
      <w:r w:rsidRPr="002C3B8F">
        <w:rPr>
          <w:rFonts w:ascii="Arial" w:hAnsi="Arial" w:cs="Arial"/>
          <w:color w:val="0070C0"/>
        </w:rPr>
        <w:t xml:space="preserve">Sharma </w:t>
      </w:r>
      <w:r w:rsidRPr="002C3B8F">
        <w:rPr>
          <w:rFonts w:ascii="Arial" w:hAnsi="Arial" w:cs="Arial"/>
          <w:i/>
          <w:iCs/>
          <w:color w:val="0070C0"/>
        </w:rPr>
        <w:t>et al.,</w:t>
      </w:r>
      <w:r w:rsidRPr="002C3B8F">
        <w:rPr>
          <w:rFonts w:ascii="Arial" w:hAnsi="Arial" w:cs="Arial"/>
          <w:color w:val="0070C0"/>
        </w:rPr>
        <w:t xml:space="preserve"> 201</w:t>
      </w:r>
      <w:r w:rsidR="002C3B8F" w:rsidRPr="002C3B8F">
        <w:rPr>
          <w:rFonts w:ascii="Arial" w:hAnsi="Arial" w:cs="Arial"/>
          <w:color w:val="0070C0"/>
        </w:rPr>
        <w:t>1</w:t>
      </w:r>
      <w:r w:rsidRPr="00FD6A48">
        <w:rPr>
          <w:rFonts w:ascii="Arial" w:hAnsi="Arial" w:cs="Arial"/>
          <w:color w:val="000000" w:themeColor="text1"/>
        </w:rPr>
        <w:t>).</w:t>
      </w:r>
    </w:p>
    <w:p w14:paraId="3BF2BB88" w14:textId="7777777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A positive correlation between alkalinity, pH, and DO was particularly evident during the pre-monsoon months at stations S1–S3. This suggests that areas with higher buffering capacity tend to maintain more stable pH levels and higher oxygen availability. Photosynthetic activity by phytoplankton and aquatic macrophytes during this period may reduce CO</w:t>
      </w:r>
      <w:r w:rsidRPr="00FD6A48">
        <w:rPr>
          <w:rFonts w:ascii="Cambria Math" w:hAnsi="Cambria Math" w:cs="Cambria Math"/>
          <w:color w:val="000000" w:themeColor="text1"/>
        </w:rPr>
        <w:t>₂</w:t>
      </w:r>
      <w:r w:rsidRPr="00FD6A48">
        <w:rPr>
          <w:rFonts w:ascii="Arial" w:hAnsi="Arial" w:cs="Arial"/>
          <w:color w:val="000000" w:themeColor="text1"/>
        </w:rPr>
        <w:t xml:space="preserve"> concentrations, thereby increasing pH and enhancing carbonate alkalinity (Carlson, 1977; Liu </w:t>
      </w:r>
      <w:r w:rsidRPr="00FD6A48">
        <w:rPr>
          <w:rFonts w:ascii="Arial" w:hAnsi="Arial" w:cs="Arial"/>
          <w:i/>
          <w:iCs/>
          <w:color w:val="000000" w:themeColor="text1"/>
        </w:rPr>
        <w:t>et al.,</w:t>
      </w:r>
      <w:r w:rsidRPr="00FD6A48">
        <w:rPr>
          <w:rFonts w:ascii="Arial" w:hAnsi="Arial" w:cs="Arial"/>
          <w:color w:val="000000" w:themeColor="text1"/>
        </w:rPr>
        <w:t xml:space="preserve"> 2003). These interdependencies are well-established in limnological studies, where biological and geochemical processes jointly regulate diel and seasonal water chemistry.</w:t>
      </w:r>
    </w:p>
    <w:p w14:paraId="6A1118B6" w14:textId="47DF5683"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Electrical conductivity values increased noticeably during the dry summer months, likely due to </w:t>
      </w:r>
      <w:r w:rsidR="006C2CAD" w:rsidRPr="00FD6A48">
        <w:rPr>
          <w:rFonts w:ascii="Arial" w:hAnsi="Arial" w:cs="Arial"/>
          <w:color w:val="000000" w:themeColor="text1"/>
        </w:rPr>
        <w:t>over concentration</w:t>
      </w:r>
      <w:r w:rsidRPr="00FD6A48">
        <w:rPr>
          <w:rFonts w:ascii="Arial" w:hAnsi="Arial" w:cs="Arial"/>
          <w:color w:val="000000" w:themeColor="text1"/>
        </w:rPr>
        <w:t xml:space="preserve"> and mineral dissolution processes. As water volume declines, dissolved ions become more </w:t>
      </w:r>
      <w:r w:rsidR="00FC385F" w:rsidRPr="00FD6A48">
        <w:rPr>
          <w:rFonts w:ascii="Arial" w:hAnsi="Arial" w:cs="Arial"/>
          <w:color w:val="000000" w:themeColor="text1"/>
        </w:rPr>
        <w:t>concentrated a</w:t>
      </w:r>
      <w:r w:rsidRPr="00FD6A48">
        <w:rPr>
          <w:rFonts w:ascii="Arial" w:hAnsi="Arial" w:cs="Arial"/>
          <w:color w:val="000000" w:themeColor="text1"/>
        </w:rPr>
        <w:t xml:space="preserve"> trend previously reported in Indian reservoirs during extended dry spells (Lumb </w:t>
      </w:r>
      <w:r w:rsidRPr="00FD6A48">
        <w:rPr>
          <w:rFonts w:ascii="Arial" w:hAnsi="Arial" w:cs="Arial"/>
          <w:i/>
          <w:iCs/>
          <w:color w:val="000000" w:themeColor="text1"/>
        </w:rPr>
        <w:t>et al.,</w:t>
      </w:r>
      <w:r w:rsidRPr="00FD6A48">
        <w:rPr>
          <w:rFonts w:ascii="Arial" w:hAnsi="Arial" w:cs="Arial"/>
          <w:color w:val="000000" w:themeColor="text1"/>
        </w:rPr>
        <w:t xml:space="preserve"> 2006; </w:t>
      </w:r>
      <w:r w:rsidRPr="000B7934">
        <w:rPr>
          <w:rFonts w:ascii="Arial" w:hAnsi="Arial" w:cs="Arial"/>
          <w:color w:val="0070C0"/>
        </w:rPr>
        <w:t xml:space="preserve">Sharma </w:t>
      </w:r>
      <w:r w:rsidRPr="000B7934">
        <w:rPr>
          <w:rFonts w:ascii="Arial" w:hAnsi="Arial" w:cs="Arial"/>
          <w:i/>
          <w:iCs/>
          <w:color w:val="0070C0"/>
        </w:rPr>
        <w:t>et al.,</w:t>
      </w:r>
      <w:r w:rsidRPr="000B7934">
        <w:rPr>
          <w:rFonts w:ascii="Arial" w:hAnsi="Arial" w:cs="Arial"/>
          <w:color w:val="0070C0"/>
        </w:rPr>
        <w:t xml:space="preserve"> 201</w:t>
      </w:r>
      <w:r w:rsidR="000B7934">
        <w:rPr>
          <w:rFonts w:ascii="Arial" w:hAnsi="Arial" w:cs="Arial"/>
          <w:color w:val="0070C0"/>
        </w:rPr>
        <w:t>1</w:t>
      </w:r>
      <w:r w:rsidRPr="000B7934">
        <w:rPr>
          <w:rFonts w:ascii="Arial" w:hAnsi="Arial" w:cs="Arial"/>
          <w:color w:val="0070C0"/>
        </w:rPr>
        <w:t xml:space="preserve">). </w:t>
      </w:r>
      <w:r w:rsidRPr="00FD6A48">
        <w:rPr>
          <w:rFonts w:ascii="Arial" w:hAnsi="Arial" w:cs="Arial"/>
          <w:color w:val="000000" w:themeColor="text1"/>
        </w:rPr>
        <w:t>Conversely, EC values were at their lowest during the early monsoon, reflecting the dilution effect from inflowing freshwater.</w:t>
      </w:r>
    </w:p>
    <w:p w14:paraId="2CEDE2D3" w14:textId="77777777"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Transparency, measured via Secchi depth, was highest during the winter and lowest during the monsoon, particularly at station S5. This seasonal drop in transparency is attributed to suspended solids, resuspension of bottom sediments, and runoff-borne turbidity (Shrestha &amp; Kazama, 2007). These conditions restrict light penetration, which in turn limits photosynthetic activity and affects benthic ecosystem processes. Reduced water clarity during nutrient-rich conditions may also indicate algal blooms or detrital accumulation.</w:t>
      </w:r>
    </w:p>
    <w:p w14:paraId="3D2370ED" w14:textId="635FD609" w:rsidR="00F44F37" w:rsidRPr="008B219E" w:rsidRDefault="00F44F37" w:rsidP="00A279DA">
      <w:pPr>
        <w:spacing w:line="360" w:lineRule="auto"/>
        <w:ind w:firstLine="720"/>
        <w:jc w:val="both"/>
        <w:rPr>
          <w:rFonts w:ascii="Arial" w:hAnsi="Arial" w:cs="Arial"/>
          <w:bCs/>
          <w:color w:val="0070C0"/>
        </w:rPr>
      </w:pPr>
      <w:r w:rsidRPr="00FD6A48">
        <w:rPr>
          <w:rFonts w:ascii="Arial" w:hAnsi="Arial" w:cs="Arial"/>
          <w:color w:val="000000" w:themeColor="text1"/>
        </w:rPr>
        <w:t xml:space="preserve">The results of Principal Component Analysis (PCA) further supported these interpretations. The first two principal components </w:t>
      </w:r>
      <w:r w:rsidR="00985C44" w:rsidRPr="00FD6A48">
        <w:rPr>
          <w:rFonts w:ascii="Arial" w:hAnsi="Arial" w:cs="Arial"/>
          <w:color w:val="000000" w:themeColor="text1"/>
        </w:rPr>
        <w:t xml:space="preserve">elucidated </w:t>
      </w:r>
      <w:r w:rsidRPr="00FD6A48">
        <w:rPr>
          <w:rFonts w:ascii="Arial" w:hAnsi="Arial" w:cs="Arial"/>
          <w:color w:val="000000" w:themeColor="text1"/>
        </w:rPr>
        <w:t xml:space="preserve">84% of the total variance—PC1 </w:t>
      </w:r>
      <w:r w:rsidRPr="00FD6A48">
        <w:rPr>
          <w:rFonts w:ascii="Arial" w:hAnsi="Arial" w:cs="Arial"/>
          <w:color w:val="000000" w:themeColor="text1"/>
        </w:rPr>
        <w:lastRenderedPageBreak/>
        <w:t xml:space="preserve">representing a thermal–chemical gradient dominated by temperature and EC, and PC2 capturing an optical–ionic gradient influenced by transparency and associated parameters. The clear seasonal clustering of sampling months on the PCA biplot underscores the influence of monsoonal dynamics on reservoir limnology, consistent with patterns observed in other Asian and North American reservoirs (Liu </w:t>
      </w:r>
      <w:r w:rsidRPr="00FD6A48">
        <w:rPr>
          <w:rFonts w:ascii="Arial" w:hAnsi="Arial" w:cs="Arial"/>
          <w:i/>
          <w:iCs/>
          <w:color w:val="000000" w:themeColor="text1"/>
        </w:rPr>
        <w:t>et al.,</w:t>
      </w:r>
      <w:r w:rsidRPr="00FD6A48">
        <w:rPr>
          <w:rFonts w:ascii="Arial" w:hAnsi="Arial" w:cs="Arial"/>
          <w:color w:val="000000" w:themeColor="text1"/>
        </w:rPr>
        <w:t xml:space="preserve"> 2003; Vega </w:t>
      </w:r>
      <w:r w:rsidRPr="00FD6A48">
        <w:rPr>
          <w:rFonts w:ascii="Arial" w:hAnsi="Arial" w:cs="Arial"/>
          <w:i/>
          <w:iCs/>
          <w:color w:val="000000" w:themeColor="text1"/>
        </w:rPr>
        <w:t>et al.,</w:t>
      </w:r>
      <w:r w:rsidRPr="00FD6A48">
        <w:rPr>
          <w:rFonts w:ascii="Arial" w:hAnsi="Arial" w:cs="Arial"/>
          <w:color w:val="000000" w:themeColor="text1"/>
        </w:rPr>
        <w:t xml:space="preserve"> 1998).</w:t>
      </w:r>
      <w:r w:rsidR="001523BD">
        <w:rPr>
          <w:rFonts w:ascii="Arial" w:hAnsi="Arial" w:cs="Arial"/>
          <w:color w:val="000000" w:themeColor="text1"/>
        </w:rPr>
        <w:t xml:space="preserve"> </w:t>
      </w:r>
      <w:r w:rsidR="001523BD" w:rsidRPr="001523BD">
        <w:rPr>
          <w:rFonts w:ascii="Arial" w:hAnsi="Arial" w:cs="Arial"/>
          <w:bCs/>
          <w:color w:val="0070C0"/>
        </w:rPr>
        <w:t xml:space="preserve">Similar patterns have been linked to monsoon-driven </w:t>
      </w:r>
      <w:r w:rsidR="001523BD" w:rsidRPr="008B219E">
        <w:rPr>
          <w:rFonts w:ascii="Arial" w:hAnsi="Arial" w:cs="Arial"/>
          <w:bCs/>
          <w:color w:val="0070C0"/>
        </w:rPr>
        <w:t xml:space="preserve">nutrient influx and stratification cycles in other tropical monsoon-fed reservoirs in India, such as </w:t>
      </w:r>
      <w:proofErr w:type="spellStart"/>
      <w:r w:rsidR="001523BD" w:rsidRPr="008B219E">
        <w:rPr>
          <w:rFonts w:ascii="Arial" w:hAnsi="Arial" w:cs="Arial"/>
          <w:bCs/>
          <w:color w:val="0070C0"/>
        </w:rPr>
        <w:t>Rihand</w:t>
      </w:r>
      <w:proofErr w:type="spellEnd"/>
      <w:r w:rsidR="001523BD" w:rsidRPr="008B219E">
        <w:rPr>
          <w:rFonts w:ascii="Arial" w:hAnsi="Arial" w:cs="Arial"/>
          <w:bCs/>
          <w:color w:val="0070C0"/>
        </w:rPr>
        <w:t xml:space="preserve"> Reservoir in Uttar Pradesh (</w:t>
      </w:r>
      <w:r w:rsidR="001523BD" w:rsidRPr="008B219E">
        <w:rPr>
          <w:rFonts w:ascii="Arial" w:hAnsi="Arial" w:cs="Arial"/>
          <w:b/>
          <w:color w:val="0070C0"/>
        </w:rPr>
        <w:t xml:space="preserve">Alam </w:t>
      </w:r>
      <w:r w:rsidR="001523BD" w:rsidRPr="008B219E">
        <w:rPr>
          <w:rFonts w:ascii="Arial" w:hAnsi="Arial" w:cs="Arial"/>
          <w:b/>
          <w:i/>
          <w:iCs/>
          <w:color w:val="0070C0"/>
        </w:rPr>
        <w:t>et al</w:t>
      </w:r>
      <w:r w:rsidR="001523BD" w:rsidRPr="008B219E">
        <w:rPr>
          <w:rFonts w:ascii="Arial" w:hAnsi="Arial" w:cs="Arial"/>
          <w:b/>
          <w:color w:val="0070C0"/>
        </w:rPr>
        <w:t>., 2024)</w:t>
      </w:r>
      <w:r w:rsidR="001523BD" w:rsidRPr="008B219E">
        <w:rPr>
          <w:rFonts w:ascii="Arial" w:hAnsi="Arial" w:cs="Arial"/>
          <w:bCs/>
          <w:color w:val="0070C0"/>
        </w:rPr>
        <w:t xml:space="preserve"> and Gobind Sagar in Himachal Pradesh (</w:t>
      </w:r>
      <w:r w:rsidR="00B145D4" w:rsidRPr="008B219E">
        <w:rPr>
          <w:rFonts w:ascii="Arial" w:hAnsi="Arial" w:cs="Arial"/>
          <w:bCs/>
          <w:color w:val="0070C0"/>
        </w:rPr>
        <w:t>Sodhi</w:t>
      </w:r>
      <w:r w:rsidR="001523BD" w:rsidRPr="008B219E">
        <w:rPr>
          <w:rFonts w:ascii="Arial" w:hAnsi="Arial" w:cs="Arial"/>
          <w:bCs/>
          <w:color w:val="0070C0"/>
        </w:rPr>
        <w:t xml:space="preserve"> </w:t>
      </w:r>
      <w:r w:rsidR="001523BD" w:rsidRPr="008B219E">
        <w:rPr>
          <w:rFonts w:ascii="Arial" w:hAnsi="Arial" w:cs="Arial"/>
          <w:bCs/>
          <w:i/>
          <w:iCs/>
          <w:color w:val="0070C0"/>
        </w:rPr>
        <w:t>et al</w:t>
      </w:r>
      <w:r w:rsidR="001523BD" w:rsidRPr="008B219E">
        <w:rPr>
          <w:rFonts w:ascii="Arial" w:hAnsi="Arial" w:cs="Arial"/>
          <w:bCs/>
          <w:color w:val="0070C0"/>
        </w:rPr>
        <w:t xml:space="preserve">., 2017). The seasonal variation in parameters like dissolved oxygen, transparency, and conductivity that has been observed in </w:t>
      </w:r>
      <w:proofErr w:type="spellStart"/>
      <w:r w:rsidR="001523BD" w:rsidRPr="008B219E">
        <w:rPr>
          <w:rFonts w:ascii="Arial" w:hAnsi="Arial" w:cs="Arial"/>
          <w:bCs/>
          <w:color w:val="0070C0"/>
        </w:rPr>
        <w:t>Gosekhurd</w:t>
      </w:r>
      <w:proofErr w:type="spellEnd"/>
      <w:r w:rsidR="001523BD" w:rsidRPr="008B219E">
        <w:rPr>
          <w:rFonts w:ascii="Arial" w:hAnsi="Arial" w:cs="Arial"/>
          <w:bCs/>
          <w:color w:val="0070C0"/>
        </w:rPr>
        <w:t xml:space="preserve"> is consistent with these trends. Similar correlations between transparency, primary productivity, and fish output have also been reported in Sri Lankan (Amar</w:t>
      </w:r>
      <w:r w:rsidR="00A52C8B" w:rsidRPr="008B219E">
        <w:rPr>
          <w:rFonts w:ascii="Arial" w:hAnsi="Arial" w:cs="Arial"/>
          <w:bCs/>
          <w:color w:val="0070C0"/>
        </w:rPr>
        <w:t>a</w:t>
      </w:r>
      <w:r w:rsidR="001523BD" w:rsidRPr="008B219E">
        <w:rPr>
          <w:rFonts w:ascii="Arial" w:hAnsi="Arial" w:cs="Arial"/>
          <w:bCs/>
          <w:color w:val="0070C0"/>
        </w:rPr>
        <w:t xml:space="preserve">singhe </w:t>
      </w:r>
      <w:r w:rsidR="001523BD" w:rsidRPr="008B219E">
        <w:rPr>
          <w:rFonts w:ascii="Arial" w:hAnsi="Arial" w:cs="Arial"/>
          <w:bCs/>
          <w:i/>
          <w:iCs/>
          <w:color w:val="0070C0"/>
        </w:rPr>
        <w:t>et al</w:t>
      </w:r>
      <w:r w:rsidR="001523BD" w:rsidRPr="008B219E">
        <w:rPr>
          <w:rFonts w:ascii="Arial" w:hAnsi="Arial" w:cs="Arial"/>
          <w:bCs/>
          <w:color w:val="0070C0"/>
        </w:rPr>
        <w:t>., 2016) and Thai reservoirs (</w:t>
      </w:r>
      <w:proofErr w:type="spellStart"/>
      <w:r w:rsidR="002A6EE3" w:rsidRPr="002A6EE3">
        <w:rPr>
          <w:rFonts w:ascii="Arial" w:hAnsi="Arial" w:cs="Arial"/>
          <w:bCs/>
          <w:color w:val="0070C0"/>
        </w:rPr>
        <w:t>Muangsringam</w:t>
      </w:r>
      <w:proofErr w:type="spellEnd"/>
      <w:r w:rsidR="001523BD" w:rsidRPr="002A6EE3">
        <w:rPr>
          <w:rFonts w:ascii="Arial" w:hAnsi="Arial" w:cs="Arial"/>
          <w:bCs/>
          <w:color w:val="0070C0"/>
        </w:rPr>
        <w:t xml:space="preserve"> </w:t>
      </w:r>
      <w:r w:rsidR="002A6EE3" w:rsidRPr="002A6EE3">
        <w:rPr>
          <w:rFonts w:ascii="Arial" w:hAnsi="Arial" w:cs="Arial"/>
          <w:bCs/>
          <w:iCs/>
          <w:color w:val="0070C0"/>
        </w:rPr>
        <w:t xml:space="preserve">and </w:t>
      </w:r>
      <w:proofErr w:type="spellStart"/>
      <w:r w:rsidR="002A6EE3" w:rsidRPr="002A6EE3">
        <w:rPr>
          <w:rFonts w:ascii="Arial" w:hAnsi="Arial" w:cs="Arial"/>
          <w:bCs/>
          <w:iCs/>
          <w:color w:val="0070C0"/>
        </w:rPr>
        <w:t>Meksumpun</w:t>
      </w:r>
      <w:proofErr w:type="spellEnd"/>
      <w:r w:rsidR="002A6EE3" w:rsidRPr="002A6EE3">
        <w:rPr>
          <w:rFonts w:ascii="Arial" w:hAnsi="Arial" w:cs="Arial"/>
          <w:bCs/>
          <w:iCs/>
          <w:color w:val="0070C0"/>
        </w:rPr>
        <w:t xml:space="preserve">, </w:t>
      </w:r>
      <w:r w:rsidR="001523BD" w:rsidRPr="002A6EE3">
        <w:rPr>
          <w:rFonts w:ascii="Arial" w:hAnsi="Arial" w:cs="Arial"/>
          <w:bCs/>
          <w:color w:val="0070C0"/>
        </w:rPr>
        <w:t>202</w:t>
      </w:r>
      <w:r w:rsidR="002A6EE3" w:rsidRPr="002A6EE3">
        <w:rPr>
          <w:rFonts w:ascii="Arial" w:hAnsi="Arial" w:cs="Arial"/>
          <w:bCs/>
          <w:color w:val="0070C0"/>
        </w:rPr>
        <w:t>3</w:t>
      </w:r>
      <w:r w:rsidR="001523BD" w:rsidRPr="008B219E">
        <w:rPr>
          <w:rFonts w:ascii="Arial" w:hAnsi="Arial" w:cs="Arial"/>
          <w:bCs/>
          <w:color w:val="0070C0"/>
        </w:rPr>
        <w:t xml:space="preserve">) with similar meteorological conditions, as well as in Hirakud Reservoir in Odisha (Sarkar </w:t>
      </w:r>
      <w:r w:rsidR="001523BD" w:rsidRPr="008B219E">
        <w:rPr>
          <w:rFonts w:ascii="Arial" w:hAnsi="Arial" w:cs="Arial"/>
          <w:bCs/>
          <w:i/>
          <w:iCs/>
          <w:color w:val="0070C0"/>
        </w:rPr>
        <w:t>et al</w:t>
      </w:r>
      <w:r w:rsidR="001523BD" w:rsidRPr="008B219E">
        <w:rPr>
          <w:rFonts w:ascii="Arial" w:hAnsi="Arial" w:cs="Arial"/>
          <w:bCs/>
          <w:color w:val="0070C0"/>
        </w:rPr>
        <w:t>., 201</w:t>
      </w:r>
      <w:r w:rsidR="00A52C8B" w:rsidRPr="008B219E">
        <w:rPr>
          <w:rFonts w:ascii="Arial" w:hAnsi="Arial" w:cs="Arial"/>
          <w:bCs/>
          <w:color w:val="0070C0"/>
        </w:rPr>
        <w:t>7</w:t>
      </w:r>
      <w:r w:rsidR="001523BD" w:rsidRPr="008B219E">
        <w:rPr>
          <w:rFonts w:ascii="Arial" w:hAnsi="Arial" w:cs="Arial"/>
          <w:bCs/>
          <w:color w:val="0070C0"/>
        </w:rPr>
        <w:t xml:space="preserve">). These similarities imply that the ecological mechanisms influencing </w:t>
      </w:r>
      <w:proofErr w:type="spellStart"/>
      <w:r w:rsidR="001523BD" w:rsidRPr="008B219E">
        <w:rPr>
          <w:rFonts w:ascii="Arial" w:hAnsi="Arial" w:cs="Arial"/>
          <w:bCs/>
          <w:color w:val="0070C0"/>
        </w:rPr>
        <w:t>Gosekhurd's</w:t>
      </w:r>
      <w:proofErr w:type="spellEnd"/>
      <w:r w:rsidR="001523BD" w:rsidRPr="008B219E">
        <w:rPr>
          <w:rFonts w:ascii="Arial" w:hAnsi="Arial" w:cs="Arial"/>
          <w:bCs/>
          <w:color w:val="0070C0"/>
        </w:rPr>
        <w:t xml:space="preserve"> fish productivity are a component of larger, climate-mediated trends seen in tropical reservoir ecosystems.</w:t>
      </w:r>
    </w:p>
    <w:p w14:paraId="13AFF763" w14:textId="417AB45A" w:rsidR="00F44F37" w:rsidRPr="00FD6A48" w:rsidRDefault="00F44F37"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Spatial heterogeneity in </w:t>
      </w:r>
      <w:r w:rsidR="00985C44" w:rsidRPr="00FD6A48">
        <w:rPr>
          <w:rFonts w:ascii="Arial" w:hAnsi="Arial" w:cs="Arial"/>
          <w:color w:val="000000" w:themeColor="text1"/>
        </w:rPr>
        <w:t xml:space="preserve">hydrological quality </w:t>
      </w:r>
      <w:r w:rsidRPr="00FD6A48">
        <w:rPr>
          <w:rFonts w:ascii="Arial" w:hAnsi="Arial" w:cs="Arial"/>
          <w:color w:val="000000" w:themeColor="text1"/>
        </w:rPr>
        <w:t xml:space="preserve">was also evident from the PCA ordination, particularly the consistent clustering of stations S4 and S5. These stations recorded lower DO and reduced transparency, suggesting potential localized eutrophication, sediment loading, or anthropogenic runoff. Such site-specific degradation emphasizes the importance of targeted monitoring and adaptive management strategies </w:t>
      </w:r>
      <w:r w:rsidRPr="000B7934">
        <w:rPr>
          <w:rFonts w:ascii="Arial" w:hAnsi="Arial" w:cs="Arial"/>
          <w:color w:val="0070C0"/>
        </w:rPr>
        <w:t xml:space="preserve">(Sharma </w:t>
      </w:r>
      <w:r w:rsidRPr="000B7934">
        <w:rPr>
          <w:rFonts w:ascii="Arial" w:hAnsi="Arial" w:cs="Arial"/>
          <w:i/>
          <w:iCs/>
          <w:color w:val="0070C0"/>
        </w:rPr>
        <w:t>et al.,</w:t>
      </w:r>
      <w:r w:rsidRPr="000B7934">
        <w:rPr>
          <w:rFonts w:ascii="Arial" w:hAnsi="Arial" w:cs="Arial"/>
          <w:color w:val="0070C0"/>
        </w:rPr>
        <w:t xml:space="preserve"> 201</w:t>
      </w:r>
      <w:r w:rsidR="000B7934">
        <w:rPr>
          <w:rFonts w:ascii="Arial" w:hAnsi="Arial" w:cs="Arial"/>
          <w:color w:val="0070C0"/>
        </w:rPr>
        <w:t>1</w:t>
      </w:r>
      <w:r w:rsidRPr="000B7934">
        <w:rPr>
          <w:rFonts w:ascii="Arial" w:hAnsi="Arial" w:cs="Arial"/>
          <w:color w:val="0070C0"/>
        </w:rPr>
        <w:t>).</w:t>
      </w:r>
    </w:p>
    <w:p w14:paraId="329F2D39" w14:textId="77777777" w:rsidR="00790ADA" w:rsidRPr="00FD6A48" w:rsidRDefault="00790ADA" w:rsidP="00A279DA">
      <w:pPr>
        <w:pStyle w:val="Body"/>
        <w:spacing w:after="0" w:line="360" w:lineRule="auto"/>
        <w:rPr>
          <w:rFonts w:ascii="Arial" w:hAnsi="Arial" w:cs="Arial"/>
          <w:color w:val="000000" w:themeColor="text1"/>
        </w:rPr>
      </w:pPr>
    </w:p>
    <w:p w14:paraId="1F96B442" w14:textId="77777777" w:rsidR="00B01FCD" w:rsidRPr="00FD6A48" w:rsidRDefault="00000F8F" w:rsidP="00A279DA">
      <w:pPr>
        <w:pStyle w:val="ConcHead"/>
        <w:spacing w:after="0" w:line="360" w:lineRule="auto"/>
        <w:jc w:val="both"/>
        <w:rPr>
          <w:rFonts w:ascii="Arial" w:hAnsi="Arial" w:cs="Arial"/>
          <w:color w:val="000000" w:themeColor="text1"/>
        </w:rPr>
      </w:pPr>
      <w:r w:rsidRPr="00FD6A48">
        <w:rPr>
          <w:rFonts w:ascii="Arial" w:hAnsi="Arial" w:cs="Arial"/>
          <w:color w:val="000000" w:themeColor="text1"/>
        </w:rPr>
        <w:t xml:space="preserve">4. </w:t>
      </w:r>
      <w:r w:rsidR="00B01FCD" w:rsidRPr="00FD6A48">
        <w:rPr>
          <w:rFonts w:ascii="Arial" w:hAnsi="Arial" w:cs="Arial"/>
          <w:color w:val="000000" w:themeColor="text1"/>
        </w:rPr>
        <w:t>Conclusion</w:t>
      </w:r>
    </w:p>
    <w:p w14:paraId="69A17644" w14:textId="77777777" w:rsidR="00FF5CBD" w:rsidRPr="00FD6A48" w:rsidRDefault="00FF5CBD" w:rsidP="008B219E">
      <w:pPr>
        <w:spacing w:line="360" w:lineRule="auto"/>
        <w:jc w:val="both"/>
        <w:rPr>
          <w:rFonts w:ascii="Arial" w:hAnsi="Arial" w:cs="Arial"/>
          <w:color w:val="000000" w:themeColor="text1"/>
        </w:rPr>
      </w:pPr>
      <w:r w:rsidRPr="00FD6A48">
        <w:rPr>
          <w:rFonts w:ascii="Arial" w:hAnsi="Arial" w:cs="Arial"/>
          <w:color w:val="000000" w:themeColor="text1"/>
        </w:rPr>
        <w:t>The findings underscore the pivotal role of temperature in modulating other hydrological parameters. A strong inverse relationship between temperature and DO, alkalinity, and transparency suggests that warmer months are associated with reduced oxygen availability, diminished buffering capacity, and increased turbidity—conditions that can adversely impact aquatic ecosystem health. Conversely, winter months exhibited enhanced DO levels and greater transparency, likely due to lower thermal stress and reduced biological oxygen demand.</w:t>
      </w:r>
    </w:p>
    <w:p w14:paraId="7242F01B" w14:textId="77777777" w:rsidR="00FF5CBD" w:rsidRPr="00FD6A48" w:rsidRDefault="00FF5CBD"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The correlation matrix highlighted synergistic interactions among pH, alkalinity, and DO, reinforcing the importance of carbonate buffering systems in maintaining chemical stability and oxygenation. Transparency also emerged as an ecologically sensitive indicator, responding to both physical (e.g., runoff, sediment load) and chemical (e.g., ionic concentration) drivers.</w:t>
      </w:r>
    </w:p>
    <w:p w14:paraId="0D02411C" w14:textId="77777777" w:rsidR="00FF5CBD" w:rsidRPr="00FD6A48" w:rsidRDefault="00FF5CBD"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Principal Component Analysis (PCA) effectively reduced dataset complexity and revealed that the first two principal components accounted for 84% of the total variance. PC1 </w:t>
      </w:r>
      <w:r w:rsidRPr="00FD6A48">
        <w:rPr>
          <w:rFonts w:ascii="Arial" w:hAnsi="Arial" w:cs="Arial"/>
          <w:color w:val="000000" w:themeColor="text1"/>
        </w:rPr>
        <w:lastRenderedPageBreak/>
        <w:t>captured a thermal–chemical gradient dominated by temperature and EC, while PC2 reflected an optical–ionic axis shaped by transparency and EC. Seasonal clustering along these axes provided clear visual evidence of the reservoir’s hydrological transitions, particularly the contrast between dry and monsoon periods.</w:t>
      </w:r>
    </w:p>
    <w:p w14:paraId="2A88880B" w14:textId="77777777" w:rsidR="00FF5CBD" w:rsidRPr="00FD6A48" w:rsidRDefault="00FF5CBD"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Ecologically, the low DO and transparency levels observed at Stations S4 and S5 during summer and monsoon suggest localized eutrophication, potentially driven by organic enrichment and reduced water column mixing. These spatial patterns emphasize the importance of targeted monitoring and catchment management, particularly in regions prone to anthropogenic influence.</w:t>
      </w:r>
    </w:p>
    <w:p w14:paraId="52D7E2AA" w14:textId="186833BF" w:rsidR="00FF5CBD" w:rsidRDefault="00FF5CBD" w:rsidP="00A279DA">
      <w:pPr>
        <w:spacing w:line="360" w:lineRule="auto"/>
        <w:ind w:firstLine="720"/>
        <w:jc w:val="both"/>
        <w:rPr>
          <w:rFonts w:ascii="Arial" w:hAnsi="Arial" w:cs="Arial"/>
          <w:color w:val="000000" w:themeColor="text1"/>
        </w:rPr>
      </w:pPr>
      <w:r w:rsidRPr="00FD6A48">
        <w:rPr>
          <w:rFonts w:ascii="Arial" w:hAnsi="Arial" w:cs="Arial"/>
          <w:color w:val="000000" w:themeColor="text1"/>
        </w:rPr>
        <w:t xml:space="preserve">Overall, the integration of classical statistics and PCA offered robust insights into the temporal variability and ecological functioning of the </w:t>
      </w:r>
      <w:proofErr w:type="spellStart"/>
      <w:r w:rsidRPr="00FD6A48">
        <w:rPr>
          <w:rFonts w:ascii="Arial" w:hAnsi="Arial" w:cs="Arial"/>
          <w:color w:val="000000" w:themeColor="text1"/>
        </w:rPr>
        <w:t>Gos</w:t>
      </w:r>
      <w:r w:rsidR="00DB7B63" w:rsidRPr="00FD6A48">
        <w:rPr>
          <w:rFonts w:ascii="Arial" w:hAnsi="Arial" w:cs="Arial"/>
          <w:color w:val="000000" w:themeColor="text1"/>
        </w:rPr>
        <w:t>e</w:t>
      </w:r>
      <w:r w:rsidRPr="00FD6A48">
        <w:rPr>
          <w:rFonts w:ascii="Arial" w:hAnsi="Arial" w:cs="Arial"/>
          <w:color w:val="000000" w:themeColor="text1"/>
        </w:rPr>
        <w:t>khurd</w:t>
      </w:r>
      <w:proofErr w:type="spellEnd"/>
      <w:r w:rsidRPr="00FD6A48">
        <w:rPr>
          <w:rFonts w:ascii="Arial" w:hAnsi="Arial" w:cs="Arial"/>
          <w:color w:val="000000" w:themeColor="text1"/>
        </w:rPr>
        <w:t xml:space="preserve"> Reservoir. These findings not only enhance our understanding of reservoir limnology but also offer a scientific basis for developing adaptive water quality monitoring frameworks. Continued and expanded surveillance of these key parameters is essential for early detection of ecological shifts and for guiding sustainable management practices in large reservoir systems like </w:t>
      </w:r>
      <w:proofErr w:type="spellStart"/>
      <w:r w:rsidRPr="00FD6A48">
        <w:rPr>
          <w:rFonts w:ascii="Arial" w:hAnsi="Arial" w:cs="Arial"/>
          <w:color w:val="000000" w:themeColor="text1"/>
        </w:rPr>
        <w:t>Gos</w:t>
      </w:r>
      <w:r w:rsidR="00DB7B63" w:rsidRPr="00FD6A48">
        <w:rPr>
          <w:rFonts w:ascii="Arial" w:hAnsi="Arial" w:cs="Arial"/>
          <w:color w:val="000000" w:themeColor="text1"/>
        </w:rPr>
        <w:t>e</w:t>
      </w:r>
      <w:r w:rsidRPr="00FD6A48">
        <w:rPr>
          <w:rFonts w:ascii="Arial" w:hAnsi="Arial" w:cs="Arial"/>
          <w:color w:val="000000" w:themeColor="text1"/>
        </w:rPr>
        <w:t>khurd</w:t>
      </w:r>
      <w:proofErr w:type="spellEnd"/>
      <w:r w:rsidRPr="00FD6A48">
        <w:rPr>
          <w:rFonts w:ascii="Arial" w:hAnsi="Arial" w:cs="Arial"/>
          <w:color w:val="000000" w:themeColor="text1"/>
        </w:rPr>
        <w:t>.</w:t>
      </w:r>
    </w:p>
    <w:p w14:paraId="0A93684E" w14:textId="77777777" w:rsidR="007F54A1" w:rsidRDefault="007F54A1" w:rsidP="00A279DA">
      <w:pPr>
        <w:spacing w:line="360" w:lineRule="auto"/>
        <w:ind w:firstLine="720"/>
        <w:jc w:val="both"/>
        <w:rPr>
          <w:rFonts w:ascii="Arial" w:hAnsi="Arial" w:cs="Arial"/>
          <w:color w:val="000000" w:themeColor="text1"/>
        </w:rPr>
      </w:pPr>
    </w:p>
    <w:p w14:paraId="1D723943" w14:textId="77777777" w:rsidR="008A02E3" w:rsidRPr="002A6EE3" w:rsidRDefault="008A02E3" w:rsidP="008A02E3">
      <w:pPr>
        <w:rPr>
          <w:b/>
          <w:highlight w:val="yellow"/>
        </w:rPr>
      </w:pPr>
      <w:r w:rsidRPr="002A6EE3">
        <w:rPr>
          <w:b/>
          <w:highlight w:val="yellow"/>
        </w:rPr>
        <w:t>Disclaimer (Artificial intelligence)</w:t>
      </w:r>
    </w:p>
    <w:p w14:paraId="420B6F4B" w14:textId="77777777" w:rsidR="008A02E3" w:rsidRPr="007A4135" w:rsidRDefault="008A02E3" w:rsidP="008A02E3">
      <w:pPr>
        <w:rPr>
          <w:highlight w:val="yellow"/>
        </w:rPr>
      </w:pPr>
      <w:r w:rsidRPr="007A4135">
        <w:rPr>
          <w:highlight w:val="yellow"/>
        </w:rPr>
        <w:t xml:space="preserve">Option 1: </w:t>
      </w:r>
    </w:p>
    <w:p w14:paraId="4BB973AD" w14:textId="77777777" w:rsidR="008A02E3" w:rsidRPr="007A4135" w:rsidRDefault="008A02E3" w:rsidP="008A02E3">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24978F1D" w14:textId="77777777" w:rsidR="008A02E3" w:rsidRPr="007A4135" w:rsidRDefault="008A02E3" w:rsidP="008A02E3">
      <w:pPr>
        <w:rPr>
          <w:highlight w:val="yellow"/>
        </w:rPr>
      </w:pPr>
      <w:r w:rsidRPr="007A4135">
        <w:rPr>
          <w:highlight w:val="yellow"/>
        </w:rPr>
        <w:t xml:space="preserve">Option 2: </w:t>
      </w:r>
    </w:p>
    <w:p w14:paraId="655A0826" w14:textId="77777777" w:rsidR="008A02E3" w:rsidRPr="007A4135" w:rsidRDefault="008A02E3" w:rsidP="008A02E3">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F797FC" w14:textId="77777777" w:rsidR="008A02E3" w:rsidRPr="007A4135" w:rsidRDefault="008A02E3" w:rsidP="008A02E3">
      <w:pPr>
        <w:rPr>
          <w:highlight w:val="yellow"/>
        </w:rPr>
      </w:pPr>
      <w:r w:rsidRPr="007A4135">
        <w:rPr>
          <w:highlight w:val="yellow"/>
        </w:rPr>
        <w:t>Details of the AI usage are given below:</w:t>
      </w:r>
    </w:p>
    <w:p w14:paraId="3A8E73E4" w14:textId="77777777" w:rsidR="008A02E3" w:rsidRPr="007A4135" w:rsidRDefault="008A02E3" w:rsidP="008A02E3">
      <w:pPr>
        <w:rPr>
          <w:highlight w:val="yellow"/>
        </w:rPr>
      </w:pPr>
      <w:r w:rsidRPr="007A4135">
        <w:rPr>
          <w:highlight w:val="yellow"/>
        </w:rPr>
        <w:t>1.</w:t>
      </w:r>
    </w:p>
    <w:p w14:paraId="0600C766" w14:textId="77777777" w:rsidR="008A02E3" w:rsidRPr="007A4135" w:rsidRDefault="008A02E3" w:rsidP="008A02E3">
      <w:pPr>
        <w:rPr>
          <w:highlight w:val="yellow"/>
        </w:rPr>
      </w:pPr>
      <w:r w:rsidRPr="007A4135">
        <w:rPr>
          <w:highlight w:val="yellow"/>
        </w:rPr>
        <w:t>2.</w:t>
      </w:r>
    </w:p>
    <w:p w14:paraId="66EE582A" w14:textId="77777777" w:rsidR="008A02E3" w:rsidRPr="00D047BB" w:rsidRDefault="008A02E3" w:rsidP="008A02E3">
      <w:r w:rsidRPr="007A4135">
        <w:rPr>
          <w:highlight w:val="yellow"/>
        </w:rPr>
        <w:t>3.</w:t>
      </w:r>
    </w:p>
    <w:p w14:paraId="3F1F7757" w14:textId="77777777" w:rsidR="00790ADA" w:rsidRPr="00FD6A48" w:rsidRDefault="00790ADA" w:rsidP="00A279DA">
      <w:pPr>
        <w:pStyle w:val="Body"/>
        <w:spacing w:after="0" w:line="360" w:lineRule="auto"/>
        <w:rPr>
          <w:rFonts w:ascii="Arial" w:hAnsi="Arial" w:cs="Arial"/>
          <w:color w:val="000000" w:themeColor="text1"/>
        </w:rPr>
      </w:pPr>
    </w:p>
    <w:p w14:paraId="4D45A1F3" w14:textId="77777777" w:rsidR="00B01FCD" w:rsidRPr="00FD6A48" w:rsidRDefault="00B01FCD" w:rsidP="00A279DA">
      <w:pPr>
        <w:pStyle w:val="ReferHead"/>
        <w:spacing w:after="0" w:line="360" w:lineRule="auto"/>
        <w:jc w:val="both"/>
        <w:rPr>
          <w:rFonts w:ascii="Arial" w:hAnsi="Arial" w:cs="Arial"/>
          <w:color w:val="000000" w:themeColor="text1"/>
        </w:rPr>
      </w:pPr>
      <w:r w:rsidRPr="00FD6A48">
        <w:rPr>
          <w:rFonts w:ascii="Arial" w:hAnsi="Arial" w:cs="Arial"/>
          <w:color w:val="000000" w:themeColor="text1"/>
        </w:rPr>
        <w:t>References</w:t>
      </w:r>
    </w:p>
    <w:p w14:paraId="08421543" w14:textId="09BC9D7A" w:rsidR="00A55FD2" w:rsidRPr="00454C56" w:rsidRDefault="00A55FD2" w:rsidP="00454C56">
      <w:pPr>
        <w:pStyle w:val="ReferHead"/>
        <w:numPr>
          <w:ilvl w:val="0"/>
          <w:numId w:val="44"/>
        </w:numPr>
        <w:spacing w:after="0" w:line="360" w:lineRule="auto"/>
        <w:jc w:val="both"/>
        <w:rPr>
          <w:rFonts w:ascii="Arial" w:hAnsi="Arial" w:cs="Arial"/>
          <w:sz w:val="24"/>
          <w:szCs w:val="24"/>
        </w:rPr>
      </w:pPr>
      <w:r w:rsidRPr="00454C56">
        <w:rPr>
          <w:rFonts w:ascii="Arial" w:hAnsi="Arial" w:cs="Arial"/>
          <w:b w:val="0"/>
          <w:caps w:val="0"/>
          <w:color w:val="0070C0"/>
          <w:sz w:val="24"/>
          <w:szCs w:val="24"/>
          <w:lang w:val="en-IN"/>
        </w:rPr>
        <w:t xml:space="preserve">Alam, A., Kumar, J., Sarkar, U. K., Jha, D. N., Sahu, S. K., Das, S. S., ... &amp; Das, B. K. (2024). Linking ecological characteristics with fish diversity, assemblage patterns and feeding guilds, and </w:t>
      </w:r>
      <w:proofErr w:type="spellStart"/>
      <w:r w:rsidRPr="00454C56">
        <w:rPr>
          <w:rFonts w:ascii="Arial" w:hAnsi="Arial" w:cs="Arial"/>
          <w:b w:val="0"/>
          <w:caps w:val="0"/>
          <w:color w:val="0070C0"/>
          <w:sz w:val="24"/>
          <w:szCs w:val="24"/>
          <w:lang w:val="en-IN"/>
        </w:rPr>
        <w:t>gis</w:t>
      </w:r>
      <w:proofErr w:type="spellEnd"/>
      <w:r w:rsidRPr="00454C56">
        <w:rPr>
          <w:rFonts w:ascii="Arial" w:hAnsi="Arial" w:cs="Arial"/>
          <w:b w:val="0"/>
          <w:caps w:val="0"/>
          <w:color w:val="0070C0"/>
          <w:sz w:val="24"/>
          <w:szCs w:val="24"/>
          <w:lang w:val="en-IN"/>
        </w:rPr>
        <w:t xml:space="preserve"> applications along the temporal and spatial gradients in a large subtropical reservoir, India, for sustainable management. </w:t>
      </w:r>
      <w:r w:rsidRPr="00454C56">
        <w:rPr>
          <w:rFonts w:ascii="Arial" w:hAnsi="Arial" w:cs="Arial"/>
          <w:b w:val="0"/>
          <w:i/>
          <w:iCs/>
          <w:caps w:val="0"/>
          <w:color w:val="0070C0"/>
          <w:sz w:val="24"/>
          <w:szCs w:val="24"/>
          <w:lang w:val="en-IN"/>
        </w:rPr>
        <w:t xml:space="preserve">Journal </w:t>
      </w:r>
      <w:proofErr w:type="gramStart"/>
      <w:r w:rsidRPr="00454C56">
        <w:rPr>
          <w:rFonts w:ascii="Arial" w:hAnsi="Arial" w:cs="Arial"/>
          <w:b w:val="0"/>
          <w:i/>
          <w:iCs/>
          <w:caps w:val="0"/>
          <w:color w:val="0070C0"/>
          <w:sz w:val="24"/>
          <w:szCs w:val="24"/>
          <w:lang w:val="en-IN"/>
        </w:rPr>
        <w:t>Of</w:t>
      </w:r>
      <w:proofErr w:type="gramEnd"/>
      <w:r w:rsidRPr="00454C56">
        <w:rPr>
          <w:rFonts w:ascii="Arial" w:hAnsi="Arial" w:cs="Arial"/>
          <w:b w:val="0"/>
          <w:i/>
          <w:iCs/>
          <w:caps w:val="0"/>
          <w:color w:val="0070C0"/>
          <w:sz w:val="24"/>
          <w:szCs w:val="24"/>
          <w:lang w:val="en-IN"/>
        </w:rPr>
        <w:t xml:space="preserve"> Water And Climate Change, 15</w:t>
      </w:r>
      <w:r w:rsidRPr="00454C56">
        <w:rPr>
          <w:rFonts w:ascii="Arial" w:hAnsi="Arial" w:cs="Arial"/>
          <w:b w:val="0"/>
          <w:caps w:val="0"/>
          <w:color w:val="0070C0"/>
          <w:sz w:val="24"/>
          <w:szCs w:val="24"/>
          <w:lang w:val="en-IN"/>
        </w:rPr>
        <w:t xml:space="preserve">(2), 607–622. </w:t>
      </w:r>
      <w:hyperlink r:id="rId19" w:history="1">
        <w:r w:rsidRPr="00454C56">
          <w:rPr>
            <w:rStyle w:val="Hyperlink"/>
            <w:rFonts w:ascii="Arial" w:hAnsi="Arial" w:cs="Arial"/>
            <w:b w:val="0"/>
            <w:caps w:val="0"/>
            <w:color w:val="0070C0"/>
            <w:sz w:val="24"/>
            <w:szCs w:val="24"/>
            <w:u w:val="none"/>
            <w:lang w:val="en-IN"/>
          </w:rPr>
          <w:t>https://doi.Org/10.2166/Wcc.2023.513</w:t>
        </w:r>
      </w:hyperlink>
    </w:p>
    <w:p w14:paraId="6B26742C" w14:textId="77777777" w:rsidR="006736E7" w:rsidRPr="00454C56" w:rsidRDefault="006736E7" w:rsidP="00A279DA">
      <w:pPr>
        <w:spacing w:line="360" w:lineRule="auto"/>
        <w:jc w:val="both"/>
        <w:rPr>
          <w:rFonts w:ascii="Arial" w:hAnsi="Arial" w:cs="Arial"/>
          <w:sz w:val="24"/>
          <w:szCs w:val="24"/>
        </w:rPr>
      </w:pPr>
    </w:p>
    <w:p w14:paraId="3C684C40" w14:textId="44A0E2B8" w:rsidR="00A55FD2" w:rsidRPr="00454C56" w:rsidRDefault="006736E7" w:rsidP="00454C56">
      <w:pPr>
        <w:pStyle w:val="ListParagraph"/>
        <w:numPr>
          <w:ilvl w:val="0"/>
          <w:numId w:val="44"/>
        </w:numPr>
        <w:spacing w:line="360" w:lineRule="auto"/>
        <w:jc w:val="both"/>
        <w:rPr>
          <w:rFonts w:ascii="Arial" w:hAnsi="Arial" w:cs="Arial"/>
          <w:color w:val="0070C0"/>
          <w:sz w:val="24"/>
          <w:szCs w:val="24"/>
        </w:rPr>
      </w:pPr>
      <w:r w:rsidRPr="00454C56">
        <w:rPr>
          <w:rFonts w:ascii="Arial" w:hAnsi="Arial" w:cs="Arial"/>
          <w:color w:val="0070C0"/>
          <w:sz w:val="24"/>
          <w:szCs w:val="24"/>
        </w:rPr>
        <w:lastRenderedPageBreak/>
        <w:t>Amarasinghe, U. S., Ajith Kumara, P. A. D., &amp; De Silva, S. S. (2016). A rationale for introducing a subsidiary fishery in tropical reservoirs and lakes to augment inland fish production: Case study from Sri Lanka. </w:t>
      </w:r>
      <w:r w:rsidRPr="00454C56">
        <w:rPr>
          <w:rFonts w:ascii="Arial" w:hAnsi="Arial" w:cs="Arial"/>
          <w:i/>
          <w:iCs/>
          <w:color w:val="0070C0"/>
          <w:sz w:val="24"/>
          <w:szCs w:val="24"/>
        </w:rPr>
        <w:t>Food Security, 8</w:t>
      </w:r>
      <w:r w:rsidRPr="00454C56">
        <w:rPr>
          <w:rFonts w:ascii="Arial" w:hAnsi="Arial" w:cs="Arial"/>
          <w:color w:val="0070C0"/>
          <w:sz w:val="24"/>
          <w:szCs w:val="24"/>
        </w:rPr>
        <w:t>(4), 769–781. </w:t>
      </w:r>
      <w:hyperlink r:id="rId20" w:tgtFrame="_blank" w:history="1">
        <w:r w:rsidRPr="00454C56">
          <w:rPr>
            <w:rStyle w:val="Hyperlink"/>
            <w:rFonts w:ascii="Arial" w:hAnsi="Arial" w:cs="Arial"/>
            <w:color w:val="0070C0"/>
            <w:sz w:val="24"/>
            <w:szCs w:val="24"/>
            <w:u w:val="none"/>
          </w:rPr>
          <w:t>https://doi.org/10.1007/s12571-016-0596-4</w:t>
        </w:r>
      </w:hyperlink>
    </w:p>
    <w:p w14:paraId="50B71587" w14:textId="77777777" w:rsidR="006736E7" w:rsidRPr="00454C56" w:rsidRDefault="006736E7" w:rsidP="00A279DA">
      <w:pPr>
        <w:spacing w:line="360" w:lineRule="auto"/>
        <w:jc w:val="both"/>
        <w:rPr>
          <w:rFonts w:ascii="Arial" w:hAnsi="Arial" w:cs="Arial"/>
          <w:color w:val="000000" w:themeColor="text1"/>
          <w:sz w:val="24"/>
          <w:szCs w:val="24"/>
        </w:rPr>
      </w:pPr>
    </w:p>
    <w:p w14:paraId="0362B595" w14:textId="69494EFE"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Boyd, C. E. (1990). Water quality in ponds for aquaculture. Alabama Agricultural Experiment Station, Auburn University.</w:t>
      </w:r>
    </w:p>
    <w:p w14:paraId="7CDCC17C" w14:textId="77777777" w:rsidR="00A279DA" w:rsidRPr="00454C56" w:rsidRDefault="00A279DA" w:rsidP="00A279DA">
      <w:pPr>
        <w:spacing w:line="360" w:lineRule="auto"/>
        <w:jc w:val="both"/>
        <w:rPr>
          <w:rFonts w:ascii="Arial" w:hAnsi="Arial" w:cs="Arial"/>
          <w:color w:val="000000" w:themeColor="text1"/>
          <w:sz w:val="24"/>
          <w:szCs w:val="24"/>
        </w:rPr>
      </w:pPr>
    </w:p>
    <w:p w14:paraId="3BF7A044"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Carlson, R. E. (1977). A trophic state index for lakes. Limnology and Oceanography, 22(2), 361–369.</w:t>
      </w:r>
    </w:p>
    <w:p w14:paraId="5FCF2AB9" w14:textId="77777777" w:rsidR="000B7934" w:rsidRPr="00454C56" w:rsidRDefault="000B7934" w:rsidP="00A279DA">
      <w:pPr>
        <w:spacing w:line="360" w:lineRule="auto"/>
        <w:jc w:val="both"/>
        <w:rPr>
          <w:rFonts w:ascii="Arial" w:hAnsi="Arial" w:cs="Arial"/>
          <w:color w:val="000000" w:themeColor="text1"/>
          <w:sz w:val="24"/>
          <w:szCs w:val="24"/>
        </w:rPr>
      </w:pPr>
    </w:p>
    <w:p w14:paraId="77F57AD3" w14:textId="3AC0D6C5" w:rsidR="000B7934" w:rsidRPr="00454C56" w:rsidRDefault="000B7934" w:rsidP="00454C56">
      <w:pPr>
        <w:pStyle w:val="ListParagraph"/>
        <w:numPr>
          <w:ilvl w:val="0"/>
          <w:numId w:val="44"/>
        </w:numPr>
        <w:spacing w:line="360" w:lineRule="auto"/>
        <w:jc w:val="both"/>
        <w:rPr>
          <w:rFonts w:ascii="Arial" w:hAnsi="Arial" w:cs="Arial"/>
          <w:bCs/>
          <w:color w:val="0070C0"/>
          <w:sz w:val="24"/>
          <w:szCs w:val="24"/>
        </w:rPr>
      </w:pPr>
      <w:r w:rsidRPr="00454C56">
        <w:rPr>
          <w:rFonts w:ascii="Arial" w:hAnsi="Arial" w:cs="Arial"/>
          <w:bCs/>
          <w:color w:val="0070C0"/>
          <w:sz w:val="24"/>
          <w:szCs w:val="24"/>
        </w:rPr>
        <w:t xml:space="preserve">Chakraborty, H., Kayal, T., </w:t>
      </w:r>
      <w:proofErr w:type="spellStart"/>
      <w:r w:rsidRPr="00454C56">
        <w:rPr>
          <w:rFonts w:ascii="Arial" w:hAnsi="Arial" w:cs="Arial"/>
          <w:bCs/>
          <w:color w:val="0070C0"/>
          <w:sz w:val="24"/>
          <w:szCs w:val="24"/>
        </w:rPr>
        <w:t>Lianthuamluaia</w:t>
      </w:r>
      <w:proofErr w:type="spellEnd"/>
      <w:r w:rsidRPr="00454C56">
        <w:rPr>
          <w:rFonts w:ascii="Arial" w:hAnsi="Arial" w:cs="Arial"/>
          <w:bCs/>
          <w:color w:val="0070C0"/>
          <w:sz w:val="24"/>
          <w:szCs w:val="24"/>
        </w:rPr>
        <w:t xml:space="preserve">, L., Sarkar, U. K., Das, A. K., Chakraborty, S., and Das, B. K. (2022). </w:t>
      </w:r>
      <w:r w:rsidRPr="00454C56">
        <w:rPr>
          <w:rFonts w:ascii="Arial" w:hAnsi="Arial" w:cs="Arial"/>
          <w:bCs/>
          <w:i/>
          <w:iCs/>
          <w:color w:val="0070C0"/>
          <w:sz w:val="24"/>
          <w:szCs w:val="24"/>
        </w:rPr>
        <w:t>Use of geographical information systems (GIS) in assessing ecological profile, fish community structure and production of a large reservoir of Himachal Pradesh</w:t>
      </w:r>
      <w:r w:rsidRPr="00454C56">
        <w:rPr>
          <w:rFonts w:ascii="Arial" w:hAnsi="Arial" w:cs="Arial"/>
          <w:bCs/>
          <w:color w:val="0070C0"/>
          <w:sz w:val="24"/>
          <w:szCs w:val="24"/>
        </w:rPr>
        <w:t>. Environmental Monitoring and Assessment, 194, 643. https://doi.org/10.1007/s10661-022-10292-5</w:t>
      </w:r>
      <w:r w:rsidR="00002B59" w:rsidRPr="00454C56">
        <w:rPr>
          <w:rFonts w:ascii="Arial" w:hAnsi="Arial" w:cs="Arial"/>
          <w:bCs/>
          <w:color w:val="0070C0"/>
          <w:sz w:val="24"/>
          <w:szCs w:val="24"/>
        </w:rPr>
        <w:t>.</w:t>
      </w:r>
    </w:p>
    <w:p w14:paraId="7867E436" w14:textId="2C581F52" w:rsidR="006B7E80" w:rsidRPr="002A6EE3" w:rsidRDefault="006B7E80" w:rsidP="002A6EE3">
      <w:pPr>
        <w:spacing w:line="360" w:lineRule="auto"/>
        <w:jc w:val="both"/>
        <w:rPr>
          <w:rFonts w:ascii="Arial" w:hAnsi="Arial" w:cs="Arial"/>
          <w:color w:val="0070C0"/>
          <w:sz w:val="24"/>
          <w:szCs w:val="24"/>
          <w:highlight w:val="red"/>
          <w:lang w:val="en-IN"/>
        </w:rPr>
      </w:pPr>
    </w:p>
    <w:p w14:paraId="4FFEAE0C" w14:textId="77777777" w:rsidR="006B7E80" w:rsidRPr="00454C56" w:rsidRDefault="006B7E80" w:rsidP="00A279DA">
      <w:pPr>
        <w:spacing w:line="360" w:lineRule="auto"/>
        <w:jc w:val="both"/>
        <w:rPr>
          <w:rFonts w:ascii="Arial" w:hAnsi="Arial" w:cs="Arial"/>
          <w:color w:val="000000" w:themeColor="text1"/>
          <w:sz w:val="24"/>
          <w:szCs w:val="24"/>
        </w:rPr>
      </w:pPr>
    </w:p>
    <w:p w14:paraId="72C6FC97"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Huang, F., Wang, X. Q., Lou, L. P., Zhou, Z. Q., &amp; Wu, J. P. (2010). Spatial variation and source apportionment of water pollution in Qiantang River (China) using statistical techniques. Water Research, 44(5), 1562–1572.</w:t>
      </w:r>
    </w:p>
    <w:p w14:paraId="56D51814" w14:textId="77777777" w:rsidR="00A279DA" w:rsidRPr="00454C56" w:rsidRDefault="00A279DA" w:rsidP="00A279DA">
      <w:pPr>
        <w:spacing w:line="360" w:lineRule="auto"/>
        <w:jc w:val="both"/>
        <w:rPr>
          <w:rFonts w:ascii="Arial" w:hAnsi="Arial" w:cs="Arial"/>
          <w:color w:val="000000" w:themeColor="text1"/>
          <w:sz w:val="24"/>
          <w:szCs w:val="24"/>
        </w:rPr>
      </w:pPr>
    </w:p>
    <w:p w14:paraId="48098E68"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Jarvie, H. P., Whitton, B. A., &amp; Neal, C. (1998). Nitrogen and phosphorus in east coast British rivers: Speciation, sources and biological significance. Science of the Total Environment, 210/211, 79–109.</w:t>
      </w:r>
    </w:p>
    <w:p w14:paraId="31A90F23" w14:textId="77777777" w:rsidR="00A279DA" w:rsidRPr="00454C56" w:rsidRDefault="00A279DA" w:rsidP="00A279DA">
      <w:pPr>
        <w:spacing w:line="360" w:lineRule="auto"/>
        <w:jc w:val="both"/>
        <w:rPr>
          <w:rFonts w:ascii="Arial" w:hAnsi="Arial" w:cs="Arial"/>
          <w:color w:val="000000" w:themeColor="text1"/>
          <w:sz w:val="24"/>
          <w:szCs w:val="24"/>
        </w:rPr>
      </w:pPr>
    </w:p>
    <w:p w14:paraId="3DB68602"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lastRenderedPageBreak/>
        <w:t xml:space="preserve">Liu, C. W., Lin, K. H., &amp; Kuo, Y. M. (2003). Application of factor analysis in the assessment of groundwater quality in a </w:t>
      </w:r>
      <w:proofErr w:type="spellStart"/>
      <w:r w:rsidRPr="00454C56">
        <w:rPr>
          <w:rFonts w:ascii="Arial" w:hAnsi="Arial" w:cs="Arial"/>
          <w:color w:val="000000" w:themeColor="text1"/>
          <w:sz w:val="24"/>
          <w:szCs w:val="24"/>
        </w:rPr>
        <w:t>blackfoot</w:t>
      </w:r>
      <w:proofErr w:type="spellEnd"/>
      <w:r w:rsidRPr="00454C56">
        <w:rPr>
          <w:rFonts w:ascii="Arial" w:hAnsi="Arial" w:cs="Arial"/>
          <w:color w:val="000000" w:themeColor="text1"/>
          <w:sz w:val="24"/>
          <w:szCs w:val="24"/>
        </w:rPr>
        <w:t xml:space="preserve"> disease area in Taiwan. Science of the Total Environment, 313(1–3), 77–89.</w:t>
      </w:r>
    </w:p>
    <w:p w14:paraId="1E3FE1D5" w14:textId="77777777" w:rsidR="00A279DA" w:rsidRPr="00454C56" w:rsidRDefault="00A279DA" w:rsidP="00A279DA">
      <w:pPr>
        <w:spacing w:line="360" w:lineRule="auto"/>
        <w:jc w:val="both"/>
        <w:rPr>
          <w:rFonts w:ascii="Arial" w:hAnsi="Arial" w:cs="Arial"/>
          <w:color w:val="000000" w:themeColor="text1"/>
          <w:sz w:val="24"/>
          <w:szCs w:val="24"/>
        </w:rPr>
      </w:pPr>
    </w:p>
    <w:p w14:paraId="13C75976"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Lumb, A., Halliwell, D., &amp; Sharma, T. (2006). Application of CCME water quality index to monitor water quality: A case study of the Mackenzie River Basin, Canada. Environmental Monitoring and Assessment, 113(1–3), 411–429.</w:t>
      </w:r>
    </w:p>
    <w:p w14:paraId="61BFB65E" w14:textId="77777777" w:rsidR="00A279DA" w:rsidRPr="00454C56" w:rsidRDefault="00A279DA" w:rsidP="00A279DA">
      <w:pPr>
        <w:spacing w:line="360" w:lineRule="auto"/>
        <w:jc w:val="both"/>
        <w:rPr>
          <w:rFonts w:ascii="Arial" w:hAnsi="Arial" w:cs="Arial"/>
          <w:color w:val="000000" w:themeColor="text1"/>
          <w:sz w:val="24"/>
          <w:szCs w:val="24"/>
        </w:rPr>
      </w:pPr>
    </w:p>
    <w:p w14:paraId="18D07DB0"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 xml:space="preserve">Ouyang, Y., </w:t>
      </w:r>
      <w:proofErr w:type="spellStart"/>
      <w:r w:rsidRPr="00454C56">
        <w:rPr>
          <w:rFonts w:ascii="Arial" w:hAnsi="Arial" w:cs="Arial"/>
          <w:color w:val="000000" w:themeColor="text1"/>
          <w:sz w:val="24"/>
          <w:szCs w:val="24"/>
        </w:rPr>
        <w:t>Nkedi-Kizza</w:t>
      </w:r>
      <w:proofErr w:type="spellEnd"/>
      <w:r w:rsidRPr="00454C56">
        <w:rPr>
          <w:rFonts w:ascii="Arial" w:hAnsi="Arial" w:cs="Arial"/>
          <w:color w:val="000000" w:themeColor="text1"/>
          <w:sz w:val="24"/>
          <w:szCs w:val="24"/>
        </w:rPr>
        <w:t>, P., Wu, Q. T., Shinde, D., &amp; Huang, C. H. (2006). Assessment of seasonal variations in surface water quality. Water Research, 40(20), 3800–3810.</w:t>
      </w:r>
    </w:p>
    <w:p w14:paraId="117275BF" w14:textId="77777777" w:rsidR="00A279DA" w:rsidRPr="00454C56" w:rsidRDefault="00A279DA" w:rsidP="00A279DA">
      <w:pPr>
        <w:spacing w:line="360" w:lineRule="auto"/>
        <w:jc w:val="both"/>
        <w:rPr>
          <w:rFonts w:ascii="Arial" w:hAnsi="Arial" w:cs="Arial"/>
          <w:color w:val="000000" w:themeColor="text1"/>
          <w:sz w:val="24"/>
          <w:szCs w:val="24"/>
        </w:rPr>
      </w:pPr>
    </w:p>
    <w:p w14:paraId="4331215D" w14:textId="77777777" w:rsidR="001523BD" w:rsidRPr="00454C56" w:rsidRDefault="001523BD" w:rsidP="00454C56">
      <w:pPr>
        <w:pStyle w:val="ListParagraph"/>
        <w:numPr>
          <w:ilvl w:val="0"/>
          <w:numId w:val="44"/>
        </w:numPr>
        <w:spacing w:line="360" w:lineRule="auto"/>
        <w:jc w:val="both"/>
        <w:rPr>
          <w:rFonts w:ascii="Arial" w:hAnsi="Arial" w:cs="Arial"/>
          <w:bCs/>
          <w:color w:val="0070C0"/>
          <w:sz w:val="24"/>
          <w:szCs w:val="24"/>
        </w:rPr>
      </w:pPr>
      <w:r w:rsidRPr="00454C56">
        <w:rPr>
          <w:rFonts w:ascii="Arial" w:hAnsi="Arial" w:cs="Arial"/>
          <w:bCs/>
          <w:color w:val="0070C0"/>
          <w:sz w:val="24"/>
          <w:szCs w:val="24"/>
        </w:rPr>
        <w:t xml:space="preserve">Panikkar, P., Khan, F., Ramya, V. L., Saha, A., Vijaykumar, M. E., Sarkar, U. K., Jesna, P. K., &amp; Das, B. K. (2024). Assessment of plankton diversity and </w:t>
      </w:r>
      <w:proofErr w:type="spellStart"/>
      <w:r w:rsidRPr="00454C56">
        <w:rPr>
          <w:rFonts w:ascii="Arial" w:hAnsi="Arial" w:cs="Arial"/>
          <w:bCs/>
          <w:color w:val="0070C0"/>
          <w:sz w:val="24"/>
          <w:szCs w:val="24"/>
        </w:rPr>
        <w:t>physico</w:t>
      </w:r>
      <w:proofErr w:type="spellEnd"/>
      <w:r w:rsidRPr="00454C56">
        <w:rPr>
          <w:rFonts w:ascii="Arial" w:hAnsi="Arial" w:cs="Arial"/>
          <w:bCs/>
          <w:color w:val="0070C0"/>
          <w:sz w:val="24"/>
          <w:szCs w:val="24"/>
        </w:rPr>
        <w:t xml:space="preserve">-chemical characteristics for sustainable fish production in a tropical reservoir in South India. Indian Journal of Fisheries,71(3), 38–47. DOI: 10.21077/ijf.2024.71.3.147246 05 </w:t>
      </w:r>
    </w:p>
    <w:p w14:paraId="1D2DADD5" w14:textId="77777777" w:rsidR="00A279DA" w:rsidRPr="00454C56" w:rsidRDefault="00A279DA" w:rsidP="00A279DA">
      <w:pPr>
        <w:spacing w:line="360" w:lineRule="auto"/>
        <w:jc w:val="both"/>
        <w:rPr>
          <w:rFonts w:ascii="Arial" w:hAnsi="Arial" w:cs="Arial"/>
          <w:color w:val="000000" w:themeColor="text1"/>
          <w:sz w:val="24"/>
          <w:szCs w:val="24"/>
        </w:rPr>
      </w:pPr>
    </w:p>
    <w:p w14:paraId="20203E99" w14:textId="77777777" w:rsidR="000B7934" w:rsidRPr="00454C56" w:rsidRDefault="000B7934" w:rsidP="00454C56">
      <w:pPr>
        <w:pStyle w:val="ListParagraph"/>
        <w:numPr>
          <w:ilvl w:val="0"/>
          <w:numId w:val="44"/>
        </w:numPr>
        <w:spacing w:line="360" w:lineRule="auto"/>
        <w:jc w:val="both"/>
        <w:rPr>
          <w:rFonts w:ascii="Arial" w:hAnsi="Arial" w:cs="Arial"/>
          <w:bCs/>
          <w:color w:val="0070C0"/>
          <w:sz w:val="24"/>
          <w:szCs w:val="24"/>
        </w:rPr>
      </w:pPr>
      <w:r w:rsidRPr="00454C56">
        <w:rPr>
          <w:rFonts w:ascii="Arial" w:hAnsi="Arial" w:cs="Arial"/>
          <w:bCs/>
          <w:color w:val="0070C0"/>
          <w:sz w:val="24"/>
          <w:szCs w:val="24"/>
        </w:rPr>
        <w:t xml:space="preserve">Ramya, V. L., </w:t>
      </w:r>
      <w:proofErr w:type="spellStart"/>
      <w:r w:rsidRPr="00454C56">
        <w:rPr>
          <w:rFonts w:ascii="Arial" w:hAnsi="Arial" w:cs="Arial"/>
          <w:bCs/>
          <w:color w:val="0070C0"/>
          <w:sz w:val="24"/>
          <w:szCs w:val="24"/>
        </w:rPr>
        <w:t>Parakandi</w:t>
      </w:r>
      <w:proofErr w:type="spellEnd"/>
      <w:r w:rsidRPr="00454C56">
        <w:rPr>
          <w:rFonts w:ascii="Arial" w:hAnsi="Arial" w:cs="Arial"/>
          <w:bCs/>
          <w:color w:val="0070C0"/>
          <w:sz w:val="24"/>
          <w:szCs w:val="24"/>
        </w:rPr>
        <w:t xml:space="preserve">, J., Saha, A., </w:t>
      </w:r>
      <w:proofErr w:type="spellStart"/>
      <w:r w:rsidRPr="00454C56">
        <w:rPr>
          <w:rFonts w:ascii="Arial" w:hAnsi="Arial" w:cs="Arial"/>
          <w:bCs/>
          <w:color w:val="0070C0"/>
          <w:sz w:val="24"/>
          <w:szCs w:val="24"/>
        </w:rPr>
        <w:t>Sibina</w:t>
      </w:r>
      <w:proofErr w:type="spellEnd"/>
      <w:r w:rsidRPr="00454C56">
        <w:rPr>
          <w:rFonts w:ascii="Arial" w:hAnsi="Arial" w:cs="Arial"/>
          <w:bCs/>
          <w:color w:val="0070C0"/>
          <w:sz w:val="24"/>
          <w:szCs w:val="24"/>
        </w:rPr>
        <w:t xml:space="preserve">-Mol, S., Panikkar, P., Sarkar, U. K., &amp; </w:t>
      </w:r>
      <w:proofErr w:type="spellStart"/>
      <w:r w:rsidRPr="00454C56">
        <w:rPr>
          <w:rFonts w:ascii="Arial" w:hAnsi="Arial" w:cs="Arial"/>
          <w:bCs/>
          <w:color w:val="0070C0"/>
          <w:sz w:val="24"/>
          <w:szCs w:val="24"/>
        </w:rPr>
        <w:t>Erégowda</w:t>
      </w:r>
      <w:proofErr w:type="spellEnd"/>
      <w:r w:rsidRPr="00454C56">
        <w:rPr>
          <w:rFonts w:ascii="Arial" w:hAnsi="Arial" w:cs="Arial"/>
          <w:bCs/>
          <w:color w:val="0070C0"/>
          <w:sz w:val="24"/>
          <w:szCs w:val="24"/>
        </w:rPr>
        <w:t>, V. M. (2021). Habitat-based fish assemblage and distribution pattern in a large reservoir of peninsular India. Arabian Journal of Geosciences, 14(8), 689. https://doi.org/10.1007/s12517-021-07059-6</w:t>
      </w:r>
    </w:p>
    <w:p w14:paraId="55EA7F3E" w14:textId="77777777" w:rsidR="000B7934" w:rsidRPr="00454C56" w:rsidRDefault="000B7934" w:rsidP="00A279DA">
      <w:pPr>
        <w:spacing w:line="360" w:lineRule="auto"/>
        <w:jc w:val="both"/>
        <w:rPr>
          <w:rFonts w:ascii="Arial" w:hAnsi="Arial" w:cs="Arial"/>
          <w:color w:val="000000" w:themeColor="text1"/>
          <w:sz w:val="24"/>
          <w:szCs w:val="24"/>
        </w:rPr>
      </w:pPr>
    </w:p>
    <w:p w14:paraId="7C72979F"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 xml:space="preserve">Ravichandran, S. (2003). Hydrological influences on the water quality trends in </w:t>
      </w:r>
      <w:proofErr w:type="spellStart"/>
      <w:r w:rsidRPr="00454C56">
        <w:rPr>
          <w:rFonts w:ascii="Arial" w:hAnsi="Arial" w:cs="Arial"/>
          <w:color w:val="000000" w:themeColor="text1"/>
          <w:sz w:val="24"/>
          <w:szCs w:val="24"/>
        </w:rPr>
        <w:t>Tamiraparani</w:t>
      </w:r>
      <w:proofErr w:type="spellEnd"/>
      <w:r w:rsidRPr="00454C56">
        <w:rPr>
          <w:rFonts w:ascii="Arial" w:hAnsi="Arial" w:cs="Arial"/>
          <w:color w:val="000000" w:themeColor="text1"/>
          <w:sz w:val="24"/>
          <w:szCs w:val="24"/>
        </w:rPr>
        <w:t xml:space="preserve"> Basin, South India. Environmental Monitoring and Assessment, 87(3), 293–309.</w:t>
      </w:r>
    </w:p>
    <w:p w14:paraId="532FA765" w14:textId="77777777" w:rsidR="00A279DA" w:rsidRPr="00454C56" w:rsidRDefault="00A279DA" w:rsidP="00A279DA">
      <w:pPr>
        <w:spacing w:line="360" w:lineRule="auto"/>
        <w:jc w:val="both"/>
        <w:rPr>
          <w:rFonts w:ascii="Arial" w:hAnsi="Arial" w:cs="Arial"/>
          <w:color w:val="000000" w:themeColor="text1"/>
          <w:sz w:val="24"/>
          <w:szCs w:val="24"/>
        </w:rPr>
      </w:pPr>
    </w:p>
    <w:p w14:paraId="201FE10A" w14:textId="580549D9" w:rsidR="00A52C8B" w:rsidRPr="00E32343" w:rsidRDefault="00A52C8B" w:rsidP="00454C56">
      <w:pPr>
        <w:pStyle w:val="ListParagraph"/>
        <w:numPr>
          <w:ilvl w:val="0"/>
          <w:numId w:val="44"/>
        </w:numPr>
        <w:spacing w:line="360" w:lineRule="auto"/>
        <w:jc w:val="both"/>
        <w:rPr>
          <w:rFonts w:ascii="Arial" w:hAnsi="Arial" w:cs="Arial"/>
          <w:color w:val="0070C0"/>
          <w:sz w:val="24"/>
          <w:szCs w:val="24"/>
          <w:highlight w:val="yellow"/>
        </w:rPr>
      </w:pPr>
      <w:r w:rsidRPr="00454C56">
        <w:rPr>
          <w:rFonts w:ascii="Arial" w:hAnsi="Arial" w:cs="Arial"/>
          <w:color w:val="0070C0"/>
          <w:sz w:val="24"/>
          <w:szCs w:val="24"/>
        </w:rPr>
        <w:lastRenderedPageBreak/>
        <w:t xml:space="preserve">Sarkar, U. K., Sandhya, K. M., Mishal, P., </w:t>
      </w:r>
      <w:proofErr w:type="spellStart"/>
      <w:r w:rsidRPr="00454C56">
        <w:rPr>
          <w:rFonts w:ascii="Arial" w:hAnsi="Arial" w:cs="Arial"/>
          <w:color w:val="0070C0"/>
          <w:sz w:val="24"/>
          <w:szCs w:val="24"/>
        </w:rPr>
        <w:t>Karnatak</w:t>
      </w:r>
      <w:proofErr w:type="spellEnd"/>
      <w:r w:rsidRPr="00454C56">
        <w:rPr>
          <w:rFonts w:ascii="Arial" w:hAnsi="Arial" w:cs="Arial"/>
          <w:color w:val="0070C0"/>
          <w:sz w:val="24"/>
          <w:szCs w:val="24"/>
        </w:rPr>
        <w:t xml:space="preserve">, G., </w:t>
      </w:r>
      <w:proofErr w:type="spellStart"/>
      <w:r w:rsidRPr="00454C56">
        <w:rPr>
          <w:rFonts w:ascii="Arial" w:hAnsi="Arial" w:cs="Arial"/>
          <w:color w:val="0070C0"/>
          <w:sz w:val="24"/>
          <w:szCs w:val="24"/>
        </w:rPr>
        <w:t>Lianthuamluaia</w:t>
      </w:r>
      <w:proofErr w:type="spellEnd"/>
      <w:r w:rsidRPr="00454C56">
        <w:rPr>
          <w:rFonts w:ascii="Arial" w:hAnsi="Arial" w:cs="Arial"/>
          <w:color w:val="0070C0"/>
          <w:sz w:val="24"/>
          <w:szCs w:val="24"/>
        </w:rPr>
        <w:t xml:space="preserve">, Kumari, P., ... Das, B. K. (2017). Status, Prospects, Threats, and the Way Forward for Sustainable Management and Enhancement of the Tropical Indian Reservoir Fisheries: An Overview. Reviews in Fisheries Science &amp; Aquaculture, 26(1), 1–21. </w:t>
      </w:r>
      <w:hyperlink r:id="rId21" w:history="1">
        <w:r w:rsidR="00E32343" w:rsidRPr="00972468">
          <w:rPr>
            <w:rStyle w:val="Hyperlink"/>
            <w:rFonts w:ascii="Arial" w:hAnsi="Arial" w:cs="Arial"/>
            <w:sz w:val="24"/>
            <w:szCs w:val="24"/>
          </w:rPr>
          <w:t>https://doi.org/10.1080/23308249.2017.1373744</w:t>
        </w:r>
      </w:hyperlink>
      <w:r w:rsidR="00E32343">
        <w:rPr>
          <w:rFonts w:ascii="Arial" w:hAnsi="Arial" w:cs="Arial"/>
          <w:color w:val="0070C0"/>
          <w:sz w:val="24"/>
          <w:szCs w:val="24"/>
        </w:rPr>
        <w:t xml:space="preserve">  </w:t>
      </w:r>
      <w:r w:rsidR="00E32343" w:rsidRPr="00E32343">
        <w:rPr>
          <w:rFonts w:ascii="Arial" w:hAnsi="Arial" w:cs="Arial"/>
          <w:color w:val="0070C0"/>
          <w:sz w:val="24"/>
          <w:szCs w:val="24"/>
          <w:highlight w:val="yellow"/>
        </w:rPr>
        <w:t>(YEAR NOT MATCH)</w:t>
      </w:r>
    </w:p>
    <w:p w14:paraId="35F84098" w14:textId="77777777" w:rsidR="00A279DA" w:rsidRPr="00454C56" w:rsidRDefault="00A279DA" w:rsidP="00A279DA">
      <w:pPr>
        <w:spacing w:line="360" w:lineRule="auto"/>
        <w:jc w:val="both"/>
        <w:rPr>
          <w:rFonts w:ascii="Arial" w:hAnsi="Arial" w:cs="Arial"/>
          <w:color w:val="000000" w:themeColor="text1"/>
          <w:sz w:val="24"/>
          <w:szCs w:val="24"/>
        </w:rPr>
      </w:pPr>
    </w:p>
    <w:p w14:paraId="0FD2CDBB" w14:textId="26FFDEF9"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 xml:space="preserve">Sharma, D., Kansal, A., &amp; Meenakshi. </w:t>
      </w:r>
      <w:r w:rsidRPr="00454C56">
        <w:rPr>
          <w:rFonts w:ascii="Arial" w:hAnsi="Arial" w:cs="Arial"/>
          <w:color w:val="0070C0"/>
          <w:sz w:val="24"/>
          <w:szCs w:val="24"/>
        </w:rPr>
        <w:t>(201</w:t>
      </w:r>
      <w:r w:rsidR="000B7934" w:rsidRPr="00454C56">
        <w:rPr>
          <w:rFonts w:ascii="Arial" w:hAnsi="Arial" w:cs="Arial"/>
          <w:color w:val="0070C0"/>
          <w:sz w:val="24"/>
          <w:szCs w:val="24"/>
        </w:rPr>
        <w:t>1</w:t>
      </w:r>
      <w:r w:rsidRPr="00454C56">
        <w:rPr>
          <w:rFonts w:ascii="Arial" w:hAnsi="Arial" w:cs="Arial"/>
          <w:color w:val="0070C0"/>
          <w:sz w:val="24"/>
          <w:szCs w:val="24"/>
        </w:rPr>
        <w:t xml:space="preserve">). </w:t>
      </w:r>
      <w:r w:rsidRPr="00454C56">
        <w:rPr>
          <w:rFonts w:ascii="Arial" w:hAnsi="Arial" w:cs="Arial"/>
          <w:color w:val="000000" w:themeColor="text1"/>
          <w:sz w:val="24"/>
          <w:szCs w:val="24"/>
        </w:rPr>
        <w:t>Water quality assessment of river Yamuna using water quality index in the National Capital Territory, India (2000–2009). Applied Water Science, 5, 41–50.</w:t>
      </w:r>
    </w:p>
    <w:p w14:paraId="252B2F7D" w14:textId="77777777" w:rsidR="00A279DA" w:rsidRPr="00454C56" w:rsidRDefault="00A279DA" w:rsidP="00A279DA">
      <w:pPr>
        <w:spacing w:line="360" w:lineRule="auto"/>
        <w:jc w:val="both"/>
        <w:rPr>
          <w:rFonts w:ascii="Arial" w:hAnsi="Arial" w:cs="Arial"/>
          <w:color w:val="000000" w:themeColor="text1"/>
          <w:sz w:val="24"/>
          <w:szCs w:val="24"/>
        </w:rPr>
      </w:pPr>
    </w:p>
    <w:p w14:paraId="04C99CDD"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Shin, P. K. S., &amp; Fong, K. Y. S. (1999). Multiple discriminant analysis of marine sediment data. Marine Pollution Bulletin, 39(1–2), 285–294.</w:t>
      </w:r>
    </w:p>
    <w:p w14:paraId="775FFB6E" w14:textId="77777777" w:rsidR="0093703C" w:rsidRPr="00454C56" w:rsidRDefault="0093703C" w:rsidP="00A279DA">
      <w:pPr>
        <w:spacing w:line="360" w:lineRule="auto"/>
        <w:jc w:val="both"/>
        <w:rPr>
          <w:rFonts w:ascii="Arial" w:hAnsi="Arial" w:cs="Arial"/>
          <w:color w:val="000000" w:themeColor="text1"/>
          <w:sz w:val="24"/>
          <w:szCs w:val="24"/>
        </w:rPr>
      </w:pPr>
    </w:p>
    <w:p w14:paraId="74A5048C" w14:textId="413A5F1F" w:rsidR="0093703C" w:rsidRPr="00454C56" w:rsidRDefault="0093703C" w:rsidP="00454C56">
      <w:pPr>
        <w:pStyle w:val="ListParagraph"/>
        <w:numPr>
          <w:ilvl w:val="0"/>
          <w:numId w:val="44"/>
        </w:numPr>
        <w:spacing w:line="360" w:lineRule="auto"/>
        <w:jc w:val="both"/>
        <w:rPr>
          <w:rFonts w:ascii="Arial" w:hAnsi="Arial" w:cs="Arial"/>
          <w:color w:val="0070C0"/>
          <w:sz w:val="24"/>
          <w:szCs w:val="24"/>
        </w:rPr>
      </w:pPr>
      <w:r w:rsidRPr="00454C56">
        <w:rPr>
          <w:rFonts w:ascii="Arial" w:hAnsi="Arial" w:cs="Arial"/>
          <w:color w:val="0070C0"/>
          <w:sz w:val="24"/>
          <w:szCs w:val="24"/>
        </w:rPr>
        <w:t xml:space="preserve">Sodhi, T.S., </w:t>
      </w:r>
      <w:proofErr w:type="spellStart"/>
      <w:r w:rsidRPr="00454C56">
        <w:rPr>
          <w:rFonts w:ascii="Arial" w:hAnsi="Arial" w:cs="Arial"/>
          <w:color w:val="0070C0"/>
          <w:sz w:val="24"/>
          <w:szCs w:val="24"/>
        </w:rPr>
        <w:t>Dahiphale</w:t>
      </w:r>
      <w:proofErr w:type="spellEnd"/>
      <w:r w:rsidRPr="00454C56">
        <w:rPr>
          <w:rFonts w:ascii="Arial" w:hAnsi="Arial" w:cs="Arial"/>
          <w:color w:val="0070C0"/>
          <w:sz w:val="24"/>
          <w:szCs w:val="24"/>
        </w:rPr>
        <w:t>, P. &amp; Arora, M. Assessment of Water Dynamics and Water Quality Parameters over Gobind Sagar Reservoir, India, Based on High-Resolution Remote Sensing Approach. </w:t>
      </w:r>
      <w:r w:rsidRPr="00454C56">
        <w:rPr>
          <w:rFonts w:ascii="Arial" w:hAnsi="Arial" w:cs="Arial"/>
          <w:i/>
          <w:iCs/>
          <w:color w:val="0070C0"/>
          <w:sz w:val="24"/>
          <w:szCs w:val="24"/>
        </w:rPr>
        <w:t xml:space="preserve">Water </w:t>
      </w:r>
      <w:proofErr w:type="spellStart"/>
      <w:r w:rsidRPr="00454C56">
        <w:rPr>
          <w:rFonts w:ascii="Arial" w:hAnsi="Arial" w:cs="Arial"/>
          <w:i/>
          <w:iCs/>
          <w:color w:val="0070C0"/>
          <w:sz w:val="24"/>
          <w:szCs w:val="24"/>
        </w:rPr>
        <w:t>Conserv</w:t>
      </w:r>
      <w:proofErr w:type="spellEnd"/>
      <w:r w:rsidRPr="00454C56">
        <w:rPr>
          <w:rFonts w:ascii="Arial" w:hAnsi="Arial" w:cs="Arial"/>
          <w:i/>
          <w:iCs/>
          <w:color w:val="0070C0"/>
          <w:sz w:val="24"/>
          <w:szCs w:val="24"/>
        </w:rPr>
        <w:t xml:space="preserve"> Sci </w:t>
      </w:r>
      <w:proofErr w:type="spellStart"/>
      <w:r w:rsidRPr="00454C56">
        <w:rPr>
          <w:rFonts w:ascii="Arial" w:hAnsi="Arial" w:cs="Arial"/>
          <w:i/>
          <w:iCs/>
          <w:color w:val="0070C0"/>
          <w:sz w:val="24"/>
          <w:szCs w:val="24"/>
        </w:rPr>
        <w:t>Eng</w:t>
      </w:r>
      <w:proofErr w:type="spellEnd"/>
      <w:r w:rsidRPr="00454C56">
        <w:rPr>
          <w:rFonts w:ascii="Arial" w:hAnsi="Arial" w:cs="Arial"/>
          <w:color w:val="0070C0"/>
          <w:sz w:val="24"/>
          <w:szCs w:val="24"/>
        </w:rPr>
        <w:t> </w:t>
      </w:r>
      <w:r w:rsidRPr="00454C56">
        <w:rPr>
          <w:rFonts w:ascii="Arial" w:hAnsi="Arial" w:cs="Arial"/>
          <w:b/>
          <w:bCs/>
          <w:color w:val="0070C0"/>
          <w:sz w:val="24"/>
          <w:szCs w:val="24"/>
        </w:rPr>
        <w:t>9</w:t>
      </w:r>
      <w:r w:rsidRPr="00454C56">
        <w:rPr>
          <w:rFonts w:ascii="Arial" w:hAnsi="Arial" w:cs="Arial"/>
          <w:color w:val="0070C0"/>
          <w:sz w:val="24"/>
          <w:szCs w:val="24"/>
        </w:rPr>
        <w:t>, 37 (2024). https://doi.org/10.1007/s41101-024-00268-6</w:t>
      </w:r>
    </w:p>
    <w:p w14:paraId="45938494" w14:textId="77777777" w:rsidR="00A279DA" w:rsidRPr="00454C56" w:rsidRDefault="00A279DA" w:rsidP="00A279DA">
      <w:pPr>
        <w:spacing w:line="360" w:lineRule="auto"/>
        <w:jc w:val="both"/>
        <w:rPr>
          <w:rFonts w:ascii="Arial" w:hAnsi="Arial" w:cs="Arial"/>
          <w:color w:val="000000" w:themeColor="text1"/>
          <w:sz w:val="24"/>
          <w:szCs w:val="24"/>
        </w:rPr>
      </w:pPr>
    </w:p>
    <w:p w14:paraId="475207BE"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Shrestha, S., &amp; Kazama, F. (2007). Assessment of surface water quality using multivariate statistical techniques: A case study of the Fuji River Basin, Japan. Environmental Modelling &amp; Software, 22(4), 464–475.</w:t>
      </w:r>
    </w:p>
    <w:p w14:paraId="30FFE608" w14:textId="77777777" w:rsidR="00A279DA" w:rsidRPr="00454C56" w:rsidRDefault="00A279DA" w:rsidP="00A279DA">
      <w:pPr>
        <w:spacing w:line="360" w:lineRule="auto"/>
        <w:jc w:val="both"/>
        <w:rPr>
          <w:rFonts w:ascii="Arial" w:hAnsi="Arial" w:cs="Arial"/>
          <w:color w:val="000000" w:themeColor="text1"/>
          <w:sz w:val="24"/>
          <w:szCs w:val="24"/>
        </w:rPr>
      </w:pPr>
    </w:p>
    <w:p w14:paraId="51265F04" w14:textId="77777777"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 xml:space="preserve">Vega, M., Pardo, R., </w:t>
      </w:r>
      <w:proofErr w:type="spellStart"/>
      <w:r w:rsidRPr="00454C56">
        <w:rPr>
          <w:rFonts w:ascii="Arial" w:hAnsi="Arial" w:cs="Arial"/>
          <w:color w:val="000000" w:themeColor="text1"/>
          <w:sz w:val="24"/>
          <w:szCs w:val="24"/>
        </w:rPr>
        <w:t>Barrado</w:t>
      </w:r>
      <w:proofErr w:type="spellEnd"/>
      <w:r w:rsidRPr="00454C56">
        <w:rPr>
          <w:rFonts w:ascii="Arial" w:hAnsi="Arial" w:cs="Arial"/>
          <w:color w:val="000000" w:themeColor="text1"/>
          <w:sz w:val="24"/>
          <w:szCs w:val="24"/>
        </w:rPr>
        <w:t>, E., &amp;</w:t>
      </w:r>
      <w:proofErr w:type="spellStart"/>
      <w:r w:rsidRPr="00454C56">
        <w:rPr>
          <w:rFonts w:ascii="Arial" w:hAnsi="Arial" w:cs="Arial"/>
          <w:color w:val="000000" w:themeColor="text1"/>
          <w:sz w:val="24"/>
          <w:szCs w:val="24"/>
        </w:rPr>
        <w:t>Debán</w:t>
      </w:r>
      <w:proofErr w:type="spellEnd"/>
      <w:r w:rsidRPr="00454C56">
        <w:rPr>
          <w:rFonts w:ascii="Arial" w:hAnsi="Arial" w:cs="Arial"/>
          <w:color w:val="000000" w:themeColor="text1"/>
          <w:sz w:val="24"/>
          <w:szCs w:val="24"/>
        </w:rPr>
        <w:t>, L. (1998). Assessment of seasonal and polluting effects on the quality of river water by exploratory data analysis. Water Research, 32(12), 3581–3592.</w:t>
      </w:r>
    </w:p>
    <w:p w14:paraId="48180E59" w14:textId="77777777" w:rsidR="00A279DA" w:rsidRPr="00454C56" w:rsidRDefault="00A279DA" w:rsidP="00A279DA">
      <w:pPr>
        <w:spacing w:line="360" w:lineRule="auto"/>
        <w:jc w:val="both"/>
        <w:rPr>
          <w:rFonts w:ascii="Arial" w:hAnsi="Arial" w:cs="Arial"/>
          <w:color w:val="000000" w:themeColor="text1"/>
          <w:sz w:val="24"/>
          <w:szCs w:val="24"/>
        </w:rPr>
      </w:pPr>
    </w:p>
    <w:p w14:paraId="1187C71B" w14:textId="77777777" w:rsidR="002A6EE3" w:rsidRDefault="00A279DA" w:rsidP="00A279DA">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 xml:space="preserve">Wetzel, R. G. (2001). Limnology: Lake and river ecosystems (3rd ed.). Academic </w:t>
      </w:r>
      <w:proofErr w:type="spellStart"/>
      <w:r w:rsidRPr="00454C56">
        <w:rPr>
          <w:rFonts w:ascii="Arial" w:hAnsi="Arial" w:cs="Arial"/>
          <w:color w:val="000000" w:themeColor="text1"/>
          <w:sz w:val="24"/>
          <w:szCs w:val="24"/>
        </w:rPr>
        <w:t>Press.</w:t>
      </w:r>
    </w:p>
    <w:p w14:paraId="20EE04D1" w14:textId="77777777" w:rsidR="002A6EE3" w:rsidRPr="002A6EE3" w:rsidRDefault="002A6EE3" w:rsidP="002A6EE3">
      <w:pPr>
        <w:pStyle w:val="ListParagraph"/>
        <w:rPr>
          <w:rFonts w:ascii="Arial" w:hAnsi="Arial" w:cs="Arial"/>
          <w:color w:val="0070C0"/>
          <w:sz w:val="24"/>
          <w:szCs w:val="24"/>
        </w:rPr>
      </w:pPr>
    </w:p>
    <w:p w14:paraId="5BD1214D" w14:textId="3540C9BA" w:rsidR="00BD2658" w:rsidRPr="002A6EE3" w:rsidRDefault="002A6EE3" w:rsidP="00A279DA">
      <w:pPr>
        <w:pStyle w:val="ListParagraph"/>
        <w:numPr>
          <w:ilvl w:val="0"/>
          <w:numId w:val="44"/>
        </w:numPr>
        <w:spacing w:line="360" w:lineRule="auto"/>
        <w:jc w:val="both"/>
        <w:rPr>
          <w:rFonts w:ascii="Arial" w:hAnsi="Arial" w:cs="Arial"/>
          <w:color w:val="000000" w:themeColor="text1"/>
          <w:sz w:val="24"/>
          <w:szCs w:val="24"/>
        </w:rPr>
      </w:pPr>
      <w:r w:rsidRPr="002A6EE3">
        <w:rPr>
          <w:rFonts w:ascii="Arial" w:hAnsi="Arial" w:cs="Arial"/>
          <w:color w:val="0070C0"/>
          <w:sz w:val="24"/>
          <w:szCs w:val="24"/>
        </w:rPr>
        <w:t>Muangsringam</w:t>
      </w:r>
      <w:proofErr w:type="spellEnd"/>
      <w:r w:rsidRPr="002A6EE3">
        <w:rPr>
          <w:rFonts w:ascii="Arial" w:hAnsi="Arial" w:cs="Arial"/>
          <w:color w:val="0070C0"/>
          <w:sz w:val="24"/>
          <w:szCs w:val="24"/>
        </w:rPr>
        <w:t xml:space="preserve">, J., &amp; </w:t>
      </w:r>
      <w:proofErr w:type="spellStart"/>
      <w:r w:rsidRPr="002A6EE3">
        <w:rPr>
          <w:rFonts w:ascii="Arial" w:hAnsi="Arial" w:cs="Arial"/>
          <w:color w:val="0070C0"/>
          <w:sz w:val="24"/>
          <w:szCs w:val="24"/>
        </w:rPr>
        <w:t>Meksumpun</w:t>
      </w:r>
      <w:proofErr w:type="spellEnd"/>
      <w:r w:rsidRPr="002A6EE3">
        <w:rPr>
          <w:rFonts w:ascii="Arial" w:hAnsi="Arial" w:cs="Arial"/>
          <w:color w:val="0070C0"/>
          <w:sz w:val="24"/>
          <w:szCs w:val="24"/>
        </w:rPr>
        <w:t xml:space="preserve">, C. (2023, November). Drought and Management Approach for Sustainability of Tropical Reservoir Ecosystem: A Case Study of </w:t>
      </w:r>
      <w:proofErr w:type="spellStart"/>
      <w:r w:rsidRPr="002A6EE3">
        <w:rPr>
          <w:rFonts w:ascii="Arial" w:hAnsi="Arial" w:cs="Arial"/>
          <w:color w:val="0070C0"/>
          <w:sz w:val="24"/>
          <w:szCs w:val="24"/>
        </w:rPr>
        <w:t>Ubolratana</w:t>
      </w:r>
      <w:proofErr w:type="spellEnd"/>
      <w:r w:rsidRPr="002A6EE3">
        <w:rPr>
          <w:rFonts w:ascii="Arial" w:hAnsi="Arial" w:cs="Arial"/>
          <w:color w:val="0070C0"/>
          <w:sz w:val="24"/>
          <w:szCs w:val="24"/>
        </w:rPr>
        <w:t xml:space="preserve"> Reservoir, the Most Productive Reservoir in the Northeast Thailand. In International symposium on Construction Resources for Environmentally Sustainable Technologies (pp. 281-288). Singapore: Springer Nature Singapore.</w:t>
      </w:r>
    </w:p>
    <w:p w14:paraId="46C97BD7" w14:textId="77777777" w:rsidR="002A6EE3" w:rsidRPr="00454C56" w:rsidRDefault="002A6EE3" w:rsidP="00A279DA">
      <w:pPr>
        <w:spacing w:line="360" w:lineRule="auto"/>
        <w:jc w:val="both"/>
        <w:rPr>
          <w:rFonts w:ascii="Arial" w:hAnsi="Arial" w:cs="Arial"/>
          <w:color w:val="000000" w:themeColor="text1"/>
          <w:sz w:val="24"/>
          <w:szCs w:val="24"/>
        </w:rPr>
      </w:pPr>
    </w:p>
    <w:p w14:paraId="0EE5336E" w14:textId="4929FB33" w:rsidR="00A279DA" w:rsidRPr="00454C56" w:rsidRDefault="00A279DA" w:rsidP="00454C56">
      <w:pPr>
        <w:pStyle w:val="ListParagraph"/>
        <w:numPr>
          <w:ilvl w:val="0"/>
          <w:numId w:val="44"/>
        </w:numPr>
        <w:spacing w:line="360" w:lineRule="auto"/>
        <w:jc w:val="both"/>
        <w:rPr>
          <w:rFonts w:ascii="Arial" w:hAnsi="Arial" w:cs="Arial"/>
          <w:color w:val="000000" w:themeColor="text1"/>
          <w:sz w:val="24"/>
          <w:szCs w:val="24"/>
        </w:rPr>
      </w:pPr>
      <w:r w:rsidRPr="00454C56">
        <w:rPr>
          <w:rFonts w:ascii="Arial" w:hAnsi="Arial" w:cs="Arial"/>
          <w:color w:val="000000" w:themeColor="text1"/>
          <w:sz w:val="24"/>
          <w:szCs w:val="24"/>
        </w:rPr>
        <w:t xml:space="preserve">Zhang, Y., Guo, F., Meng, W., &amp; Wang, X. Q. (2009). Water quality assessment and source identification of </w:t>
      </w:r>
      <w:proofErr w:type="spellStart"/>
      <w:r w:rsidRPr="00454C56">
        <w:rPr>
          <w:rFonts w:ascii="Arial" w:hAnsi="Arial" w:cs="Arial"/>
          <w:color w:val="000000" w:themeColor="text1"/>
          <w:sz w:val="24"/>
          <w:szCs w:val="24"/>
        </w:rPr>
        <w:t>Daliao</w:t>
      </w:r>
      <w:proofErr w:type="spellEnd"/>
      <w:r w:rsidRPr="00454C56">
        <w:rPr>
          <w:rFonts w:ascii="Arial" w:hAnsi="Arial" w:cs="Arial"/>
          <w:color w:val="000000" w:themeColor="text1"/>
          <w:sz w:val="24"/>
          <w:szCs w:val="24"/>
        </w:rPr>
        <w:t xml:space="preserve"> River Basin using multivariate statistical methods. Environmental Monitoring and Assessment, 152(1–4), 105–121.</w:t>
      </w:r>
    </w:p>
    <w:p w14:paraId="09F2CA4C" w14:textId="77777777" w:rsidR="00B01FCD" w:rsidRPr="00411898" w:rsidRDefault="00B01FCD" w:rsidP="00A279DA">
      <w:pPr>
        <w:pStyle w:val="Body"/>
        <w:spacing w:after="0" w:line="360" w:lineRule="auto"/>
        <w:rPr>
          <w:rFonts w:ascii="Arial" w:hAnsi="Arial" w:cs="Arial"/>
          <w:b/>
          <w:color w:val="000000" w:themeColor="text1"/>
          <w:sz w:val="24"/>
          <w:szCs w:val="24"/>
        </w:rPr>
      </w:pPr>
    </w:p>
    <w:sectPr w:rsidR="00B01FCD" w:rsidRPr="00411898" w:rsidSect="006C2CAD">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45008" w14:textId="77777777" w:rsidR="00C12A24" w:rsidRDefault="00C12A24" w:rsidP="00C37E61">
      <w:r>
        <w:separator/>
      </w:r>
    </w:p>
  </w:endnote>
  <w:endnote w:type="continuationSeparator" w:id="0">
    <w:p w14:paraId="7AD21629" w14:textId="77777777" w:rsidR="00C12A24" w:rsidRDefault="00C12A2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altName w:val="Sylfaen"/>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2952" w14:textId="77777777" w:rsidR="00570374" w:rsidRDefault="00570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DADD8" w14:textId="403C4F4A" w:rsidR="0021529D" w:rsidRPr="0082463F" w:rsidRDefault="0021529D" w:rsidP="0082463F">
    <w:pPr>
      <w:pStyle w:val="Footer"/>
    </w:pPr>
    <w:r w:rsidRPr="0082463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EDC0F" w14:textId="48E9CB50" w:rsidR="0021529D" w:rsidRPr="00570374" w:rsidRDefault="0021529D" w:rsidP="005703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9F85" w14:textId="77777777" w:rsidR="0021529D" w:rsidRPr="00C37E61" w:rsidRDefault="0021529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BE258" w14:textId="77777777" w:rsidR="00C12A24" w:rsidRDefault="00C12A24" w:rsidP="00C37E61">
      <w:r>
        <w:separator/>
      </w:r>
    </w:p>
  </w:footnote>
  <w:footnote w:type="continuationSeparator" w:id="0">
    <w:p w14:paraId="40F30946" w14:textId="77777777" w:rsidR="00C12A24" w:rsidRDefault="00C12A2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93218" w14:textId="6E66DC7A" w:rsidR="00570374" w:rsidRDefault="00C12A24">
    <w:pPr>
      <w:pStyle w:val="Header"/>
    </w:pPr>
    <w:r>
      <w:rPr>
        <w:noProof/>
      </w:rPr>
      <w:pict w14:anchorId="5494E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D2CA" w14:textId="4DCC9BEA" w:rsidR="00570374" w:rsidRDefault="00C12A24">
    <w:pPr>
      <w:pStyle w:val="Header"/>
    </w:pPr>
    <w:r>
      <w:rPr>
        <w:noProof/>
      </w:rPr>
      <w:pict w14:anchorId="6A1BF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57825" w14:textId="21278689" w:rsidR="0021529D" w:rsidRPr="00296529" w:rsidRDefault="00C12A24" w:rsidP="00296529">
    <w:pPr>
      <w:ind w:left="2160"/>
      <w:jc w:val="center"/>
      <w:rPr>
        <w:rFonts w:ascii="Times New Roman" w:eastAsia="Calibri" w:hAnsi="Times New Roman"/>
        <w:i/>
        <w:sz w:val="18"/>
        <w:szCs w:val="22"/>
      </w:rPr>
    </w:pPr>
    <w:r>
      <w:rPr>
        <w:noProof/>
      </w:rPr>
      <w:pict w14:anchorId="4531C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D4EF230" w14:textId="77777777" w:rsidR="0021529D" w:rsidRPr="00296529" w:rsidRDefault="0021529D"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8AE17F9" w14:textId="77777777" w:rsidR="0021529D" w:rsidRPr="00296529" w:rsidRDefault="0021529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DA5ABD" w14:textId="77777777" w:rsidR="0021529D" w:rsidRPr="00296529" w:rsidRDefault="0021529D"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8D7CFBC" w14:textId="77777777" w:rsidR="0021529D" w:rsidRDefault="0021529D" w:rsidP="00296529">
    <w:pPr>
      <w:jc w:val="center"/>
      <w:rPr>
        <w:rFonts w:ascii="Times New Roman" w:eastAsia="Calibri" w:hAnsi="Times New Roman"/>
        <w:i/>
        <w:sz w:val="18"/>
        <w:szCs w:val="22"/>
      </w:rPr>
    </w:pPr>
  </w:p>
  <w:p w14:paraId="3A495FA6" w14:textId="77777777" w:rsidR="0021529D" w:rsidRDefault="0021529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BE742EA" w14:textId="77777777" w:rsidR="0021529D" w:rsidRDefault="0021529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B3D9D" w14:textId="499E3D8A" w:rsidR="00570374" w:rsidRDefault="00C12A24">
    <w:pPr>
      <w:pStyle w:val="Header"/>
    </w:pPr>
    <w:r>
      <w:rPr>
        <w:noProof/>
      </w:rPr>
      <w:pict w14:anchorId="4BA30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044E2" w14:textId="67FBC552" w:rsidR="00570374" w:rsidRDefault="00C12A24">
    <w:pPr>
      <w:pStyle w:val="Header"/>
    </w:pPr>
    <w:r>
      <w:rPr>
        <w:noProof/>
      </w:rPr>
      <w:pict w14:anchorId="2E4A0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83447" w14:textId="476DC721" w:rsidR="00570374" w:rsidRDefault="00C12A24">
    <w:pPr>
      <w:pStyle w:val="Header"/>
    </w:pPr>
    <w:r>
      <w:rPr>
        <w:noProof/>
      </w:rPr>
      <w:pict w14:anchorId="30339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790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B3D8D"/>
    <w:multiLevelType w:val="multilevel"/>
    <w:tmpl w:val="06F42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0528B"/>
    <w:multiLevelType w:val="multilevel"/>
    <w:tmpl w:val="B5C4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0937F9A"/>
    <w:multiLevelType w:val="hybridMultilevel"/>
    <w:tmpl w:val="8864EB7A"/>
    <w:lvl w:ilvl="0" w:tplc="27F6900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B2D4E98"/>
    <w:multiLevelType w:val="multilevel"/>
    <w:tmpl w:val="C7FC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DD07293"/>
    <w:multiLevelType w:val="hybridMultilevel"/>
    <w:tmpl w:val="7AEADC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E014DE7"/>
    <w:multiLevelType w:val="hybridMultilevel"/>
    <w:tmpl w:val="B6E4FCB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B3965C9"/>
    <w:multiLevelType w:val="multilevel"/>
    <w:tmpl w:val="24DE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C375BC0"/>
    <w:multiLevelType w:val="hybridMultilevel"/>
    <w:tmpl w:val="2CF6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F1569"/>
    <w:multiLevelType w:val="multilevel"/>
    <w:tmpl w:val="38C0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4E9F01A5"/>
    <w:multiLevelType w:val="hybridMultilevel"/>
    <w:tmpl w:val="A8DA299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418F9"/>
    <w:multiLevelType w:val="multilevel"/>
    <w:tmpl w:val="87C072C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5FE05F4D"/>
    <w:multiLevelType w:val="multilevel"/>
    <w:tmpl w:val="94D2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E6D1BCA"/>
    <w:multiLevelType w:val="hybridMultilevel"/>
    <w:tmpl w:val="B6D6E84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1604DCD"/>
    <w:multiLevelType w:val="singleLevel"/>
    <w:tmpl w:val="E368B7EE"/>
    <w:lvl w:ilvl="0">
      <w:start w:val="1"/>
      <w:numFmt w:val="decimal"/>
      <w:lvlText w:val="%1."/>
      <w:lvlJc w:val="left"/>
      <w:pPr>
        <w:tabs>
          <w:tab w:val="num" w:pos="360"/>
        </w:tabs>
        <w:ind w:left="360" w:hanging="360"/>
      </w:pPr>
    </w:lvl>
  </w:abstractNum>
  <w:abstractNum w:abstractNumId="3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5F408B"/>
    <w:multiLevelType w:val="multilevel"/>
    <w:tmpl w:val="AB06841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3"/>
  </w:num>
  <w:num w:numId="8">
    <w:abstractNumId w:val="19"/>
  </w:num>
  <w:num w:numId="9">
    <w:abstractNumId w:val="38"/>
  </w:num>
  <w:num w:numId="10">
    <w:abstractNumId w:val="4"/>
  </w:num>
  <w:num w:numId="11">
    <w:abstractNumId w:val="30"/>
  </w:num>
  <w:num w:numId="12">
    <w:abstractNumId w:val="5"/>
  </w:num>
  <w:num w:numId="13">
    <w:abstractNumId w:val="28"/>
  </w:num>
  <w:num w:numId="14">
    <w:abstractNumId w:val="12"/>
  </w:num>
  <w:num w:numId="15">
    <w:abstractNumId w:val="34"/>
  </w:num>
  <w:num w:numId="16">
    <w:abstractNumId w:val="7"/>
  </w:num>
  <w:num w:numId="17">
    <w:abstractNumId w:val="35"/>
  </w:num>
  <w:num w:numId="18">
    <w:abstractNumId w:val="21"/>
  </w:num>
  <w:num w:numId="19">
    <w:abstractNumId w:val="42"/>
  </w:num>
  <w:num w:numId="20">
    <w:abstractNumId w:val="17"/>
  </w:num>
  <w:num w:numId="21">
    <w:abstractNumId w:val="15"/>
  </w:num>
  <w:num w:numId="22">
    <w:abstractNumId w:val="20"/>
  </w:num>
  <w:num w:numId="23">
    <w:abstractNumId w:val="32"/>
  </w:num>
  <w:num w:numId="24">
    <w:abstractNumId w:val="39"/>
  </w:num>
  <w:num w:numId="25">
    <w:abstractNumId w:val="6"/>
  </w:num>
  <w:num w:numId="26">
    <w:abstractNumId w:val="26"/>
  </w:num>
  <w:num w:numId="27">
    <w:abstractNumId w:val="33"/>
  </w:num>
  <w:num w:numId="28">
    <w:abstractNumId w:val="40"/>
  </w:num>
  <w:num w:numId="29">
    <w:abstractNumId w:val="37"/>
  </w:num>
  <w:num w:numId="30">
    <w:abstractNumId w:val="16"/>
  </w:num>
  <w:num w:numId="31">
    <w:abstractNumId w:val="22"/>
  </w:num>
  <w:num w:numId="32">
    <w:abstractNumId w:val="23"/>
  </w:num>
  <w:num w:numId="33">
    <w:abstractNumId w:val="2"/>
  </w:num>
  <w:num w:numId="34">
    <w:abstractNumId w:val="18"/>
  </w:num>
  <w:num w:numId="35">
    <w:abstractNumId w:val="1"/>
  </w:num>
  <w:num w:numId="36">
    <w:abstractNumId w:val="9"/>
  </w:num>
  <w:num w:numId="37">
    <w:abstractNumId w:val="11"/>
  </w:num>
  <w:num w:numId="38">
    <w:abstractNumId w:val="29"/>
  </w:num>
  <w:num w:numId="39">
    <w:abstractNumId w:val="27"/>
  </w:num>
  <w:num w:numId="40">
    <w:abstractNumId w:val="31"/>
  </w:num>
  <w:num w:numId="41">
    <w:abstractNumId w:val="14"/>
  </w:num>
  <w:num w:numId="42">
    <w:abstractNumId w:val="25"/>
  </w:num>
  <w:num w:numId="43">
    <w:abstractNumId w:val="41"/>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B59"/>
    <w:rsid w:val="00014B2A"/>
    <w:rsid w:val="00030174"/>
    <w:rsid w:val="00041F84"/>
    <w:rsid w:val="0004579C"/>
    <w:rsid w:val="00055010"/>
    <w:rsid w:val="0007315F"/>
    <w:rsid w:val="000A47FA"/>
    <w:rsid w:val="000A65D3"/>
    <w:rsid w:val="000B1E33"/>
    <w:rsid w:val="000B7934"/>
    <w:rsid w:val="000D139A"/>
    <w:rsid w:val="000D689F"/>
    <w:rsid w:val="000E7B7B"/>
    <w:rsid w:val="000E7D62"/>
    <w:rsid w:val="00103357"/>
    <w:rsid w:val="00123C9F"/>
    <w:rsid w:val="00126190"/>
    <w:rsid w:val="00130F17"/>
    <w:rsid w:val="001320BF"/>
    <w:rsid w:val="001523BD"/>
    <w:rsid w:val="00163BC4"/>
    <w:rsid w:val="00176996"/>
    <w:rsid w:val="00180891"/>
    <w:rsid w:val="00191062"/>
    <w:rsid w:val="00192B72"/>
    <w:rsid w:val="001A29D8"/>
    <w:rsid w:val="001A5CAA"/>
    <w:rsid w:val="001B0427"/>
    <w:rsid w:val="001D3A51"/>
    <w:rsid w:val="001E10D2"/>
    <w:rsid w:val="001E25B4"/>
    <w:rsid w:val="001E44FE"/>
    <w:rsid w:val="001F31A2"/>
    <w:rsid w:val="00200595"/>
    <w:rsid w:val="00203ACB"/>
    <w:rsid w:val="00204835"/>
    <w:rsid w:val="0021529D"/>
    <w:rsid w:val="00231920"/>
    <w:rsid w:val="0023195C"/>
    <w:rsid w:val="0024282C"/>
    <w:rsid w:val="00245588"/>
    <w:rsid w:val="002460DC"/>
    <w:rsid w:val="00250985"/>
    <w:rsid w:val="002556F6"/>
    <w:rsid w:val="00283105"/>
    <w:rsid w:val="00284C4C"/>
    <w:rsid w:val="0028693A"/>
    <w:rsid w:val="00287E68"/>
    <w:rsid w:val="002945A3"/>
    <w:rsid w:val="00296529"/>
    <w:rsid w:val="002A6EE3"/>
    <w:rsid w:val="002B27FB"/>
    <w:rsid w:val="002B685A"/>
    <w:rsid w:val="002C3B8F"/>
    <w:rsid w:val="002C57D2"/>
    <w:rsid w:val="002C5A48"/>
    <w:rsid w:val="002E0D56"/>
    <w:rsid w:val="00315186"/>
    <w:rsid w:val="0033343E"/>
    <w:rsid w:val="00333E86"/>
    <w:rsid w:val="003512C2"/>
    <w:rsid w:val="00360884"/>
    <w:rsid w:val="00365A6A"/>
    <w:rsid w:val="00371FB6"/>
    <w:rsid w:val="003763C1"/>
    <w:rsid w:val="00376BBE"/>
    <w:rsid w:val="00380B88"/>
    <w:rsid w:val="0039224F"/>
    <w:rsid w:val="003A43A4"/>
    <w:rsid w:val="003A7E18"/>
    <w:rsid w:val="003C4C86"/>
    <w:rsid w:val="003C6258"/>
    <w:rsid w:val="003D14B3"/>
    <w:rsid w:val="003D2953"/>
    <w:rsid w:val="003E2904"/>
    <w:rsid w:val="003F02FE"/>
    <w:rsid w:val="003F6201"/>
    <w:rsid w:val="00401927"/>
    <w:rsid w:val="0041027F"/>
    <w:rsid w:val="00411898"/>
    <w:rsid w:val="00412475"/>
    <w:rsid w:val="00423789"/>
    <w:rsid w:val="00440F43"/>
    <w:rsid w:val="00441B6F"/>
    <w:rsid w:val="00446221"/>
    <w:rsid w:val="00450E62"/>
    <w:rsid w:val="004539DB"/>
    <w:rsid w:val="00454C56"/>
    <w:rsid w:val="00457418"/>
    <w:rsid w:val="00471A80"/>
    <w:rsid w:val="00493D0A"/>
    <w:rsid w:val="004D305E"/>
    <w:rsid w:val="004D4277"/>
    <w:rsid w:val="004F11F5"/>
    <w:rsid w:val="00502516"/>
    <w:rsid w:val="00505F06"/>
    <w:rsid w:val="00506828"/>
    <w:rsid w:val="0053056E"/>
    <w:rsid w:val="00554FDA"/>
    <w:rsid w:val="00565D9A"/>
    <w:rsid w:val="00570374"/>
    <w:rsid w:val="005867DF"/>
    <w:rsid w:val="005A1760"/>
    <w:rsid w:val="005C784C"/>
    <w:rsid w:val="005D17F6"/>
    <w:rsid w:val="005E5539"/>
    <w:rsid w:val="005F255A"/>
    <w:rsid w:val="00602BF5"/>
    <w:rsid w:val="00617FDD"/>
    <w:rsid w:val="00633614"/>
    <w:rsid w:val="00633842"/>
    <w:rsid w:val="00633F68"/>
    <w:rsid w:val="00636EB2"/>
    <w:rsid w:val="006375B8"/>
    <w:rsid w:val="006517D6"/>
    <w:rsid w:val="0066510A"/>
    <w:rsid w:val="006736E7"/>
    <w:rsid w:val="00673F9F"/>
    <w:rsid w:val="00685F4D"/>
    <w:rsid w:val="00686953"/>
    <w:rsid w:val="00687DEA"/>
    <w:rsid w:val="00687E67"/>
    <w:rsid w:val="006967F7"/>
    <w:rsid w:val="006A250C"/>
    <w:rsid w:val="006B21D3"/>
    <w:rsid w:val="006B57D0"/>
    <w:rsid w:val="006B7E80"/>
    <w:rsid w:val="006C2CAD"/>
    <w:rsid w:val="006C64A6"/>
    <w:rsid w:val="006D30FF"/>
    <w:rsid w:val="006D6940"/>
    <w:rsid w:val="006F11EC"/>
    <w:rsid w:val="006F2E05"/>
    <w:rsid w:val="0070082C"/>
    <w:rsid w:val="007348C3"/>
    <w:rsid w:val="007369E6"/>
    <w:rsid w:val="00746E59"/>
    <w:rsid w:val="00754C9A"/>
    <w:rsid w:val="0075599A"/>
    <w:rsid w:val="00761D52"/>
    <w:rsid w:val="0077749E"/>
    <w:rsid w:val="00790ADA"/>
    <w:rsid w:val="00792A58"/>
    <w:rsid w:val="007D2288"/>
    <w:rsid w:val="007E088F"/>
    <w:rsid w:val="007F54A1"/>
    <w:rsid w:val="007F7B32"/>
    <w:rsid w:val="00804BC2"/>
    <w:rsid w:val="0081431A"/>
    <w:rsid w:val="0082463F"/>
    <w:rsid w:val="0083216F"/>
    <w:rsid w:val="00835411"/>
    <w:rsid w:val="00855074"/>
    <w:rsid w:val="00860000"/>
    <w:rsid w:val="00863BD3"/>
    <w:rsid w:val="008641ED"/>
    <w:rsid w:val="00866D66"/>
    <w:rsid w:val="008671C6"/>
    <w:rsid w:val="00875803"/>
    <w:rsid w:val="00877200"/>
    <w:rsid w:val="00891A9F"/>
    <w:rsid w:val="008A02E3"/>
    <w:rsid w:val="008B1B14"/>
    <w:rsid w:val="008B219E"/>
    <w:rsid w:val="008B459E"/>
    <w:rsid w:val="008C6F08"/>
    <w:rsid w:val="008D0213"/>
    <w:rsid w:val="008D2796"/>
    <w:rsid w:val="008E13AE"/>
    <w:rsid w:val="008E1506"/>
    <w:rsid w:val="008E6EBB"/>
    <w:rsid w:val="008E710C"/>
    <w:rsid w:val="008F06DE"/>
    <w:rsid w:val="008F69D6"/>
    <w:rsid w:val="00902823"/>
    <w:rsid w:val="00911E6B"/>
    <w:rsid w:val="00915CA6"/>
    <w:rsid w:val="0092657D"/>
    <w:rsid w:val="00927834"/>
    <w:rsid w:val="0093703C"/>
    <w:rsid w:val="0094031B"/>
    <w:rsid w:val="009500A6"/>
    <w:rsid w:val="00957C18"/>
    <w:rsid w:val="009659BA"/>
    <w:rsid w:val="00983040"/>
    <w:rsid w:val="00985C44"/>
    <w:rsid w:val="009918DC"/>
    <w:rsid w:val="009922BA"/>
    <w:rsid w:val="009B0FC9"/>
    <w:rsid w:val="009B3FB9"/>
    <w:rsid w:val="009C2465"/>
    <w:rsid w:val="009D0E0D"/>
    <w:rsid w:val="009D35A0"/>
    <w:rsid w:val="009D7EB7"/>
    <w:rsid w:val="009E01AE"/>
    <w:rsid w:val="009E048A"/>
    <w:rsid w:val="009E08E9"/>
    <w:rsid w:val="009E3DB9"/>
    <w:rsid w:val="009E6E35"/>
    <w:rsid w:val="009F0EDA"/>
    <w:rsid w:val="00A03B96"/>
    <w:rsid w:val="00A05B19"/>
    <w:rsid w:val="00A1134E"/>
    <w:rsid w:val="00A24E7E"/>
    <w:rsid w:val="00A258C3"/>
    <w:rsid w:val="00A279DA"/>
    <w:rsid w:val="00A347C0"/>
    <w:rsid w:val="00A51431"/>
    <w:rsid w:val="00A52C8B"/>
    <w:rsid w:val="00A539AD"/>
    <w:rsid w:val="00A55FD2"/>
    <w:rsid w:val="00A94063"/>
    <w:rsid w:val="00AA6219"/>
    <w:rsid w:val="00AA74E0"/>
    <w:rsid w:val="00AB703F"/>
    <w:rsid w:val="00AC4390"/>
    <w:rsid w:val="00AC6BB8"/>
    <w:rsid w:val="00AE008F"/>
    <w:rsid w:val="00AE378F"/>
    <w:rsid w:val="00AE4530"/>
    <w:rsid w:val="00AF3C28"/>
    <w:rsid w:val="00B01FCD"/>
    <w:rsid w:val="00B145D4"/>
    <w:rsid w:val="00B1776C"/>
    <w:rsid w:val="00B52583"/>
    <w:rsid w:val="00B52896"/>
    <w:rsid w:val="00B95236"/>
    <w:rsid w:val="00B96BD9"/>
    <w:rsid w:val="00BA1B01"/>
    <w:rsid w:val="00BA2641"/>
    <w:rsid w:val="00BB37AA"/>
    <w:rsid w:val="00BC53A0"/>
    <w:rsid w:val="00BD2658"/>
    <w:rsid w:val="00BE62AD"/>
    <w:rsid w:val="00BF121F"/>
    <w:rsid w:val="00BF1F80"/>
    <w:rsid w:val="00C06E7B"/>
    <w:rsid w:val="00C070A3"/>
    <w:rsid w:val="00C10052"/>
    <w:rsid w:val="00C12A24"/>
    <w:rsid w:val="00C166EF"/>
    <w:rsid w:val="00C17EB0"/>
    <w:rsid w:val="00C27F5F"/>
    <w:rsid w:val="00C30A0F"/>
    <w:rsid w:val="00C37377"/>
    <w:rsid w:val="00C37E61"/>
    <w:rsid w:val="00C443FD"/>
    <w:rsid w:val="00C57F12"/>
    <w:rsid w:val="00C70F1B"/>
    <w:rsid w:val="00C71649"/>
    <w:rsid w:val="00C71A47"/>
    <w:rsid w:val="00C732BE"/>
    <w:rsid w:val="00C7464C"/>
    <w:rsid w:val="00C828C6"/>
    <w:rsid w:val="00C834A1"/>
    <w:rsid w:val="00C85588"/>
    <w:rsid w:val="00CD6755"/>
    <w:rsid w:val="00CD6856"/>
    <w:rsid w:val="00CE0089"/>
    <w:rsid w:val="00CE793C"/>
    <w:rsid w:val="00CF193C"/>
    <w:rsid w:val="00D173F1"/>
    <w:rsid w:val="00D43305"/>
    <w:rsid w:val="00D74CB0"/>
    <w:rsid w:val="00D75EC5"/>
    <w:rsid w:val="00D8295D"/>
    <w:rsid w:val="00D97270"/>
    <w:rsid w:val="00DA4006"/>
    <w:rsid w:val="00DB7B63"/>
    <w:rsid w:val="00DC2A65"/>
    <w:rsid w:val="00DD1D8C"/>
    <w:rsid w:val="00DE15F0"/>
    <w:rsid w:val="00DE5663"/>
    <w:rsid w:val="00DE78AA"/>
    <w:rsid w:val="00E03944"/>
    <w:rsid w:val="00E053D0"/>
    <w:rsid w:val="00E15994"/>
    <w:rsid w:val="00E3114E"/>
    <w:rsid w:val="00E31A70"/>
    <w:rsid w:val="00E32343"/>
    <w:rsid w:val="00E35B02"/>
    <w:rsid w:val="00E51AC4"/>
    <w:rsid w:val="00E660A6"/>
    <w:rsid w:val="00E66496"/>
    <w:rsid w:val="00E66B35"/>
    <w:rsid w:val="00E66E10"/>
    <w:rsid w:val="00E769F6"/>
    <w:rsid w:val="00E8407C"/>
    <w:rsid w:val="00E84F3C"/>
    <w:rsid w:val="00E97657"/>
    <w:rsid w:val="00EA012C"/>
    <w:rsid w:val="00EA4923"/>
    <w:rsid w:val="00EA4B66"/>
    <w:rsid w:val="00EB74F5"/>
    <w:rsid w:val="00EC6A55"/>
    <w:rsid w:val="00EC7CB9"/>
    <w:rsid w:val="00ED0288"/>
    <w:rsid w:val="00ED083D"/>
    <w:rsid w:val="00EE52CB"/>
    <w:rsid w:val="00EF581D"/>
    <w:rsid w:val="00EF7FD8"/>
    <w:rsid w:val="00F06F59"/>
    <w:rsid w:val="00F17988"/>
    <w:rsid w:val="00F368EB"/>
    <w:rsid w:val="00F44F37"/>
    <w:rsid w:val="00F469F0"/>
    <w:rsid w:val="00F53273"/>
    <w:rsid w:val="00F63BF8"/>
    <w:rsid w:val="00F755E4"/>
    <w:rsid w:val="00F77D02"/>
    <w:rsid w:val="00FA7DCA"/>
    <w:rsid w:val="00FB1F66"/>
    <w:rsid w:val="00FB3A86"/>
    <w:rsid w:val="00FC385F"/>
    <w:rsid w:val="00FD04CB"/>
    <w:rsid w:val="00FD36C8"/>
    <w:rsid w:val="00FD419E"/>
    <w:rsid w:val="00FD6A48"/>
    <w:rsid w:val="00FE3E5D"/>
    <w:rsid w:val="00FE679D"/>
    <w:rsid w:val="00FF0E52"/>
    <w:rsid w:val="00FF51D4"/>
    <w:rsid w:val="00FF5C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DFCCE47"/>
  <w15:docId w15:val="{1ED66A87-B36F-498B-8AC2-D24909E39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F44F37"/>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F44F37"/>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F44F37"/>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en-IN"/>
    </w:rPr>
  </w:style>
  <w:style w:type="paragraph" w:styleId="Heading5">
    <w:name w:val="heading 5"/>
    <w:basedOn w:val="Normal"/>
    <w:next w:val="Normal"/>
    <w:link w:val="Heading5Char"/>
    <w:uiPriority w:val="9"/>
    <w:semiHidden/>
    <w:unhideWhenUsed/>
    <w:qFormat/>
    <w:rsid w:val="00F44F37"/>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en-IN"/>
    </w:rPr>
  </w:style>
  <w:style w:type="paragraph" w:styleId="Heading6">
    <w:name w:val="heading 6"/>
    <w:basedOn w:val="Normal"/>
    <w:next w:val="Normal"/>
    <w:link w:val="Heading6Char"/>
    <w:uiPriority w:val="9"/>
    <w:semiHidden/>
    <w:unhideWhenUsed/>
    <w:qFormat/>
    <w:rsid w:val="00F44F37"/>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IN"/>
    </w:rPr>
  </w:style>
  <w:style w:type="paragraph" w:styleId="Heading7">
    <w:name w:val="heading 7"/>
    <w:basedOn w:val="Normal"/>
    <w:next w:val="Normal"/>
    <w:link w:val="Heading7Char"/>
    <w:uiPriority w:val="9"/>
    <w:semiHidden/>
    <w:unhideWhenUsed/>
    <w:qFormat/>
    <w:rsid w:val="00F44F37"/>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IN"/>
    </w:rPr>
  </w:style>
  <w:style w:type="paragraph" w:styleId="Heading8">
    <w:name w:val="heading 8"/>
    <w:basedOn w:val="Normal"/>
    <w:next w:val="Normal"/>
    <w:link w:val="Heading8Char"/>
    <w:uiPriority w:val="9"/>
    <w:semiHidden/>
    <w:unhideWhenUsed/>
    <w:qFormat/>
    <w:rsid w:val="00F44F37"/>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IN"/>
    </w:rPr>
  </w:style>
  <w:style w:type="paragraph" w:styleId="Heading9">
    <w:name w:val="heading 9"/>
    <w:basedOn w:val="Normal"/>
    <w:next w:val="Normal"/>
    <w:link w:val="Heading9Char"/>
    <w:uiPriority w:val="9"/>
    <w:semiHidden/>
    <w:unhideWhenUsed/>
    <w:qFormat/>
    <w:rsid w:val="00F44F37"/>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F37"/>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character" w:customStyle="1" w:styleId="TitleChar">
    <w:name w:val="Title Char"/>
    <w:basedOn w:val="DefaultParagraphFont"/>
    <w:link w:val="Title"/>
    <w:uiPriority w:val="10"/>
    <w:rsid w:val="00F44F37"/>
    <w:rPr>
      <w:rFonts w:ascii="Helvetica" w:hAnsi="Helvetica"/>
      <w:b/>
      <w:kern w:val="28"/>
      <w:sz w:val="36"/>
    </w:rPr>
  </w:style>
  <w:style w:type="paragraph" w:customStyle="1" w:styleId="Reference">
    <w:name w:val="Reference"/>
    <w:basedOn w:val="Body"/>
    <w:rsid w:val="00423789"/>
    <w:pPr>
      <w:tabs>
        <w:tab w:val="num" w:pos="360"/>
      </w:tabs>
      <w:spacing w:after="0" w:line="240" w:lineRule="exact"/>
      <w:ind w:left="360" w:hanging="360"/>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660A6"/>
    <w:pPr>
      <w:ind w:left="720"/>
      <w:contextualSpacing/>
    </w:pPr>
  </w:style>
  <w:style w:type="character" w:customStyle="1" w:styleId="Heading2Char">
    <w:name w:val="Heading 2 Char"/>
    <w:basedOn w:val="DefaultParagraphFont"/>
    <w:link w:val="Heading2"/>
    <w:uiPriority w:val="9"/>
    <w:semiHidden/>
    <w:rsid w:val="00F44F37"/>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F44F37"/>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F44F37"/>
    <w:rPr>
      <w:rFonts w:asciiTheme="minorHAnsi" w:eastAsiaTheme="majorEastAsia" w:hAnsiTheme="minorHAnsi" w:cstheme="majorBidi"/>
      <w:i/>
      <w:iCs/>
      <w:color w:val="365F91" w:themeColor="accent1" w:themeShade="BF"/>
      <w:kern w:val="2"/>
      <w:sz w:val="22"/>
      <w:szCs w:val="22"/>
      <w:lang w:val="en-IN"/>
    </w:rPr>
  </w:style>
  <w:style w:type="character" w:customStyle="1" w:styleId="Heading5Char">
    <w:name w:val="Heading 5 Char"/>
    <w:basedOn w:val="DefaultParagraphFont"/>
    <w:link w:val="Heading5"/>
    <w:uiPriority w:val="9"/>
    <w:semiHidden/>
    <w:rsid w:val="00F44F37"/>
    <w:rPr>
      <w:rFonts w:asciiTheme="minorHAnsi" w:eastAsiaTheme="majorEastAsia" w:hAnsiTheme="minorHAnsi" w:cstheme="majorBidi"/>
      <w:color w:val="365F91" w:themeColor="accent1" w:themeShade="BF"/>
      <w:kern w:val="2"/>
      <w:sz w:val="22"/>
      <w:szCs w:val="22"/>
      <w:lang w:val="en-IN"/>
    </w:rPr>
  </w:style>
  <w:style w:type="character" w:customStyle="1" w:styleId="Heading6Char">
    <w:name w:val="Heading 6 Char"/>
    <w:basedOn w:val="DefaultParagraphFont"/>
    <w:link w:val="Heading6"/>
    <w:uiPriority w:val="9"/>
    <w:semiHidden/>
    <w:rsid w:val="00F44F37"/>
    <w:rPr>
      <w:rFonts w:asciiTheme="minorHAnsi" w:eastAsiaTheme="majorEastAsia" w:hAnsiTheme="minorHAnsi" w:cstheme="majorBidi"/>
      <w:i/>
      <w:iCs/>
      <w:color w:val="595959" w:themeColor="text1" w:themeTint="A6"/>
      <w:kern w:val="2"/>
      <w:sz w:val="22"/>
      <w:szCs w:val="22"/>
      <w:lang w:val="en-IN"/>
    </w:rPr>
  </w:style>
  <w:style w:type="character" w:customStyle="1" w:styleId="Heading7Char">
    <w:name w:val="Heading 7 Char"/>
    <w:basedOn w:val="DefaultParagraphFont"/>
    <w:link w:val="Heading7"/>
    <w:uiPriority w:val="9"/>
    <w:semiHidden/>
    <w:rsid w:val="00F44F37"/>
    <w:rPr>
      <w:rFonts w:asciiTheme="minorHAnsi" w:eastAsiaTheme="majorEastAsia" w:hAnsiTheme="minorHAnsi" w:cstheme="majorBidi"/>
      <w:color w:val="595959" w:themeColor="text1" w:themeTint="A6"/>
      <w:kern w:val="2"/>
      <w:sz w:val="22"/>
      <w:szCs w:val="22"/>
      <w:lang w:val="en-IN"/>
    </w:rPr>
  </w:style>
  <w:style w:type="character" w:customStyle="1" w:styleId="Heading8Char">
    <w:name w:val="Heading 8 Char"/>
    <w:basedOn w:val="DefaultParagraphFont"/>
    <w:link w:val="Heading8"/>
    <w:uiPriority w:val="9"/>
    <w:semiHidden/>
    <w:rsid w:val="00F44F37"/>
    <w:rPr>
      <w:rFonts w:asciiTheme="minorHAnsi" w:eastAsiaTheme="majorEastAsia" w:hAnsiTheme="minorHAnsi" w:cstheme="majorBidi"/>
      <w:i/>
      <w:iCs/>
      <w:color w:val="272727" w:themeColor="text1" w:themeTint="D8"/>
      <w:kern w:val="2"/>
      <w:sz w:val="22"/>
      <w:szCs w:val="22"/>
      <w:lang w:val="en-IN"/>
    </w:rPr>
  </w:style>
  <w:style w:type="character" w:customStyle="1" w:styleId="Heading9Char">
    <w:name w:val="Heading 9 Char"/>
    <w:basedOn w:val="DefaultParagraphFont"/>
    <w:link w:val="Heading9"/>
    <w:uiPriority w:val="9"/>
    <w:semiHidden/>
    <w:rsid w:val="00F44F37"/>
    <w:rPr>
      <w:rFonts w:asciiTheme="minorHAnsi" w:eastAsiaTheme="majorEastAsia" w:hAnsiTheme="minorHAnsi" w:cstheme="majorBidi"/>
      <w:color w:val="272727" w:themeColor="text1" w:themeTint="D8"/>
      <w:kern w:val="2"/>
      <w:sz w:val="22"/>
      <w:szCs w:val="22"/>
      <w:lang w:val="en-IN"/>
    </w:rPr>
  </w:style>
  <w:style w:type="paragraph" w:styleId="Subtitle">
    <w:name w:val="Subtitle"/>
    <w:basedOn w:val="Normal"/>
    <w:next w:val="Normal"/>
    <w:link w:val="SubtitleChar"/>
    <w:uiPriority w:val="11"/>
    <w:qFormat/>
    <w:rsid w:val="00F44F3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F44F37"/>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F44F37"/>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rPr>
  </w:style>
  <w:style w:type="character" w:customStyle="1" w:styleId="QuoteChar">
    <w:name w:val="Quote Char"/>
    <w:basedOn w:val="DefaultParagraphFont"/>
    <w:link w:val="Quote"/>
    <w:uiPriority w:val="29"/>
    <w:rsid w:val="00F44F37"/>
    <w:rPr>
      <w:rFonts w:asciiTheme="minorHAnsi" w:eastAsiaTheme="minorHAnsi" w:hAnsiTheme="minorHAnsi" w:cstheme="minorBidi"/>
      <w:i/>
      <w:iCs/>
      <w:color w:val="404040" w:themeColor="text1" w:themeTint="BF"/>
      <w:kern w:val="2"/>
      <w:sz w:val="22"/>
      <w:szCs w:val="22"/>
      <w:lang w:val="en-IN"/>
    </w:rPr>
  </w:style>
  <w:style w:type="character" w:styleId="IntenseEmphasis">
    <w:name w:val="Intense Emphasis"/>
    <w:basedOn w:val="DefaultParagraphFont"/>
    <w:uiPriority w:val="21"/>
    <w:qFormat/>
    <w:rsid w:val="00F44F37"/>
    <w:rPr>
      <w:i/>
      <w:iCs/>
      <w:color w:val="365F91" w:themeColor="accent1" w:themeShade="BF"/>
    </w:rPr>
  </w:style>
  <w:style w:type="paragraph" w:styleId="IntenseQuote">
    <w:name w:val="Intense Quote"/>
    <w:basedOn w:val="Normal"/>
    <w:next w:val="Normal"/>
    <w:link w:val="IntenseQuoteChar"/>
    <w:uiPriority w:val="30"/>
    <w:qFormat/>
    <w:rsid w:val="00F44F37"/>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IN"/>
    </w:rPr>
  </w:style>
  <w:style w:type="character" w:customStyle="1" w:styleId="IntenseQuoteChar">
    <w:name w:val="Intense Quote Char"/>
    <w:basedOn w:val="DefaultParagraphFont"/>
    <w:link w:val="IntenseQuote"/>
    <w:uiPriority w:val="30"/>
    <w:rsid w:val="00F44F37"/>
    <w:rPr>
      <w:rFonts w:asciiTheme="minorHAnsi" w:eastAsiaTheme="minorHAnsi" w:hAnsiTheme="minorHAnsi" w:cstheme="minorBidi"/>
      <w:i/>
      <w:iCs/>
      <w:color w:val="365F91" w:themeColor="accent1" w:themeShade="BF"/>
      <w:kern w:val="2"/>
      <w:sz w:val="22"/>
      <w:szCs w:val="22"/>
      <w:lang w:val="en-IN"/>
    </w:rPr>
  </w:style>
  <w:style w:type="character" w:styleId="IntenseReference">
    <w:name w:val="Intense Reference"/>
    <w:basedOn w:val="DefaultParagraphFont"/>
    <w:uiPriority w:val="32"/>
    <w:qFormat/>
    <w:rsid w:val="00F44F37"/>
    <w:rPr>
      <w:b/>
      <w:bCs/>
      <w:smallCaps/>
      <w:color w:val="365F91" w:themeColor="accent1" w:themeShade="BF"/>
      <w:spacing w:val="5"/>
    </w:rPr>
  </w:style>
  <w:style w:type="table" w:customStyle="1" w:styleId="ListTable21">
    <w:name w:val="List Table 21"/>
    <w:basedOn w:val="TableNormal"/>
    <w:uiPriority w:val="47"/>
    <w:rsid w:val="00F44F37"/>
    <w:rPr>
      <w:rFonts w:asciiTheme="minorHAnsi" w:eastAsiaTheme="minorHAnsi" w:hAnsiTheme="minorHAnsi" w:cstheme="minorBidi"/>
      <w:kern w:val="2"/>
      <w:sz w:val="22"/>
      <w:szCs w:val="22"/>
      <w:lang w:val="en-I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F44F37"/>
    <w:rPr>
      <w:rFonts w:asciiTheme="minorHAnsi" w:eastAsiaTheme="minorHAnsi" w:hAnsiTheme="minorHAnsi" w:cstheme="minorBidi"/>
      <w:color w:val="000000" w:themeColor="text1"/>
      <w:kern w:val="2"/>
      <w:sz w:val="22"/>
      <w:szCs w:val="22"/>
      <w:lang w:val="en-I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F44F37"/>
    <w:rPr>
      <w:rFonts w:asciiTheme="minorHAnsi" w:eastAsiaTheme="minorHAnsi" w:hAnsiTheme="minorHAnsi" w:cstheme="minorBidi"/>
      <w:kern w:val="2"/>
      <w:sz w:val="22"/>
      <w:szCs w:val="22"/>
      <w:lang w:val="en-IN"/>
    </w:rPr>
  </w:style>
  <w:style w:type="character" w:customStyle="1" w:styleId="CommentSubjectChar">
    <w:name w:val="Comment Subject Char"/>
    <w:basedOn w:val="CommentTextChar"/>
    <w:link w:val="CommentSubject"/>
    <w:uiPriority w:val="99"/>
    <w:semiHidden/>
    <w:rsid w:val="00F44F37"/>
    <w:rPr>
      <w:rFonts w:asciiTheme="minorHAnsi" w:eastAsiaTheme="minorHAnsi" w:hAnsiTheme="minorHAnsi" w:cstheme="minorBidi"/>
      <w:b/>
      <w:bCs/>
      <w:kern w:val="2"/>
      <w:lang w:val="en-IN" w:eastAsia="nb-NO"/>
    </w:rPr>
  </w:style>
  <w:style w:type="paragraph" w:styleId="CommentSubject">
    <w:name w:val="annotation subject"/>
    <w:basedOn w:val="CommentText"/>
    <w:next w:val="CommentText"/>
    <w:link w:val="CommentSubjectChar"/>
    <w:uiPriority w:val="99"/>
    <w:semiHidden/>
    <w:unhideWhenUsed/>
    <w:rsid w:val="00F44F37"/>
    <w:pPr>
      <w:spacing w:after="160"/>
    </w:pPr>
    <w:rPr>
      <w:rFonts w:asciiTheme="minorHAnsi" w:eastAsiaTheme="minorHAnsi" w:hAnsiTheme="minorHAnsi" w:cstheme="minorBidi"/>
      <w:b/>
      <w:bCs/>
      <w:kern w:val="2"/>
      <w:lang w:val="en-IN" w:eastAsia="en-US"/>
    </w:rPr>
  </w:style>
  <w:style w:type="character" w:styleId="UnresolvedMention">
    <w:name w:val="Unresolved Mention"/>
    <w:basedOn w:val="DefaultParagraphFont"/>
    <w:uiPriority w:val="99"/>
    <w:semiHidden/>
    <w:unhideWhenUsed/>
    <w:rsid w:val="00176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219289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80/23308249.2017.137374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07/s12571-016-059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2166/Wcc.2023.51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 dockstate="right" visibility="0" width="525"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C8270C6-233B-479F-B3A7-0D7B1CF00005}">
  <we:reference id="wa200000368" version="1.0.0.0" store="en-US" storeType="OMEX"/>
  <we:alternateReferences>
    <we:reference id="wa200000368" version="1.0.0.0" store="wa200000368" storeType="OMEX"/>
  </we:alternateReferences>
  <we:properties>
    <we:property name="documentId" value="&quot;3e39c129e1e77cf3&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3510B6D-9991-4189-B44E-A0932303CAED}">
  <we:reference id="wa200005669" version="2.0.0.0" store="en-US" storeType="OMEX"/>
  <we:alternateReferences>
    <we:reference id="WA200005669" version="2.0.0.0" store="WA20000566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3D829-084D-404E-AAC0-36DB7192D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281</TotalTime>
  <Pages>21</Pages>
  <Words>5821</Words>
  <Characters>33180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38924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22</cp:revision>
  <cp:lastPrinted>2025-08-12T10:17:00Z</cp:lastPrinted>
  <dcterms:created xsi:type="dcterms:W3CDTF">2025-08-14T11:43:00Z</dcterms:created>
  <dcterms:modified xsi:type="dcterms:W3CDTF">2025-08-18T11:42:00Z</dcterms:modified>
</cp:coreProperties>
</file>